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仿宋" w:hAnsi="仿宋" w:eastAsia="仿宋" w:cs="仿宋"/>
          <w:color w:val="auto"/>
          <w:sz w:val="72"/>
          <w:szCs w:val="72"/>
          <w:highlight w:val="none"/>
        </w:rPr>
      </w:pPr>
    </w:p>
    <w:p>
      <w:pPr>
        <w:spacing w:before="120" w:beforeLines="50"/>
        <w:rPr>
          <w:rFonts w:ascii="仿宋" w:hAnsi="仿宋" w:eastAsia="仿宋" w:cs="仿宋"/>
          <w:color w:val="auto"/>
          <w:sz w:val="72"/>
          <w:szCs w:val="72"/>
          <w:highlight w:val="none"/>
        </w:rPr>
      </w:pPr>
    </w:p>
    <w:p>
      <w:pPr>
        <w:spacing w:before="120" w:beforeLines="50"/>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竞争性磋商采购文件</w:t>
      </w:r>
    </w:p>
    <w:p>
      <w:pPr>
        <w:snapToGrid w:val="0"/>
        <w:spacing w:before="120" w:beforeLines="50" w:line="360" w:lineRule="auto"/>
        <w:rPr>
          <w:rFonts w:ascii="仿宋" w:hAnsi="仿宋" w:eastAsia="仿宋" w:cs="仿宋"/>
          <w:color w:val="auto"/>
          <w:sz w:val="30"/>
          <w:szCs w:val="72"/>
          <w:highlight w:val="none"/>
        </w:rPr>
      </w:pPr>
    </w:p>
    <w:p>
      <w:pPr>
        <w:pStyle w:val="27"/>
        <w:snapToGrid w:val="0"/>
        <w:spacing w:before="120" w:after="120" w:line="360" w:lineRule="auto"/>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w:t>
      </w:r>
    </w:p>
    <w:p>
      <w:pPr>
        <w:pStyle w:val="27"/>
        <w:snapToGrid w:val="0"/>
        <w:spacing w:before="120" w:after="120" w:line="360" w:lineRule="auto"/>
        <w:jc w:val="center"/>
        <w:rPr>
          <w:rFonts w:ascii="仿宋" w:hAnsi="仿宋" w:eastAsia="仿宋" w:cs="仿宋"/>
          <w:b/>
          <w:bCs/>
          <w:color w:val="auto"/>
          <w:sz w:val="30"/>
          <w:szCs w:val="30"/>
          <w:highlight w:val="none"/>
        </w:rPr>
      </w:pPr>
    </w:p>
    <w:p>
      <w:pPr>
        <w:pStyle w:val="27"/>
        <w:snapToGrid w:val="0"/>
        <w:spacing w:before="120" w:after="120" w:line="360" w:lineRule="auto"/>
        <w:jc w:val="center"/>
        <w:rPr>
          <w:rFonts w:ascii="仿宋" w:hAnsi="仿宋" w:eastAsia="仿宋" w:cs="仿宋"/>
          <w:b/>
          <w:bCs/>
          <w:color w:val="auto"/>
          <w:sz w:val="30"/>
          <w:szCs w:val="30"/>
          <w:highlight w:val="none"/>
        </w:rPr>
      </w:pPr>
    </w:p>
    <w:p>
      <w:pPr>
        <w:pStyle w:val="27"/>
        <w:snapToGrid w:val="0"/>
        <w:spacing w:before="120" w:after="120" w:line="360" w:lineRule="auto"/>
        <w:jc w:val="center"/>
        <w:rPr>
          <w:rFonts w:ascii="仿宋" w:hAnsi="仿宋" w:eastAsia="仿宋" w:cs="仿宋"/>
          <w:b/>
          <w:bCs/>
          <w:color w:val="auto"/>
          <w:sz w:val="30"/>
          <w:szCs w:val="30"/>
          <w:highlight w:val="none"/>
        </w:rPr>
      </w:pPr>
    </w:p>
    <w:p>
      <w:pPr>
        <w:pStyle w:val="27"/>
        <w:snapToGrid w:val="0"/>
        <w:spacing w:before="120" w:after="120" w:line="360" w:lineRule="auto"/>
        <w:jc w:val="center"/>
        <w:rPr>
          <w:rFonts w:ascii="仿宋" w:hAnsi="仿宋" w:eastAsia="仿宋" w:cs="仿宋"/>
          <w:b/>
          <w:bCs/>
          <w:color w:val="auto"/>
          <w:sz w:val="30"/>
          <w:szCs w:val="30"/>
          <w:highlight w:val="none"/>
        </w:rPr>
      </w:pPr>
    </w:p>
    <w:p>
      <w:pPr>
        <w:pStyle w:val="27"/>
        <w:snapToGrid w:val="0"/>
        <w:spacing w:before="120" w:after="120" w:line="360" w:lineRule="auto"/>
        <w:jc w:val="center"/>
        <w:rPr>
          <w:rFonts w:ascii="仿宋" w:hAnsi="仿宋" w:eastAsia="仿宋" w:cs="仿宋"/>
          <w:color w:val="auto"/>
          <w:sz w:val="32"/>
          <w:szCs w:val="32"/>
          <w:highlight w:val="none"/>
        </w:rPr>
      </w:pPr>
      <w:r>
        <w:rPr>
          <w:rFonts w:hint="eastAsia" w:ascii="仿宋" w:hAnsi="仿宋" w:eastAsia="仿宋" w:cs="仿宋"/>
          <w:b/>
          <w:bCs/>
          <w:color w:val="auto"/>
          <w:sz w:val="30"/>
          <w:szCs w:val="30"/>
          <w:highlight w:val="none"/>
        </w:rPr>
        <w:t>项目编号：</w:t>
      </w:r>
      <w:r>
        <w:rPr>
          <w:rFonts w:hint="eastAsia" w:ascii="仿宋" w:hAnsi="仿宋" w:eastAsia="仿宋" w:cs="仿宋"/>
          <w:b/>
          <w:color w:val="auto"/>
          <w:sz w:val="32"/>
          <w:szCs w:val="32"/>
          <w:highlight w:val="none"/>
        </w:rPr>
        <w:t>GS2020-Z2-C071</w:t>
      </w:r>
    </w:p>
    <w:p>
      <w:pPr>
        <w:snapToGrid w:val="0"/>
        <w:spacing w:before="120" w:beforeLines="50" w:line="360" w:lineRule="auto"/>
        <w:ind w:left="1355" w:hanging="1355" w:hangingChars="450"/>
        <w:jc w:val="center"/>
        <w:rPr>
          <w:rFonts w:ascii="仿宋" w:hAnsi="仿宋" w:eastAsia="仿宋" w:cs="仿宋"/>
          <w:b/>
          <w:color w:val="auto"/>
          <w:sz w:val="30"/>
          <w:szCs w:val="72"/>
          <w:highlight w:val="none"/>
        </w:rPr>
      </w:pPr>
      <w:r>
        <w:rPr>
          <w:rFonts w:hint="eastAsia" w:ascii="仿宋" w:hAnsi="仿宋" w:eastAsia="仿宋" w:cs="仿宋"/>
          <w:b/>
          <w:color w:val="auto"/>
          <w:sz w:val="30"/>
          <w:szCs w:val="72"/>
          <w:highlight w:val="none"/>
        </w:rPr>
        <w:t xml:space="preserve">    项目名称：国家税务总局贺州市税务局附属用房维修项目工程采购</w:t>
      </w:r>
    </w:p>
    <w:p>
      <w:pPr>
        <w:pStyle w:val="27"/>
        <w:snapToGrid w:val="0"/>
        <w:spacing w:before="120" w:after="120" w:line="360" w:lineRule="auto"/>
        <w:ind w:firstLine="1656" w:firstLineChars="550"/>
        <w:rPr>
          <w:rFonts w:ascii="仿宋" w:hAnsi="仿宋" w:eastAsia="仿宋" w:cs="仿宋"/>
          <w:b/>
          <w:color w:val="auto"/>
          <w:sz w:val="30"/>
          <w:szCs w:val="72"/>
          <w:highlight w:val="none"/>
        </w:rPr>
      </w:pPr>
    </w:p>
    <w:p>
      <w:pPr>
        <w:pStyle w:val="27"/>
        <w:snapToGrid w:val="0"/>
        <w:spacing w:before="120" w:after="120" w:line="360" w:lineRule="auto"/>
        <w:ind w:firstLine="2397" w:firstLineChars="796"/>
        <w:rPr>
          <w:rFonts w:ascii="仿宋" w:hAnsi="仿宋" w:eastAsia="仿宋" w:cs="仿宋"/>
          <w:b/>
          <w:color w:val="auto"/>
          <w:sz w:val="30"/>
          <w:szCs w:val="72"/>
          <w:highlight w:val="none"/>
        </w:rPr>
      </w:pPr>
    </w:p>
    <w:p>
      <w:pPr>
        <w:pStyle w:val="27"/>
        <w:snapToGrid w:val="0"/>
        <w:spacing w:before="120" w:after="120" w:line="360" w:lineRule="auto"/>
        <w:ind w:firstLine="2397" w:firstLineChars="796"/>
        <w:rPr>
          <w:rFonts w:ascii="仿宋" w:hAnsi="仿宋" w:eastAsia="仿宋" w:cs="仿宋"/>
          <w:b/>
          <w:color w:val="auto"/>
          <w:sz w:val="30"/>
          <w:szCs w:val="72"/>
          <w:highlight w:val="none"/>
        </w:rPr>
      </w:pPr>
    </w:p>
    <w:p>
      <w:pPr>
        <w:pStyle w:val="27"/>
        <w:snapToGrid w:val="0"/>
        <w:spacing w:before="120" w:after="120" w:line="360" w:lineRule="auto"/>
        <w:ind w:firstLine="2397" w:firstLineChars="796"/>
        <w:rPr>
          <w:rFonts w:ascii="仿宋" w:hAnsi="仿宋" w:eastAsia="仿宋" w:cs="仿宋"/>
          <w:b/>
          <w:color w:val="auto"/>
          <w:sz w:val="30"/>
          <w:szCs w:val="72"/>
          <w:highlight w:val="none"/>
        </w:rPr>
      </w:pPr>
    </w:p>
    <w:p>
      <w:pPr>
        <w:pStyle w:val="27"/>
        <w:snapToGrid w:val="0"/>
        <w:spacing w:before="120" w:after="120" w:line="360" w:lineRule="auto"/>
        <w:jc w:val="center"/>
        <w:rPr>
          <w:rFonts w:ascii="仿宋" w:hAnsi="仿宋" w:eastAsia="仿宋" w:cs="仿宋"/>
          <w:b/>
          <w:color w:val="auto"/>
          <w:sz w:val="30"/>
          <w:szCs w:val="72"/>
          <w:highlight w:val="none"/>
        </w:rPr>
      </w:pPr>
      <w:r>
        <w:rPr>
          <w:rFonts w:hint="eastAsia" w:ascii="仿宋" w:hAnsi="仿宋" w:eastAsia="仿宋" w:cs="仿宋"/>
          <w:b/>
          <w:color w:val="auto"/>
          <w:sz w:val="30"/>
          <w:szCs w:val="72"/>
          <w:highlight w:val="none"/>
        </w:rPr>
        <w:t>采购单位：国家税务总局贺州市税务局</w:t>
      </w:r>
    </w:p>
    <w:p>
      <w:pPr>
        <w:pStyle w:val="27"/>
        <w:snapToGrid w:val="0"/>
        <w:spacing w:before="120" w:after="120" w:line="360" w:lineRule="auto"/>
        <w:jc w:val="center"/>
        <w:rPr>
          <w:rFonts w:ascii="仿宋" w:hAnsi="仿宋" w:eastAsia="仿宋" w:cs="仿宋"/>
          <w:b/>
          <w:bCs/>
          <w:color w:val="auto"/>
          <w:w w:val="95"/>
          <w:sz w:val="30"/>
          <w:szCs w:val="30"/>
          <w:highlight w:val="none"/>
        </w:rPr>
      </w:pPr>
      <w:r>
        <w:rPr>
          <w:rFonts w:hint="eastAsia" w:ascii="仿宋" w:hAnsi="仿宋" w:eastAsia="仿宋" w:cs="仿宋"/>
          <w:b/>
          <w:bCs/>
          <w:color w:val="auto"/>
          <w:w w:val="95"/>
          <w:sz w:val="30"/>
          <w:szCs w:val="30"/>
          <w:highlight w:val="none"/>
        </w:rPr>
        <w:t>采购代理机构：广西国盛招标有限公司</w:t>
      </w:r>
    </w:p>
    <w:p>
      <w:pPr>
        <w:pStyle w:val="27"/>
        <w:snapToGrid w:val="0"/>
        <w:spacing w:before="120" w:after="120" w:line="360" w:lineRule="auto"/>
        <w:jc w:val="center"/>
        <w:rPr>
          <w:rFonts w:ascii="仿宋" w:hAnsi="仿宋" w:eastAsia="仿宋" w:cs="仿宋"/>
          <w:b/>
          <w:bCs/>
          <w:color w:val="auto"/>
          <w:w w:val="95"/>
          <w:sz w:val="30"/>
          <w:szCs w:val="30"/>
          <w:highlight w:val="none"/>
        </w:rPr>
      </w:pPr>
      <w:r>
        <w:rPr>
          <w:rFonts w:hint="eastAsia" w:ascii="仿宋" w:hAnsi="仿宋" w:eastAsia="仿宋" w:cs="仿宋"/>
          <w:b/>
          <w:bCs/>
          <w:color w:val="auto"/>
          <w:w w:val="95"/>
          <w:sz w:val="30"/>
          <w:szCs w:val="30"/>
          <w:highlight w:val="none"/>
        </w:rPr>
        <w:t>2020年</w:t>
      </w:r>
      <w:r>
        <w:rPr>
          <w:rFonts w:hint="eastAsia" w:ascii="仿宋" w:hAnsi="仿宋" w:eastAsia="仿宋" w:cs="仿宋"/>
          <w:b/>
          <w:bCs/>
          <w:color w:val="auto"/>
          <w:w w:val="95"/>
          <w:sz w:val="30"/>
          <w:szCs w:val="30"/>
          <w:highlight w:val="none"/>
          <w:lang w:val="en-US" w:eastAsia="zh-CN"/>
        </w:rPr>
        <w:t>6</w:t>
      </w:r>
      <w:r>
        <w:rPr>
          <w:rFonts w:hint="eastAsia" w:ascii="仿宋" w:hAnsi="仿宋" w:eastAsia="仿宋" w:cs="仿宋"/>
          <w:b/>
          <w:bCs/>
          <w:color w:val="auto"/>
          <w:w w:val="95"/>
          <w:sz w:val="30"/>
          <w:szCs w:val="30"/>
          <w:highlight w:val="none"/>
        </w:rPr>
        <w:t>月</w:t>
      </w:r>
      <w:r>
        <w:rPr>
          <w:rFonts w:hint="eastAsia" w:ascii="仿宋" w:hAnsi="仿宋" w:eastAsia="仿宋" w:cs="仿宋"/>
          <w:b/>
          <w:bCs/>
          <w:color w:val="auto"/>
          <w:w w:val="95"/>
          <w:sz w:val="30"/>
          <w:szCs w:val="30"/>
          <w:highlight w:val="none"/>
        </w:rPr>
        <w:br w:type="page"/>
      </w:r>
    </w:p>
    <w:p>
      <w:pPr>
        <w:pStyle w:val="27"/>
        <w:snapToGrid w:val="0"/>
        <w:spacing w:before="120" w:after="120"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目    录</w:t>
      </w:r>
    </w:p>
    <w:p>
      <w:pPr>
        <w:pStyle w:val="27"/>
        <w:snapToGrid w:val="0"/>
        <w:spacing w:before="120" w:after="120" w:line="360" w:lineRule="auto"/>
        <w:jc w:val="center"/>
        <w:rPr>
          <w:rFonts w:ascii="仿宋" w:hAnsi="仿宋" w:eastAsia="仿宋" w:cs="仿宋"/>
          <w:b/>
          <w:bCs/>
          <w:color w:val="auto"/>
          <w:w w:val="95"/>
          <w:sz w:val="30"/>
          <w:szCs w:val="30"/>
          <w:highlight w:val="none"/>
        </w:rPr>
      </w:pPr>
    </w:p>
    <w:p>
      <w:pPr>
        <w:spacing w:before="120" w:beforeLines="50" w:line="480" w:lineRule="exact"/>
        <w:jc w:val="center"/>
        <w:rPr>
          <w:rFonts w:ascii="仿宋" w:hAnsi="仿宋" w:eastAsia="仿宋" w:cs="仿宋"/>
          <w:color w:val="auto"/>
          <w:sz w:val="28"/>
          <w:szCs w:val="28"/>
          <w:highlight w:val="none"/>
        </w:rPr>
      </w:pPr>
      <w:bookmarkStart w:id="0" w:name="_Toc254970489"/>
      <w:bookmarkStart w:id="1" w:name="_Toc254970630"/>
    </w:p>
    <w:p>
      <w:pPr>
        <w:pStyle w:val="34"/>
        <w:tabs>
          <w:tab w:val="right" w:leader="dot" w:pos="9638"/>
          <w:tab w:val="clear" w:pos="8296"/>
          <w:tab w:val="clear" w:pos="8398"/>
        </w:tabs>
        <w:ind w:left="0" w:leftChars="0" w:firstLine="838" w:firstLineChars="262"/>
        <w:rPr>
          <w:color w:val="auto"/>
          <w:sz w:val="32"/>
          <w:szCs w:val="32"/>
          <w:highlight w:val="none"/>
        </w:rPr>
      </w:pPr>
      <w:r>
        <w:rPr>
          <w:color w:val="auto"/>
          <w:sz w:val="32"/>
          <w:szCs w:val="32"/>
          <w:highlight w:val="none"/>
        </w:rPr>
        <w:fldChar w:fldCharType="begin"/>
      </w:r>
      <w:r>
        <w:rPr>
          <w:color w:val="auto"/>
          <w:sz w:val="32"/>
          <w:szCs w:val="32"/>
          <w:highlight w:val="none"/>
        </w:rPr>
        <w:instrText xml:space="preserve">TOC \o "1-3" \h \u </w:instrText>
      </w:r>
      <w:r>
        <w:rPr>
          <w:color w:val="auto"/>
          <w:sz w:val="32"/>
          <w:szCs w:val="32"/>
          <w:highlight w:val="none"/>
        </w:rPr>
        <w:fldChar w:fldCharType="separate"/>
      </w:r>
      <w:r>
        <w:rPr>
          <w:color w:val="auto"/>
          <w:highlight w:val="none"/>
        </w:rPr>
        <w:fldChar w:fldCharType="begin"/>
      </w:r>
      <w:r>
        <w:rPr>
          <w:color w:val="auto"/>
          <w:highlight w:val="none"/>
        </w:rPr>
        <w:instrText xml:space="preserve"> HYPERLINK \l "_Toc14398" </w:instrText>
      </w:r>
      <w:r>
        <w:rPr>
          <w:color w:val="auto"/>
          <w:highlight w:val="none"/>
        </w:rPr>
        <w:fldChar w:fldCharType="separate"/>
      </w:r>
      <w:r>
        <w:rPr>
          <w:rFonts w:hint="eastAsia" w:ascii="仿宋" w:hAnsi="仿宋" w:eastAsia="仿宋" w:cs="仿宋"/>
          <w:color w:val="auto"/>
          <w:sz w:val="32"/>
          <w:szCs w:val="32"/>
          <w:highlight w:val="none"/>
        </w:rPr>
        <w:t>第一章  竞争性磋商公告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_Toc14398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"_Toc9947" </w:instrText>
      </w:r>
      <w:r>
        <w:rPr>
          <w:color w:val="auto"/>
          <w:highlight w:val="none"/>
        </w:rPr>
        <w:fldChar w:fldCharType="separate"/>
      </w:r>
      <w:r>
        <w:rPr>
          <w:rFonts w:hint="eastAsia" w:ascii="仿宋" w:hAnsi="仿宋" w:eastAsia="仿宋" w:cs="仿宋"/>
          <w:color w:val="auto"/>
          <w:sz w:val="32"/>
          <w:szCs w:val="32"/>
          <w:highlight w:val="none"/>
        </w:rPr>
        <w:t>第二章  供应商须知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_Toc9947 </w:instrText>
      </w:r>
      <w:r>
        <w:rPr>
          <w:color w:val="auto"/>
          <w:sz w:val="32"/>
          <w:szCs w:val="32"/>
          <w:highlight w:val="none"/>
        </w:rPr>
        <w:fldChar w:fldCharType="separate"/>
      </w:r>
      <w:r>
        <w:rPr>
          <w:color w:val="auto"/>
          <w:sz w:val="32"/>
          <w:szCs w:val="32"/>
          <w:highlight w:val="none"/>
        </w:rPr>
        <w:t>4</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"_Toc23487" </w:instrText>
      </w:r>
      <w:r>
        <w:rPr>
          <w:color w:val="auto"/>
          <w:highlight w:val="none"/>
        </w:rPr>
        <w:fldChar w:fldCharType="separate"/>
      </w:r>
      <w:r>
        <w:rPr>
          <w:rFonts w:hint="eastAsia" w:ascii="仿宋" w:hAnsi="仿宋" w:eastAsia="仿宋" w:cs="仿宋"/>
          <w:color w:val="auto"/>
          <w:sz w:val="32"/>
          <w:szCs w:val="32"/>
          <w:highlight w:val="none"/>
        </w:rPr>
        <w:t>第三章  合同格式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_Toc23487 </w:instrText>
      </w:r>
      <w:r>
        <w:rPr>
          <w:color w:val="auto"/>
          <w:sz w:val="32"/>
          <w:szCs w:val="32"/>
          <w:highlight w:val="none"/>
        </w:rPr>
        <w:fldChar w:fldCharType="separate"/>
      </w:r>
      <w:r>
        <w:rPr>
          <w:color w:val="auto"/>
          <w:sz w:val="32"/>
          <w:szCs w:val="32"/>
          <w:highlight w:val="none"/>
        </w:rPr>
        <w:t>17</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"_Toc10361" </w:instrText>
      </w:r>
      <w:r>
        <w:rPr>
          <w:color w:val="auto"/>
          <w:highlight w:val="none"/>
        </w:rPr>
        <w:fldChar w:fldCharType="separate"/>
      </w:r>
      <w:r>
        <w:rPr>
          <w:rFonts w:hint="eastAsia" w:ascii="仿宋" w:hAnsi="仿宋" w:eastAsia="仿宋" w:cs="仿宋"/>
          <w:color w:val="auto"/>
          <w:sz w:val="32"/>
          <w:szCs w:val="32"/>
          <w:highlight w:val="none"/>
        </w:rPr>
        <w:t>第四章  图纸</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_Toc10361 </w:instrText>
      </w:r>
      <w:r>
        <w:rPr>
          <w:color w:val="auto"/>
          <w:sz w:val="32"/>
          <w:szCs w:val="32"/>
          <w:highlight w:val="none"/>
        </w:rPr>
        <w:fldChar w:fldCharType="separate"/>
      </w:r>
      <w:r>
        <w:rPr>
          <w:color w:val="auto"/>
          <w:sz w:val="32"/>
          <w:szCs w:val="32"/>
          <w:highlight w:val="none"/>
        </w:rPr>
        <w:t>38</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"_Toc30631" </w:instrText>
      </w:r>
      <w:r>
        <w:rPr>
          <w:color w:val="auto"/>
          <w:highlight w:val="none"/>
        </w:rPr>
        <w:fldChar w:fldCharType="separate"/>
      </w:r>
      <w:r>
        <w:rPr>
          <w:rFonts w:hint="eastAsia" w:ascii="仿宋" w:hAnsi="仿宋" w:eastAsia="仿宋" w:cs="仿宋"/>
          <w:color w:val="auto"/>
          <w:sz w:val="32"/>
          <w:szCs w:val="32"/>
          <w:highlight w:val="none"/>
        </w:rPr>
        <w:t>第五章  工程量清单</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_Toc30631 </w:instrText>
      </w:r>
      <w:r>
        <w:rPr>
          <w:color w:val="auto"/>
          <w:sz w:val="32"/>
          <w:szCs w:val="32"/>
          <w:highlight w:val="none"/>
        </w:rPr>
        <w:fldChar w:fldCharType="separate"/>
      </w:r>
      <w:r>
        <w:rPr>
          <w:color w:val="auto"/>
          <w:sz w:val="32"/>
          <w:szCs w:val="32"/>
          <w:highlight w:val="none"/>
        </w:rPr>
        <w:t>38</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"_Toc23212" </w:instrText>
      </w:r>
      <w:r>
        <w:rPr>
          <w:color w:val="auto"/>
          <w:highlight w:val="none"/>
        </w:rPr>
        <w:fldChar w:fldCharType="separate"/>
      </w:r>
      <w:r>
        <w:rPr>
          <w:rFonts w:hint="eastAsia" w:ascii="仿宋" w:hAnsi="仿宋" w:eastAsia="仿宋" w:cs="仿宋"/>
          <w:color w:val="auto"/>
          <w:sz w:val="32"/>
          <w:szCs w:val="32"/>
          <w:highlight w:val="none"/>
        </w:rPr>
        <w:t>第六章  响应文件格式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_Toc23212 </w:instrText>
      </w:r>
      <w:r>
        <w:rPr>
          <w:color w:val="auto"/>
          <w:sz w:val="32"/>
          <w:szCs w:val="32"/>
          <w:highlight w:val="none"/>
        </w:rPr>
        <w:fldChar w:fldCharType="separate"/>
      </w:r>
      <w:r>
        <w:rPr>
          <w:color w:val="auto"/>
          <w:sz w:val="32"/>
          <w:szCs w:val="32"/>
          <w:highlight w:val="none"/>
        </w:rPr>
        <w:t>41</w:t>
      </w:r>
      <w:r>
        <w:rPr>
          <w:color w:val="auto"/>
          <w:sz w:val="32"/>
          <w:szCs w:val="32"/>
          <w:highlight w:val="none"/>
        </w:rPr>
        <w:fldChar w:fldCharType="end"/>
      </w:r>
      <w:r>
        <w:rPr>
          <w:color w:val="auto"/>
          <w:sz w:val="32"/>
          <w:szCs w:val="32"/>
          <w:highlight w:val="none"/>
        </w:rPr>
        <w:fldChar w:fldCharType="end"/>
      </w:r>
    </w:p>
    <w:p>
      <w:pPr>
        <w:pStyle w:val="34"/>
        <w:tabs>
          <w:tab w:val="right" w:leader="dot" w:pos="9638"/>
          <w:tab w:val="clear" w:pos="8296"/>
          <w:tab w:val="clear" w:pos="8398"/>
        </w:tabs>
        <w:rPr>
          <w:color w:val="auto"/>
          <w:sz w:val="32"/>
          <w:szCs w:val="32"/>
          <w:highlight w:val="none"/>
        </w:rPr>
      </w:pPr>
      <w:r>
        <w:rPr>
          <w:color w:val="auto"/>
          <w:highlight w:val="none"/>
        </w:rPr>
        <w:fldChar w:fldCharType="begin"/>
      </w:r>
      <w:r>
        <w:rPr>
          <w:color w:val="auto"/>
          <w:highlight w:val="none"/>
        </w:rPr>
        <w:instrText xml:space="preserve"> HYPERLINK \l "_Toc5704" </w:instrText>
      </w:r>
      <w:r>
        <w:rPr>
          <w:color w:val="auto"/>
          <w:highlight w:val="none"/>
        </w:rPr>
        <w:fldChar w:fldCharType="separate"/>
      </w:r>
      <w:r>
        <w:rPr>
          <w:rFonts w:hint="eastAsia" w:ascii="仿宋" w:hAnsi="仿宋" w:eastAsia="仿宋" w:cs="仿宋"/>
          <w:color w:val="auto"/>
          <w:sz w:val="32"/>
          <w:szCs w:val="32"/>
          <w:highlight w:val="none"/>
        </w:rPr>
        <w:t>第七章  评审办法及评分标准</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_Toc5704 </w:instrText>
      </w:r>
      <w:r>
        <w:rPr>
          <w:color w:val="auto"/>
          <w:sz w:val="32"/>
          <w:szCs w:val="32"/>
          <w:highlight w:val="none"/>
        </w:rPr>
        <w:fldChar w:fldCharType="separate"/>
      </w:r>
      <w:r>
        <w:rPr>
          <w:color w:val="auto"/>
          <w:sz w:val="32"/>
          <w:szCs w:val="32"/>
          <w:highlight w:val="none"/>
        </w:rPr>
        <w:t>63</w:t>
      </w:r>
      <w:r>
        <w:rPr>
          <w:color w:val="auto"/>
          <w:sz w:val="32"/>
          <w:szCs w:val="32"/>
          <w:highlight w:val="none"/>
        </w:rPr>
        <w:fldChar w:fldCharType="end"/>
      </w:r>
      <w:r>
        <w:rPr>
          <w:color w:val="auto"/>
          <w:sz w:val="32"/>
          <w:szCs w:val="32"/>
          <w:highlight w:val="none"/>
        </w:rPr>
        <w:fldChar w:fldCharType="end"/>
      </w:r>
    </w:p>
    <w:p>
      <w:pPr>
        <w:rPr>
          <w:color w:val="auto"/>
          <w:highlight w:val="none"/>
        </w:rPr>
      </w:pPr>
      <w:r>
        <w:rPr>
          <w:color w:val="auto"/>
          <w:sz w:val="32"/>
          <w:szCs w:val="32"/>
          <w:highlight w:val="none"/>
        </w:rPr>
        <w:fldChar w:fldCharType="end"/>
      </w:r>
    </w:p>
    <w:p>
      <w:pPr>
        <w:pStyle w:val="46"/>
        <w:spacing w:before="0" w:after="0" w:line="370" w:lineRule="exact"/>
        <w:rPr>
          <w:rFonts w:ascii="仿宋" w:hAnsi="仿宋" w:eastAsia="仿宋" w:cs="仿宋"/>
          <w:color w:val="auto"/>
          <w:highlight w:val="none"/>
        </w:rPr>
      </w:pPr>
      <w:r>
        <w:rPr>
          <w:rFonts w:hint="eastAsia" w:ascii="仿宋" w:hAnsi="仿宋" w:eastAsia="仿宋" w:cs="仿宋"/>
          <w:color w:val="auto"/>
          <w:sz w:val="28"/>
          <w:szCs w:val="28"/>
          <w:highlight w:val="none"/>
        </w:rPr>
        <w:br w:type="page"/>
      </w:r>
      <w:bookmarkStart w:id="2" w:name="_Toc8542"/>
      <w:bookmarkStart w:id="3" w:name="_Toc14398"/>
      <w:bookmarkStart w:id="4" w:name="_Toc7508"/>
      <w:r>
        <w:rPr>
          <w:rFonts w:hint="eastAsia" w:ascii="仿宋" w:hAnsi="仿宋" w:eastAsia="仿宋" w:cs="仿宋"/>
          <w:color w:val="auto"/>
          <w:highlight w:val="none"/>
        </w:rPr>
        <w:t>第一章  竞争性磋商公告</w:t>
      </w:r>
      <w:bookmarkEnd w:id="0"/>
      <w:bookmarkEnd w:id="1"/>
      <w:bookmarkEnd w:id="2"/>
      <w:bookmarkEnd w:id="3"/>
      <w:bookmarkEnd w:id="4"/>
    </w:p>
    <w:p>
      <w:pPr>
        <w:pStyle w:val="245"/>
        <w:widowControl w:val="0"/>
        <w:spacing w:after="0" w:afterLines="0" w:line="360" w:lineRule="exact"/>
        <w:ind w:firstLine="480"/>
        <w:rPr>
          <w:rFonts w:ascii="仿宋" w:hAnsi="仿宋" w:eastAsia="仿宋" w:cs="仿宋"/>
          <w:color w:val="auto"/>
          <w:szCs w:val="24"/>
          <w:highlight w:val="none"/>
        </w:rPr>
      </w:pPr>
      <w:bookmarkStart w:id="5" w:name="_Toc254970631"/>
      <w:bookmarkStart w:id="6" w:name="_Toc254970490"/>
      <w:r>
        <w:rPr>
          <w:rFonts w:hint="eastAsia" w:ascii="仿宋" w:hAnsi="仿宋" w:eastAsia="仿宋" w:cs="仿宋"/>
          <w:color w:val="auto"/>
          <w:szCs w:val="24"/>
          <w:highlight w:val="none"/>
          <w:u w:val="single"/>
        </w:rPr>
        <w:t>广西国盛招标有限公司</w:t>
      </w:r>
      <w:r>
        <w:rPr>
          <w:rFonts w:hint="eastAsia" w:ascii="仿宋" w:hAnsi="仿宋" w:eastAsia="仿宋" w:cs="仿宋"/>
          <w:color w:val="auto"/>
          <w:szCs w:val="24"/>
          <w:highlight w:val="none"/>
        </w:rPr>
        <w:t>受</w:t>
      </w:r>
      <w:r>
        <w:rPr>
          <w:rFonts w:hint="eastAsia" w:ascii="仿宋" w:hAnsi="仿宋" w:eastAsia="仿宋" w:cs="仿宋"/>
          <w:color w:val="auto"/>
          <w:szCs w:val="24"/>
          <w:highlight w:val="none"/>
          <w:u w:val="single"/>
        </w:rPr>
        <w:t>国家税务总局贺州市税务局</w:t>
      </w:r>
      <w:r>
        <w:rPr>
          <w:rFonts w:hint="eastAsia" w:ascii="仿宋" w:hAnsi="仿宋" w:eastAsia="仿宋" w:cs="仿宋"/>
          <w:color w:val="auto"/>
          <w:szCs w:val="24"/>
          <w:highlight w:val="none"/>
        </w:rPr>
        <w:t>委托，现对</w:t>
      </w:r>
      <w:r>
        <w:rPr>
          <w:rFonts w:hint="eastAsia" w:ascii="仿宋" w:hAnsi="仿宋" w:eastAsia="仿宋" w:cs="仿宋"/>
          <w:color w:val="auto"/>
          <w:szCs w:val="24"/>
          <w:highlight w:val="none"/>
          <w:u w:val="single"/>
        </w:rPr>
        <w:t>国家税务总局贺州市税务局附属用房维修项目工程采购</w:t>
      </w:r>
      <w:r>
        <w:rPr>
          <w:rFonts w:hint="eastAsia" w:ascii="仿宋" w:hAnsi="仿宋" w:eastAsia="仿宋" w:cs="仿宋"/>
          <w:color w:val="auto"/>
          <w:szCs w:val="24"/>
          <w:highlight w:val="none"/>
        </w:rPr>
        <w:t>项目进行竞争性磋商，欢迎符合条件的供应商前来参加磋商活动。</w:t>
      </w:r>
    </w:p>
    <w:p>
      <w:pPr>
        <w:snapToGrid w:val="0"/>
        <w:spacing w:line="360" w:lineRule="exact"/>
        <w:ind w:firstLine="480" w:firstLineChars="200"/>
        <w:rPr>
          <w:rFonts w:ascii="仿宋" w:hAnsi="仿宋" w:eastAsia="仿宋" w:cs="仿宋"/>
          <w:b/>
          <w:color w:val="auto"/>
          <w:spacing w:val="-10"/>
          <w:sz w:val="24"/>
          <w:highlight w:val="none"/>
        </w:rPr>
      </w:pPr>
      <w:r>
        <w:rPr>
          <w:rFonts w:hint="eastAsia" w:ascii="仿宋" w:hAnsi="仿宋" w:eastAsia="仿宋" w:cs="仿宋"/>
          <w:color w:val="auto"/>
          <w:sz w:val="24"/>
          <w:highlight w:val="none"/>
        </w:rPr>
        <w:t>一、</w:t>
      </w:r>
      <w:r>
        <w:rPr>
          <w:rFonts w:hint="eastAsia" w:ascii="仿宋" w:hAnsi="仿宋" w:eastAsia="仿宋" w:cs="仿宋"/>
          <w:b/>
          <w:color w:val="auto"/>
          <w:sz w:val="24"/>
          <w:highlight w:val="none"/>
        </w:rPr>
        <w:t>采购项目名称：</w:t>
      </w:r>
      <w:r>
        <w:rPr>
          <w:rFonts w:hint="eastAsia" w:ascii="仿宋" w:hAnsi="仿宋" w:eastAsia="仿宋" w:cs="仿宋"/>
          <w:color w:val="auto"/>
          <w:sz w:val="24"/>
          <w:highlight w:val="none"/>
        </w:rPr>
        <w:t>国家税务总局贺州市税务局附属用房维修项目工程采购</w:t>
      </w:r>
    </w:p>
    <w:p>
      <w:pPr>
        <w:snapToGrid w:val="0"/>
        <w:spacing w:line="360" w:lineRule="exact"/>
        <w:ind w:firstLine="482" w:firstLineChars="200"/>
        <w:rPr>
          <w:rFonts w:ascii="仿宋" w:hAnsi="仿宋" w:eastAsia="仿宋" w:cs="仿宋"/>
          <w:bCs/>
          <w:color w:val="auto"/>
          <w:sz w:val="24"/>
          <w:highlight w:val="none"/>
        </w:rPr>
      </w:pPr>
      <w:r>
        <w:rPr>
          <w:rFonts w:hint="eastAsia" w:ascii="仿宋" w:hAnsi="仿宋" w:eastAsia="仿宋" w:cs="仿宋"/>
          <w:b/>
          <w:bCs/>
          <w:color w:val="auto"/>
          <w:sz w:val="24"/>
          <w:highlight w:val="none"/>
        </w:rPr>
        <w:t>二、采购项目编号：</w:t>
      </w:r>
      <w:r>
        <w:rPr>
          <w:rFonts w:hint="eastAsia" w:ascii="仿宋" w:hAnsi="仿宋" w:eastAsia="仿宋" w:cs="仿宋"/>
          <w:bCs/>
          <w:color w:val="auto"/>
          <w:sz w:val="24"/>
          <w:highlight w:val="none"/>
        </w:rPr>
        <w:t>GS2020-Z2-C071</w:t>
      </w:r>
    </w:p>
    <w:p>
      <w:pPr>
        <w:snapToGrid w:val="0"/>
        <w:spacing w:line="3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三、</w:t>
      </w:r>
      <w:r>
        <w:rPr>
          <w:rFonts w:hint="eastAsia" w:ascii="仿宋" w:hAnsi="仿宋" w:eastAsia="仿宋" w:cs="仿宋"/>
          <w:b/>
          <w:color w:val="auto"/>
          <w:sz w:val="24"/>
          <w:highlight w:val="none"/>
        </w:rPr>
        <w:t>采购项目的名称、数量、简要规格描述或项目基本概况介绍：</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内容：国家税务总局贺州市税务局附属用房维修项目工程采购一项，主要维修内容包括拆除旧屋面防水层、外墙真石漆、外墙窗、天花吊顶、内墙腻子、旧水电，新作屋面防水层、外墙真石漆、外墙窗、天花吊顶、内墙腻子、强电弱电、给水排水以及清洗外墙花岗岩等，附《附属用房维修项目工程主要工程内容一览表》，具体详见图纸及工程量清单。</w:t>
      </w:r>
    </w:p>
    <w:p>
      <w:pPr>
        <w:snapToGrid w:val="0"/>
        <w:spacing w:line="3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要求工期：180日历天。</w:t>
      </w:r>
    </w:p>
    <w:p>
      <w:pPr>
        <w:snapToGrid w:val="0"/>
        <w:spacing w:line="360" w:lineRule="exact"/>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四、采购预算金额（人民币）：￥1,465,039.19元</w:t>
      </w:r>
    </w:p>
    <w:p>
      <w:pPr>
        <w:snapToGrid w:val="0"/>
        <w:spacing w:line="3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五、供应商资格要求：</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1、国内注册（指按国家有关规定要求注册的），符合《中华人民共和国政府采购法》第二十二条资格条件，具备法人资格的供应商。</w:t>
      </w:r>
    </w:p>
    <w:p>
      <w:pPr>
        <w:spacing w:line="36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2、必须具备建筑装修装饰工程专业承包二级或以上资质的施工企业，并在人员、设备、资金等方面具备相应的施工能力的施工企业。</w:t>
      </w:r>
    </w:p>
    <w:p>
      <w:pPr>
        <w:spacing w:line="36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3、各磋商供应商应具有省级或以上建设行政主管部门颁发的建筑施工企业安全生产许可证。</w:t>
      </w:r>
    </w:p>
    <w:p>
      <w:pPr>
        <w:snapToGrid w:val="0"/>
        <w:spacing w:line="360" w:lineRule="exact"/>
        <w:ind w:firstLine="480" w:firstLineChars="200"/>
        <w:rPr>
          <w:rFonts w:ascii="仿宋" w:hAnsi="仿宋" w:eastAsia="仿宋" w:cs="仿宋"/>
          <w:bCs/>
          <w:color w:val="auto"/>
          <w:sz w:val="24"/>
          <w:highlight w:val="none"/>
        </w:rPr>
      </w:pPr>
      <w:r>
        <w:rPr>
          <w:rFonts w:hint="eastAsia" w:ascii="仿宋" w:hAnsi="仿宋" w:eastAsia="仿宋" w:cs="仿宋"/>
          <w:color w:val="auto"/>
          <w:sz w:val="24"/>
          <w:highlight w:val="none"/>
        </w:rPr>
        <w:t>4、本项目不接受未购买采购文件的供应</w:t>
      </w:r>
      <w:r>
        <w:rPr>
          <w:rFonts w:hint="eastAsia" w:ascii="仿宋" w:hAnsi="仿宋" w:eastAsia="仿宋" w:cs="仿宋"/>
          <w:bCs/>
          <w:color w:val="auto"/>
          <w:sz w:val="24"/>
          <w:highlight w:val="none"/>
        </w:rPr>
        <w:t>商参与磋商。</w:t>
      </w:r>
    </w:p>
    <w:p>
      <w:pPr>
        <w:snapToGrid w:val="0"/>
        <w:spacing w:line="36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5、本项目不接受未交纳磋商保证金的供应商参与磋商。</w:t>
      </w:r>
    </w:p>
    <w:p>
      <w:pPr>
        <w:snapToGrid w:val="0"/>
        <w:spacing w:line="36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6、本项目不接受联合体参与磋商。 </w:t>
      </w:r>
    </w:p>
    <w:p>
      <w:pPr>
        <w:snapToGrid w:val="0"/>
        <w:spacing w:line="3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六、竞争性响应文件的获取：</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1、发售时间：2020年</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8</w:t>
      </w:r>
      <w:r>
        <w:rPr>
          <w:rFonts w:hint="eastAsia" w:ascii="仿宋" w:hAnsi="仿宋" w:eastAsia="仿宋" w:cs="仿宋"/>
          <w:color w:val="auto"/>
          <w:sz w:val="24"/>
          <w:highlight w:val="none"/>
        </w:rPr>
        <w:t>日至2020年</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15</w:t>
      </w:r>
      <w:r>
        <w:rPr>
          <w:rFonts w:hint="eastAsia" w:ascii="仿宋" w:hAnsi="仿宋" w:eastAsia="仿宋" w:cs="仿宋"/>
          <w:color w:val="auto"/>
          <w:sz w:val="24"/>
          <w:highlight w:val="none"/>
        </w:rPr>
        <w:t>日上午8时至12时；下午15时至17时30分。（工作日，法定节假日除外）</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2、发售地点：广西国盛招标有限公司（广西南宁市青秀区朱槿路10号新加坡园星岛国际三层303）</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3、售价：</w:t>
      </w:r>
      <w:r>
        <w:rPr>
          <w:rFonts w:hint="eastAsia" w:ascii="仿宋" w:hAnsi="仿宋" w:eastAsia="仿宋" w:cs="仿宋"/>
          <w:bCs/>
          <w:color w:val="auto"/>
          <w:sz w:val="24"/>
          <w:highlight w:val="none"/>
        </w:rPr>
        <w:t>采购</w:t>
      </w:r>
      <w:r>
        <w:rPr>
          <w:rFonts w:hint="eastAsia" w:ascii="仿宋" w:hAnsi="仿宋" w:eastAsia="仿宋" w:cs="仿宋"/>
          <w:color w:val="auto"/>
          <w:sz w:val="24"/>
          <w:highlight w:val="none"/>
        </w:rPr>
        <w:t>文件工本费每套300元，售后不退。本项目不代办邮寄。</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4、获取</w:t>
      </w:r>
      <w:r>
        <w:rPr>
          <w:rFonts w:hint="eastAsia" w:ascii="仿宋" w:hAnsi="仿宋" w:eastAsia="仿宋" w:cs="仿宋"/>
          <w:bCs/>
          <w:color w:val="auto"/>
          <w:sz w:val="24"/>
          <w:highlight w:val="none"/>
        </w:rPr>
        <w:t>采购</w:t>
      </w:r>
      <w:r>
        <w:rPr>
          <w:rFonts w:hint="eastAsia" w:ascii="仿宋" w:hAnsi="仿宋" w:eastAsia="仿宋" w:cs="仿宋"/>
          <w:color w:val="auto"/>
          <w:sz w:val="24"/>
          <w:highlight w:val="none"/>
        </w:rPr>
        <w:t>文件的方式：</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现场购买：</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供应商的法定代表人或授权委托人携带以下资料的复印件在采购文件发售的时间、地点报名及购买采购文件：</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（1）磋商供应商有效的营业执照（副本）、</w:t>
      </w:r>
      <w:r>
        <w:rPr>
          <w:rFonts w:hint="eastAsia" w:ascii="仿宋" w:hAnsi="仿宋" w:eastAsia="仿宋" w:cs="仿宋"/>
          <w:color w:val="auto"/>
          <w:highlight w:val="none"/>
          <w:shd w:val="clear" w:color="auto" w:fill="auto"/>
        </w:rPr>
        <w:t>资质证书（副本）；</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 xml:space="preserve"> (2) 有效期内安全生产许可证(副本)；</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（3）磋商供应商法定代表人身份证和拟任项目经理的身份证；</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4）磋商供应商拟任项目经理的建筑工程二级注册建造师证、注册建造师的安全培训考核合格证（B证）；项目经理中级或以上相关专业职称证、四大员（安全员、施工员、质检员、材料员）的上岗证书、身份证；</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（5）磋商供应商如是由委托代理人办理报名手续的，还需提交授权委托书原件、委托代理人身份证；</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6）磋商供应商为其法定代表人、拟任项目经理、委托代理人缴纳2020年2—4月社会保险的凭证。（疫情期间，潜在磋商供应商可根据当地的社会保险基金管理中心实际查询情况提供社保证明材料，并附上相关证明材料）</w:t>
      </w:r>
    </w:p>
    <w:p>
      <w:pPr>
        <w:pStyle w:val="44"/>
        <w:shd w:val="clear" w:color="auto" w:fill="FFFFFF"/>
        <w:spacing w:before="0" w:beforeAutospacing="0" w:after="0" w:afterAutospacing="0" w:line="420" w:lineRule="atLeast"/>
        <w:ind w:firstLine="480"/>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上述资料的复印件应加盖磋商供应商的公章并按顺序装订成册，并提供原件备查，否则不予报名。</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供应商自行到广西国盛招标有限公司购买，付款方式只接受现金付款和银行转账，不接受微信付款、支付宝付款和银行卡刷卡。</w:t>
      </w:r>
    </w:p>
    <w:p>
      <w:pPr>
        <w:snapToGrid w:val="0"/>
        <w:spacing w:line="360" w:lineRule="exact"/>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七、磋商保证金（人民币）</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人民币壹万伍仟元整（￥15,000.00）（必须足额交纳）</w:t>
      </w:r>
      <w:r>
        <w:rPr>
          <w:rFonts w:hint="eastAsia" w:ascii="仿宋" w:hAnsi="仿宋" w:eastAsia="仿宋" w:cs="仿宋"/>
          <w:color w:val="auto"/>
          <w:sz w:val="24"/>
          <w:highlight w:val="none"/>
        </w:rPr>
        <w:t>。</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供应商应于截标前将磋商保证金以汇票、电汇、转账和网银等非现金形式（转账、电汇或网上汇款需注明项目编号、项目名称）交至以下账户。</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开户名称：</w:t>
      </w:r>
      <w:r>
        <w:rPr>
          <w:rFonts w:hint="eastAsia" w:ascii="仿宋" w:hAnsi="仿宋" w:eastAsia="仿宋" w:cs="仿宋"/>
          <w:color w:val="auto"/>
          <w:sz w:val="24"/>
          <w:highlight w:val="none"/>
          <w:u w:val="single"/>
        </w:rPr>
        <w:t>广西国盛招标有限公司</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 xml:space="preserve">上海浦东发展银行南宁分行营业部 </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银行账号：</w:t>
      </w:r>
      <w:r>
        <w:rPr>
          <w:rFonts w:hint="eastAsia" w:ascii="仿宋" w:hAnsi="仿宋" w:eastAsia="仿宋" w:cs="仿宋"/>
          <w:color w:val="auto"/>
          <w:sz w:val="24"/>
          <w:highlight w:val="none"/>
          <w:u w:val="single"/>
        </w:rPr>
        <w:t>63010154700016896</w:t>
      </w:r>
      <w:r>
        <w:rPr>
          <w:rFonts w:hint="eastAsia" w:ascii="仿宋" w:hAnsi="仿宋" w:eastAsia="仿宋" w:cs="仿宋"/>
          <w:color w:val="auto"/>
          <w:sz w:val="24"/>
          <w:highlight w:val="none"/>
        </w:rPr>
        <w:t>。</w:t>
      </w:r>
    </w:p>
    <w:p>
      <w:pPr>
        <w:snapToGrid w:val="0"/>
        <w:spacing w:line="360" w:lineRule="exact"/>
        <w:ind w:firstLine="482" w:firstLineChars="200"/>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八、响应文件递交截止时间和地点</w:t>
      </w:r>
      <w:r>
        <w:rPr>
          <w:rFonts w:hint="eastAsia" w:ascii="仿宋" w:hAnsi="仿宋" w:eastAsia="仿宋" w:cs="仿宋"/>
          <w:color w:val="auto"/>
          <w:sz w:val="24"/>
          <w:highlight w:val="none"/>
        </w:rPr>
        <w:t>：</w:t>
      </w:r>
    </w:p>
    <w:p>
      <w:pPr>
        <w:snapToGrid w:val="0"/>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供应商应于2020年</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18</w:t>
      </w:r>
      <w:r>
        <w:rPr>
          <w:rFonts w:hint="eastAsia" w:ascii="仿宋" w:hAnsi="仿宋" w:eastAsia="仿宋" w:cs="仿宋"/>
          <w:color w:val="auto"/>
          <w:sz w:val="24"/>
          <w:highlight w:val="none"/>
        </w:rPr>
        <w:t>日15时00分前将响应文件密封送交到广西国盛招标有限公司开标厅（广西南宁市青秀区朱槿路10号新加坡园星岛国际三层303），逾期送达将予以拒收。</w:t>
      </w:r>
    </w:p>
    <w:p>
      <w:pPr>
        <w:snapToGrid w:val="0"/>
        <w:spacing w:line="360" w:lineRule="exact"/>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九、磋商时间及地点</w:t>
      </w:r>
      <w:r>
        <w:rPr>
          <w:rFonts w:hint="eastAsia" w:ascii="仿宋" w:hAnsi="仿宋" w:eastAsia="仿宋" w:cs="仿宋"/>
          <w:color w:val="auto"/>
          <w:sz w:val="24"/>
          <w:highlight w:val="none"/>
        </w:rPr>
        <w:t>：</w:t>
      </w:r>
    </w:p>
    <w:p>
      <w:pPr>
        <w:snapToGrid w:val="0"/>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2020年</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18</w:t>
      </w:r>
      <w:r>
        <w:rPr>
          <w:rFonts w:hint="eastAsia" w:ascii="仿宋" w:hAnsi="仿宋" w:eastAsia="仿宋" w:cs="仿宋"/>
          <w:color w:val="auto"/>
          <w:sz w:val="24"/>
          <w:highlight w:val="none"/>
        </w:rPr>
        <w:t>日15时00分响应文件递交截止后为与供应商磋商时间，具体时间由采购代理机构另行通知。地点：广西国盛招标有限公司会议室（广西南宁市青秀区朱槿路10号新加坡园星岛国际三层303），参加磋商的法定代表人或委托代理人必须持有效证件（法定代表人凭身份证原件或委托代理人凭法人授权委托书原件和身份证复印件及原件）依时到达指定地点等候当面磋商。</w:t>
      </w:r>
    </w:p>
    <w:p>
      <w:pPr>
        <w:snapToGrid w:val="0"/>
        <w:spacing w:line="360" w:lineRule="exact"/>
        <w:ind w:firstLine="420"/>
        <w:rPr>
          <w:rFonts w:ascii="仿宋" w:hAnsi="仿宋" w:eastAsia="仿宋" w:cs="仿宋"/>
          <w:b/>
          <w:color w:val="auto"/>
          <w:sz w:val="24"/>
          <w:highlight w:val="none"/>
        </w:rPr>
      </w:pPr>
      <w:r>
        <w:rPr>
          <w:rFonts w:hint="eastAsia" w:ascii="仿宋" w:hAnsi="仿宋" w:eastAsia="仿宋" w:cs="仿宋"/>
          <w:b/>
          <w:color w:val="auto"/>
          <w:sz w:val="24"/>
          <w:highlight w:val="none"/>
        </w:rPr>
        <w:t>十、业务咨询：</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1、采购人名称：国家税务总局贺州市税务局</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地址：</w:t>
      </w:r>
      <w:bookmarkStart w:id="7" w:name="OLE_LINK7"/>
      <w:bookmarkEnd w:id="7"/>
      <w:bookmarkStart w:id="8" w:name="OLE_LINK6"/>
      <w:bookmarkEnd w:id="8"/>
      <w:r>
        <w:rPr>
          <w:rFonts w:hint="eastAsia" w:ascii="仿宋" w:hAnsi="仿宋" w:eastAsia="仿宋" w:cs="仿宋"/>
          <w:color w:val="auto"/>
          <w:sz w:val="24"/>
          <w:highlight w:val="none"/>
        </w:rPr>
        <w:t>贺州市八步区星光路30号   </w:t>
      </w:r>
    </w:p>
    <w:p>
      <w:pPr>
        <w:snapToGrid w:val="0"/>
        <w:spacing w:line="360" w:lineRule="exact"/>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联系人及电话：梁工0774-5139300，陈工0774-5136176           </w:t>
      </w:r>
    </w:p>
    <w:p>
      <w:pPr>
        <w:snapToGrid w:val="0"/>
        <w:spacing w:line="360" w:lineRule="exact"/>
        <w:ind w:left="238"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2、采购代理机构名称：广西国盛招标有限公司</w:t>
      </w:r>
    </w:p>
    <w:p>
      <w:pPr>
        <w:snapToGrid w:val="0"/>
        <w:spacing w:line="360" w:lineRule="exact"/>
        <w:ind w:left="238"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地址：广西南宁市青秀区朱槿路10号新加坡园星岛国际三层303</w:t>
      </w:r>
    </w:p>
    <w:p>
      <w:pPr>
        <w:snapToGrid w:val="0"/>
        <w:spacing w:line="360" w:lineRule="exact"/>
        <w:ind w:left="238"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项目联系人：</w:t>
      </w:r>
      <w:bookmarkStart w:id="9" w:name="OLE_LINK3"/>
      <w:bookmarkEnd w:id="9"/>
      <w:bookmarkStart w:id="10" w:name="OLE_LINK2"/>
      <w:bookmarkEnd w:id="10"/>
      <w:r>
        <w:rPr>
          <w:rFonts w:hint="eastAsia" w:ascii="仿宋" w:hAnsi="仿宋" w:eastAsia="仿宋" w:cs="仿宋"/>
          <w:color w:val="auto"/>
          <w:sz w:val="24"/>
          <w:highlight w:val="none"/>
        </w:rPr>
        <w:t>孔工，联系电话：0771-5828115  传真：0771-5828117</w:t>
      </w:r>
    </w:p>
    <w:p>
      <w:pPr>
        <w:snapToGrid w:val="0"/>
        <w:spacing w:line="360" w:lineRule="exact"/>
        <w:ind w:left="238"/>
        <w:jc w:val="left"/>
        <w:rPr>
          <w:rFonts w:ascii="仿宋" w:hAnsi="仿宋" w:eastAsia="仿宋" w:cs="仿宋"/>
          <w:color w:val="auto"/>
          <w:sz w:val="24"/>
          <w:highlight w:val="none"/>
        </w:rPr>
      </w:pPr>
    </w:p>
    <w:p>
      <w:pPr>
        <w:snapToGrid w:val="0"/>
        <w:spacing w:line="360" w:lineRule="exact"/>
        <w:ind w:left="238"/>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广西国盛招标有限公司</w:t>
      </w:r>
    </w:p>
    <w:p>
      <w:pPr>
        <w:snapToGrid w:val="0"/>
        <w:spacing w:line="370" w:lineRule="exact"/>
        <w:ind w:left="238"/>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2020年</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8</w:t>
      </w:r>
      <w:r>
        <w:rPr>
          <w:rFonts w:hint="eastAsia" w:ascii="仿宋" w:hAnsi="仿宋" w:eastAsia="仿宋" w:cs="仿宋"/>
          <w:color w:val="auto"/>
          <w:sz w:val="24"/>
          <w:highlight w:val="none"/>
        </w:rPr>
        <w:t>日</w:t>
      </w:r>
    </w:p>
    <w:p>
      <w:pPr>
        <w:spacing w:line="400" w:lineRule="exact"/>
        <w:ind w:firstLine="420" w:firstLineChars="200"/>
        <w:jc w:val="center"/>
        <w:outlineLvl w:val="0"/>
        <w:rPr>
          <w:rFonts w:ascii="仿宋" w:hAnsi="仿宋" w:eastAsia="仿宋" w:cs="仿宋"/>
          <w:b/>
          <w:color w:val="auto"/>
          <w:sz w:val="32"/>
          <w:szCs w:val="32"/>
          <w:highlight w:val="none"/>
        </w:rPr>
      </w:pPr>
      <w:r>
        <w:rPr>
          <w:rFonts w:hint="eastAsia" w:ascii="仿宋" w:hAnsi="仿宋" w:eastAsia="仿宋" w:cs="仿宋"/>
          <w:color w:val="auto"/>
          <w:szCs w:val="28"/>
          <w:highlight w:val="none"/>
        </w:rPr>
        <w:br w:type="page"/>
      </w:r>
      <w:bookmarkStart w:id="11" w:name="_Toc9277"/>
      <w:bookmarkStart w:id="12" w:name="_Toc9947"/>
      <w:bookmarkStart w:id="13" w:name="_Toc5148"/>
      <w:r>
        <w:rPr>
          <w:rFonts w:hint="eastAsia" w:ascii="仿宋" w:hAnsi="仿宋" w:eastAsia="仿宋" w:cs="仿宋"/>
          <w:b/>
          <w:color w:val="auto"/>
          <w:sz w:val="32"/>
          <w:szCs w:val="32"/>
          <w:highlight w:val="none"/>
        </w:rPr>
        <w:t>第二章</w:t>
      </w:r>
      <w:bookmarkEnd w:id="5"/>
      <w:bookmarkEnd w:id="6"/>
      <w:bookmarkStart w:id="14" w:name="_Toc254970689"/>
      <w:bookmarkStart w:id="15" w:name="_Toc254970548"/>
      <w:r>
        <w:rPr>
          <w:rFonts w:hint="eastAsia" w:ascii="仿宋" w:hAnsi="仿宋" w:eastAsia="仿宋" w:cs="仿宋"/>
          <w:b/>
          <w:color w:val="auto"/>
          <w:sz w:val="32"/>
          <w:szCs w:val="32"/>
          <w:highlight w:val="none"/>
        </w:rPr>
        <w:t xml:space="preserve">  供应商须知</w:t>
      </w:r>
      <w:bookmarkEnd w:id="11"/>
      <w:bookmarkEnd w:id="12"/>
      <w:bookmarkEnd w:id="13"/>
      <w:bookmarkStart w:id="16" w:name="_Toc254970667"/>
      <w:bookmarkStart w:id="17" w:name="_Toc254970526"/>
    </w:p>
    <w:p>
      <w:pPr>
        <w:snapToGrid w:val="0"/>
        <w:spacing w:line="400" w:lineRule="exact"/>
        <w:ind w:left="238"/>
        <w:jc w:val="center"/>
        <w:outlineLvl w:val="1"/>
        <w:rPr>
          <w:rFonts w:ascii="仿宋" w:hAnsi="仿宋" w:eastAsia="仿宋" w:cs="仿宋"/>
          <w:b/>
          <w:color w:val="auto"/>
          <w:sz w:val="24"/>
          <w:highlight w:val="none"/>
        </w:rPr>
      </w:pPr>
      <w:bookmarkStart w:id="18" w:name="_Toc293863035"/>
      <w:bookmarkStart w:id="19" w:name="_Toc25581"/>
      <w:bookmarkStart w:id="20" w:name="_Toc326217529"/>
      <w:bookmarkStart w:id="21" w:name="_Toc25868"/>
      <w:bookmarkStart w:id="22" w:name="_Toc12890"/>
      <w:bookmarkStart w:id="23" w:name="_Toc14299"/>
      <w:bookmarkStart w:id="24" w:name="_Toc293863302"/>
      <w:bookmarkStart w:id="25" w:name="_Toc301424910"/>
      <w:bookmarkStart w:id="26" w:name="_Toc23654"/>
      <w:r>
        <w:rPr>
          <w:rFonts w:hint="eastAsia" w:ascii="仿宋" w:hAnsi="仿宋" w:eastAsia="仿宋" w:cs="仿宋"/>
          <w:b/>
          <w:color w:val="auto"/>
          <w:sz w:val="24"/>
          <w:highlight w:val="none"/>
        </w:rPr>
        <w:t>前  附  表</w:t>
      </w:r>
      <w:bookmarkEnd w:id="16"/>
      <w:bookmarkEnd w:id="17"/>
      <w:bookmarkEnd w:id="18"/>
      <w:bookmarkEnd w:id="19"/>
      <w:bookmarkEnd w:id="20"/>
      <w:bookmarkEnd w:id="21"/>
      <w:bookmarkEnd w:id="22"/>
      <w:bookmarkEnd w:id="23"/>
      <w:bookmarkEnd w:id="24"/>
      <w:bookmarkEnd w:id="25"/>
      <w:bookmarkEnd w:id="26"/>
    </w:p>
    <w:tbl>
      <w:tblPr>
        <w:tblStyle w:val="60"/>
        <w:tblW w:w="959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7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项目名称：国家税务总局贺州市税务局附属用房维修项目工程采购</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项目编号：GS2020-Z2-C071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工程名称：国家税务总局贺州市税务局附属用房维修项目工程采购</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建设地点：广西贺州市八步区星光路30号</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要求工期：180日历天。</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工程质量要求：合格</w:t>
            </w:r>
          </w:p>
          <w:p>
            <w:pPr>
              <w:snapToGrid w:val="0"/>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采购内容：国家税务总局贺州市税务局附属用房维修项目工程采购一项，主要维修内容包括拆除旧屋面防水层、外墙真石漆、外墙窗、天花吊顶、内墙腻子、旧水电，新作屋面防水层、外墙真石漆、外墙窗、天花吊顶、内墙腻子、强电弱电、给水排水以及清洗外墙花岗岩等，附《附属用房维修项目工程主要工程内容一览表》，具体详见图纸及工程量清单。</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磋商报价计算依据：</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(1)、国家有关建设和造价管理的法律、法规、和政策；</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(2)、根据国家税务总局贺州市税务局附属用房维修项目工程采购施工图、工程量清单，结合市场情况进行报价。</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(3)、本项目为一次性报价。</w:t>
            </w:r>
          </w:p>
          <w:p>
            <w:pPr>
              <w:snapToGrid w:val="0"/>
              <w:spacing w:line="400" w:lineRule="exact"/>
              <w:rPr>
                <w:color w:val="auto"/>
                <w:highlight w:val="none"/>
              </w:rPr>
            </w:pPr>
            <w:r>
              <w:rPr>
                <w:rFonts w:hint="eastAsia" w:ascii="仿宋" w:hAnsi="仿宋" w:eastAsia="仿宋" w:cs="仿宋"/>
                <w:color w:val="auto"/>
                <w:sz w:val="24"/>
                <w:highlight w:val="none"/>
              </w:rPr>
              <w:t>(4)、本项目报价采用工程量清单方式报价。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供应商资格要求：</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1、国内注册（指按国家有关规定要求注册的），符合《中华人民共和国政府采购法》第二十二条资格条件，具备法人资格的供应商。</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2、必须具备建筑装修装饰工程专业承包二级或以上资质的施工企业，并在人员、设备、资金等方面具备相应的施工能力的施工企业。</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3、各磋商供应商应具有省级或以上建设行政主管部门颁发的建筑施工企业安全生产许可证。</w:t>
            </w:r>
          </w:p>
          <w:p>
            <w:pPr>
              <w:snapToGrid w:val="0"/>
              <w:spacing w:line="36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4、本项目不接受未购买采购文件的供应商参与磋商。</w:t>
            </w:r>
          </w:p>
          <w:p>
            <w:pPr>
              <w:snapToGrid w:val="0"/>
              <w:spacing w:line="36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5、本项目不接受未交纳磋商保证金的供应商参与磋商。</w:t>
            </w:r>
          </w:p>
          <w:p>
            <w:pPr>
              <w:snapToGrid w:val="0"/>
              <w:spacing w:line="36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6、本项目不接受联合体参与磋商。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价格合同：采用固定总价合同，合同价款中包括的风险范围： 除工程变更和政策性调整以外的其他风险。工程总价包干不能因市场价格调整发生变化。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磋商报价及费用：1、本项目磋商报价应以人民币进行报价；2、不论磋商结果如何，供应商均应自行承担所有与磋商有关的全部费用；3、招标代理服务费按国家发展计划委员会文件计价格【2002】1980号《招标代理服务收费管理暂行办法》标准计取，由成交人在领取成交通知书时，一次性向招标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磋商保证金：</w:t>
            </w:r>
            <w:r>
              <w:rPr>
                <w:rFonts w:hint="eastAsia" w:ascii="仿宋" w:hAnsi="仿宋" w:eastAsia="仿宋" w:cs="仿宋"/>
                <w:b/>
                <w:color w:val="auto"/>
                <w:sz w:val="24"/>
                <w:highlight w:val="none"/>
              </w:rPr>
              <w:t>人民币壹万伍仟元整（￥15,000.00）（必须足额交纳）</w:t>
            </w:r>
            <w:r>
              <w:rPr>
                <w:rFonts w:hint="eastAsia" w:ascii="仿宋" w:hAnsi="仿宋" w:eastAsia="仿宋" w:cs="仿宋"/>
                <w:color w:val="auto"/>
                <w:sz w:val="24"/>
                <w:highlight w:val="none"/>
              </w:rPr>
              <w:t>。</w:t>
            </w:r>
          </w:p>
          <w:p>
            <w:pPr>
              <w:tabs>
                <w:tab w:val="left" w:pos="2415"/>
              </w:tabs>
              <w:snapToGrid w:val="0"/>
              <w:spacing w:line="39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应于截标前将磋商保证金以汇票、电汇、转账和网银等非现金形式（转账、电汇或网上汇款需注明项目编号、项目名称）交至广西国盛招标有限公司。磋商时，响应文件中必须提供磋商保证金交纳凭证。本次磋商保证金不收现金及现金支票，不接受现金缴存银行和个人转账。</w:t>
            </w:r>
          </w:p>
          <w:p>
            <w:pPr>
              <w:snapToGrid w:val="0"/>
              <w:spacing w:line="39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开户名称：广西国盛招标有限公司</w:t>
            </w:r>
          </w:p>
          <w:p>
            <w:pPr>
              <w:snapToGrid w:val="0"/>
              <w:spacing w:line="39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开户银行：上海浦东发展银行南宁分行营业部 </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银行账号：63010154700016896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现场踏勘：由供应商自行踏勘。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答疑与澄清：供应商如认为采购文件表述不清晰、存在歧视性、排他性或者其他违法内容的，应当于磋商截止日期5天前，以书面形式要求招标采购单位作出书面解释、澄清或者向招标采购单位提出书面质疑；答疑内容是采购文件的组成部份，并将以书面形式送达所有已报名的供应商；招标采购单位可以视采购具体情况，延长递交响应文件截止时间和磋商时间，但至少应当在采购文件要求提交响应文件的截止时间五日前，将变更时间书面通知所有采购文件的收受人，并在中国采购与招标网（http://www.chinabidding.com.cn）、中国政府采购网(www.ccgp.gov.cn)、广西国盛招标有限公司网（www.gxgszb.com）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响应文件组成：资信/商务、技术、报价文件正本各</w:t>
            </w:r>
            <w:r>
              <w:rPr>
                <w:rFonts w:hint="eastAsia" w:ascii="仿宋" w:hAnsi="仿宋" w:eastAsia="仿宋" w:cs="仿宋"/>
                <w:color w:val="auto"/>
                <w:sz w:val="24"/>
                <w:highlight w:val="none"/>
                <w:u w:val="single"/>
              </w:rPr>
              <w:t xml:space="preserve"> 1 </w:t>
            </w:r>
            <w:r>
              <w:rPr>
                <w:rFonts w:hint="eastAsia" w:ascii="仿宋" w:hAnsi="仿宋" w:eastAsia="仿宋" w:cs="仿宋"/>
                <w:color w:val="auto"/>
                <w:sz w:val="24"/>
                <w:highlight w:val="none"/>
              </w:rPr>
              <w:t>份；副本各</w:t>
            </w:r>
            <w:r>
              <w:rPr>
                <w:rFonts w:hint="eastAsia" w:ascii="仿宋" w:hAnsi="仿宋" w:eastAsia="仿宋" w:cs="仿宋"/>
                <w:color w:val="auto"/>
                <w:sz w:val="24"/>
                <w:highlight w:val="none"/>
                <w:u w:val="single"/>
              </w:rPr>
              <w:t xml:space="preserve"> 3 </w:t>
            </w:r>
            <w:r>
              <w:rPr>
                <w:rFonts w:hint="eastAsia" w:ascii="仿宋" w:hAnsi="仿宋" w:eastAsia="仿宋" w:cs="仿宋"/>
                <w:color w:val="auto"/>
                <w:sz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响应文件电子版。供应商在递交响应文件时，应同时递交响应文件电子版。</w:t>
            </w:r>
          </w:p>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1、响应文件电子版内容：资信/商务、技术、报价文件。</w:t>
            </w:r>
          </w:p>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2、响应文件电子版份数：1份。</w:t>
            </w:r>
          </w:p>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3、响应文件电子版形式：可编辑的WORD文档格式。</w:t>
            </w:r>
          </w:p>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4、响应文件电子版密封方式：响应文件电子版以光盘装载与纸质版响应文件一并装入密封袋中。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递交响应文件地点：广西国盛招标有限公司开标厅（广西南宁市青秀区朱槿路10号新加坡园星岛国际三层303）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磋商地点：广西国盛招标有限公司会议室（广西南宁市青秀区朱槿路10号新加坡园星岛国际三层303）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评审办法及评分标准：综合评分法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公告发布媒体：中国采购与招标网（http://www.chinabidding.com.cn）、中国政府采购网(www.ccgp.gov.cn)、广西国盛招标有限公司网（www.gxgszb.com）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磋商保证金退还（不计息）：除采购文件规定不予退还保证金的情形外，未成交人的磋商保证金在成交通知书发出后五个工作日内，成交人的磋商保证金在合同签订后五个工作日内，采购代理机构以电汇或转账方式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签订合同时间：成交通知书发出后三十日内。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招标控制价：（大写）人民币壹佰肆拾陆万伍仟零叁拾玖元壹角玖分（￥1,465,039.19元）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Cs/>
                <w:color w:val="auto"/>
                <w:sz w:val="24"/>
                <w:highlight w:val="none"/>
              </w:rPr>
            </w:pPr>
            <w:r>
              <w:rPr>
                <w:rFonts w:hint="eastAsia" w:ascii="仿宋" w:hAnsi="仿宋" w:eastAsia="仿宋" w:cs="仿宋"/>
                <w:color w:val="auto"/>
                <w:kern w:val="0"/>
                <w:sz w:val="24"/>
                <w:highlight w:val="none"/>
              </w:rPr>
              <w:t>履约保证金：</w:t>
            </w:r>
            <w:r>
              <w:rPr>
                <w:rFonts w:hint="eastAsia" w:ascii="仿宋" w:hAnsi="仿宋" w:eastAsia="仿宋" w:cs="仿宋"/>
                <w:bCs/>
                <w:color w:val="auto"/>
                <w:sz w:val="24"/>
                <w:highlight w:val="none"/>
              </w:rPr>
              <w:t>合同金额的3%，成交人在收到成交通知书后，须在10日内向采购人足额提交履约保证金。工程竣工验收合格后，履约保证金转为工程质量保修金。</w:t>
            </w:r>
          </w:p>
          <w:p>
            <w:pPr>
              <w:snapToGrid w:val="0"/>
              <w:spacing w:line="40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履约保证金缴纳账户：</w:t>
            </w:r>
          </w:p>
          <w:p>
            <w:pPr>
              <w:snapToGrid w:val="0"/>
              <w:spacing w:line="39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开户名称：</w:t>
            </w:r>
            <w:r>
              <w:rPr>
                <w:rFonts w:hint="eastAsia" w:ascii="仿宋" w:hAnsi="仿宋" w:eastAsia="仿宋" w:cs="仿宋"/>
                <w:color w:val="auto"/>
                <w:sz w:val="24"/>
                <w:highlight w:val="none"/>
                <w:lang w:eastAsia="zh-CN"/>
              </w:rPr>
              <w:t>国家税务总局贺州市税务局</w:t>
            </w:r>
          </w:p>
          <w:p>
            <w:pPr>
              <w:snapToGrid w:val="0"/>
              <w:spacing w:line="39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开户银行：中国工商银行股份有限公司贺州市西约支行</w:t>
            </w:r>
            <w:r>
              <w:rPr>
                <w:rFonts w:hint="eastAsia" w:ascii="仿宋" w:hAnsi="仿宋" w:eastAsia="仿宋" w:cs="仿宋"/>
                <w:color w:val="auto"/>
                <w:sz w:val="24"/>
                <w:highlight w:val="none"/>
                <w:lang w:val="en-US" w:eastAsia="zh-CN"/>
              </w:rPr>
              <w:t xml:space="preserve"> </w:t>
            </w:r>
          </w:p>
          <w:p>
            <w:pPr>
              <w:snapToGrid w:val="0"/>
              <w:spacing w:line="40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银行账号：2104380109264000068</w:t>
            </w:r>
            <w:r>
              <w:rPr>
                <w:rFonts w:hint="eastAsia" w:ascii="仿宋" w:hAnsi="仿宋" w:eastAsia="仿宋" w:cs="仿宋"/>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872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付款方式：</w:t>
            </w:r>
          </w:p>
          <w:p>
            <w:pPr>
              <w:autoSpaceDE w:val="0"/>
              <w:autoSpaceDN w:val="0"/>
              <w:snapToGrid w:val="0"/>
              <w:spacing w:line="400" w:lineRule="exact"/>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1、工程预付款：合同内工程款金额的30%。</w:t>
            </w:r>
          </w:p>
          <w:p>
            <w:pPr>
              <w:autoSpaceDE w:val="0"/>
              <w:autoSpaceDN w:val="0"/>
              <w:snapToGrid w:val="0"/>
              <w:spacing w:line="400" w:lineRule="exact"/>
              <w:textAlignment w:val="bottom"/>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2、工程进度款支付：关于付款周期的约定：工程款原则上按月</w:t>
            </w:r>
            <w:r>
              <w:rPr>
                <w:rFonts w:hint="eastAsia" w:ascii="仿宋" w:hAnsi="仿宋" w:eastAsia="仿宋" w:cs="仿宋"/>
                <w:color w:val="auto"/>
                <w:kern w:val="0"/>
                <w:sz w:val="24"/>
                <w:highlight w:val="none"/>
                <w:lang w:eastAsia="zh-CN"/>
              </w:rPr>
              <w:t>按进度</w:t>
            </w:r>
            <w:r>
              <w:rPr>
                <w:rFonts w:hint="eastAsia" w:ascii="仿宋" w:hAnsi="仿宋" w:eastAsia="仿宋" w:cs="仿宋"/>
                <w:color w:val="auto"/>
                <w:kern w:val="0"/>
                <w:sz w:val="24"/>
                <w:highlight w:val="none"/>
              </w:rPr>
              <w:t>支付，</w:t>
            </w:r>
            <w:r>
              <w:rPr>
                <w:rFonts w:hint="eastAsia" w:ascii="仿宋" w:hAnsi="仿宋" w:eastAsia="仿宋" w:cs="仿宋"/>
                <w:color w:val="auto"/>
                <w:kern w:val="0"/>
                <w:sz w:val="24"/>
                <w:highlight w:val="none"/>
                <w:lang w:eastAsia="zh-CN"/>
              </w:rPr>
              <w:t>每月支付时抵减前期预付款，承包方按约定时间提交经双方确认的工程进度表等相关资料，</w:t>
            </w:r>
            <w:r>
              <w:rPr>
                <w:rFonts w:hint="eastAsia" w:ascii="仿宋" w:hAnsi="仿宋" w:eastAsia="仿宋" w:cs="仿宋"/>
                <w:color w:val="auto"/>
                <w:kern w:val="0"/>
                <w:sz w:val="24"/>
                <w:highlight w:val="none"/>
              </w:rPr>
              <w:t>合同内进度款支付限额为已完成工程量的88%，工程完工验收达到质量要求并结算经发包人组织审定后，</w:t>
            </w:r>
            <w:r>
              <w:rPr>
                <w:rFonts w:hint="eastAsia" w:ascii="仿宋" w:hAnsi="仿宋" w:eastAsia="仿宋" w:cs="仿宋"/>
                <w:color w:val="auto"/>
                <w:kern w:val="0"/>
                <w:sz w:val="24"/>
                <w:highlight w:val="none"/>
                <w:lang w:eastAsia="zh-CN"/>
              </w:rPr>
              <w:t>发包人支付工程款至结算总价的</w:t>
            </w:r>
            <w:r>
              <w:rPr>
                <w:rFonts w:hint="eastAsia" w:ascii="仿宋" w:hAnsi="仿宋" w:eastAsia="仿宋" w:cs="仿宋"/>
                <w:color w:val="auto"/>
                <w:kern w:val="0"/>
                <w:sz w:val="24"/>
                <w:highlight w:val="none"/>
                <w:lang w:val="en-US" w:eastAsia="zh-CN"/>
              </w:rPr>
              <w:t>100%</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发包方向承包方支付工程款时，承包方须提供等额的建筑业统一工程正式发票作为付款的依据。工程质量保修期满后，发包人根据承包人的工程质量保修金申请书</w:t>
            </w:r>
            <w:r>
              <w:rPr>
                <w:rFonts w:hint="eastAsia" w:ascii="仿宋" w:hAnsi="仿宋" w:eastAsia="仿宋" w:cs="仿宋"/>
                <w:color w:val="auto"/>
                <w:kern w:val="0"/>
                <w:sz w:val="24"/>
                <w:highlight w:val="none"/>
                <w:lang w:eastAsia="zh-CN"/>
              </w:rPr>
              <w:t>经相关管理人员检验确认后，</w:t>
            </w:r>
            <w:r>
              <w:rPr>
                <w:rFonts w:hint="eastAsia" w:ascii="仿宋" w:hAnsi="仿宋" w:eastAsia="仿宋" w:cs="仿宋"/>
                <w:color w:val="auto"/>
                <w:kern w:val="0"/>
                <w:sz w:val="24"/>
                <w:highlight w:val="none"/>
              </w:rPr>
              <w:t>十个工作日内返还工程质量保修金。工程质量保修金不计利息。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18</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响应文件有效期：</w:t>
            </w:r>
            <w:r>
              <w:rPr>
                <w:rFonts w:hint="eastAsia" w:ascii="仿宋" w:hAnsi="仿宋" w:eastAsia="仿宋" w:cs="仿宋"/>
                <w:color w:val="auto"/>
                <w:kern w:val="0"/>
                <w:sz w:val="24"/>
                <w:highlight w:val="none"/>
              </w:rPr>
              <w:t>磋商截止之后</w:t>
            </w:r>
            <w:r>
              <w:rPr>
                <w:rFonts w:hint="eastAsia" w:ascii="仿宋" w:hAnsi="仿宋" w:eastAsia="仿宋" w:cs="仿宋"/>
                <w:color w:val="auto"/>
                <w:kern w:val="0"/>
                <w:sz w:val="24"/>
                <w:highlight w:val="none"/>
                <w:u w:val="single"/>
              </w:rPr>
              <w:t xml:space="preserve">90 </w:t>
            </w:r>
            <w:r>
              <w:rPr>
                <w:rFonts w:hint="eastAsia" w:ascii="仿宋" w:hAnsi="仿宋" w:eastAsia="仿宋" w:cs="仿宋"/>
                <w:color w:val="auto"/>
                <w:kern w:val="0"/>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19</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解释：本采购文件的解释权属于招标采购单位。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本采购文件中描述供应商的“公章”是指根据我国对公章的管理规定，用供应商法定主体行为名称制作的印章，除本采购文件有特殊规定外，供应商的财务章、部门章、分公司章、工会章、合同章、磋商专用章、业务专用章等其它形式印章均不能代替公章。</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2、本采购文件中描述供应商的“签字”是指供应商的法定代表人或被授权人亲自在采购文件规定签署处亲笔写上个人的名字的行为，私章、签字章、印鉴、影印等其它形式均不能代替亲笔签字。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21</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shd w:val="clear" w:color="FFFFFF" w:fill="D9D9D9"/>
              </w:rPr>
              <w:t>类似业绩</w:t>
            </w:r>
            <w:r>
              <w:rPr>
                <w:rFonts w:hint="eastAsia" w:ascii="仿宋" w:hAnsi="仿宋" w:eastAsia="仿宋" w:cs="仿宋"/>
                <w:color w:val="auto"/>
                <w:sz w:val="24"/>
                <w:highlight w:val="none"/>
              </w:rPr>
              <w:t>是指：指2017年1月1日至磋商截止日完成过质量合格的且</w:t>
            </w:r>
            <w:r>
              <w:rPr>
                <w:rFonts w:hint="eastAsia" w:ascii="仿宋" w:hAnsi="仿宋" w:eastAsia="仿宋" w:cs="仿宋"/>
                <w:color w:val="auto"/>
                <w:sz w:val="24"/>
                <w:highlight w:val="none"/>
                <w:shd w:val="clear" w:color="FFFFFF" w:fill="D9D9D9"/>
              </w:rPr>
              <w:t>总建筑面积2000㎡以上（含2000㎡）</w:t>
            </w:r>
            <w:r>
              <w:rPr>
                <w:rFonts w:hint="eastAsia" w:ascii="仿宋" w:hAnsi="仿宋" w:eastAsia="仿宋" w:cs="仿宋"/>
                <w:color w:val="auto"/>
                <w:sz w:val="24"/>
                <w:highlight w:val="none"/>
              </w:rPr>
              <w:t>的装修工程（在建工程附中标（成交）通知书或合同协议书复印件；已完成工程附中标（成交）通知书或合同协议书或工程竣工验收证明材料复印件）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22</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项目安全生产的达标目标及相应事项的约定：约定杜绝伤亡事故，发生事故次数控制在0次以内；</w:t>
            </w:r>
            <w:r>
              <w:rPr>
                <w:rFonts w:ascii="仿宋" w:hAnsi="仿宋" w:eastAsia="仿宋" w:cs="仿宋"/>
                <w:color w:val="auto"/>
                <w:sz w:val="24"/>
                <w:highlight w:val="none"/>
              </w:rPr>
              <w:t>除执行通用条款的相关规定外，承包人必须</w:t>
            </w:r>
            <w:r>
              <w:rPr>
                <w:rFonts w:hint="eastAsia" w:ascii="仿宋" w:hAnsi="仿宋" w:eastAsia="仿宋" w:cs="仿宋"/>
                <w:color w:val="auto"/>
                <w:sz w:val="24"/>
                <w:highlight w:val="none"/>
              </w:rPr>
              <w:t>严格按《建设工程安全生产管理条例》、广西壮族自治区</w:t>
            </w:r>
            <w:r>
              <w:rPr>
                <w:rFonts w:ascii="仿宋" w:hAnsi="仿宋" w:eastAsia="仿宋" w:cs="仿宋"/>
                <w:color w:val="auto"/>
                <w:sz w:val="24"/>
                <w:highlight w:val="none"/>
              </w:rPr>
              <w:t>、</w:t>
            </w:r>
            <w:r>
              <w:rPr>
                <w:rFonts w:hint="eastAsia" w:ascii="仿宋" w:hAnsi="仿宋" w:eastAsia="仿宋" w:cs="仿宋"/>
                <w:color w:val="auto"/>
                <w:sz w:val="24"/>
                <w:highlight w:val="none"/>
              </w:rPr>
              <w:t>贺州</w:t>
            </w:r>
            <w:r>
              <w:rPr>
                <w:rFonts w:ascii="仿宋" w:hAnsi="仿宋" w:eastAsia="仿宋" w:cs="仿宋"/>
                <w:color w:val="auto"/>
                <w:sz w:val="24"/>
                <w:highlight w:val="none"/>
              </w:rPr>
              <w:t>市相关文件规定的标准实行</w:t>
            </w:r>
            <w:r>
              <w:rPr>
                <w:rFonts w:hint="eastAsia" w:ascii="仿宋" w:hAnsi="仿宋" w:eastAsia="仿宋" w:cs="仿宋"/>
                <w:color w:val="auto"/>
                <w:sz w:val="24"/>
                <w:highlight w:val="none"/>
              </w:rPr>
              <w:t>安全</w:t>
            </w:r>
            <w:r>
              <w:rPr>
                <w:rFonts w:ascii="仿宋" w:hAnsi="仿宋" w:eastAsia="仿宋" w:cs="仿宋"/>
                <w:color w:val="auto"/>
                <w:sz w:val="24"/>
                <w:highlight w:val="none"/>
              </w:rPr>
              <w:t>文明施工管理，</w:t>
            </w:r>
            <w:r>
              <w:rPr>
                <w:rFonts w:hint="eastAsia" w:ascii="仿宋" w:hAnsi="仿宋" w:eastAsia="仿宋" w:cs="仿宋"/>
                <w:color w:val="auto"/>
                <w:sz w:val="24"/>
                <w:highlight w:val="none"/>
              </w:rPr>
              <w:t>采取安全措施、组织施工；</w:t>
            </w:r>
            <w:r>
              <w:rPr>
                <w:rFonts w:ascii="仿宋" w:hAnsi="仿宋" w:eastAsia="仿宋" w:cs="仿宋"/>
                <w:color w:val="auto"/>
                <w:sz w:val="24"/>
                <w:highlight w:val="none"/>
              </w:rPr>
              <w:t>承包</w:t>
            </w:r>
            <w:r>
              <w:rPr>
                <w:rFonts w:hint="eastAsia" w:ascii="仿宋" w:hAnsi="仿宋" w:eastAsia="仿宋" w:cs="仿宋"/>
                <w:color w:val="auto"/>
                <w:sz w:val="24"/>
                <w:highlight w:val="none"/>
              </w:rPr>
              <w:t>人</w:t>
            </w:r>
            <w:r>
              <w:rPr>
                <w:rFonts w:ascii="仿宋" w:hAnsi="仿宋" w:eastAsia="仿宋" w:cs="仿宋"/>
                <w:color w:val="auto"/>
                <w:sz w:val="24"/>
                <w:highlight w:val="none"/>
              </w:rPr>
              <w:t>对施工现场的</w:t>
            </w:r>
            <w:r>
              <w:rPr>
                <w:rFonts w:hint="eastAsia" w:ascii="仿宋" w:hAnsi="仿宋" w:eastAsia="仿宋" w:cs="仿宋"/>
                <w:color w:val="auto"/>
                <w:sz w:val="24"/>
                <w:highlight w:val="none"/>
              </w:rPr>
              <w:t>安全生产负总责</w:t>
            </w:r>
            <w:r>
              <w:rPr>
                <w:rFonts w:ascii="仿宋" w:hAnsi="仿宋" w:eastAsia="仿宋" w:cs="仿宋"/>
                <w:color w:val="auto"/>
                <w:sz w:val="24"/>
                <w:highlight w:val="none"/>
              </w:rPr>
              <w:t>；</w:t>
            </w:r>
            <w:r>
              <w:rPr>
                <w:rFonts w:hint="eastAsia" w:ascii="仿宋" w:hAnsi="仿宋" w:eastAsia="仿宋" w:cs="仿宋"/>
                <w:color w:val="auto"/>
                <w:sz w:val="24"/>
                <w:highlight w:val="none"/>
              </w:rPr>
              <w:t>承包人在工地现场必须配备符合规范规定数量的专职安全员，安全员必须持证上岗，并严格按相关规定在职在岗履行安全生产管理工作职责；因施工原因出现的问题或发生事故所造成的一切责任与后果</w:t>
            </w:r>
            <w:r>
              <w:rPr>
                <w:rFonts w:ascii="仿宋" w:hAnsi="仿宋" w:eastAsia="仿宋" w:cs="仿宋"/>
                <w:color w:val="auto"/>
                <w:sz w:val="24"/>
                <w:highlight w:val="none"/>
              </w:rPr>
              <w:t>（包括造成招标人工期延误，并由此产生的</w:t>
            </w:r>
            <w:r>
              <w:rPr>
                <w:rFonts w:hint="eastAsia" w:ascii="仿宋" w:hAnsi="仿宋" w:eastAsia="仿宋" w:cs="仿宋"/>
                <w:color w:val="auto"/>
                <w:sz w:val="24"/>
                <w:highlight w:val="none"/>
              </w:rPr>
              <w:t>经济以及其它</w:t>
            </w:r>
            <w:r>
              <w:rPr>
                <w:rFonts w:ascii="仿宋" w:hAnsi="仿宋" w:eastAsia="仿宋" w:cs="仿宋"/>
                <w:color w:val="auto"/>
                <w:sz w:val="24"/>
                <w:highlight w:val="none"/>
              </w:rPr>
              <w:t>全部</w:t>
            </w:r>
            <w:r>
              <w:rPr>
                <w:rFonts w:hint="eastAsia" w:ascii="仿宋" w:hAnsi="仿宋" w:eastAsia="仿宋" w:cs="仿宋"/>
                <w:color w:val="auto"/>
                <w:sz w:val="24"/>
                <w:highlight w:val="none"/>
              </w:rPr>
              <w:t>损失</w:t>
            </w:r>
            <w:r>
              <w:rPr>
                <w:rFonts w:ascii="仿宋" w:hAnsi="仿宋" w:eastAsia="仿宋" w:cs="仿宋"/>
                <w:color w:val="auto"/>
                <w:sz w:val="24"/>
                <w:highlight w:val="none"/>
              </w:rPr>
              <w:t>）</w:t>
            </w:r>
            <w:r>
              <w:rPr>
                <w:rFonts w:hint="eastAsia" w:ascii="仿宋" w:hAnsi="仿宋" w:eastAsia="仿宋" w:cs="仿宋"/>
                <w:color w:val="auto"/>
                <w:sz w:val="24"/>
                <w:highlight w:val="none"/>
              </w:rPr>
              <w:t xml:space="preserve">均由承包人承担。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23</w:t>
            </w:r>
          </w:p>
        </w:tc>
        <w:tc>
          <w:tcPr>
            <w:tcW w:w="8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lang w:eastAsia="zh-CN"/>
              </w:rPr>
              <w:t>供应商接到成交通知书，与采购人签订合同后，7天内到采购人的建设项目实地查看，并提供一份纸质版的《深化设计方案》</w:t>
            </w:r>
            <w:r>
              <w:rPr>
                <w:rFonts w:hint="eastAsia" w:ascii="仿宋" w:hAnsi="仿宋" w:eastAsia="仿宋" w:cs="仿宋"/>
                <w:color w:val="auto"/>
                <w:sz w:val="24"/>
                <w:highlight w:val="none"/>
              </w:rPr>
              <w:t>。</w:t>
            </w:r>
          </w:p>
        </w:tc>
      </w:tr>
    </w:tbl>
    <w:p>
      <w:pPr>
        <w:pStyle w:val="27"/>
        <w:snapToGrid w:val="0"/>
        <w:spacing w:line="40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一、总  则</w:t>
      </w:r>
    </w:p>
    <w:p>
      <w:pPr>
        <w:snapToGrid w:val="0"/>
        <w:spacing w:line="400" w:lineRule="exact"/>
        <w:ind w:firstLine="472" w:firstLineChars="196"/>
        <w:jc w:val="left"/>
        <w:outlineLvl w:val="1"/>
        <w:rPr>
          <w:rFonts w:ascii="仿宋" w:hAnsi="仿宋" w:eastAsia="仿宋" w:cs="仿宋"/>
          <w:b/>
          <w:color w:val="auto"/>
          <w:sz w:val="24"/>
          <w:highlight w:val="none"/>
        </w:rPr>
      </w:pPr>
      <w:bookmarkStart w:id="27" w:name="_Toc254970527"/>
      <w:bookmarkStart w:id="28" w:name="_Toc2504"/>
      <w:bookmarkStart w:id="29" w:name="_Toc293863303"/>
      <w:bookmarkStart w:id="30" w:name="_Toc14335"/>
      <w:bookmarkStart w:id="31" w:name="_Toc293863036"/>
      <w:bookmarkStart w:id="32" w:name="_Toc3678"/>
      <w:bookmarkStart w:id="33" w:name="_Toc24332"/>
      <w:bookmarkStart w:id="34" w:name="_Toc326217530"/>
      <w:bookmarkStart w:id="35" w:name="_Toc301424911"/>
      <w:bookmarkStart w:id="36" w:name="_Toc11316"/>
      <w:bookmarkStart w:id="37" w:name="_Toc254970668"/>
      <w:r>
        <w:rPr>
          <w:rFonts w:hint="eastAsia" w:ascii="仿宋" w:hAnsi="仿宋" w:eastAsia="仿宋" w:cs="仿宋"/>
          <w:b/>
          <w:color w:val="auto"/>
          <w:sz w:val="24"/>
          <w:highlight w:val="none"/>
        </w:rPr>
        <w:t>（一）适用范围</w:t>
      </w:r>
      <w:bookmarkEnd w:id="27"/>
      <w:bookmarkEnd w:id="28"/>
      <w:bookmarkEnd w:id="29"/>
      <w:bookmarkEnd w:id="30"/>
      <w:bookmarkEnd w:id="31"/>
      <w:bookmarkEnd w:id="32"/>
      <w:bookmarkEnd w:id="33"/>
      <w:bookmarkEnd w:id="34"/>
      <w:bookmarkEnd w:id="35"/>
      <w:bookmarkEnd w:id="36"/>
      <w:bookmarkEnd w:id="37"/>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本采购文件适用于</w:t>
      </w:r>
      <w:r>
        <w:rPr>
          <w:rFonts w:hint="eastAsia" w:ascii="仿宋" w:hAnsi="仿宋" w:eastAsia="仿宋" w:cs="仿宋"/>
          <w:color w:val="auto"/>
          <w:sz w:val="24"/>
          <w:highlight w:val="none"/>
          <w:u w:val="single"/>
        </w:rPr>
        <w:t>国家税务总局贺州市税务局</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国家税务总局贺州市税务局附属用房维修项目工程采购</w:t>
      </w:r>
      <w:r>
        <w:rPr>
          <w:rFonts w:hint="eastAsia" w:ascii="仿宋" w:hAnsi="仿宋" w:eastAsia="仿宋" w:cs="仿宋"/>
          <w:color w:val="auto"/>
          <w:sz w:val="24"/>
          <w:highlight w:val="none"/>
        </w:rPr>
        <w:t>项目的磋商、评审、定标、验收、合同履约、付款等行为（法律、法规另有规定的，从其规定）。</w:t>
      </w:r>
    </w:p>
    <w:p>
      <w:pPr>
        <w:snapToGrid w:val="0"/>
        <w:spacing w:line="400" w:lineRule="exact"/>
        <w:ind w:firstLine="354" w:firstLineChars="147"/>
        <w:jc w:val="left"/>
        <w:outlineLvl w:val="1"/>
        <w:rPr>
          <w:rFonts w:ascii="仿宋" w:hAnsi="仿宋" w:eastAsia="仿宋" w:cs="仿宋"/>
          <w:b/>
          <w:color w:val="auto"/>
          <w:sz w:val="24"/>
          <w:highlight w:val="none"/>
        </w:rPr>
      </w:pPr>
      <w:bookmarkStart w:id="38" w:name="_Toc254970669"/>
      <w:bookmarkStart w:id="39" w:name="_Toc28619"/>
      <w:bookmarkStart w:id="40" w:name="_Toc293863304"/>
      <w:bookmarkStart w:id="41" w:name="_Toc254970528"/>
      <w:bookmarkStart w:id="42" w:name="_Toc293863037"/>
      <w:bookmarkStart w:id="43" w:name="_Toc21482"/>
      <w:bookmarkStart w:id="44" w:name="_Toc326217531"/>
      <w:bookmarkStart w:id="45" w:name="_Toc301424912"/>
      <w:bookmarkStart w:id="46" w:name="_Toc27741"/>
      <w:bookmarkStart w:id="47" w:name="_Toc14070"/>
      <w:bookmarkStart w:id="48" w:name="_Toc28576"/>
      <w:r>
        <w:rPr>
          <w:rFonts w:hint="eastAsia" w:ascii="仿宋" w:hAnsi="仿宋" w:eastAsia="仿宋" w:cs="仿宋"/>
          <w:b/>
          <w:color w:val="auto"/>
          <w:sz w:val="24"/>
          <w:highlight w:val="none"/>
        </w:rPr>
        <w:t>（二）定义</w:t>
      </w:r>
      <w:bookmarkEnd w:id="38"/>
      <w:bookmarkEnd w:id="39"/>
      <w:bookmarkEnd w:id="40"/>
      <w:bookmarkEnd w:id="41"/>
      <w:bookmarkEnd w:id="42"/>
      <w:bookmarkEnd w:id="43"/>
      <w:bookmarkEnd w:id="44"/>
      <w:bookmarkEnd w:id="45"/>
      <w:bookmarkEnd w:id="46"/>
      <w:bookmarkEnd w:id="47"/>
      <w:bookmarkEnd w:id="48"/>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1、招标采购单位系指组织本次招标的采购人及采购代理机构。</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2、“供应商”系指符合本次采购项目的提交响应文件的、参与磋商的单位或自然人。</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3、“工程”系指供应商按采购文件、施工设计图纸和补充资料规定，承担的相应工程内容以及其他类似的义务。</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5、“项目”系指供应商按采购文件规定向采购人提供的工程。</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6、“采购文件”系指竞争性磋商采购文件。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7、“响应文件”系指竞争性磋商响应文件。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8、“书面形式”包括信函、传真、邮件等。</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9、“▲”系指实质性要求条款。</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10、“原件备查”指当响应文件中所提供的材料出现字体过小、模糊不清等评委无法清晰可见情况或评委对供应商所提供材料的真实性提出疑问、异议时，磋商小组有权要求供应商提供相应原件进行核查，如供应商无法提供，由此引起的响应文件无效、不予给分等责任后果，由供应商自行承担。</w:t>
      </w:r>
    </w:p>
    <w:p>
      <w:pPr>
        <w:snapToGrid w:val="0"/>
        <w:spacing w:line="400" w:lineRule="exact"/>
        <w:ind w:firstLine="472" w:firstLineChars="196"/>
        <w:jc w:val="left"/>
        <w:outlineLvl w:val="1"/>
        <w:rPr>
          <w:rFonts w:ascii="仿宋" w:hAnsi="仿宋" w:eastAsia="仿宋" w:cs="仿宋"/>
          <w:b/>
          <w:color w:val="auto"/>
          <w:sz w:val="24"/>
          <w:highlight w:val="none"/>
        </w:rPr>
      </w:pPr>
      <w:bookmarkStart w:id="49" w:name="_Toc20499"/>
      <w:bookmarkStart w:id="50" w:name="_Toc293863038"/>
      <w:bookmarkStart w:id="51" w:name="_Toc254970670"/>
      <w:bookmarkStart w:id="52" w:name="_Toc17989"/>
      <w:bookmarkStart w:id="53" w:name="_Toc301424913"/>
      <w:bookmarkStart w:id="54" w:name="_Toc32627"/>
      <w:bookmarkStart w:id="55" w:name="_Toc326217532"/>
      <w:bookmarkStart w:id="56" w:name="_Toc293863305"/>
      <w:bookmarkStart w:id="57" w:name="_Toc29332"/>
      <w:bookmarkStart w:id="58" w:name="_Toc254970529"/>
      <w:bookmarkStart w:id="59" w:name="_Toc8912"/>
      <w:r>
        <w:rPr>
          <w:rFonts w:hint="eastAsia" w:ascii="仿宋" w:hAnsi="仿宋" w:eastAsia="仿宋" w:cs="仿宋"/>
          <w:b/>
          <w:color w:val="auto"/>
          <w:sz w:val="24"/>
          <w:highlight w:val="none"/>
        </w:rPr>
        <w:t>（三）采购方式</w:t>
      </w:r>
      <w:bookmarkEnd w:id="49"/>
      <w:bookmarkEnd w:id="50"/>
      <w:bookmarkEnd w:id="51"/>
      <w:bookmarkEnd w:id="52"/>
      <w:bookmarkEnd w:id="53"/>
      <w:bookmarkEnd w:id="54"/>
      <w:bookmarkEnd w:id="55"/>
      <w:bookmarkEnd w:id="56"/>
      <w:bookmarkEnd w:id="57"/>
      <w:bookmarkEnd w:id="58"/>
      <w:bookmarkEnd w:id="59"/>
    </w:p>
    <w:p>
      <w:pPr>
        <w:snapToGrid w:val="0"/>
        <w:spacing w:line="400" w:lineRule="exact"/>
        <w:ind w:firstLine="720" w:firstLineChars="300"/>
        <w:jc w:val="left"/>
        <w:rPr>
          <w:rFonts w:ascii="仿宋" w:hAnsi="仿宋" w:eastAsia="仿宋" w:cs="仿宋"/>
          <w:color w:val="auto"/>
          <w:sz w:val="24"/>
          <w:highlight w:val="none"/>
        </w:rPr>
      </w:pPr>
      <w:r>
        <w:rPr>
          <w:rFonts w:hint="eastAsia" w:ascii="仿宋" w:hAnsi="仿宋" w:eastAsia="仿宋" w:cs="仿宋"/>
          <w:color w:val="auto"/>
          <w:sz w:val="24"/>
          <w:highlight w:val="none"/>
        </w:rPr>
        <w:t>竞争性磋商方式。</w:t>
      </w:r>
    </w:p>
    <w:p>
      <w:pPr>
        <w:snapToGrid w:val="0"/>
        <w:spacing w:line="400" w:lineRule="exact"/>
        <w:ind w:firstLine="472" w:firstLineChars="196"/>
        <w:jc w:val="left"/>
        <w:outlineLvl w:val="1"/>
        <w:rPr>
          <w:rFonts w:ascii="仿宋" w:hAnsi="仿宋" w:eastAsia="仿宋" w:cs="仿宋"/>
          <w:b/>
          <w:color w:val="auto"/>
          <w:sz w:val="24"/>
          <w:highlight w:val="none"/>
        </w:rPr>
      </w:pPr>
      <w:bookmarkStart w:id="60" w:name="_Toc3287"/>
      <w:bookmarkStart w:id="61" w:name="_Toc293863306"/>
      <w:bookmarkStart w:id="62" w:name="_Toc301424914"/>
      <w:bookmarkStart w:id="63" w:name="_Toc254970671"/>
      <w:bookmarkStart w:id="64" w:name="_Toc293863039"/>
      <w:bookmarkStart w:id="65" w:name="_Toc254970530"/>
      <w:bookmarkStart w:id="66" w:name="_Toc30050"/>
      <w:bookmarkStart w:id="67" w:name="_Toc326217533"/>
      <w:bookmarkStart w:id="68" w:name="_Toc18242"/>
      <w:bookmarkStart w:id="69" w:name="_Toc27485"/>
      <w:bookmarkStart w:id="70" w:name="_Toc16007"/>
      <w:r>
        <w:rPr>
          <w:rFonts w:hint="eastAsia" w:ascii="仿宋" w:hAnsi="仿宋" w:eastAsia="仿宋" w:cs="仿宋"/>
          <w:b/>
          <w:color w:val="auto"/>
          <w:sz w:val="24"/>
          <w:highlight w:val="none"/>
        </w:rPr>
        <w:t>（四）磋商委托</w:t>
      </w:r>
      <w:bookmarkEnd w:id="60"/>
      <w:bookmarkEnd w:id="61"/>
      <w:bookmarkEnd w:id="62"/>
      <w:bookmarkEnd w:id="63"/>
      <w:bookmarkEnd w:id="64"/>
      <w:bookmarkEnd w:id="65"/>
      <w:bookmarkEnd w:id="66"/>
      <w:bookmarkEnd w:id="67"/>
      <w:bookmarkEnd w:id="68"/>
      <w:bookmarkEnd w:id="69"/>
      <w:bookmarkEnd w:id="70"/>
    </w:p>
    <w:p>
      <w:pPr>
        <w:pStyle w:val="21"/>
        <w:snapToGrid w:val="0"/>
        <w:spacing w:line="4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供应商代表须携带有效身份证件。如供应商代表不是法定代表人，须有法定代表人出具的授权委托书（正本用原件，副本用复印件，格式见第六章）。</w:t>
      </w:r>
    </w:p>
    <w:p>
      <w:pPr>
        <w:snapToGrid w:val="0"/>
        <w:spacing w:line="400" w:lineRule="exact"/>
        <w:ind w:firstLine="472" w:firstLineChars="196"/>
        <w:jc w:val="left"/>
        <w:outlineLvl w:val="1"/>
        <w:rPr>
          <w:rFonts w:ascii="仿宋" w:hAnsi="仿宋" w:eastAsia="仿宋" w:cs="仿宋"/>
          <w:b/>
          <w:color w:val="auto"/>
          <w:sz w:val="24"/>
          <w:highlight w:val="none"/>
        </w:rPr>
      </w:pPr>
      <w:bookmarkStart w:id="71" w:name="_Toc254970531"/>
      <w:bookmarkStart w:id="72" w:name="_Toc301424915"/>
      <w:bookmarkStart w:id="73" w:name="_Toc26768"/>
      <w:bookmarkStart w:id="74" w:name="_Toc293863040"/>
      <w:bookmarkStart w:id="75" w:name="_Toc254970672"/>
      <w:bookmarkStart w:id="76" w:name="_Toc293863307"/>
      <w:bookmarkStart w:id="77" w:name="_Toc23144"/>
      <w:bookmarkStart w:id="78" w:name="_Toc1123"/>
      <w:bookmarkStart w:id="79" w:name="_Toc9963"/>
      <w:bookmarkStart w:id="80" w:name="_Toc20777"/>
      <w:bookmarkStart w:id="81" w:name="_Toc326217534"/>
      <w:r>
        <w:rPr>
          <w:rFonts w:hint="eastAsia" w:ascii="仿宋" w:hAnsi="仿宋" w:eastAsia="仿宋" w:cs="仿宋"/>
          <w:b/>
          <w:color w:val="auto"/>
          <w:sz w:val="24"/>
          <w:highlight w:val="none"/>
        </w:rPr>
        <w:t>（五）磋商费用</w:t>
      </w:r>
      <w:bookmarkEnd w:id="71"/>
      <w:bookmarkEnd w:id="72"/>
      <w:bookmarkEnd w:id="73"/>
      <w:bookmarkEnd w:id="74"/>
      <w:bookmarkEnd w:id="75"/>
      <w:bookmarkEnd w:id="76"/>
      <w:bookmarkEnd w:id="77"/>
      <w:bookmarkEnd w:id="78"/>
      <w:bookmarkEnd w:id="79"/>
      <w:bookmarkEnd w:id="80"/>
      <w:bookmarkEnd w:id="81"/>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供应商均应自行承担所有与磋商有关的全部费用（采购文件有相关规定的除外）。</w:t>
      </w:r>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（六）联合体磋商</w:t>
      </w:r>
    </w:p>
    <w:p>
      <w:pPr>
        <w:snapToGrid w:val="0"/>
        <w:spacing w:line="400" w:lineRule="exact"/>
        <w:ind w:firstLine="470" w:firstLineChars="196"/>
        <w:rPr>
          <w:rFonts w:ascii="仿宋" w:hAnsi="仿宋" w:eastAsia="仿宋" w:cs="仿宋"/>
          <w:b/>
          <w:color w:val="auto"/>
          <w:sz w:val="24"/>
          <w:highlight w:val="none"/>
        </w:rPr>
      </w:pPr>
      <w:r>
        <w:rPr>
          <w:rFonts w:hint="eastAsia" w:ascii="仿宋" w:hAnsi="仿宋" w:eastAsia="仿宋" w:cs="仿宋"/>
          <w:color w:val="auto"/>
          <w:sz w:val="24"/>
          <w:highlight w:val="none"/>
        </w:rPr>
        <w:t>本项目不接受联合体磋商。</w:t>
      </w:r>
    </w:p>
    <w:p>
      <w:pPr>
        <w:snapToGrid w:val="0"/>
        <w:spacing w:line="400" w:lineRule="exact"/>
        <w:ind w:firstLine="472" w:firstLineChars="196"/>
        <w:rPr>
          <w:rFonts w:ascii="仿宋" w:hAnsi="仿宋" w:eastAsia="仿宋" w:cs="仿宋"/>
          <w:b/>
          <w:color w:val="auto"/>
          <w:kern w:val="0"/>
          <w:sz w:val="24"/>
          <w:highlight w:val="none"/>
        </w:rPr>
      </w:pPr>
      <w:r>
        <w:rPr>
          <w:rFonts w:hint="eastAsia" w:ascii="仿宋" w:hAnsi="仿宋" w:eastAsia="仿宋" w:cs="仿宋"/>
          <w:b/>
          <w:color w:val="auto"/>
          <w:sz w:val="24"/>
          <w:highlight w:val="none"/>
        </w:rPr>
        <w:t>（七）</w:t>
      </w:r>
      <w:r>
        <w:rPr>
          <w:rFonts w:hint="eastAsia" w:ascii="仿宋" w:hAnsi="仿宋" w:eastAsia="仿宋" w:cs="仿宋"/>
          <w:b/>
          <w:color w:val="auto"/>
          <w:kern w:val="0"/>
          <w:sz w:val="24"/>
          <w:highlight w:val="none"/>
        </w:rPr>
        <w:t>转包与分包</w:t>
      </w:r>
    </w:p>
    <w:p>
      <w:pPr>
        <w:snapToGri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1、本项目不允许转包。</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2、本项目不可以分包。</w:t>
      </w:r>
    </w:p>
    <w:p>
      <w:pPr>
        <w:snapToGrid w:val="0"/>
        <w:spacing w:line="400" w:lineRule="exact"/>
        <w:ind w:firstLine="472" w:firstLineChars="196"/>
        <w:jc w:val="left"/>
        <w:outlineLvl w:val="1"/>
        <w:rPr>
          <w:rFonts w:ascii="仿宋" w:hAnsi="仿宋" w:eastAsia="仿宋" w:cs="仿宋"/>
          <w:b/>
          <w:color w:val="auto"/>
          <w:sz w:val="24"/>
          <w:highlight w:val="none"/>
        </w:rPr>
      </w:pPr>
      <w:bookmarkStart w:id="82" w:name="_Toc254970673"/>
      <w:bookmarkStart w:id="83" w:name="_Toc32086"/>
      <w:bookmarkStart w:id="84" w:name="_Toc293863041"/>
      <w:bookmarkStart w:id="85" w:name="_Toc14816"/>
      <w:bookmarkStart w:id="86" w:name="_Toc301424916"/>
      <w:bookmarkStart w:id="87" w:name="_Toc326217535"/>
      <w:bookmarkStart w:id="88" w:name="_Toc17221"/>
      <w:bookmarkStart w:id="89" w:name="_Toc7053"/>
      <w:bookmarkStart w:id="90" w:name="_Toc13696"/>
      <w:bookmarkStart w:id="91" w:name="_Toc293863308"/>
      <w:bookmarkStart w:id="92" w:name="_Toc254970532"/>
      <w:r>
        <w:rPr>
          <w:rFonts w:hint="eastAsia" w:ascii="仿宋" w:hAnsi="仿宋" w:eastAsia="仿宋" w:cs="仿宋"/>
          <w:b/>
          <w:color w:val="auto"/>
          <w:sz w:val="24"/>
          <w:highlight w:val="none"/>
        </w:rPr>
        <w:t>（八）特别说明：</w:t>
      </w:r>
      <w:bookmarkEnd w:id="82"/>
      <w:bookmarkEnd w:id="83"/>
      <w:bookmarkEnd w:id="84"/>
      <w:bookmarkEnd w:id="85"/>
      <w:bookmarkEnd w:id="86"/>
      <w:bookmarkEnd w:id="87"/>
      <w:bookmarkEnd w:id="88"/>
      <w:bookmarkEnd w:id="89"/>
      <w:bookmarkEnd w:id="90"/>
      <w:bookmarkEnd w:id="91"/>
      <w:bookmarkEnd w:id="92"/>
    </w:p>
    <w:p>
      <w:pPr>
        <w:pStyle w:val="27"/>
        <w:snapToGrid w:val="0"/>
        <w:spacing w:line="400" w:lineRule="exact"/>
        <w:ind w:left="2" w:leftChars="1"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highlight w:val="none"/>
        </w:rPr>
        <w:t>1</w:t>
      </w:r>
      <w:r>
        <w:rPr>
          <w:rFonts w:hint="eastAsia" w:ascii="仿宋" w:hAnsi="仿宋" w:eastAsia="仿宋" w:cs="仿宋"/>
          <w:b/>
          <w:color w:val="auto"/>
          <w:sz w:val="24"/>
          <w:szCs w:val="24"/>
          <w:highlight w:val="none"/>
        </w:rPr>
        <w:t>、供应商响应文件所使用的资格、信誉、荣誉、业绩与企业认证必须为本法人所拥有。供应商响应文件所使用的拟投入项目实施人员必须为本法人员工（或必须为本法人或控股公司正式员工），否则磋商无效。</w:t>
      </w:r>
    </w:p>
    <w:p>
      <w:pPr>
        <w:pStyle w:val="27"/>
        <w:snapToGrid w:val="0"/>
        <w:spacing w:line="400" w:lineRule="exact"/>
        <w:ind w:left="2" w:leftChars="1"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2、供应商应仔细阅读采购文件的所有内容，按照采购文件的要求提交响应文件，并对所提供的全部资料的真实性承担法律责任。</w:t>
      </w:r>
    </w:p>
    <w:p>
      <w:pPr>
        <w:pStyle w:val="27"/>
        <w:snapToGrid w:val="0"/>
        <w:spacing w:line="400" w:lineRule="exact"/>
        <w:ind w:left="2" w:leftChars="1"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3、供应商在磋商活动中提供任何虚假材料，其磋商无效，并报监管部门查处；成交后发现的，成交人须依照《中华人民共和国消费者权益保护法》第55条之规定双倍赔偿采购人，且民事赔偿并不免除违法供应商的行政与刑事责任。</w:t>
      </w:r>
    </w:p>
    <w:p>
      <w:pPr>
        <w:pStyle w:val="27"/>
        <w:snapToGrid w:val="0"/>
        <w:spacing w:line="400" w:lineRule="exact"/>
        <w:ind w:left="2" w:leftChars="1"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（九）踏勘现场</w:t>
      </w:r>
    </w:p>
    <w:p>
      <w:pPr>
        <w:pStyle w:val="27"/>
        <w:snapToGrid w:val="0"/>
        <w:spacing w:line="400" w:lineRule="exact"/>
        <w:ind w:left="2" w:leftChars="1"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1、建议供应商对工程现场及周围环境进行考察和踏勘，以便供应商获取有关编制响应文件和签署合同所涉及现场的资料，供应商承担踏勘现场所发生的自身费用。</w:t>
      </w:r>
    </w:p>
    <w:p>
      <w:pPr>
        <w:pStyle w:val="27"/>
        <w:snapToGrid w:val="0"/>
        <w:spacing w:line="400" w:lineRule="exact"/>
        <w:ind w:left="2" w:leftChars="1"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2、采购人向供应商提供的有关现场的资料和数据，是采购人现有的能被供应商利用的资料，采购人对供应商由此而做出的推论、理解和结论均不负责任。</w:t>
      </w:r>
    </w:p>
    <w:p>
      <w:pPr>
        <w:pStyle w:val="27"/>
        <w:snapToGrid w:val="0"/>
        <w:spacing w:line="400" w:lineRule="exact"/>
        <w:ind w:left="2" w:leftChars="1"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3、经采购人允许，供应商可为踏勘目的进入采购人的项目现场，但供应商不得因此使采购人承担有关的责任和蒙受损失，供应商应承担踏勘现场的责任和风险。</w:t>
      </w:r>
    </w:p>
    <w:p>
      <w:pPr>
        <w:pStyle w:val="27"/>
        <w:snapToGrid w:val="0"/>
        <w:spacing w:line="400" w:lineRule="exact"/>
        <w:ind w:firstLine="472" w:firstLineChars="196"/>
        <w:outlineLvl w:val="0"/>
        <w:rPr>
          <w:rFonts w:ascii="仿宋" w:hAnsi="仿宋" w:eastAsia="仿宋" w:cs="仿宋"/>
          <w:b/>
          <w:color w:val="auto"/>
          <w:sz w:val="24"/>
          <w:szCs w:val="24"/>
          <w:highlight w:val="none"/>
        </w:rPr>
      </w:pPr>
      <w:bookmarkStart w:id="93" w:name="_Toc28568"/>
      <w:bookmarkStart w:id="94" w:name="_Toc254970675"/>
      <w:bookmarkStart w:id="95" w:name="_Toc18596"/>
      <w:bookmarkStart w:id="96" w:name="_Toc301424918"/>
      <w:bookmarkStart w:id="97" w:name="_Toc293863043"/>
      <w:bookmarkStart w:id="98" w:name="_Toc17473"/>
      <w:bookmarkStart w:id="99" w:name="_Toc293863310"/>
      <w:bookmarkStart w:id="100" w:name="_Toc326217537"/>
      <w:bookmarkStart w:id="101" w:name="_Toc16795"/>
      <w:bookmarkStart w:id="102" w:name="_Toc15802"/>
      <w:bookmarkStart w:id="103" w:name="_Toc254970534"/>
      <w:r>
        <w:rPr>
          <w:rFonts w:hint="eastAsia" w:ascii="仿宋" w:hAnsi="仿宋" w:eastAsia="仿宋" w:cs="仿宋"/>
          <w:b/>
          <w:color w:val="auto"/>
          <w:sz w:val="24"/>
          <w:szCs w:val="24"/>
          <w:highlight w:val="none"/>
        </w:rPr>
        <w:t>二、采购文件</w:t>
      </w:r>
      <w:bookmarkEnd w:id="93"/>
      <w:bookmarkEnd w:id="94"/>
      <w:bookmarkEnd w:id="95"/>
      <w:bookmarkEnd w:id="96"/>
      <w:bookmarkEnd w:id="97"/>
      <w:bookmarkEnd w:id="98"/>
      <w:bookmarkEnd w:id="99"/>
      <w:bookmarkEnd w:id="100"/>
      <w:bookmarkEnd w:id="101"/>
      <w:bookmarkEnd w:id="102"/>
      <w:bookmarkEnd w:id="103"/>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（一）采购文件的构成</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1、竞争性磋商公告。</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2、供应商须知。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3、合同格式。</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4、图纸。</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5、工程量清单。</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6、响应文件格式。</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7、评审办法及评分标准。</w:t>
      </w:r>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（二）供应商的风险</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供应商没有按照采购文件要求提供全部资料，或者供应商没有对采购文件在各方面作出实质性响应是供应商的风险，并可能导致其响应文件被拒绝。</w:t>
      </w:r>
    </w:p>
    <w:p>
      <w:pPr>
        <w:pStyle w:val="15"/>
        <w:widowControl w:val="0"/>
        <w:tabs>
          <w:tab w:val="clear" w:pos="454"/>
        </w:tabs>
        <w:snapToGrid w:val="0"/>
        <w:spacing w:after="0" w:afterLines="0" w:line="400" w:lineRule="exact"/>
        <w:ind w:left="0" w:firstLine="472" w:firstLineChars="196"/>
        <w:rPr>
          <w:rFonts w:ascii="仿宋" w:hAnsi="仿宋" w:eastAsia="仿宋" w:cs="仿宋"/>
          <w:b/>
          <w:color w:val="auto"/>
          <w:szCs w:val="24"/>
          <w:highlight w:val="none"/>
        </w:rPr>
      </w:pPr>
      <w:r>
        <w:rPr>
          <w:rFonts w:hint="eastAsia" w:ascii="仿宋" w:hAnsi="仿宋" w:eastAsia="仿宋" w:cs="仿宋"/>
          <w:b/>
          <w:color w:val="auto"/>
          <w:szCs w:val="24"/>
          <w:highlight w:val="none"/>
        </w:rPr>
        <w:t>（三）采购文件的澄清与修改</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Cs/>
          <w:color w:val="auto"/>
          <w:sz w:val="24"/>
          <w:szCs w:val="24"/>
          <w:highlight w:val="none"/>
        </w:rPr>
        <w:t>供应商应认真阅读本采购文件，发现其中有误或有不合理要求的，供应商必须在</w:t>
      </w:r>
      <w:r>
        <w:rPr>
          <w:rFonts w:hint="eastAsia" w:ascii="仿宋" w:hAnsi="仿宋" w:eastAsia="仿宋" w:cs="仿宋"/>
          <w:color w:val="auto"/>
          <w:sz w:val="24"/>
          <w:szCs w:val="24"/>
          <w:highlight w:val="none"/>
        </w:rPr>
        <w:t>磋商截止日期5天前</w:t>
      </w:r>
      <w:r>
        <w:rPr>
          <w:rFonts w:hint="eastAsia" w:ascii="仿宋" w:hAnsi="仿宋" w:eastAsia="仿宋" w:cs="仿宋"/>
          <w:bCs/>
          <w:color w:val="auto"/>
          <w:sz w:val="24"/>
          <w:szCs w:val="24"/>
          <w:highlight w:val="none"/>
        </w:rPr>
        <w:t>以书面形式要求招标采购单位澄清</w:t>
      </w:r>
      <w:r>
        <w:rPr>
          <w:rFonts w:hint="eastAsia" w:ascii="仿宋" w:hAnsi="仿宋" w:eastAsia="仿宋" w:cs="仿宋"/>
          <w:color w:val="auto"/>
          <w:sz w:val="24"/>
          <w:szCs w:val="24"/>
          <w:highlight w:val="none"/>
        </w:rPr>
        <w:t>。采购代理机构对已发出的采购文件进行必要澄清、修改或补充的，应当在采购文件要求提交响应文件截止时间五日前，在</w:t>
      </w:r>
      <w:r>
        <w:rPr>
          <w:rFonts w:hint="eastAsia" w:ascii="仿宋" w:hAnsi="仿宋" w:eastAsia="仿宋" w:cs="仿宋"/>
          <w:color w:val="auto"/>
          <w:sz w:val="24"/>
          <w:highlight w:val="none"/>
        </w:rPr>
        <w:t>中国采购与招标网（http://www.chinabidding.com.cn）、中国政府采购网(www.ccgp.gov.cn)、广西国盛招标有限公司网（www.gxgszb.com）</w:t>
      </w:r>
      <w:r>
        <w:rPr>
          <w:rFonts w:hint="eastAsia" w:ascii="仿宋" w:hAnsi="仿宋" w:eastAsia="仿宋" w:cs="仿宋"/>
          <w:color w:val="auto"/>
          <w:sz w:val="24"/>
          <w:szCs w:val="24"/>
          <w:highlight w:val="none"/>
        </w:rPr>
        <w:t>网上发布更正公告，并以书面形式通知所有采购文件收受人。该澄清或者修改的内容为采购文件的组成部份。供应商必须按照桂财采</w:t>
      </w:r>
      <w:r>
        <w:rPr>
          <w:rFonts w:hint="eastAsia" w:ascii="仿宋" w:hAnsi="仿宋" w:eastAsia="仿宋" w:cs="仿宋"/>
          <w:color w:val="auto"/>
          <w:sz w:val="24"/>
          <w:highlight w:val="none"/>
        </w:rPr>
        <w:t>〔2007〕</w:t>
      </w:r>
      <w:r>
        <w:rPr>
          <w:rFonts w:hint="eastAsia" w:ascii="仿宋" w:hAnsi="仿宋" w:eastAsia="仿宋" w:cs="仿宋"/>
          <w:color w:val="auto"/>
          <w:sz w:val="24"/>
          <w:szCs w:val="24"/>
          <w:highlight w:val="none"/>
        </w:rPr>
        <w:t>65号文件第二十九条规定，在澄清或修改通知发出后12小时内以书面形式进行确认，否则视为已经收到。</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2、采购代理机构必须以书面形式答复供应商要求澄清的问题，并将不包含问题来源的答复书面通知所有购买采购文件的供应商；除书面答复以外的其他澄清方式及澄清内容均无效。</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3、采购文件澄清、答复、修改、补充的内容为采购文件的组成部分。当采购文件与采购文件的答复、澄清、修改、补充通知就同一内容的表述不一致时，以最后发出的书面文件为准。</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4、采购文件的澄清、答复、修改或补充都应该通过本采购代理机构以法定形式发布，采购人非通过本机构，不得擅自澄清、答复、修改或补充采购文件。</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5、采购人可以视采购具体情况，延长递交响应文件截止时间和磋商时间，但至少应当在采购文件要求提交响应文件的截止时间五日前将变更时间书面通知所有采购文件收受人，并在</w:t>
      </w:r>
      <w:r>
        <w:rPr>
          <w:rFonts w:hint="eastAsia" w:ascii="仿宋" w:hAnsi="仿宋" w:eastAsia="仿宋" w:cs="仿宋"/>
          <w:color w:val="auto"/>
          <w:sz w:val="24"/>
          <w:highlight w:val="none"/>
        </w:rPr>
        <w:t>中国采购与招标网（http://www.chinabidding.com.cn）、中国政府采购网(www.ccgp.gov.cn)、广西国盛招标有限公司网（www.gxgszb.com）</w:t>
      </w:r>
      <w:r>
        <w:rPr>
          <w:rFonts w:hint="eastAsia" w:ascii="仿宋" w:hAnsi="仿宋" w:eastAsia="仿宋" w:cs="仿宋"/>
          <w:color w:val="auto"/>
          <w:sz w:val="24"/>
          <w:szCs w:val="24"/>
          <w:highlight w:val="none"/>
        </w:rPr>
        <w:t>上发布变更公告。</w:t>
      </w:r>
    </w:p>
    <w:p>
      <w:pPr>
        <w:pStyle w:val="27"/>
        <w:snapToGrid w:val="0"/>
        <w:spacing w:line="400" w:lineRule="exact"/>
        <w:ind w:firstLine="472" w:firstLineChars="196"/>
        <w:outlineLvl w:val="1"/>
        <w:rPr>
          <w:rFonts w:ascii="仿宋" w:hAnsi="仿宋" w:eastAsia="仿宋" w:cs="仿宋"/>
          <w:b/>
          <w:color w:val="auto"/>
          <w:sz w:val="24"/>
          <w:szCs w:val="24"/>
          <w:highlight w:val="none"/>
        </w:rPr>
      </w:pPr>
      <w:bookmarkStart w:id="104" w:name="_Toc29751"/>
      <w:bookmarkStart w:id="105" w:name="_Toc254970676"/>
      <w:bookmarkStart w:id="106" w:name="_Toc6466"/>
      <w:bookmarkStart w:id="107" w:name="_Toc293863311"/>
      <w:bookmarkStart w:id="108" w:name="_Toc6993"/>
      <w:bookmarkStart w:id="109" w:name="_Toc2933"/>
      <w:bookmarkStart w:id="110" w:name="_Toc293863044"/>
      <w:bookmarkStart w:id="111" w:name="_Toc326217538"/>
      <w:bookmarkStart w:id="112" w:name="_Toc254970535"/>
      <w:bookmarkStart w:id="113" w:name="_Toc2230"/>
      <w:bookmarkStart w:id="114" w:name="_Toc301424919"/>
      <w:r>
        <w:rPr>
          <w:rFonts w:hint="eastAsia" w:ascii="仿宋" w:hAnsi="仿宋" w:eastAsia="仿宋" w:cs="仿宋"/>
          <w:b/>
          <w:color w:val="auto"/>
          <w:sz w:val="24"/>
          <w:szCs w:val="24"/>
          <w:highlight w:val="none"/>
        </w:rPr>
        <w:t>三、响应文件的编制</w:t>
      </w:r>
      <w:bookmarkEnd w:id="104"/>
      <w:bookmarkEnd w:id="105"/>
      <w:bookmarkEnd w:id="106"/>
      <w:bookmarkEnd w:id="107"/>
      <w:bookmarkEnd w:id="108"/>
      <w:bookmarkEnd w:id="109"/>
      <w:bookmarkEnd w:id="110"/>
      <w:bookmarkEnd w:id="111"/>
      <w:bookmarkEnd w:id="112"/>
      <w:bookmarkEnd w:id="113"/>
      <w:bookmarkEnd w:id="114"/>
    </w:p>
    <w:p>
      <w:pPr>
        <w:snapToGrid w:val="0"/>
        <w:spacing w:line="400" w:lineRule="exact"/>
        <w:ind w:firstLine="472" w:firstLineChars="196"/>
        <w:jc w:val="left"/>
        <w:outlineLvl w:val="0"/>
        <w:rPr>
          <w:rFonts w:ascii="仿宋" w:hAnsi="仿宋" w:eastAsia="仿宋" w:cs="仿宋"/>
          <w:b/>
          <w:color w:val="auto"/>
          <w:sz w:val="24"/>
          <w:highlight w:val="none"/>
        </w:rPr>
      </w:pPr>
      <w:bookmarkStart w:id="115" w:name="_Toc30010"/>
      <w:bookmarkStart w:id="116" w:name="_Toc5531"/>
      <w:bookmarkStart w:id="117" w:name="_Toc301424920"/>
      <w:bookmarkStart w:id="118" w:name="_Toc293863312"/>
      <w:bookmarkStart w:id="119" w:name="_Toc293863045"/>
      <w:bookmarkStart w:id="120" w:name="_Toc254970536"/>
      <w:bookmarkStart w:id="121" w:name="_Toc326217539"/>
      <w:bookmarkStart w:id="122" w:name="_Toc15637"/>
      <w:bookmarkStart w:id="123" w:name="_Toc2669"/>
      <w:bookmarkStart w:id="124" w:name="_Toc254970677"/>
      <w:bookmarkStart w:id="125" w:name="_Toc549"/>
      <w:r>
        <w:rPr>
          <w:rFonts w:hint="eastAsia" w:ascii="仿宋" w:hAnsi="仿宋" w:eastAsia="仿宋" w:cs="仿宋"/>
          <w:b/>
          <w:color w:val="auto"/>
          <w:sz w:val="24"/>
          <w:highlight w:val="none"/>
        </w:rPr>
        <w:t>（一）响应文件的组成</w:t>
      </w:r>
      <w:bookmarkEnd w:id="115"/>
      <w:bookmarkEnd w:id="116"/>
      <w:bookmarkEnd w:id="117"/>
      <w:bookmarkEnd w:id="118"/>
      <w:bookmarkEnd w:id="119"/>
      <w:bookmarkEnd w:id="120"/>
      <w:bookmarkEnd w:id="121"/>
      <w:bookmarkEnd w:id="122"/>
      <w:bookmarkEnd w:id="123"/>
      <w:bookmarkEnd w:id="124"/>
      <w:bookmarkEnd w:id="125"/>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▲响应文件由资信/商务文件、技术文件、磋商报价文件三部份组成（装订成一册，也可以分册装订，密封递交）。其中，“第六章  响应文件格式”中规定了响应文件格式的（有特殊要求除外），应按相应格式要求编写、签字、盖章。</w:t>
      </w:r>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1、资信/商务文件：</w:t>
      </w:r>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商务部分是证明供应商有资格参加磋商和成交后有能力履行合同的文件，这些文件应能满足采购的要求，包括但不限于下列文件，其中加</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▲”项目不得有缺失或无效且不允许截标后补正。</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▲（1）磋商保证金缴纳证明材料复印件（格式自拟）；</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▲（2）磋商声明书（格式见第六章）；</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▲（3）有效的营业执照副本复印件（原件备查）；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▲（4）有效的建筑装修装饰工程专业承包二级或以上资质证书复印件（原件备查）；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▲（5）有效的安全生产许可证复印件（原件备查）；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▲（6）拟投入本项目项目经理有效的建筑工程专业二级（及以上）注册建造师执业资格证书复印件及安全生产考核合格证书（B类）复印件（原件备查）；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▲（7）有效的法定代表人身份证正反面复印件（如法定代表人非中国国籍应提交护照复印件，要求证件有效并与营业执照中的法定代表人相符，格式自拟，原件备查）；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▲（8）法定代表人授权委托书（委托代理时提供，格式见第六章）；</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▲（9）有效的委托代理人身份证正反面复印件（委托代理时提供，如委托代理人非中国国籍应提交护照复印件，要求证件有效并与法定代表人授权委托书中的授权人相符，格式自拟，原件备查）；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10）2020年以来任意连续2个月的有效依法缴纳税费或依法免缴税费的证明（无纳税记录的，应提供由供应商所在地主管税务部门出具的《依法纳税或依法免税证明》；2020年新成立的公司可不提供）（格式自拟，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2020年以来任意连续2个月的有效依法缴纳社保费的缴费凭证（无缴费记录的，应提供由供应商所在地社保部门出具的《依法缴纳或依法免缴社保费证明》；2020年新成立的公司可不提供）（格式自拟，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▲（12）近三年有效的财务状况报告复印件或有效的第三方具备审计资质的机构出具的审计报告复印件（格式自拟，复印件，原件备查）；</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▲（13）农民工工资保障金承诺书；</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▲（14）供应商的类似业绩证明文件（如有，请提供）（格式见第六章）；</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▲（15）供应商认为与商务分评分有关的其他证明材料（格式自拟）。</w:t>
      </w:r>
    </w:p>
    <w:p>
      <w:pPr>
        <w:snapToGrid w:val="0"/>
        <w:spacing w:line="400" w:lineRule="exact"/>
        <w:ind w:firstLine="472" w:firstLineChars="196"/>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2、技术文件：</w:t>
      </w:r>
    </w:p>
    <w:p>
      <w:pPr>
        <w:snapToGrid w:val="0"/>
        <w:spacing w:line="400" w:lineRule="exact"/>
        <w:ind w:firstLine="472" w:firstLineChars="196"/>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技术部分是证明供应商提供的工程是合格的、并符合采购文件要求的证明文件。包括但不限于下列文件，其中加</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▲”项目不得有缺失或无效且不允许截标后补正。</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▲（1）施工组织设计方案；</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▲（2）拟投入本项目实施人员一览表；</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▲（3）供应商认为与技术分评分有关的其他证明材料（格式自拟）；</w:t>
      </w:r>
    </w:p>
    <w:p>
      <w:pPr>
        <w:snapToGrid w:val="0"/>
        <w:spacing w:line="400" w:lineRule="exact"/>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3、报价文件：</w:t>
      </w:r>
    </w:p>
    <w:p>
      <w:pPr>
        <w:tabs>
          <w:tab w:val="left" w:pos="3870"/>
          <w:tab w:val="left" w:pos="4085"/>
        </w:tabs>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▲（1）磋商函（格式见第六章）；</w:t>
      </w:r>
    </w:p>
    <w:p>
      <w:pPr>
        <w:tabs>
          <w:tab w:val="left" w:pos="3870"/>
          <w:tab w:val="left" w:pos="4085"/>
        </w:tabs>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▲（2）磋商报价汇总表（格式见第六章）；</w:t>
      </w:r>
    </w:p>
    <w:p>
      <w:pPr>
        <w:pStyle w:val="42"/>
        <w:spacing w:after="0" w:line="400" w:lineRule="exact"/>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注：法定代表人授权委托书、磋商声明书、磋商函、磋商报价表必须按采购文件要求签名并加盖单位公章，所提供材料均须加盖单位公章，否则视为无效材料。</w:t>
      </w:r>
    </w:p>
    <w:p>
      <w:pPr>
        <w:pStyle w:val="42"/>
        <w:spacing w:after="0" w:line="40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4、响应文件的电子版</w:t>
      </w:r>
    </w:p>
    <w:p>
      <w:pPr>
        <w:pStyle w:val="42"/>
        <w:spacing w:after="0" w:line="400" w:lineRule="exact"/>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供</w:t>
      </w:r>
      <w:r>
        <w:rPr>
          <w:rFonts w:hint="eastAsia" w:ascii="仿宋" w:hAnsi="仿宋" w:eastAsia="仿宋" w:cs="仿宋"/>
          <w:b/>
          <w:bCs/>
          <w:color w:val="auto"/>
          <w:sz w:val="24"/>
          <w:highlight w:val="none"/>
        </w:rPr>
        <w:t>应商在递交响应文件时，同时递交响应文件电子版：</w:t>
      </w:r>
    </w:p>
    <w:p>
      <w:pPr>
        <w:pStyle w:val="42"/>
        <w:spacing w:after="0"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（1）响应文件电子版内容：</w:t>
      </w:r>
      <w:r>
        <w:rPr>
          <w:rFonts w:hint="eastAsia" w:ascii="仿宋" w:hAnsi="仿宋" w:eastAsia="仿宋" w:cs="仿宋"/>
          <w:color w:val="auto"/>
          <w:sz w:val="24"/>
          <w:highlight w:val="none"/>
        </w:rPr>
        <w:t>资信/商务、技术、报价文件</w:t>
      </w:r>
      <w:r>
        <w:rPr>
          <w:rFonts w:hint="eastAsia" w:ascii="仿宋" w:hAnsi="仿宋" w:eastAsia="仿宋" w:cs="仿宋"/>
          <w:bCs/>
          <w:color w:val="auto"/>
          <w:sz w:val="24"/>
          <w:highlight w:val="none"/>
        </w:rPr>
        <w:t>；</w:t>
      </w:r>
    </w:p>
    <w:p>
      <w:pPr>
        <w:pStyle w:val="42"/>
        <w:spacing w:after="0"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（2）份数：1份；</w:t>
      </w:r>
    </w:p>
    <w:p>
      <w:pPr>
        <w:pStyle w:val="42"/>
        <w:spacing w:after="0"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（3）电子版形式：</w:t>
      </w:r>
      <w:r>
        <w:rPr>
          <w:rFonts w:hint="eastAsia" w:ascii="仿宋" w:hAnsi="仿宋" w:eastAsia="仿宋" w:cs="仿宋"/>
          <w:color w:val="auto"/>
          <w:sz w:val="24"/>
          <w:highlight w:val="none"/>
        </w:rPr>
        <w:t>可编辑的WORD文档格式</w:t>
      </w:r>
      <w:r>
        <w:rPr>
          <w:rFonts w:hint="eastAsia" w:ascii="仿宋" w:hAnsi="仿宋" w:eastAsia="仿宋" w:cs="仿宋"/>
          <w:bCs/>
          <w:color w:val="auto"/>
          <w:sz w:val="24"/>
          <w:highlight w:val="none"/>
        </w:rPr>
        <w:t>；</w:t>
      </w:r>
    </w:p>
    <w:p>
      <w:pPr>
        <w:pStyle w:val="42"/>
        <w:spacing w:after="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4）密封方式：装载响应文件电子版的光盘与纸质响应文件一同密封进响应文件袋中。</w:t>
      </w:r>
    </w:p>
    <w:p>
      <w:pPr>
        <w:snapToGrid w:val="0"/>
        <w:spacing w:line="400" w:lineRule="exact"/>
        <w:ind w:firstLine="472" w:firstLineChars="196"/>
        <w:jc w:val="left"/>
        <w:outlineLvl w:val="0"/>
        <w:rPr>
          <w:rFonts w:ascii="仿宋" w:hAnsi="仿宋" w:eastAsia="仿宋" w:cs="仿宋"/>
          <w:b/>
          <w:color w:val="auto"/>
          <w:sz w:val="24"/>
          <w:highlight w:val="none"/>
        </w:rPr>
      </w:pPr>
      <w:bookmarkStart w:id="126" w:name="_Toc293863046"/>
      <w:bookmarkStart w:id="127" w:name="_Toc301424921"/>
      <w:bookmarkStart w:id="128" w:name="_Toc8814"/>
      <w:bookmarkStart w:id="129" w:name="_Toc16321"/>
      <w:bookmarkStart w:id="130" w:name="_Toc23386"/>
      <w:bookmarkStart w:id="131" w:name="_Toc29710"/>
      <w:bookmarkStart w:id="132" w:name="_Toc254970678"/>
      <w:bookmarkStart w:id="133" w:name="_Toc326217540"/>
      <w:bookmarkStart w:id="134" w:name="_Toc293863313"/>
      <w:bookmarkStart w:id="135" w:name="_Toc254970537"/>
      <w:bookmarkStart w:id="136" w:name="_Toc6319"/>
      <w:r>
        <w:rPr>
          <w:rFonts w:hint="eastAsia" w:ascii="仿宋" w:hAnsi="仿宋" w:eastAsia="仿宋" w:cs="仿宋"/>
          <w:b/>
          <w:color w:val="auto"/>
          <w:sz w:val="24"/>
          <w:highlight w:val="none"/>
        </w:rPr>
        <w:t>（二）响应文件的语言及计量</w:t>
      </w:r>
      <w:bookmarkEnd w:id="126"/>
      <w:bookmarkEnd w:id="127"/>
      <w:bookmarkEnd w:id="128"/>
      <w:bookmarkEnd w:id="129"/>
      <w:bookmarkEnd w:id="130"/>
      <w:bookmarkEnd w:id="131"/>
      <w:bookmarkEnd w:id="132"/>
      <w:bookmarkEnd w:id="133"/>
      <w:bookmarkEnd w:id="134"/>
      <w:bookmarkEnd w:id="135"/>
      <w:bookmarkEnd w:id="136"/>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1、响应文件以及磋商方与采购人就有关磋商事宜的所有来往函电，均应以中文汉语书写。除签名、盖章、专用名称等特殊情形外，以中文汉语以外的文字表述的响应文件视同未提供。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2、磋商计量单位，采购文件已有明确规定的，使用采购文件规定的计量单位；采购文件没有规定的，应采用中华人民共和国法定计量单位（货币单位：人民币元），否则视同未响应。</w:t>
      </w:r>
    </w:p>
    <w:p>
      <w:pPr>
        <w:snapToGrid w:val="0"/>
        <w:spacing w:line="400" w:lineRule="exact"/>
        <w:ind w:firstLine="472" w:firstLineChars="196"/>
        <w:jc w:val="left"/>
        <w:outlineLvl w:val="0"/>
        <w:rPr>
          <w:rFonts w:ascii="仿宋" w:hAnsi="仿宋" w:eastAsia="仿宋" w:cs="仿宋"/>
          <w:b/>
          <w:color w:val="auto"/>
          <w:sz w:val="24"/>
          <w:highlight w:val="none"/>
        </w:rPr>
      </w:pPr>
      <w:bookmarkStart w:id="137" w:name="_Toc254970538"/>
      <w:bookmarkStart w:id="138" w:name="_Toc16308"/>
      <w:bookmarkStart w:id="139" w:name="_Toc254970679"/>
      <w:bookmarkStart w:id="140" w:name="_Toc293863047"/>
      <w:bookmarkStart w:id="141" w:name="_Toc301424922"/>
      <w:bookmarkStart w:id="142" w:name="_Toc293863314"/>
      <w:bookmarkStart w:id="143" w:name="_Toc6388"/>
      <w:bookmarkStart w:id="144" w:name="_Toc5339"/>
      <w:bookmarkStart w:id="145" w:name="_Toc2765"/>
      <w:bookmarkStart w:id="146" w:name="_Toc5106"/>
      <w:bookmarkStart w:id="147" w:name="_Toc326217541"/>
      <w:r>
        <w:rPr>
          <w:rFonts w:hint="eastAsia" w:ascii="仿宋" w:hAnsi="仿宋" w:eastAsia="仿宋" w:cs="仿宋"/>
          <w:b/>
          <w:color w:val="auto"/>
          <w:sz w:val="24"/>
          <w:highlight w:val="none"/>
        </w:rPr>
        <w:t>（三）磋商报价</w:t>
      </w:r>
      <w:bookmarkEnd w:id="137"/>
      <w:bookmarkEnd w:id="138"/>
      <w:bookmarkEnd w:id="139"/>
      <w:bookmarkEnd w:id="140"/>
      <w:bookmarkEnd w:id="141"/>
      <w:bookmarkEnd w:id="142"/>
      <w:bookmarkEnd w:id="143"/>
      <w:bookmarkEnd w:id="144"/>
      <w:bookmarkEnd w:id="145"/>
      <w:bookmarkEnd w:id="146"/>
      <w:bookmarkEnd w:id="147"/>
    </w:p>
    <w:p>
      <w:pPr>
        <w:tabs>
          <w:tab w:val="left" w:pos="525"/>
        </w:tabs>
        <w:snapToGrid w:val="0"/>
        <w:spacing w:line="400" w:lineRule="exact"/>
        <w:ind w:firstLine="482" w:firstLineChars="200"/>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1、本项目为一次性报价。</w:t>
      </w:r>
    </w:p>
    <w:p>
      <w:pPr>
        <w:tabs>
          <w:tab w:val="left" w:pos="525"/>
        </w:tabs>
        <w:snapToGrid w:val="0"/>
        <w:spacing w:line="400" w:lineRule="exact"/>
        <w:ind w:firstLine="482" w:firstLineChars="200"/>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2、本项目磋商报价采用工程量清单方式报价。</w:t>
      </w:r>
    </w:p>
    <w:p>
      <w:pPr>
        <w:tabs>
          <w:tab w:val="left" w:pos="525"/>
        </w:tabs>
        <w:snapToGrid w:val="0"/>
        <w:spacing w:line="40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3、所有根据合同或其它原因应由供应商支付的有关税金和其它应缴纳的费用都要包括在供应商提交的磋商价格中。</w:t>
      </w:r>
    </w:p>
    <w:p>
      <w:pPr>
        <w:tabs>
          <w:tab w:val="left" w:pos="525"/>
        </w:tabs>
        <w:snapToGrid w:val="0"/>
        <w:spacing w:line="40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4、供应商的磋商报价均包括完成该工程项目的成本、管理费、利润、税金、开办费、技术措施费、风险费、政策性文件规定费用等所有费用。</w:t>
      </w:r>
    </w:p>
    <w:p>
      <w:pPr>
        <w:tabs>
          <w:tab w:val="left" w:pos="525"/>
        </w:tabs>
        <w:snapToGrid w:val="0"/>
        <w:spacing w:line="400" w:lineRule="exact"/>
        <w:ind w:firstLine="480" w:firstLineChars="200"/>
        <w:jc w:val="left"/>
        <w:rPr>
          <w:rFonts w:ascii="仿宋" w:hAnsi="仿宋" w:eastAsia="仿宋" w:cs="仿宋"/>
          <w:b/>
          <w:color w:val="auto"/>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b/>
          <w:color w:val="auto"/>
          <w:sz w:val="24"/>
          <w:highlight w:val="none"/>
        </w:rPr>
        <w:t>价格合同：采用固定总价合同，合同价款中包括的风险范围：除工程变更和政策性调整以外的其他风险。工程总价包干不能因市场价格调整发生变化。</w:t>
      </w:r>
    </w:p>
    <w:p>
      <w:pPr>
        <w:pStyle w:val="15"/>
        <w:widowControl w:val="0"/>
        <w:tabs>
          <w:tab w:val="clear" w:pos="454"/>
        </w:tabs>
        <w:snapToGrid w:val="0"/>
        <w:spacing w:after="0" w:afterLines="0" w:line="400" w:lineRule="exact"/>
        <w:ind w:left="0" w:firstLine="472" w:firstLineChars="196"/>
        <w:rPr>
          <w:rFonts w:ascii="仿宋" w:hAnsi="仿宋" w:eastAsia="仿宋" w:cs="仿宋"/>
          <w:b/>
          <w:color w:val="auto"/>
          <w:szCs w:val="24"/>
          <w:highlight w:val="none"/>
        </w:rPr>
      </w:pPr>
      <w:r>
        <w:rPr>
          <w:rFonts w:hint="eastAsia" w:ascii="仿宋" w:hAnsi="仿宋" w:eastAsia="仿宋" w:cs="仿宋"/>
          <w:b/>
          <w:color w:val="auto"/>
          <w:szCs w:val="24"/>
          <w:highlight w:val="none"/>
        </w:rPr>
        <w:t>（四）响应文件的有效期</w:t>
      </w:r>
    </w:p>
    <w:p>
      <w:pPr>
        <w:pStyle w:val="15"/>
        <w:widowControl w:val="0"/>
        <w:tabs>
          <w:tab w:val="clear" w:pos="454"/>
        </w:tabs>
        <w:snapToGrid w:val="0"/>
        <w:spacing w:after="0" w:afterLines="0" w:line="400" w:lineRule="exact"/>
        <w:ind w:left="0"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▲1、自磋商截止日起90天响应文件应保持有效。有效期不足的响应文件将被拒绝。</w:t>
      </w:r>
    </w:p>
    <w:p>
      <w:pPr>
        <w:pStyle w:val="15"/>
        <w:widowControl w:val="0"/>
        <w:tabs>
          <w:tab w:val="clear" w:pos="454"/>
        </w:tabs>
        <w:snapToGrid w:val="0"/>
        <w:spacing w:after="0" w:afterLines="0" w:line="400" w:lineRule="exact"/>
        <w:ind w:left="0"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2、在特殊情况下，采购人可与供应商协商延长响应的有效期，这种要求和答复均以书面形式进行。</w:t>
      </w:r>
    </w:p>
    <w:p>
      <w:pPr>
        <w:snapToGrid w:val="0"/>
        <w:spacing w:line="400" w:lineRule="exact"/>
        <w:ind w:firstLine="480" w:firstLineChars="200"/>
        <w:jc w:val="left"/>
        <w:outlineLvl w:val="0"/>
        <w:rPr>
          <w:rFonts w:ascii="仿宋" w:hAnsi="仿宋" w:eastAsia="仿宋" w:cs="仿宋"/>
          <w:b/>
          <w:color w:val="auto"/>
          <w:sz w:val="24"/>
          <w:highlight w:val="none"/>
        </w:rPr>
      </w:pPr>
      <w:bookmarkStart w:id="148" w:name="_Toc326217542"/>
      <w:bookmarkStart w:id="149" w:name="_Toc301424923"/>
      <w:bookmarkStart w:id="150" w:name="_Toc293863048"/>
      <w:bookmarkStart w:id="151" w:name="_Toc10332"/>
      <w:bookmarkStart w:id="152" w:name="_Toc29031"/>
      <w:bookmarkStart w:id="153" w:name="_Toc293863315"/>
      <w:bookmarkStart w:id="154" w:name="_Toc254970680"/>
      <w:bookmarkStart w:id="155" w:name="_Toc27278"/>
      <w:bookmarkStart w:id="156" w:name="_Toc8168"/>
      <w:bookmarkStart w:id="157" w:name="_Toc28334"/>
      <w:bookmarkStart w:id="158" w:name="_Toc254970539"/>
      <w:r>
        <w:rPr>
          <w:rFonts w:hint="eastAsia" w:ascii="仿宋" w:hAnsi="仿宋" w:eastAsia="仿宋" w:cs="仿宋"/>
          <w:color w:val="auto"/>
          <w:sz w:val="24"/>
          <w:highlight w:val="none"/>
        </w:rPr>
        <w:t>3、供应商可拒绝接受延期要求而不会导致磋商保证金被没收。同意延长有效期的供应商需要相应延长磋商保证金的有效期，但不能修改响应文件。</w:t>
      </w:r>
      <w:bookmarkEnd w:id="148"/>
      <w:bookmarkEnd w:id="149"/>
      <w:bookmarkEnd w:id="150"/>
      <w:bookmarkEnd w:id="151"/>
      <w:bookmarkEnd w:id="152"/>
      <w:bookmarkEnd w:id="153"/>
      <w:bookmarkEnd w:id="154"/>
      <w:bookmarkEnd w:id="155"/>
      <w:bookmarkEnd w:id="156"/>
      <w:bookmarkEnd w:id="157"/>
      <w:bookmarkEnd w:id="158"/>
      <w:r>
        <w:rPr>
          <w:rFonts w:hint="eastAsia" w:ascii="仿宋" w:hAnsi="仿宋" w:eastAsia="仿宋" w:cs="仿宋"/>
          <w:b/>
          <w:color w:val="auto"/>
          <w:sz w:val="24"/>
          <w:highlight w:val="none"/>
        </w:rPr>
        <w:t xml:space="preserve"> </w:t>
      </w:r>
    </w:p>
    <w:p>
      <w:pPr>
        <w:snapToGrid w:val="0"/>
        <w:spacing w:line="400" w:lineRule="exact"/>
        <w:ind w:firstLine="480" w:firstLineChars="200"/>
        <w:jc w:val="left"/>
        <w:outlineLvl w:val="0"/>
        <w:rPr>
          <w:rFonts w:ascii="仿宋" w:hAnsi="仿宋" w:eastAsia="仿宋" w:cs="仿宋"/>
          <w:b/>
          <w:color w:val="auto"/>
          <w:sz w:val="24"/>
          <w:highlight w:val="none"/>
        </w:rPr>
      </w:pPr>
      <w:bookmarkStart w:id="159" w:name="_Toc18898"/>
      <w:bookmarkStart w:id="160" w:name="_Toc19188"/>
      <w:bookmarkStart w:id="161" w:name="_Toc254970681"/>
      <w:bookmarkStart w:id="162" w:name="_Toc326217543"/>
      <w:bookmarkStart w:id="163" w:name="_Toc301424924"/>
      <w:bookmarkStart w:id="164" w:name="_Toc1603"/>
      <w:bookmarkStart w:id="165" w:name="_Toc293863049"/>
      <w:bookmarkStart w:id="166" w:name="_Toc254970540"/>
      <w:bookmarkStart w:id="167" w:name="_Toc293863316"/>
      <w:bookmarkStart w:id="168" w:name="_Toc27813"/>
      <w:bookmarkStart w:id="169" w:name="_Toc11640"/>
      <w:r>
        <w:rPr>
          <w:rFonts w:hint="eastAsia" w:ascii="仿宋" w:hAnsi="仿宋" w:eastAsia="仿宋" w:cs="仿宋"/>
          <w:color w:val="auto"/>
          <w:sz w:val="24"/>
          <w:highlight w:val="none"/>
        </w:rPr>
        <w:t>4、成交人的响应文件自开标之日起至合同履行完毕止均应保持有效。</w:t>
      </w:r>
      <w:bookmarkEnd w:id="159"/>
      <w:bookmarkEnd w:id="160"/>
      <w:bookmarkEnd w:id="161"/>
      <w:bookmarkEnd w:id="162"/>
      <w:bookmarkEnd w:id="163"/>
      <w:bookmarkEnd w:id="164"/>
      <w:bookmarkEnd w:id="165"/>
      <w:bookmarkEnd w:id="166"/>
      <w:bookmarkEnd w:id="167"/>
      <w:bookmarkEnd w:id="168"/>
      <w:bookmarkEnd w:id="169"/>
    </w:p>
    <w:p>
      <w:pPr>
        <w:snapToGrid w:val="0"/>
        <w:spacing w:line="400" w:lineRule="exact"/>
        <w:ind w:firstLine="472" w:firstLineChars="196"/>
        <w:jc w:val="left"/>
        <w:outlineLvl w:val="0"/>
        <w:rPr>
          <w:rFonts w:ascii="仿宋" w:hAnsi="仿宋" w:eastAsia="仿宋" w:cs="仿宋"/>
          <w:b/>
          <w:color w:val="auto"/>
          <w:sz w:val="24"/>
          <w:highlight w:val="none"/>
        </w:rPr>
      </w:pPr>
      <w:bookmarkStart w:id="170" w:name="_Toc293863317"/>
      <w:bookmarkStart w:id="171" w:name="_Toc293863050"/>
      <w:bookmarkStart w:id="172" w:name="_Toc301424925"/>
      <w:bookmarkStart w:id="173" w:name="_Toc326217544"/>
      <w:bookmarkStart w:id="174" w:name="_Toc30074"/>
      <w:bookmarkStart w:id="175" w:name="_Toc254970682"/>
      <w:bookmarkStart w:id="176" w:name="_Toc19817"/>
      <w:bookmarkStart w:id="177" w:name="_Toc254970541"/>
      <w:bookmarkStart w:id="178" w:name="_Toc19386"/>
      <w:bookmarkStart w:id="179" w:name="_Toc13596"/>
      <w:bookmarkStart w:id="180" w:name="_Toc21587"/>
      <w:r>
        <w:rPr>
          <w:rFonts w:hint="eastAsia" w:ascii="仿宋" w:hAnsi="仿宋" w:eastAsia="仿宋" w:cs="仿宋"/>
          <w:b/>
          <w:color w:val="auto"/>
          <w:sz w:val="24"/>
          <w:highlight w:val="none"/>
        </w:rPr>
        <w:t>（五）磋商保证金</w:t>
      </w:r>
      <w:bookmarkEnd w:id="170"/>
      <w:bookmarkEnd w:id="171"/>
      <w:bookmarkEnd w:id="172"/>
      <w:bookmarkEnd w:id="173"/>
      <w:bookmarkEnd w:id="174"/>
      <w:bookmarkEnd w:id="175"/>
      <w:bookmarkEnd w:id="176"/>
      <w:bookmarkEnd w:id="177"/>
      <w:bookmarkEnd w:id="178"/>
      <w:bookmarkEnd w:id="179"/>
      <w:bookmarkEnd w:id="180"/>
    </w:p>
    <w:p>
      <w:pPr>
        <w:snapToGrid w:val="0"/>
        <w:spacing w:line="400" w:lineRule="exact"/>
        <w:ind w:firstLine="470" w:firstLineChars="196"/>
        <w:jc w:val="left"/>
        <w:outlineLvl w:val="0"/>
        <w:rPr>
          <w:rFonts w:ascii="仿宋" w:hAnsi="仿宋" w:eastAsia="仿宋" w:cs="仿宋"/>
          <w:b/>
          <w:color w:val="auto"/>
          <w:sz w:val="24"/>
          <w:highlight w:val="none"/>
        </w:rPr>
      </w:pPr>
      <w:bookmarkStart w:id="181" w:name="_Toc1943"/>
      <w:bookmarkStart w:id="182" w:name="_Toc897"/>
      <w:bookmarkStart w:id="183" w:name="_Toc9362"/>
      <w:bookmarkStart w:id="184" w:name="_Toc9877"/>
      <w:bookmarkStart w:id="185" w:name="_Toc14227"/>
      <w:r>
        <w:rPr>
          <w:rFonts w:hint="eastAsia" w:ascii="仿宋" w:hAnsi="仿宋" w:eastAsia="仿宋" w:cs="仿宋"/>
          <w:color w:val="auto"/>
          <w:sz w:val="24"/>
          <w:highlight w:val="none"/>
        </w:rPr>
        <w:t>▲1、磋商保证金：</w:t>
      </w:r>
      <w:r>
        <w:rPr>
          <w:rFonts w:hint="eastAsia" w:ascii="仿宋" w:hAnsi="仿宋" w:eastAsia="仿宋" w:cs="仿宋"/>
          <w:b/>
          <w:color w:val="auto"/>
          <w:sz w:val="24"/>
          <w:highlight w:val="none"/>
        </w:rPr>
        <w:t>人民币壹万伍仟元整（￥15,000.00）（必须足额交纳）。</w:t>
      </w:r>
      <w:bookmarkEnd w:id="181"/>
      <w:bookmarkEnd w:id="182"/>
      <w:bookmarkEnd w:id="183"/>
      <w:bookmarkEnd w:id="184"/>
      <w:bookmarkEnd w:id="185"/>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应于截标前将磋商保证金以汇票、电汇、转账和网银等非现金形式（转账、电汇或网上汇款需注明项目编号、项目名称）交至广西国盛招标有限公司。磋商时，响应文件中必须提供磋商保证金交纳凭证。本次磋商保证金不收现金及现金支票，不接受现金缴存银行和个人转账。</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开户名称：广西国盛招标有限公司</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开户银行：上海浦东发展银行南宁分行营业部 </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银行账号：63010154700016896</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3、未成交人的磋商保证金在成交通知书发出后五个工作日内退还。</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4、成交人的磋商保证金在合同签订后五个工作日内退还。</w:t>
      </w:r>
    </w:p>
    <w:p>
      <w:pPr>
        <w:snapToGrid w:val="0"/>
        <w:spacing w:line="400" w:lineRule="exact"/>
        <w:ind w:firstLine="480" w:firstLineChars="200"/>
        <w:jc w:val="left"/>
        <w:rPr>
          <w:rFonts w:ascii="仿宋" w:hAnsi="仿宋" w:eastAsia="仿宋" w:cs="仿宋"/>
          <w:b/>
          <w:color w:val="auto"/>
          <w:sz w:val="24"/>
          <w:highlight w:val="none"/>
        </w:rPr>
      </w:pPr>
      <w:r>
        <w:rPr>
          <w:rFonts w:hint="eastAsia" w:ascii="仿宋" w:hAnsi="仿宋" w:eastAsia="仿宋" w:cs="仿宋"/>
          <w:color w:val="auto"/>
          <w:sz w:val="24"/>
          <w:highlight w:val="none"/>
        </w:rPr>
        <w:t>5、磋商保证金不计息。</w:t>
      </w:r>
    </w:p>
    <w:p>
      <w:pPr>
        <w:snapToGrid w:val="0"/>
        <w:spacing w:line="400" w:lineRule="exact"/>
        <w:ind w:firstLine="472" w:firstLineChars="196"/>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6、供应商有下列情形之一的，磋商保证金将不予退还：</w:t>
      </w:r>
    </w:p>
    <w:p>
      <w:pPr>
        <w:snapToGrid w:val="0"/>
        <w:spacing w:line="400" w:lineRule="exact"/>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（1）供应商在磋商有效期内撤回响应文件的；</w:t>
      </w:r>
    </w:p>
    <w:p>
      <w:pPr>
        <w:snapToGrid w:val="0"/>
        <w:spacing w:line="400" w:lineRule="exact"/>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（2）供应商已经被推荐为第一成交候选供应商后撤回磋商或放弃成交的，其磋商保证金将不予退还，并上缴国库。给采购人造成损失的，还应当赔偿损失，并作为不良行为记录在案；</w:t>
      </w:r>
    </w:p>
    <w:p>
      <w:pPr>
        <w:snapToGrid w:val="0"/>
        <w:spacing w:line="400" w:lineRule="exact"/>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（3）供应商在磋商过程中弄虚作假，提供虚假材料的；</w:t>
      </w:r>
    </w:p>
    <w:p>
      <w:pPr>
        <w:snapToGrid w:val="0"/>
        <w:spacing w:line="400" w:lineRule="exact"/>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（4）成交人无正当理由不与采购人签订合同的；</w:t>
      </w:r>
    </w:p>
    <w:p>
      <w:pPr>
        <w:snapToGrid w:val="0"/>
        <w:spacing w:line="400" w:lineRule="exact"/>
        <w:ind w:firstLine="470" w:firstLineChars="196"/>
        <w:rPr>
          <w:rFonts w:ascii="仿宋" w:hAnsi="仿宋" w:eastAsia="仿宋" w:cs="仿宋"/>
          <w:b/>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bCs/>
          <w:color w:val="auto"/>
          <w:spacing w:val="-4"/>
          <w:sz w:val="24"/>
          <w:highlight w:val="none"/>
        </w:rPr>
        <w:t>将成交项目转让给他人或者在响应文件中未说明且未经招标采购单位同意，将成交项目分包给他人的；</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（6）拒绝履行合同义务的；</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（7）其他严重扰乱磋商程序的。</w:t>
      </w:r>
    </w:p>
    <w:p>
      <w:pPr>
        <w:snapToGrid w:val="0"/>
        <w:spacing w:line="400" w:lineRule="exact"/>
        <w:ind w:firstLine="472" w:firstLineChars="196"/>
        <w:jc w:val="left"/>
        <w:outlineLvl w:val="0"/>
        <w:rPr>
          <w:rFonts w:ascii="仿宋" w:hAnsi="仿宋" w:eastAsia="仿宋" w:cs="仿宋"/>
          <w:b/>
          <w:color w:val="auto"/>
          <w:sz w:val="24"/>
          <w:highlight w:val="none"/>
        </w:rPr>
      </w:pPr>
      <w:bookmarkStart w:id="186" w:name="_Toc254970542"/>
      <w:bookmarkStart w:id="187" w:name="_Toc20187"/>
      <w:bookmarkStart w:id="188" w:name="_Toc31683"/>
      <w:bookmarkStart w:id="189" w:name="_Toc293863051"/>
      <w:bookmarkStart w:id="190" w:name="_Toc3510"/>
      <w:bookmarkStart w:id="191" w:name="_Toc301424926"/>
      <w:bookmarkStart w:id="192" w:name="_Toc293863318"/>
      <w:bookmarkStart w:id="193" w:name="_Toc326217545"/>
      <w:bookmarkStart w:id="194" w:name="_Toc254970683"/>
      <w:bookmarkStart w:id="195" w:name="_Toc28477"/>
      <w:bookmarkStart w:id="196" w:name="_Toc22329"/>
      <w:r>
        <w:rPr>
          <w:rFonts w:hint="eastAsia" w:ascii="仿宋" w:hAnsi="仿宋" w:eastAsia="仿宋" w:cs="仿宋"/>
          <w:b/>
          <w:color w:val="auto"/>
          <w:sz w:val="24"/>
          <w:highlight w:val="none"/>
        </w:rPr>
        <w:t>（六）响应文件的签署和份数</w:t>
      </w:r>
      <w:bookmarkEnd w:id="186"/>
      <w:bookmarkEnd w:id="187"/>
      <w:bookmarkEnd w:id="188"/>
      <w:bookmarkEnd w:id="189"/>
      <w:bookmarkEnd w:id="190"/>
      <w:bookmarkEnd w:id="191"/>
      <w:bookmarkEnd w:id="192"/>
      <w:bookmarkEnd w:id="193"/>
      <w:bookmarkEnd w:id="194"/>
      <w:bookmarkEnd w:id="195"/>
      <w:bookmarkEnd w:id="196"/>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1、供应商应按本采购文件规定的格式和顺序编制、装订响应文件并标注页码，响应文件内容不完整、编排混乱导致响应文件被误读、漏读或者查找不到相关内容的，是供应商的责任。</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2、供应商应把资信/商务文件、技术文件、磋商报价文件合并装订成一册，也可以分册装订，正本1份，副本3份，响应文件的封面应注明“正本”、“副本”字样。</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3、响应文件的正本需打印或用不褪色的墨水填写，响应文件正本除本《供应商须知》中规定的可提供复印件外均须提供原件。副本为正本的复印件。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pacing w:val="-2"/>
          <w:sz w:val="24"/>
          <w:highlight w:val="none"/>
        </w:rPr>
        <w:t>响应文件须由供应商在规定位置盖章并由法定代表人或法定代表人的授权委托人签署，供应商应写全称。</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5、响应文件不得涂改，若有修改错漏处，须加盖单位公章或者法定代表人或授权委托人签字或盖章。响应文件因字迹潦草或表达不清所引起的后果由供应商负责。</w:t>
      </w:r>
    </w:p>
    <w:p>
      <w:pPr>
        <w:snapToGrid w:val="0"/>
        <w:spacing w:line="400" w:lineRule="exact"/>
        <w:ind w:firstLine="354" w:firstLineChars="147"/>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（七）响应文件的包装、递交、修改和撤回</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1、响应文件的包封：</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1）响应文件正副本全部密封在一个内包封的响应文件袋（盒、箱）。响应文件的包装封面上应注明供应商名称、供应商地址、磋商项目名称、项目编号、分标（如有）及“在×年×月×日×时×分前不得启封（开标时才能启封）”字样，并加盖供应商公章；</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（2）未按规定密封或标记的响应文件将被拒绝，由此造成响应文件被误投或提前拆封的风险由供应商承担。</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2、响应文件的递交：</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（1）响应文件的递交不得迟于本须知前附表规定的截止时间；</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（2）供应商必须在规定时间内将响应文件送到本须知前附表规定地点，超过磋商截止时间送达的响应文件将不予受理；</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（3）响应文件的递交由供应商的法定代表人或被授权代表凭有效证明资料亲自递交，资料不齐或不合格的，该响应文件将被拒绝接收：</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 1 \* GB3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①</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被授权代表为法定代表人的，须出示其有效身份证原件、法定代表人身份证明材料原件等有效证明资料；</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 2 \* GB3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②</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被授权代表为非法定代表人的，须出示其有效身份证原件、法定代表人授权委托书原件等有效证明资料。</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3、响应文件的修改或撤回：</w:t>
      </w:r>
    </w:p>
    <w:p>
      <w:pPr>
        <w:snapToGrid w:val="0"/>
        <w:spacing w:line="40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在磋商截止时间之前，可以对已提交的响应文件进行修改或撤回，并书面通知招标采购单位；磋商截止时间后，供应商不得撤回、修改响应文件。修改后重新递交的响应文件应当按本采购文件的要求签署、盖章和密封。</w:t>
      </w:r>
    </w:p>
    <w:p>
      <w:pPr>
        <w:snapToGrid w:val="0"/>
        <w:spacing w:line="400" w:lineRule="exact"/>
        <w:ind w:firstLine="472" w:firstLineChars="196"/>
        <w:outlineLvl w:val="2"/>
        <w:rPr>
          <w:rFonts w:ascii="仿宋" w:hAnsi="仿宋" w:eastAsia="仿宋" w:cs="仿宋"/>
          <w:b/>
          <w:color w:val="auto"/>
          <w:sz w:val="24"/>
          <w:highlight w:val="none"/>
        </w:rPr>
      </w:pPr>
      <w:bookmarkStart w:id="197" w:name="_Toc293863052"/>
      <w:bookmarkStart w:id="198" w:name="_Toc326217546"/>
      <w:bookmarkStart w:id="199" w:name="_Toc301424927"/>
      <w:bookmarkStart w:id="200" w:name="_Toc8411"/>
      <w:bookmarkStart w:id="201" w:name="_Toc27035"/>
      <w:bookmarkStart w:id="202" w:name="_Toc31991"/>
      <w:bookmarkStart w:id="203" w:name="_Toc254970684"/>
      <w:bookmarkStart w:id="204" w:name="_Toc20915"/>
      <w:bookmarkStart w:id="205" w:name="_Toc4824"/>
      <w:bookmarkStart w:id="206" w:name="_Toc254970543"/>
      <w:bookmarkStart w:id="207" w:name="_Toc293863319"/>
      <w:r>
        <w:rPr>
          <w:rFonts w:hint="eastAsia" w:ascii="仿宋" w:hAnsi="仿宋" w:eastAsia="仿宋" w:cs="仿宋"/>
          <w:b/>
          <w:color w:val="auto"/>
          <w:sz w:val="24"/>
          <w:highlight w:val="none"/>
        </w:rPr>
        <w:t>（八）磋商无效的情形</w:t>
      </w:r>
      <w:bookmarkEnd w:id="197"/>
      <w:bookmarkEnd w:id="198"/>
      <w:bookmarkEnd w:id="199"/>
      <w:bookmarkEnd w:id="200"/>
      <w:bookmarkEnd w:id="201"/>
      <w:bookmarkEnd w:id="202"/>
      <w:bookmarkEnd w:id="203"/>
      <w:bookmarkEnd w:id="204"/>
      <w:bookmarkEnd w:id="205"/>
      <w:bookmarkEnd w:id="206"/>
      <w:bookmarkEnd w:id="207"/>
    </w:p>
    <w:p>
      <w:pPr>
        <w:snapToGrid w:val="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实质上没有响应采购文件要求的磋商将被视为无效磋商。供应商不得通过修正或撤消不合要求的偏离或保留从而使其磋商成为实质上响应的磋商，但经评审委员会认定属于供应商疏忽、笔误所造成的差错，应当允许其在评审结束之前进行修改或者补正（可以是复印件、传真件等，原件必须加盖单位公章）。修改或者补正响应文件必须以书面形式进行，并应在成交结果公告之前查核原件。限期内不补正或经补正后仍不符合采购文件要求的，应认定其磋商无效。供应商修改、补正响应文件后，不影响评审委员会对其响应文件所作的评价和评分结果。</w:t>
      </w:r>
    </w:p>
    <w:p>
      <w:pPr>
        <w:snapToGrid w:val="0"/>
        <w:spacing w:line="400" w:lineRule="exact"/>
        <w:ind w:firstLine="472" w:firstLineChars="196"/>
        <w:rPr>
          <w:rFonts w:ascii="仿宋" w:hAnsi="仿宋" w:eastAsia="仿宋" w:cs="仿宋"/>
          <w:b/>
          <w:bCs/>
          <w:color w:val="auto"/>
          <w:sz w:val="24"/>
          <w:highlight w:val="none"/>
        </w:rPr>
      </w:pPr>
      <w:r>
        <w:rPr>
          <w:rFonts w:hint="eastAsia" w:ascii="仿宋" w:hAnsi="仿宋" w:eastAsia="仿宋" w:cs="仿宋"/>
          <w:b/>
          <w:bCs/>
          <w:color w:val="auto"/>
          <w:sz w:val="24"/>
          <w:highlight w:val="none"/>
        </w:rPr>
        <w:t>1、在审查时，如发现下列情形之一的，响应文件将被视为无效：</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（1）未在采购文件规定的时间内购买采购文件的；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（2）超越了按照法律法规规定必须获得行政许可或者行政审批的经营范围的；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（3）资格证明文件不全的，或者不符合采购文件标明的资格要求的；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（4）响应文件无法定代表人或委托代理人签字，或未提供法定代表人授权委托书（委托代理时提供）、磋商声明书或者填写项目不齐全的；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（5）未按采购文件规定要求密封、签署、盖章的；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 xml:space="preserve">（6）磋商代表人未能出具身份证明或与法定代表人授权委托人身份不符的； </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（7）项目不齐全或者内容虚假的；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（8）响应文件的实质性内容未使用中文表述、意思表述不明确、前后矛盾或者使用计量单位不符合采购文件要求的（经评审委员会认定并允许其当场更正的笔误除外）；</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（9）响应情况与事实不符的；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（10）磋商有效期、工期、质量等级等不能满足采购文件要求的；</w:t>
      </w:r>
    </w:p>
    <w:p>
      <w:pPr>
        <w:pStyle w:val="21"/>
        <w:snapToGrid w:val="0"/>
        <w:spacing w:line="400" w:lineRule="exact"/>
        <w:ind w:firstLine="470" w:firstLineChars="196"/>
        <w:rPr>
          <w:rFonts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（11）响应文件有采购人不能接受的附加条件的；</w:t>
      </w:r>
    </w:p>
    <w:p>
      <w:pPr>
        <w:pStyle w:val="21"/>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（12）与其他参加本次供应商的响应文件（技术文件）的差错相同二处以上的；</w:t>
      </w:r>
    </w:p>
    <w:p>
      <w:pPr>
        <w:pStyle w:val="21"/>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（13）未采用人民币报价或者未按照采购文件标明的币种报价的。</w:t>
      </w:r>
    </w:p>
    <w:p>
      <w:pPr>
        <w:pStyle w:val="21"/>
        <w:snapToGrid w:val="0"/>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4、被拒绝的响应文件为无效。</w:t>
      </w:r>
    </w:p>
    <w:p>
      <w:pPr>
        <w:pStyle w:val="27"/>
        <w:snapToGrid w:val="0"/>
        <w:spacing w:line="400" w:lineRule="exact"/>
        <w:ind w:left="802" w:leftChars="267" w:hanging="241" w:hangingChars="100"/>
        <w:outlineLvl w:val="1"/>
        <w:rPr>
          <w:rFonts w:ascii="仿宋" w:hAnsi="仿宋" w:eastAsia="仿宋" w:cs="仿宋"/>
          <w:b/>
          <w:color w:val="auto"/>
          <w:sz w:val="24"/>
          <w:szCs w:val="24"/>
          <w:highlight w:val="none"/>
        </w:rPr>
      </w:pPr>
      <w:bookmarkStart w:id="208" w:name="_Toc27338"/>
      <w:bookmarkStart w:id="209" w:name="_Toc8027"/>
      <w:bookmarkStart w:id="210" w:name="_Toc27419"/>
      <w:bookmarkStart w:id="211" w:name="_Toc4580"/>
      <w:bookmarkStart w:id="212" w:name="_Toc14397"/>
      <w:bookmarkStart w:id="213" w:name="_Toc254970544"/>
      <w:bookmarkStart w:id="214" w:name="_Toc293863320"/>
      <w:bookmarkStart w:id="215" w:name="_Toc301424928"/>
      <w:bookmarkStart w:id="216" w:name="_Toc326217547"/>
      <w:bookmarkStart w:id="217" w:name="_Toc254970685"/>
      <w:bookmarkStart w:id="218" w:name="_Toc293863053"/>
      <w:r>
        <w:rPr>
          <w:rFonts w:hint="eastAsia" w:ascii="仿宋" w:hAnsi="仿宋" w:eastAsia="仿宋" w:cs="仿宋"/>
          <w:b/>
          <w:color w:val="auto"/>
          <w:sz w:val="24"/>
          <w:szCs w:val="24"/>
          <w:highlight w:val="none"/>
        </w:rPr>
        <w:t>四、磋商小组组成及磋商时间、地点、人员</w:t>
      </w:r>
      <w:bookmarkEnd w:id="208"/>
      <w:bookmarkEnd w:id="209"/>
      <w:bookmarkEnd w:id="210"/>
      <w:bookmarkEnd w:id="211"/>
      <w:bookmarkEnd w:id="212"/>
    </w:p>
    <w:p>
      <w:pPr>
        <w:pStyle w:val="27"/>
        <w:snapToGrid w:val="0"/>
        <w:spacing w:line="400" w:lineRule="exact"/>
        <w:ind w:left="720" w:leftChars="228" w:hanging="241" w:hangingChars="1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（一）磋商小组组成</w:t>
      </w:r>
    </w:p>
    <w:p>
      <w:pPr>
        <w:pStyle w:val="27"/>
        <w:snapToGrid w:val="0"/>
        <w:spacing w:line="400" w:lineRule="exact"/>
        <w:ind w:firstLine="559" w:firstLineChars="23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本项目磋商小组由评审专家和采购人代表组成或全部由评审专家组成。</w:t>
      </w:r>
    </w:p>
    <w:p>
      <w:pPr>
        <w:pStyle w:val="27"/>
        <w:snapToGrid w:val="0"/>
        <w:spacing w:line="400" w:lineRule="exact"/>
        <w:ind w:left="720" w:leftChars="228" w:hanging="241" w:hangingChars="1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（二）磋商时间、地点、人员</w:t>
      </w:r>
    </w:p>
    <w:p>
      <w:pPr>
        <w:pStyle w:val="27"/>
        <w:snapToGrid w:val="0"/>
        <w:spacing w:line="400" w:lineRule="exact"/>
        <w:ind w:left="719" w:leftChars="228" w:hanging="240" w:hanging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1、磋商时间：响应文件递交截止时间后。</w:t>
      </w:r>
    </w:p>
    <w:p>
      <w:pPr>
        <w:snapToGrid w:val="0"/>
        <w:spacing w:line="400" w:lineRule="exact"/>
        <w:ind w:firstLine="472" w:firstLineChars="200"/>
        <w:rPr>
          <w:rFonts w:ascii="仿宋" w:hAnsi="仿宋" w:eastAsia="仿宋" w:cs="仿宋"/>
          <w:color w:val="auto"/>
          <w:spacing w:val="-2"/>
          <w:sz w:val="24"/>
          <w:highlight w:val="none"/>
        </w:rPr>
      </w:pPr>
      <w:r>
        <w:rPr>
          <w:rFonts w:hint="eastAsia" w:ascii="仿宋" w:hAnsi="仿宋" w:eastAsia="仿宋" w:cs="仿宋"/>
          <w:color w:val="auto"/>
          <w:spacing w:val="-2"/>
          <w:sz w:val="24"/>
          <w:highlight w:val="none"/>
        </w:rPr>
        <w:t>2、磋商地点：</w:t>
      </w:r>
      <w:r>
        <w:rPr>
          <w:rFonts w:hint="eastAsia" w:ascii="仿宋" w:hAnsi="仿宋" w:eastAsia="仿宋" w:cs="仿宋"/>
          <w:color w:val="auto"/>
          <w:sz w:val="24"/>
          <w:highlight w:val="none"/>
        </w:rPr>
        <w:t>广西国盛招标有限公司会议室（广西南宁市青秀区朱槿路10号新加坡园星岛国际三层303）</w:t>
      </w:r>
    </w:p>
    <w:p>
      <w:pPr>
        <w:snapToGrid w:val="0"/>
        <w:spacing w:line="400" w:lineRule="exact"/>
        <w:ind w:firstLine="472" w:firstLineChars="200"/>
        <w:rPr>
          <w:rFonts w:ascii="仿宋" w:hAnsi="仿宋" w:eastAsia="仿宋" w:cs="仿宋"/>
          <w:color w:val="auto"/>
          <w:spacing w:val="-2"/>
          <w:sz w:val="24"/>
          <w:highlight w:val="none"/>
        </w:rPr>
      </w:pPr>
      <w:r>
        <w:rPr>
          <w:rFonts w:hint="eastAsia" w:ascii="仿宋" w:hAnsi="仿宋" w:eastAsia="仿宋" w:cs="仿宋"/>
          <w:color w:val="auto"/>
          <w:spacing w:val="-2"/>
          <w:sz w:val="24"/>
          <w:highlight w:val="none"/>
        </w:rPr>
        <w:t>3、磋商参加人员：供应商法定代表人或授权代表持有效身份证明材料原件参加磋商。请供应商按时到达指定地点等候当面磋商。</w:t>
      </w:r>
    </w:p>
    <w:p>
      <w:pPr>
        <w:pStyle w:val="27"/>
        <w:snapToGrid w:val="0"/>
        <w:spacing w:line="40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（三）评委表决</w:t>
      </w:r>
    </w:p>
    <w:p>
      <w:pPr>
        <w:pStyle w:val="27"/>
        <w:snapToGrid w:val="0"/>
        <w:spacing w:line="40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在评审过程中出现法律法规和采购文件均没有明确规定的情形时，由磋商小组现场协商解决，协商不一致的，由全体评委投票表决，以得票率二分之一以上专家的意见为准。</w:t>
      </w:r>
    </w:p>
    <w:p>
      <w:pPr>
        <w:pStyle w:val="27"/>
        <w:tabs>
          <w:tab w:val="left" w:pos="630"/>
        </w:tabs>
        <w:snapToGrid w:val="0"/>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（四）评审原则和评审办法</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2、评审办法。本项目评审办法是综合评分法，具体评审内容及评分标准等详见第七章：评审办法及评分标准。</w:t>
      </w:r>
    </w:p>
    <w:p>
      <w:pPr>
        <w:pStyle w:val="21"/>
        <w:snapToGrid w:val="0"/>
        <w:spacing w:line="400" w:lineRule="exact"/>
        <w:ind w:firstLine="472" w:firstLineChars="196"/>
        <w:outlineLvl w:val="1"/>
        <w:rPr>
          <w:rFonts w:ascii="仿宋" w:hAnsi="仿宋" w:eastAsia="仿宋" w:cs="仿宋"/>
          <w:b/>
          <w:snapToGrid w:val="0"/>
          <w:color w:val="auto"/>
          <w:sz w:val="24"/>
          <w:szCs w:val="24"/>
          <w:highlight w:val="none"/>
        </w:rPr>
      </w:pPr>
      <w:bookmarkStart w:id="219" w:name="_Toc29343"/>
      <w:bookmarkStart w:id="220" w:name="_Toc31679"/>
      <w:bookmarkStart w:id="221" w:name="_Toc4315"/>
      <w:bookmarkStart w:id="222" w:name="_Toc7185"/>
      <w:bookmarkStart w:id="223" w:name="_Toc1911"/>
      <w:r>
        <w:rPr>
          <w:rFonts w:hint="eastAsia" w:ascii="仿宋" w:hAnsi="仿宋" w:eastAsia="仿宋" w:cs="仿宋"/>
          <w:b/>
          <w:color w:val="auto"/>
          <w:sz w:val="24"/>
          <w:szCs w:val="24"/>
          <w:highlight w:val="none"/>
        </w:rPr>
        <w:t>五、</w:t>
      </w:r>
      <w:bookmarkEnd w:id="213"/>
      <w:bookmarkEnd w:id="214"/>
      <w:bookmarkEnd w:id="215"/>
      <w:bookmarkEnd w:id="216"/>
      <w:bookmarkEnd w:id="217"/>
      <w:bookmarkEnd w:id="218"/>
      <w:r>
        <w:rPr>
          <w:rFonts w:hint="eastAsia" w:ascii="仿宋" w:hAnsi="仿宋" w:eastAsia="仿宋" w:cs="仿宋"/>
          <w:b/>
          <w:color w:val="auto"/>
          <w:sz w:val="24"/>
          <w:szCs w:val="24"/>
          <w:highlight w:val="none"/>
        </w:rPr>
        <w:t>磋商</w:t>
      </w:r>
      <w:bookmarkEnd w:id="219"/>
      <w:bookmarkEnd w:id="220"/>
      <w:bookmarkEnd w:id="221"/>
      <w:bookmarkEnd w:id="222"/>
      <w:bookmarkEnd w:id="223"/>
    </w:p>
    <w:p>
      <w:pPr>
        <w:pStyle w:val="27"/>
        <w:snapToGrid w:val="0"/>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（一）评审程序及磋商要求</w:t>
      </w:r>
    </w:p>
    <w:p>
      <w:pPr>
        <w:pStyle w:val="27"/>
        <w:snapToGrid w:val="0"/>
        <w:spacing w:line="40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1、采购代理机构核实磋商小组成员身份，告知回避要求，宣布评审工作纪律和程序。</w:t>
      </w:r>
    </w:p>
    <w:p>
      <w:pPr>
        <w:pStyle w:val="27"/>
        <w:snapToGrid w:val="0"/>
        <w:spacing w:line="40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磋商小组应当对发布公告的竞争性磋商采购文件（简称采购文件）进行确认，审查供应商的响应文件并作出评价；要求供应商解释或者澄清其响应文件；编写评审报告；告知采购人、采购代理机构在评审过程中发现的供应商的违法违规行为。</w:t>
      </w:r>
    </w:p>
    <w:p>
      <w:pPr>
        <w:pStyle w:val="27"/>
        <w:snapToGrid w:val="0"/>
        <w:spacing w:line="40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磋商小组依据法律法规和采购文件的规定，首先对响应文件中的资格证明、磋商保证金等进行资格性审查，以确定供应商是否具备本项目供应商资格；再对通过资格性审查的供应商响应文件的有效性、完整性和对响应文件的响应程度进行符合性审查，以确定是否对采购文件的实质性要求做出响应。</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在对响应文件的有效性、完整性和响应程度进行审查时，可以要求供应商</w:t>
      </w:r>
      <w:r>
        <w:rPr>
          <w:rFonts w:hint="eastAsia" w:ascii="仿宋" w:hAnsi="仿宋" w:eastAsia="仿宋" w:cs="仿宋"/>
          <w:color w:val="auto"/>
          <w:sz w:val="24"/>
          <w:highlight w:val="none"/>
        </w:rPr>
        <w:t>对响应文件中含义不明确、同类问题表述不一致或者有明显文字和计算错误的内容等作出必要的澄清、说明或者纠正。供应商的澄清、说明或者补正应当采用书面形式，由其法定代表人或授权代表签字或盖章确认，但不得超出响应文件的范围或者改变响应文件的实质性内容。</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根据采购文件规定的程序、评定成交的标准等事项与实质性响应采购文件要求的供应商进行磋商。未实质性响应采购文件的响应文件按无效处理，磋商小组应当告知有关供应商。</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磋商小组所有成员应当按已确定的磋商顺序集中与单一供应商分别进行磋商，并给予所有实质性响应采购文件要求的供应商平等的磋商机会。</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磋商中，磋商小组不得透露与磋商有关的其他供应商的技术资料、价格和其他信息。</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采购代理机构对磋商过程和重要磋商内容进行记录，磋商双方在记录上签字确认。</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4、在磋商过程中，磋商小组可能根据采购文件和磋商情况实质性变动项目需求中的技术、服务要求以及合同草案条款，但不得变动响应文件中的其他内容。实质性变动的内容，须经采购人代表确认。</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对采购文件作出的实质性变动是采购文件的有效组成部分，磋商小组应当及时以书面形式同时通知所有参加磋商的供应商。</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供应商应当按照响应文件的变动情况和磋商小组的要求重新提交响应文件，并由其法定代表人或授权代表签字或盖章确认。逾时不交的，视同放弃响应。</w:t>
      </w:r>
    </w:p>
    <w:p>
      <w:pPr>
        <w:pStyle w:val="27"/>
        <w:snapToGrid w:val="0"/>
        <w:spacing w:line="40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（二）最后报价：</w:t>
      </w:r>
    </w:p>
    <w:p>
      <w:pPr>
        <w:snapToGrid w:val="0"/>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1、本项目采用一次性报价方式。</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2、符合《政府采购竞争性磋商采购人式管理暂行办法》第三条第四项情形的及《财政部关于政府采购竞争性磋商采购人式管理暂行办法有关问题的补充通知》规定情形的，提交最后报价的供应商可以为2家。</w:t>
      </w:r>
    </w:p>
    <w:p>
      <w:pPr>
        <w:pStyle w:val="27"/>
        <w:snapToGrid w:val="0"/>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（三）评审过程的监控</w:t>
      </w:r>
    </w:p>
    <w:p>
      <w:pPr>
        <w:pStyle w:val="27"/>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本项目评审过程实行全程录音、录像监控，供应商在评审过程中所进行的试图影响评审结果的不公正活动，可能导致其响应文件被拒绝。</w:t>
      </w:r>
    </w:p>
    <w:p>
      <w:pPr>
        <w:pStyle w:val="27"/>
        <w:snapToGrid w:val="0"/>
        <w:spacing w:line="400" w:lineRule="exact"/>
        <w:ind w:firstLine="472" w:firstLineChars="196"/>
        <w:outlineLvl w:val="1"/>
        <w:rPr>
          <w:rFonts w:ascii="仿宋" w:hAnsi="仿宋" w:eastAsia="仿宋" w:cs="仿宋"/>
          <w:b/>
          <w:color w:val="auto"/>
          <w:sz w:val="24"/>
          <w:szCs w:val="24"/>
          <w:highlight w:val="none"/>
        </w:rPr>
      </w:pPr>
      <w:bookmarkStart w:id="224" w:name="_Toc254970687"/>
      <w:bookmarkStart w:id="225" w:name="_Toc254970546"/>
      <w:bookmarkStart w:id="226" w:name="_Toc18478"/>
      <w:bookmarkStart w:id="227" w:name="_Toc293863322"/>
      <w:bookmarkStart w:id="228" w:name="_Toc23915"/>
      <w:bookmarkStart w:id="229" w:name="_Toc23934"/>
      <w:bookmarkStart w:id="230" w:name="_Toc301424930"/>
      <w:bookmarkStart w:id="231" w:name="_Toc293863055"/>
      <w:bookmarkStart w:id="232" w:name="_Toc22042"/>
      <w:bookmarkStart w:id="233" w:name="_Toc6985"/>
      <w:bookmarkStart w:id="234" w:name="_Toc326217549"/>
      <w:r>
        <w:rPr>
          <w:rFonts w:hint="eastAsia" w:ascii="仿宋" w:hAnsi="仿宋" w:eastAsia="仿宋" w:cs="仿宋"/>
          <w:b/>
          <w:color w:val="auto"/>
          <w:sz w:val="24"/>
          <w:szCs w:val="24"/>
          <w:highlight w:val="none"/>
        </w:rPr>
        <w:t>六、</w:t>
      </w:r>
      <w:bookmarkEnd w:id="224"/>
      <w:bookmarkEnd w:id="225"/>
      <w:r>
        <w:rPr>
          <w:rFonts w:hint="eastAsia" w:ascii="仿宋" w:hAnsi="仿宋" w:eastAsia="仿宋" w:cs="仿宋"/>
          <w:b/>
          <w:color w:val="auto"/>
          <w:sz w:val="24"/>
          <w:szCs w:val="24"/>
          <w:highlight w:val="none"/>
        </w:rPr>
        <w:t>评审结果</w:t>
      </w:r>
      <w:bookmarkEnd w:id="226"/>
      <w:bookmarkEnd w:id="227"/>
      <w:bookmarkEnd w:id="228"/>
      <w:bookmarkEnd w:id="229"/>
      <w:bookmarkEnd w:id="230"/>
      <w:bookmarkEnd w:id="231"/>
      <w:bookmarkEnd w:id="232"/>
      <w:bookmarkEnd w:id="233"/>
      <w:bookmarkEnd w:id="234"/>
    </w:p>
    <w:p>
      <w:pPr>
        <w:pStyle w:val="27"/>
        <w:snapToGrid w:val="0"/>
        <w:spacing w:line="400" w:lineRule="exact"/>
        <w:ind w:firstLine="470" w:firstLineChars="196"/>
        <w:rPr>
          <w:rFonts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（一）</w:t>
      </w:r>
      <w:r>
        <w:rPr>
          <w:rFonts w:hint="eastAsia" w:ascii="仿宋" w:hAnsi="仿宋" w:eastAsia="仿宋" w:cs="仿宋"/>
          <w:color w:val="auto"/>
          <w:sz w:val="24"/>
          <w:szCs w:val="24"/>
          <w:highlight w:val="none"/>
        </w:rPr>
        <w:t>采购代理机构在评审结束后两个工作日内将评审报告送采购人，采购人在五个工作日内按照评审报告中推荐的成交候选供应商顺序确定成交人。</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（二）成交人确定后，采购代理机构在中国采购与招标网（http://www.chinabidding.com.cn）、中国政府采购网(www.ccgp.gov.cn)、广西国盛招标有限公司网（www.gxgszb.com）发布成交公告。</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（三）在发布成交公告的同时，采购代理机构向成交人发出成交通知书。</w:t>
      </w:r>
    </w:p>
    <w:p>
      <w:pPr>
        <w:pStyle w:val="27"/>
        <w:snapToGrid w:val="0"/>
        <w:spacing w:line="400" w:lineRule="exact"/>
        <w:ind w:firstLine="472" w:firstLineChars="196"/>
        <w:outlineLvl w:val="1"/>
        <w:rPr>
          <w:rFonts w:ascii="仿宋" w:hAnsi="仿宋" w:eastAsia="仿宋" w:cs="仿宋"/>
          <w:b/>
          <w:color w:val="auto"/>
          <w:sz w:val="24"/>
          <w:szCs w:val="24"/>
          <w:highlight w:val="none"/>
        </w:rPr>
      </w:pPr>
      <w:bookmarkStart w:id="235" w:name="_Toc254970547"/>
      <w:bookmarkStart w:id="236" w:name="_Toc254970688"/>
      <w:bookmarkStart w:id="237" w:name="_Toc31944"/>
      <w:bookmarkStart w:id="238" w:name="_Toc24668"/>
      <w:bookmarkStart w:id="239" w:name="_Toc31048"/>
      <w:bookmarkStart w:id="240" w:name="_Toc293863056"/>
      <w:bookmarkStart w:id="241" w:name="_Toc301424931"/>
      <w:bookmarkStart w:id="242" w:name="_Toc326217550"/>
      <w:bookmarkStart w:id="243" w:name="_Toc17609"/>
      <w:bookmarkStart w:id="244" w:name="_Toc29312"/>
      <w:bookmarkStart w:id="245" w:name="_Toc293863323"/>
      <w:r>
        <w:rPr>
          <w:rFonts w:hint="eastAsia" w:ascii="仿宋" w:hAnsi="仿宋" w:eastAsia="仿宋" w:cs="仿宋"/>
          <w:b/>
          <w:color w:val="auto"/>
          <w:sz w:val="24"/>
          <w:szCs w:val="24"/>
          <w:highlight w:val="none"/>
        </w:rPr>
        <w:t>七、合同</w:t>
      </w:r>
      <w:bookmarkEnd w:id="235"/>
      <w:bookmarkEnd w:id="236"/>
      <w:r>
        <w:rPr>
          <w:rFonts w:hint="eastAsia" w:ascii="仿宋" w:hAnsi="仿宋" w:eastAsia="仿宋" w:cs="仿宋"/>
          <w:b/>
          <w:color w:val="auto"/>
          <w:sz w:val="24"/>
          <w:szCs w:val="24"/>
          <w:highlight w:val="none"/>
        </w:rPr>
        <w:t>签订</w:t>
      </w:r>
      <w:bookmarkEnd w:id="237"/>
      <w:bookmarkEnd w:id="238"/>
      <w:bookmarkEnd w:id="239"/>
      <w:bookmarkEnd w:id="240"/>
      <w:bookmarkEnd w:id="241"/>
      <w:bookmarkEnd w:id="242"/>
      <w:bookmarkEnd w:id="243"/>
      <w:bookmarkEnd w:id="244"/>
      <w:bookmarkEnd w:id="245"/>
    </w:p>
    <w:p>
      <w:pPr>
        <w:snapToGrid w:val="0"/>
        <w:spacing w:line="400" w:lineRule="exact"/>
        <w:ind w:firstLine="472" w:firstLineChars="196"/>
        <w:rPr>
          <w:rFonts w:ascii="仿宋" w:hAnsi="仿宋" w:eastAsia="仿宋" w:cs="仿宋"/>
          <w:b/>
          <w:bCs/>
          <w:color w:val="auto"/>
          <w:sz w:val="24"/>
          <w:highlight w:val="none"/>
        </w:rPr>
      </w:pPr>
      <w:r>
        <w:rPr>
          <w:rFonts w:hint="eastAsia" w:ascii="仿宋" w:hAnsi="仿宋" w:eastAsia="仿宋" w:cs="仿宋"/>
          <w:b/>
          <w:bCs/>
          <w:color w:val="auto"/>
          <w:sz w:val="24"/>
          <w:highlight w:val="none"/>
        </w:rPr>
        <w:t>（一）合同授予标准</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合同将授予被确定实质上响应采购文件要求，具备履行合同能力，综合评分排名第一的供应商。</w:t>
      </w:r>
    </w:p>
    <w:p>
      <w:pPr>
        <w:snapToGrid w:val="0"/>
        <w:spacing w:line="400" w:lineRule="exact"/>
        <w:ind w:firstLine="472" w:firstLineChars="196"/>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rPr>
        <w:t>（二）</w:t>
      </w:r>
      <w:r>
        <w:rPr>
          <w:rFonts w:hint="eastAsia" w:ascii="仿宋" w:hAnsi="仿宋" w:eastAsia="仿宋" w:cs="仿宋"/>
          <w:b/>
          <w:bCs/>
          <w:color w:val="auto"/>
          <w:sz w:val="24"/>
          <w:highlight w:val="none"/>
        </w:rPr>
        <w:t>签订合同</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lang w:eastAsia="zh-CN"/>
        </w:rPr>
        <w:t>供应商接到成交通知书，与采购人签订合同后，7天内到采购人的建设项目实地查看，并提供一份纸质版的《深化设计方案》</w:t>
      </w:r>
      <w:r>
        <w:rPr>
          <w:rFonts w:hint="eastAsia" w:ascii="仿宋" w:hAnsi="仿宋" w:eastAsia="仿宋" w:cs="仿宋"/>
          <w:color w:val="auto"/>
          <w:sz w:val="24"/>
          <w:highlight w:val="none"/>
        </w:rPr>
        <w:t>。</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2、如成交人不按成交通知书的规定签订合同，则按成交人违约处理，采购代理机构将没收成交人磋商的全部磋商保证金并上缴同级财政国库。</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3、成交人因不可抗力或者自身原因不能履行采购合同的，采购人可以与成交人之后排名第一的成交候选供应商签订采购合同，以此类推。</w:t>
      </w:r>
    </w:p>
    <w:p>
      <w:pPr>
        <w:snapToGrid w:val="0"/>
        <w:spacing w:line="400" w:lineRule="exact"/>
        <w:ind w:firstLine="472" w:firstLineChars="196"/>
        <w:rPr>
          <w:rFonts w:ascii="仿宋" w:hAnsi="仿宋" w:eastAsia="仿宋" w:cs="仿宋"/>
          <w:b/>
          <w:bCs/>
          <w:color w:val="auto"/>
          <w:sz w:val="24"/>
          <w:highlight w:val="none"/>
        </w:rPr>
      </w:pPr>
      <w:r>
        <w:rPr>
          <w:rFonts w:hint="eastAsia" w:ascii="仿宋" w:hAnsi="仿宋" w:eastAsia="仿宋" w:cs="仿宋"/>
          <w:b/>
          <w:bCs/>
          <w:color w:val="auto"/>
          <w:sz w:val="24"/>
          <w:highlight w:val="none"/>
        </w:rPr>
        <w:t>（三）履约保证金</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履约保证金的形式：可以银行保函、现金、工程担保或保证保险等形式。</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履约保证金的金额：合同金额的3%，成交人在收到成交通知书后，须在10日内向采购人足额提交履约保证金，否则采购人可以取消其中标资格。</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工程竣工验收合格后，履约保证金转为工程质量保修金。</w:t>
      </w:r>
    </w:p>
    <w:p>
      <w:pPr>
        <w:snapToGrid w:val="0"/>
        <w:spacing w:line="400" w:lineRule="exact"/>
        <w:ind w:firstLine="472" w:firstLineChars="196"/>
        <w:rPr>
          <w:rFonts w:ascii="仿宋" w:hAnsi="仿宋" w:eastAsia="仿宋" w:cs="仿宋"/>
          <w:b/>
          <w:bCs/>
          <w:color w:val="auto"/>
          <w:sz w:val="24"/>
          <w:highlight w:val="none"/>
        </w:rPr>
      </w:pPr>
      <w:r>
        <w:rPr>
          <w:rFonts w:hint="eastAsia" w:ascii="仿宋" w:hAnsi="仿宋" w:eastAsia="仿宋" w:cs="仿宋"/>
          <w:b/>
          <w:bCs/>
          <w:color w:val="auto"/>
          <w:sz w:val="24"/>
          <w:highlight w:val="none"/>
        </w:rPr>
        <w:t>（四）工程质量保修金</w:t>
      </w:r>
    </w:p>
    <w:p>
      <w:pPr>
        <w:snapToGrid w:val="0"/>
        <w:spacing w:line="400" w:lineRule="exact"/>
        <w:ind w:firstLine="470" w:firstLineChars="196"/>
        <w:rPr>
          <w:rFonts w:ascii="仿宋" w:hAnsi="仿宋" w:eastAsia="仿宋" w:cs="仿宋"/>
          <w:bCs/>
          <w:color w:val="auto"/>
          <w:sz w:val="24"/>
          <w:highlight w:val="none"/>
        </w:rPr>
      </w:pPr>
      <w:r>
        <w:rPr>
          <w:rFonts w:hint="eastAsia" w:ascii="仿宋" w:hAnsi="仿宋" w:eastAsia="仿宋" w:cs="仿宋"/>
          <w:bCs/>
          <w:color w:val="auto"/>
          <w:sz w:val="24"/>
          <w:highlight w:val="none"/>
        </w:rPr>
        <w:t>工程质量保修金在质保期满后若无质量问题，发包人根据承包人的工程质量保修金申请书经相关管理人员检验确认后，十个工作日内返还工程质量保修金。工程质量保修金不计利息。</w:t>
      </w:r>
    </w:p>
    <w:p>
      <w:pPr>
        <w:pStyle w:val="27"/>
        <w:snapToGrid w:val="0"/>
        <w:spacing w:line="400" w:lineRule="exact"/>
        <w:ind w:firstLine="472" w:firstLineChars="196"/>
        <w:outlineLvl w:val="1"/>
        <w:rPr>
          <w:rFonts w:ascii="仿宋" w:hAnsi="仿宋" w:eastAsia="仿宋" w:cs="仿宋"/>
          <w:b/>
          <w:bCs/>
          <w:color w:val="auto"/>
          <w:sz w:val="24"/>
          <w:szCs w:val="24"/>
          <w:highlight w:val="none"/>
        </w:rPr>
      </w:pPr>
      <w:bookmarkStart w:id="246" w:name="_Toc326217551"/>
      <w:bookmarkStart w:id="247" w:name="_Toc301424932"/>
      <w:bookmarkStart w:id="248" w:name="_Toc21876"/>
      <w:bookmarkStart w:id="249" w:name="_Toc21152"/>
      <w:bookmarkStart w:id="250" w:name="_Toc31702"/>
      <w:bookmarkStart w:id="251" w:name="_Toc293863057"/>
      <w:bookmarkStart w:id="252" w:name="_Toc5437"/>
      <w:bookmarkStart w:id="253" w:name="_Toc293863324"/>
      <w:bookmarkStart w:id="254" w:name="_Toc6100"/>
      <w:r>
        <w:rPr>
          <w:rFonts w:hint="eastAsia" w:ascii="仿宋" w:hAnsi="仿宋" w:eastAsia="仿宋" w:cs="仿宋"/>
          <w:b/>
          <w:bCs/>
          <w:color w:val="auto"/>
          <w:sz w:val="24"/>
          <w:szCs w:val="24"/>
          <w:highlight w:val="none"/>
        </w:rPr>
        <w:t>八、其它事项</w:t>
      </w:r>
      <w:bookmarkEnd w:id="246"/>
      <w:bookmarkEnd w:id="247"/>
      <w:bookmarkEnd w:id="248"/>
      <w:bookmarkEnd w:id="249"/>
      <w:bookmarkEnd w:id="250"/>
      <w:bookmarkEnd w:id="251"/>
      <w:bookmarkEnd w:id="252"/>
      <w:bookmarkEnd w:id="253"/>
      <w:bookmarkEnd w:id="254"/>
    </w:p>
    <w:p>
      <w:pPr>
        <w:pStyle w:val="27"/>
        <w:snapToGrid w:val="0"/>
        <w:spacing w:line="400" w:lineRule="exact"/>
        <w:ind w:firstLine="470" w:firstLineChars="196"/>
        <w:outlineLvl w:val="1"/>
        <w:rPr>
          <w:rFonts w:ascii="仿宋" w:hAnsi="仿宋" w:eastAsia="仿宋" w:cs="仿宋"/>
          <w:color w:val="auto"/>
          <w:sz w:val="24"/>
          <w:highlight w:val="none"/>
        </w:rPr>
      </w:pPr>
      <w:bookmarkStart w:id="255" w:name="_Toc6591"/>
      <w:bookmarkStart w:id="256" w:name="_Toc21020"/>
      <w:bookmarkStart w:id="257" w:name="_Toc1980"/>
      <w:bookmarkStart w:id="258" w:name="_Toc23742"/>
      <w:bookmarkStart w:id="259" w:name="_Toc7013"/>
      <w:r>
        <w:rPr>
          <w:rFonts w:hint="eastAsia" w:ascii="仿宋" w:hAnsi="仿宋" w:eastAsia="仿宋" w:cs="仿宋"/>
          <w:color w:val="auto"/>
          <w:sz w:val="24"/>
          <w:highlight w:val="none"/>
        </w:rPr>
        <w:t>1、解释权</w:t>
      </w:r>
      <w:bookmarkEnd w:id="255"/>
      <w:bookmarkEnd w:id="256"/>
      <w:bookmarkEnd w:id="257"/>
      <w:bookmarkEnd w:id="258"/>
      <w:bookmarkEnd w:id="259"/>
    </w:p>
    <w:p>
      <w:pPr>
        <w:pStyle w:val="27"/>
        <w:snapToGrid w:val="0"/>
        <w:spacing w:line="400" w:lineRule="exact"/>
        <w:ind w:firstLine="470" w:firstLineChars="196"/>
        <w:outlineLvl w:val="1"/>
        <w:rPr>
          <w:rFonts w:ascii="仿宋" w:hAnsi="仿宋" w:eastAsia="仿宋" w:cs="仿宋"/>
          <w:color w:val="auto"/>
          <w:sz w:val="24"/>
          <w:highlight w:val="none"/>
        </w:rPr>
      </w:pPr>
      <w:bookmarkStart w:id="260" w:name="_Toc19637"/>
      <w:bookmarkStart w:id="261" w:name="_Toc23613"/>
      <w:bookmarkStart w:id="262" w:name="_Toc5869"/>
      <w:bookmarkStart w:id="263" w:name="_Toc15491"/>
      <w:bookmarkStart w:id="264" w:name="_Toc32031"/>
      <w:r>
        <w:rPr>
          <w:rFonts w:hint="eastAsia" w:ascii="仿宋" w:hAnsi="仿宋" w:eastAsia="仿宋" w:cs="仿宋"/>
          <w:color w:val="auto"/>
          <w:sz w:val="24"/>
          <w:highlight w:val="none"/>
        </w:rPr>
        <w:t>本竞争性磋商采购文件是根据《中华人民共和国政府采购法》及相关法律法规编制，解释权属本采购代理机构。</w:t>
      </w:r>
      <w:bookmarkEnd w:id="260"/>
      <w:bookmarkEnd w:id="261"/>
      <w:bookmarkEnd w:id="262"/>
      <w:bookmarkEnd w:id="263"/>
      <w:bookmarkEnd w:id="264"/>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65" w:name="_Toc21051"/>
      <w:bookmarkStart w:id="266" w:name="_Toc189"/>
      <w:bookmarkStart w:id="267" w:name="_Toc73"/>
      <w:bookmarkStart w:id="268" w:name="_Toc5156"/>
      <w:bookmarkStart w:id="269" w:name="_Toc27566"/>
      <w:r>
        <w:rPr>
          <w:rFonts w:hint="eastAsia" w:ascii="仿宋" w:hAnsi="仿宋" w:eastAsia="仿宋" w:cs="仿宋"/>
          <w:b/>
          <w:color w:val="auto"/>
          <w:sz w:val="24"/>
          <w:szCs w:val="24"/>
          <w:highlight w:val="none"/>
        </w:rPr>
        <w:t>磋商保证金缴纳账户：</w:t>
      </w:r>
      <w:bookmarkEnd w:id="265"/>
      <w:bookmarkEnd w:id="266"/>
      <w:bookmarkEnd w:id="267"/>
      <w:bookmarkEnd w:id="268"/>
      <w:bookmarkEnd w:id="269"/>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70" w:name="_Toc9694"/>
      <w:bookmarkStart w:id="271" w:name="_Toc18755"/>
      <w:bookmarkStart w:id="272" w:name="_Toc6368"/>
      <w:bookmarkStart w:id="273" w:name="_Toc25837"/>
      <w:bookmarkStart w:id="274" w:name="_Toc14822"/>
      <w:r>
        <w:rPr>
          <w:rFonts w:hint="eastAsia" w:ascii="仿宋" w:hAnsi="仿宋" w:eastAsia="仿宋" w:cs="仿宋"/>
          <w:b/>
          <w:color w:val="auto"/>
          <w:sz w:val="24"/>
          <w:szCs w:val="24"/>
          <w:highlight w:val="none"/>
        </w:rPr>
        <w:t>开户行名称：广西国盛招标有限公司</w:t>
      </w:r>
      <w:bookmarkEnd w:id="270"/>
      <w:bookmarkEnd w:id="271"/>
      <w:bookmarkEnd w:id="272"/>
      <w:bookmarkEnd w:id="273"/>
      <w:bookmarkEnd w:id="274"/>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75" w:name="_Toc26615"/>
      <w:bookmarkStart w:id="276" w:name="_Toc13235"/>
      <w:bookmarkStart w:id="277" w:name="_Toc30544"/>
      <w:bookmarkStart w:id="278" w:name="_Toc3242"/>
      <w:bookmarkStart w:id="279" w:name="_Toc28408"/>
      <w:r>
        <w:rPr>
          <w:rFonts w:hint="eastAsia" w:ascii="仿宋" w:hAnsi="仿宋" w:eastAsia="仿宋" w:cs="仿宋"/>
          <w:b/>
          <w:color w:val="auto"/>
          <w:sz w:val="24"/>
          <w:szCs w:val="24"/>
          <w:highlight w:val="none"/>
        </w:rPr>
        <w:t>开户银行：上海浦东发展银行南宁分行营业部</w:t>
      </w:r>
      <w:bookmarkEnd w:id="275"/>
      <w:bookmarkEnd w:id="276"/>
      <w:bookmarkEnd w:id="277"/>
      <w:bookmarkEnd w:id="278"/>
      <w:bookmarkEnd w:id="279"/>
      <w:r>
        <w:rPr>
          <w:rFonts w:hint="eastAsia" w:ascii="仿宋" w:hAnsi="仿宋" w:eastAsia="仿宋" w:cs="仿宋"/>
          <w:b/>
          <w:color w:val="auto"/>
          <w:sz w:val="24"/>
          <w:szCs w:val="24"/>
          <w:highlight w:val="none"/>
        </w:rPr>
        <w:t xml:space="preserve"> </w:t>
      </w:r>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80" w:name="_Toc29200"/>
      <w:bookmarkStart w:id="281" w:name="_Toc29390"/>
      <w:bookmarkStart w:id="282" w:name="_Toc18101"/>
      <w:bookmarkStart w:id="283" w:name="_Toc5707"/>
      <w:bookmarkStart w:id="284" w:name="_Toc7919"/>
      <w:r>
        <w:rPr>
          <w:rFonts w:hint="eastAsia" w:ascii="仿宋" w:hAnsi="仿宋" w:eastAsia="仿宋" w:cs="仿宋"/>
          <w:b/>
          <w:color w:val="auto"/>
          <w:sz w:val="24"/>
          <w:szCs w:val="24"/>
          <w:highlight w:val="none"/>
        </w:rPr>
        <w:t>开户行账号：63010154700016896</w:t>
      </w:r>
      <w:bookmarkEnd w:id="280"/>
      <w:bookmarkEnd w:id="281"/>
      <w:bookmarkEnd w:id="282"/>
      <w:bookmarkEnd w:id="283"/>
      <w:bookmarkEnd w:id="284"/>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85" w:name="_Toc5278"/>
      <w:bookmarkStart w:id="286" w:name="_Toc18905"/>
      <w:bookmarkStart w:id="287" w:name="_Toc1637"/>
      <w:bookmarkStart w:id="288" w:name="_Toc20686"/>
      <w:bookmarkStart w:id="289" w:name="_Toc16355"/>
      <w:r>
        <w:rPr>
          <w:rFonts w:hint="eastAsia" w:ascii="仿宋" w:hAnsi="仿宋" w:eastAsia="仿宋" w:cs="仿宋"/>
          <w:b/>
          <w:color w:val="auto"/>
          <w:sz w:val="24"/>
          <w:szCs w:val="24"/>
          <w:highlight w:val="none"/>
        </w:rPr>
        <w:t>成交服务费缴纳账户：</w:t>
      </w:r>
      <w:bookmarkEnd w:id="285"/>
      <w:bookmarkEnd w:id="286"/>
      <w:bookmarkEnd w:id="287"/>
      <w:bookmarkEnd w:id="288"/>
      <w:bookmarkEnd w:id="289"/>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90" w:name="_Toc24157"/>
      <w:bookmarkStart w:id="291" w:name="_Toc6655"/>
      <w:bookmarkStart w:id="292" w:name="_Toc20012"/>
      <w:bookmarkStart w:id="293" w:name="_Toc26052"/>
      <w:bookmarkStart w:id="294" w:name="_Toc12595"/>
      <w:r>
        <w:rPr>
          <w:rFonts w:hint="eastAsia" w:ascii="仿宋" w:hAnsi="仿宋" w:eastAsia="仿宋" w:cs="仿宋"/>
          <w:b/>
          <w:color w:val="auto"/>
          <w:sz w:val="24"/>
          <w:szCs w:val="24"/>
          <w:highlight w:val="none"/>
        </w:rPr>
        <w:t>开户名称：广西国盛招标有限公司；</w:t>
      </w:r>
      <w:bookmarkEnd w:id="290"/>
      <w:bookmarkEnd w:id="291"/>
      <w:bookmarkEnd w:id="292"/>
      <w:bookmarkEnd w:id="293"/>
      <w:bookmarkEnd w:id="294"/>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295" w:name="_Toc29700"/>
      <w:bookmarkStart w:id="296" w:name="_Toc6035"/>
      <w:bookmarkStart w:id="297" w:name="_Toc9872"/>
      <w:bookmarkStart w:id="298" w:name="_Toc12596"/>
      <w:bookmarkStart w:id="299" w:name="_Toc14117"/>
      <w:r>
        <w:rPr>
          <w:rFonts w:hint="eastAsia" w:ascii="仿宋" w:hAnsi="仿宋" w:eastAsia="仿宋" w:cs="仿宋"/>
          <w:b/>
          <w:color w:val="auto"/>
          <w:sz w:val="24"/>
          <w:szCs w:val="24"/>
          <w:highlight w:val="none"/>
        </w:rPr>
        <w:t>开户银行：广西北部湾银行南宁财富国际支行；</w:t>
      </w:r>
      <w:bookmarkEnd w:id="295"/>
      <w:bookmarkEnd w:id="296"/>
      <w:bookmarkEnd w:id="297"/>
      <w:bookmarkEnd w:id="298"/>
      <w:bookmarkEnd w:id="299"/>
    </w:p>
    <w:p>
      <w:pPr>
        <w:pStyle w:val="27"/>
        <w:snapToGrid w:val="0"/>
        <w:spacing w:line="400" w:lineRule="exact"/>
        <w:ind w:firstLine="361" w:firstLineChars="150"/>
        <w:outlineLvl w:val="1"/>
        <w:rPr>
          <w:rFonts w:ascii="仿宋" w:hAnsi="仿宋" w:eastAsia="仿宋" w:cs="仿宋"/>
          <w:b/>
          <w:color w:val="auto"/>
          <w:sz w:val="24"/>
          <w:szCs w:val="24"/>
          <w:highlight w:val="none"/>
        </w:rPr>
      </w:pPr>
      <w:bookmarkStart w:id="300" w:name="_Toc20378"/>
      <w:bookmarkStart w:id="301" w:name="_Toc6379"/>
      <w:bookmarkStart w:id="302" w:name="_Toc26541"/>
      <w:bookmarkStart w:id="303" w:name="_Toc28084"/>
      <w:bookmarkStart w:id="304" w:name="_Toc20676"/>
      <w:r>
        <w:rPr>
          <w:rFonts w:hint="eastAsia" w:ascii="仿宋" w:hAnsi="仿宋" w:eastAsia="仿宋" w:cs="仿宋"/>
          <w:b/>
          <w:color w:val="auto"/>
          <w:sz w:val="24"/>
          <w:szCs w:val="24"/>
          <w:highlight w:val="none"/>
        </w:rPr>
        <w:t>账    号：800072095766668</w:t>
      </w:r>
      <w:bookmarkEnd w:id="300"/>
      <w:bookmarkEnd w:id="301"/>
      <w:bookmarkEnd w:id="302"/>
      <w:bookmarkEnd w:id="303"/>
      <w:bookmarkEnd w:id="304"/>
    </w:p>
    <w:p>
      <w:pPr>
        <w:pStyle w:val="27"/>
        <w:snapToGrid w:val="0"/>
        <w:spacing w:line="400" w:lineRule="exact"/>
        <w:ind w:firstLine="360" w:firstLineChars="150"/>
        <w:outlineLvl w:val="1"/>
        <w:rPr>
          <w:rFonts w:ascii="仿宋" w:hAnsi="仿宋" w:eastAsia="仿宋" w:cs="仿宋"/>
          <w:color w:val="auto"/>
          <w:sz w:val="24"/>
          <w:szCs w:val="24"/>
          <w:highlight w:val="none"/>
        </w:rPr>
      </w:pPr>
      <w:bookmarkStart w:id="305" w:name="_Toc1784"/>
      <w:bookmarkStart w:id="306" w:name="_Toc18955"/>
      <w:bookmarkStart w:id="307" w:name="_Toc5957"/>
      <w:bookmarkStart w:id="308" w:name="_Toc9879"/>
      <w:bookmarkStart w:id="309" w:name="_Toc17593"/>
      <w:r>
        <w:rPr>
          <w:rFonts w:hint="eastAsia" w:ascii="仿宋" w:hAnsi="仿宋" w:eastAsia="仿宋" w:cs="仿宋"/>
          <w:color w:val="auto"/>
          <w:sz w:val="24"/>
          <w:szCs w:val="24"/>
          <w:highlight w:val="none"/>
        </w:rPr>
        <w:t>3、所有与本采购文件有关的函电请按下列通讯地址联系：</w:t>
      </w:r>
      <w:bookmarkEnd w:id="305"/>
      <w:bookmarkEnd w:id="306"/>
      <w:bookmarkEnd w:id="307"/>
      <w:bookmarkEnd w:id="308"/>
      <w:bookmarkEnd w:id="309"/>
    </w:p>
    <w:p>
      <w:pPr>
        <w:pStyle w:val="27"/>
        <w:snapToGrid w:val="0"/>
        <w:spacing w:line="400" w:lineRule="exact"/>
        <w:ind w:firstLine="360" w:firstLineChars="150"/>
        <w:outlineLvl w:val="1"/>
        <w:rPr>
          <w:rFonts w:ascii="仿宋" w:hAnsi="仿宋" w:eastAsia="仿宋" w:cs="仿宋"/>
          <w:color w:val="auto"/>
          <w:sz w:val="24"/>
          <w:szCs w:val="24"/>
          <w:highlight w:val="none"/>
        </w:rPr>
      </w:pPr>
      <w:bookmarkStart w:id="310" w:name="_Toc5497"/>
      <w:bookmarkStart w:id="311" w:name="_Toc18553"/>
      <w:bookmarkStart w:id="312" w:name="_Toc31737"/>
      <w:bookmarkStart w:id="313" w:name="_Toc5047"/>
      <w:bookmarkStart w:id="314" w:name="_Toc2587"/>
      <w:r>
        <w:rPr>
          <w:rFonts w:hint="eastAsia" w:ascii="仿宋" w:hAnsi="仿宋" w:eastAsia="仿宋" w:cs="仿宋"/>
          <w:color w:val="auto"/>
          <w:sz w:val="24"/>
          <w:szCs w:val="24"/>
          <w:highlight w:val="none"/>
        </w:rPr>
        <w:t>采购代理机构：广西国盛招标有限公司</w:t>
      </w:r>
      <w:bookmarkEnd w:id="310"/>
      <w:bookmarkEnd w:id="311"/>
      <w:bookmarkEnd w:id="312"/>
      <w:bookmarkEnd w:id="313"/>
      <w:bookmarkEnd w:id="314"/>
    </w:p>
    <w:p>
      <w:pPr>
        <w:pStyle w:val="27"/>
        <w:snapToGrid w:val="0"/>
        <w:spacing w:line="400" w:lineRule="exact"/>
        <w:ind w:firstLine="360" w:firstLineChars="150"/>
        <w:outlineLvl w:val="1"/>
        <w:rPr>
          <w:rFonts w:ascii="仿宋" w:hAnsi="仿宋" w:eastAsia="仿宋" w:cs="仿宋"/>
          <w:color w:val="auto"/>
          <w:sz w:val="24"/>
          <w:szCs w:val="24"/>
          <w:highlight w:val="none"/>
        </w:rPr>
      </w:pPr>
      <w:bookmarkStart w:id="315" w:name="_Toc30245"/>
      <w:bookmarkStart w:id="316" w:name="_Toc31731"/>
      <w:bookmarkStart w:id="317" w:name="_Toc28831"/>
      <w:bookmarkStart w:id="318" w:name="_Toc27394"/>
      <w:bookmarkStart w:id="319" w:name="_Toc7999"/>
      <w:r>
        <w:rPr>
          <w:rFonts w:hint="eastAsia" w:ascii="仿宋" w:hAnsi="仿宋" w:eastAsia="仿宋" w:cs="仿宋"/>
          <w:color w:val="auto"/>
          <w:sz w:val="24"/>
          <w:szCs w:val="24"/>
          <w:highlight w:val="none"/>
        </w:rPr>
        <w:t>通讯地址：</w:t>
      </w:r>
      <w:bookmarkEnd w:id="315"/>
      <w:bookmarkEnd w:id="316"/>
      <w:bookmarkEnd w:id="317"/>
      <w:bookmarkEnd w:id="318"/>
      <w:bookmarkEnd w:id="319"/>
      <w:r>
        <w:rPr>
          <w:rFonts w:hint="eastAsia" w:ascii="仿宋" w:hAnsi="仿宋" w:eastAsia="仿宋" w:cs="仿宋"/>
          <w:color w:val="auto"/>
          <w:sz w:val="24"/>
          <w:highlight w:val="none"/>
        </w:rPr>
        <w:t>广西南宁市青秀区朱槿路10号新加坡园星岛国际三层303</w:t>
      </w:r>
      <w:r>
        <w:rPr>
          <w:rFonts w:hint="eastAsia" w:ascii="仿宋" w:hAnsi="仿宋" w:eastAsia="仿宋" w:cs="仿宋"/>
          <w:color w:val="auto"/>
          <w:sz w:val="24"/>
          <w:szCs w:val="24"/>
          <w:highlight w:val="none"/>
        </w:rPr>
        <w:t xml:space="preserve">        </w:t>
      </w:r>
    </w:p>
    <w:p>
      <w:pPr>
        <w:pStyle w:val="27"/>
        <w:snapToGrid w:val="0"/>
        <w:spacing w:line="400" w:lineRule="exact"/>
        <w:ind w:firstLine="360" w:firstLineChars="150"/>
        <w:outlineLvl w:val="1"/>
        <w:rPr>
          <w:rFonts w:ascii="仿宋" w:hAnsi="仿宋" w:eastAsia="仿宋" w:cs="仿宋"/>
          <w:color w:val="auto"/>
          <w:sz w:val="24"/>
          <w:szCs w:val="24"/>
          <w:highlight w:val="none"/>
        </w:rPr>
      </w:pPr>
      <w:bookmarkStart w:id="320" w:name="_Toc568"/>
      <w:bookmarkStart w:id="321" w:name="_Toc21210"/>
      <w:bookmarkStart w:id="322" w:name="_Toc32189"/>
      <w:bookmarkStart w:id="323" w:name="_Toc7626"/>
      <w:bookmarkStart w:id="324" w:name="_Toc2136"/>
      <w:r>
        <w:rPr>
          <w:rFonts w:hint="eastAsia" w:ascii="仿宋" w:hAnsi="仿宋" w:eastAsia="仿宋" w:cs="仿宋"/>
          <w:color w:val="auto"/>
          <w:sz w:val="24"/>
          <w:szCs w:val="24"/>
          <w:highlight w:val="none"/>
        </w:rPr>
        <w:t>联系电话：0771-5828115</w:t>
      </w:r>
      <w:bookmarkEnd w:id="320"/>
      <w:bookmarkEnd w:id="321"/>
      <w:bookmarkEnd w:id="322"/>
      <w:bookmarkEnd w:id="323"/>
      <w:bookmarkEnd w:id="324"/>
    </w:p>
    <w:p>
      <w:pPr>
        <w:pStyle w:val="46"/>
        <w:spacing w:before="0" w:after="0" w:line="400" w:lineRule="exact"/>
        <w:rPr>
          <w:rFonts w:ascii="仿宋" w:hAnsi="仿宋" w:eastAsia="仿宋" w:cs="仿宋"/>
          <w:color w:val="auto"/>
          <w:highlight w:val="none"/>
        </w:rPr>
      </w:pPr>
      <w:r>
        <w:rPr>
          <w:rFonts w:hint="eastAsia" w:ascii="仿宋" w:hAnsi="仿宋" w:eastAsia="仿宋" w:cs="仿宋"/>
          <w:color w:val="auto"/>
          <w:sz w:val="24"/>
          <w:highlight w:val="none"/>
        </w:rPr>
        <w:br w:type="page"/>
      </w:r>
      <w:bookmarkStart w:id="325" w:name="_Toc27500"/>
      <w:bookmarkStart w:id="326" w:name="_Toc23487"/>
      <w:bookmarkStart w:id="327" w:name="_Toc13730"/>
      <w:r>
        <w:rPr>
          <w:rFonts w:hint="eastAsia" w:ascii="仿宋" w:hAnsi="仿宋" w:eastAsia="仿宋" w:cs="仿宋"/>
          <w:color w:val="auto"/>
          <w:highlight w:val="none"/>
        </w:rPr>
        <w:t>第三章   合同格式</w:t>
      </w:r>
      <w:bookmarkEnd w:id="325"/>
      <w:bookmarkEnd w:id="326"/>
      <w:bookmarkEnd w:id="327"/>
    </w:p>
    <w:p>
      <w:pPr>
        <w:pStyle w:val="46"/>
        <w:spacing w:before="0" w:after="0" w:line="400" w:lineRule="exact"/>
        <w:rPr>
          <w:rFonts w:ascii="仿宋" w:hAnsi="仿宋" w:eastAsia="仿宋" w:cs="仿宋"/>
          <w:color w:val="auto"/>
          <w:sz w:val="30"/>
          <w:szCs w:val="30"/>
          <w:highlight w:val="none"/>
        </w:rPr>
      </w:pPr>
    </w:p>
    <w:p>
      <w:pPr>
        <w:pStyle w:val="46"/>
        <w:spacing w:before="0" w:after="0" w:line="400" w:lineRule="exact"/>
        <w:rPr>
          <w:rFonts w:ascii="仿宋" w:hAnsi="仿宋" w:eastAsia="仿宋" w:cs="仿宋"/>
          <w:bCs w:val="0"/>
          <w:color w:val="auto"/>
          <w:sz w:val="30"/>
          <w:szCs w:val="30"/>
          <w:highlight w:val="none"/>
        </w:rPr>
      </w:pPr>
      <w:bookmarkStart w:id="328" w:name="_Toc15999"/>
      <w:bookmarkStart w:id="329" w:name="_Toc18991"/>
      <w:bookmarkStart w:id="330" w:name="_Toc20726"/>
      <w:bookmarkStart w:id="331" w:name="_Toc7673"/>
      <w:r>
        <w:rPr>
          <w:rFonts w:hint="eastAsia" w:ascii="仿宋" w:hAnsi="仿宋" w:eastAsia="仿宋" w:cs="仿宋"/>
          <w:color w:val="auto"/>
          <w:sz w:val="30"/>
          <w:szCs w:val="30"/>
          <w:highlight w:val="none"/>
        </w:rPr>
        <w:t>第一部分  合同协议书</w:t>
      </w:r>
      <w:bookmarkEnd w:id="328"/>
      <w:bookmarkEnd w:id="329"/>
      <w:bookmarkEnd w:id="330"/>
      <w:bookmarkEnd w:id="331"/>
    </w:p>
    <w:p>
      <w:pPr>
        <w:pStyle w:val="27"/>
        <w:spacing w:line="400" w:lineRule="exact"/>
        <w:ind w:firstLine="480" w:firstLineChars="200"/>
        <w:rPr>
          <w:rFonts w:ascii="仿宋" w:hAnsi="仿宋" w:eastAsia="仿宋" w:cs="仿宋"/>
          <w:bCs/>
          <w:color w:val="auto"/>
          <w:sz w:val="24"/>
          <w:szCs w:val="24"/>
          <w:highlight w:val="none"/>
        </w:rPr>
      </w:pPr>
    </w:p>
    <w:p>
      <w:pPr>
        <w:spacing w:line="360" w:lineRule="auto"/>
        <w:ind w:firstLine="475"/>
        <w:rPr>
          <w:rFonts w:ascii="仿宋" w:hAnsi="仿宋" w:eastAsia="仿宋" w:cs="仿宋"/>
          <w:color w:val="auto"/>
          <w:highlight w:val="none"/>
        </w:rPr>
      </w:pPr>
    </w:p>
    <w:p>
      <w:pPr>
        <w:spacing w:line="360" w:lineRule="auto"/>
        <w:ind w:firstLine="475"/>
        <w:rPr>
          <w:rFonts w:ascii="仿宋" w:hAnsi="仿宋" w:eastAsia="仿宋" w:cs="仿宋"/>
          <w:color w:val="auto"/>
          <w:highlight w:val="none"/>
          <w:u w:val="single"/>
        </w:rPr>
      </w:pPr>
      <w:r>
        <w:rPr>
          <w:rFonts w:hint="eastAsia" w:ascii="仿宋" w:hAnsi="仿宋" w:eastAsia="仿宋" w:cs="仿宋"/>
          <w:color w:val="auto"/>
          <w:highlight w:val="none"/>
        </w:rPr>
        <w:t>发包人（全称）：</w:t>
      </w:r>
      <w:r>
        <w:rPr>
          <w:rFonts w:hint="eastAsia" w:ascii="仿宋" w:hAnsi="仿宋" w:eastAsia="仿宋" w:cs="仿宋"/>
          <w:color w:val="auto"/>
          <w:highlight w:val="none"/>
          <w:u w:val="single"/>
        </w:rPr>
        <w:t xml:space="preserve">                              </w:t>
      </w:r>
    </w:p>
    <w:p>
      <w:pPr>
        <w:spacing w:line="360" w:lineRule="auto"/>
        <w:ind w:firstLine="475"/>
        <w:rPr>
          <w:rFonts w:ascii="仿宋" w:hAnsi="仿宋" w:eastAsia="仿宋" w:cs="仿宋"/>
          <w:color w:val="auto"/>
          <w:highlight w:val="none"/>
          <w:u w:val="single"/>
        </w:rPr>
      </w:pPr>
      <w:r>
        <w:rPr>
          <w:rFonts w:hint="eastAsia" w:ascii="仿宋" w:hAnsi="仿宋" w:eastAsia="仿宋" w:cs="仿宋"/>
          <w:color w:val="auto"/>
          <w:highlight w:val="none"/>
        </w:rPr>
        <w:t>承包人（全称）：</w:t>
      </w:r>
      <w:r>
        <w:rPr>
          <w:rFonts w:hint="eastAsia" w:ascii="仿宋" w:hAnsi="仿宋" w:eastAsia="仿宋" w:cs="仿宋"/>
          <w:color w:val="auto"/>
          <w:highlight w:val="none"/>
          <w:u w:val="single"/>
        </w:rPr>
        <w:t xml:space="preserve">                              </w:t>
      </w:r>
    </w:p>
    <w:p>
      <w:pPr>
        <w:spacing w:line="360" w:lineRule="auto"/>
        <w:ind w:firstLine="475"/>
        <w:rPr>
          <w:rFonts w:ascii="仿宋" w:hAnsi="仿宋" w:eastAsia="仿宋" w:cs="仿宋"/>
          <w:color w:val="auto"/>
          <w:highlight w:val="none"/>
        </w:rPr>
      </w:pPr>
      <w:r>
        <w:rPr>
          <w:rFonts w:hint="eastAsia" w:ascii="仿宋" w:hAnsi="仿宋" w:eastAsia="仿宋" w:cs="仿宋"/>
          <w:color w:val="auto"/>
          <w:highlight w:val="none"/>
        </w:rPr>
        <w:t>依照《中华人民共和国合同法》、《中华人民共和国建筑法》及其他有关法律、行政法规，遵循平等、自愿、公平和诚实信用的原则，双方就</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施工事项协商一致，订立本合同。</w:t>
      </w:r>
    </w:p>
    <w:p>
      <w:pPr>
        <w:spacing w:line="360" w:lineRule="auto"/>
        <w:ind w:firstLine="510"/>
        <w:rPr>
          <w:rFonts w:ascii="仿宋" w:hAnsi="仿宋" w:eastAsia="仿宋" w:cs="仿宋"/>
          <w:b/>
          <w:color w:val="auto"/>
          <w:sz w:val="24"/>
          <w:highlight w:val="none"/>
        </w:rPr>
      </w:pPr>
      <w:bookmarkStart w:id="332" w:name="_Toc390094860"/>
      <w:r>
        <w:rPr>
          <w:rFonts w:hint="eastAsia" w:ascii="仿宋" w:hAnsi="仿宋" w:eastAsia="仿宋" w:cs="仿宋"/>
          <w:b/>
          <w:color w:val="auto"/>
          <w:sz w:val="24"/>
          <w:highlight w:val="none"/>
        </w:rPr>
        <w:t>一、工程概况</w:t>
      </w:r>
      <w:bookmarkEnd w:id="332"/>
    </w:p>
    <w:p>
      <w:pPr>
        <w:spacing w:line="360" w:lineRule="auto"/>
        <w:ind w:firstLine="510"/>
        <w:rPr>
          <w:rFonts w:ascii="仿宋" w:hAnsi="仿宋" w:eastAsia="仿宋" w:cs="仿宋"/>
          <w:color w:val="auto"/>
          <w:highlight w:val="none"/>
          <w:u w:val="single"/>
        </w:rPr>
      </w:pPr>
      <w:r>
        <w:rPr>
          <w:rFonts w:hint="eastAsia" w:ascii="仿宋" w:hAnsi="仿宋" w:eastAsia="仿宋" w:cs="仿宋"/>
          <w:color w:val="auto"/>
          <w:highlight w:val="none"/>
        </w:rPr>
        <w:t>工程名称：</w:t>
      </w:r>
      <w:r>
        <w:rPr>
          <w:rFonts w:hint="eastAsia" w:ascii="仿宋" w:hAnsi="仿宋" w:eastAsia="仿宋" w:cs="仿宋"/>
          <w:color w:val="auto"/>
          <w:highlight w:val="none"/>
          <w:u w:val="single"/>
        </w:rPr>
        <w:t xml:space="preserve">                            </w:t>
      </w:r>
    </w:p>
    <w:p>
      <w:pPr>
        <w:spacing w:line="360" w:lineRule="auto"/>
        <w:ind w:firstLine="510"/>
        <w:rPr>
          <w:rFonts w:ascii="仿宋" w:hAnsi="仿宋" w:eastAsia="仿宋" w:cs="仿宋"/>
          <w:color w:val="auto"/>
          <w:highlight w:val="none"/>
          <w:u w:val="single"/>
        </w:rPr>
      </w:pPr>
      <w:r>
        <w:rPr>
          <w:rFonts w:hint="eastAsia" w:ascii="仿宋" w:hAnsi="仿宋" w:eastAsia="仿宋" w:cs="仿宋"/>
          <w:color w:val="auto"/>
          <w:highlight w:val="none"/>
        </w:rPr>
        <w:t>工程地点：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spacing w:line="360" w:lineRule="auto"/>
        <w:ind w:firstLine="510"/>
        <w:rPr>
          <w:rFonts w:ascii="仿宋" w:hAnsi="仿宋" w:eastAsia="仿宋" w:cs="仿宋"/>
          <w:color w:val="auto"/>
          <w:highlight w:val="none"/>
          <w:u w:val="single"/>
        </w:rPr>
      </w:pPr>
      <w:r>
        <w:rPr>
          <w:rFonts w:hint="eastAsia" w:ascii="仿宋" w:hAnsi="仿宋" w:eastAsia="仿宋" w:cs="仿宋"/>
          <w:color w:val="auto"/>
          <w:highlight w:val="none"/>
        </w:rPr>
        <w:t xml:space="preserve">工程内容： </w:t>
      </w:r>
      <w:r>
        <w:rPr>
          <w:rFonts w:hint="eastAsia" w:ascii="仿宋" w:hAnsi="仿宋" w:eastAsia="仿宋" w:cs="仿宋"/>
          <w:color w:val="auto"/>
          <w:highlight w:val="none"/>
          <w:u w:val="single"/>
        </w:rPr>
        <w:t xml:space="preserve">                             </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群体工程应附承包人承揽工程项目一览表（附件1）</w:t>
      </w:r>
    </w:p>
    <w:p>
      <w:pPr>
        <w:spacing w:line="360" w:lineRule="auto"/>
        <w:ind w:firstLine="510"/>
        <w:rPr>
          <w:rFonts w:ascii="仿宋" w:hAnsi="仿宋" w:eastAsia="仿宋" w:cs="仿宋"/>
          <w:color w:val="auto"/>
          <w:highlight w:val="none"/>
          <w:u w:val="single"/>
        </w:rPr>
      </w:pPr>
      <w:r>
        <w:rPr>
          <w:rFonts w:hint="eastAsia" w:ascii="仿宋" w:hAnsi="仿宋" w:eastAsia="仿宋" w:cs="仿宋"/>
          <w:color w:val="auto"/>
          <w:highlight w:val="none"/>
        </w:rPr>
        <w:t>工程立项批准文号：</w:t>
      </w:r>
      <w:r>
        <w:rPr>
          <w:rFonts w:hint="eastAsia" w:ascii="仿宋" w:hAnsi="仿宋" w:eastAsia="仿宋" w:cs="仿宋"/>
          <w:color w:val="auto"/>
          <w:highlight w:val="none"/>
          <w:u w:val="single"/>
        </w:rPr>
        <w:t xml:space="preserve">              </w:t>
      </w:r>
    </w:p>
    <w:p>
      <w:pPr>
        <w:spacing w:line="360" w:lineRule="auto"/>
        <w:ind w:firstLine="510"/>
        <w:rPr>
          <w:rFonts w:ascii="仿宋" w:hAnsi="仿宋" w:eastAsia="仿宋" w:cs="仿宋"/>
          <w:color w:val="auto"/>
          <w:highlight w:val="none"/>
          <w:u w:val="single"/>
        </w:rPr>
      </w:pPr>
      <w:r>
        <w:rPr>
          <w:rFonts w:hint="eastAsia" w:ascii="仿宋" w:hAnsi="仿宋" w:eastAsia="仿宋" w:cs="仿宋"/>
          <w:color w:val="auto"/>
          <w:highlight w:val="none"/>
        </w:rPr>
        <w:t>资金来源：</w:t>
      </w:r>
      <w:r>
        <w:rPr>
          <w:rFonts w:hint="eastAsia" w:ascii="仿宋" w:hAnsi="仿宋" w:eastAsia="仿宋" w:cs="仿宋"/>
          <w:color w:val="auto"/>
          <w:highlight w:val="none"/>
          <w:u w:val="single"/>
        </w:rPr>
        <w:t xml:space="preserve">    </w:t>
      </w:r>
    </w:p>
    <w:p>
      <w:pPr>
        <w:spacing w:line="360" w:lineRule="auto"/>
        <w:ind w:firstLine="578" w:firstLineChars="240"/>
        <w:rPr>
          <w:rFonts w:ascii="仿宋" w:hAnsi="仿宋" w:eastAsia="仿宋" w:cs="仿宋"/>
          <w:b/>
          <w:color w:val="auto"/>
          <w:sz w:val="24"/>
          <w:highlight w:val="none"/>
        </w:rPr>
      </w:pPr>
      <w:bookmarkStart w:id="333" w:name="_Toc390094861"/>
      <w:r>
        <w:rPr>
          <w:rFonts w:hint="eastAsia" w:ascii="仿宋" w:hAnsi="仿宋" w:eastAsia="仿宋" w:cs="仿宋"/>
          <w:b/>
          <w:color w:val="auto"/>
          <w:sz w:val="24"/>
          <w:highlight w:val="none"/>
        </w:rPr>
        <w:t>二、工程承包范围</w:t>
      </w:r>
      <w:bookmarkEnd w:id="333"/>
    </w:p>
    <w:p>
      <w:pPr>
        <w:pStyle w:val="27"/>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 xml:space="preserve">    承包范围：</w:t>
      </w:r>
      <w:r>
        <w:rPr>
          <w:rFonts w:hint="eastAsia" w:ascii="仿宋" w:hAnsi="仿宋" w:eastAsia="仿宋" w:cs="仿宋"/>
          <w:color w:val="auto"/>
          <w:highlight w:val="none"/>
          <w:u w:val="single"/>
        </w:rPr>
        <w:t xml:space="preserve">                            </w:t>
      </w:r>
    </w:p>
    <w:p>
      <w:pPr>
        <w:spacing w:line="360" w:lineRule="auto"/>
        <w:ind w:firstLine="510"/>
        <w:rPr>
          <w:rFonts w:ascii="仿宋" w:hAnsi="仿宋" w:eastAsia="仿宋" w:cs="仿宋"/>
          <w:b/>
          <w:color w:val="auto"/>
          <w:sz w:val="24"/>
          <w:highlight w:val="none"/>
        </w:rPr>
      </w:pPr>
      <w:bookmarkStart w:id="334" w:name="_Toc390094862"/>
      <w:r>
        <w:rPr>
          <w:rFonts w:hint="eastAsia" w:ascii="仿宋" w:hAnsi="仿宋" w:eastAsia="仿宋" w:cs="仿宋"/>
          <w:b/>
          <w:color w:val="auto"/>
          <w:sz w:val="24"/>
          <w:highlight w:val="none"/>
        </w:rPr>
        <w:t>三、合同工期</w:t>
      </w:r>
      <w:bookmarkEnd w:id="334"/>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开工日期：2020年_</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竣工日期：2020年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合同工期总日历天数_180日历天。</w:t>
      </w:r>
    </w:p>
    <w:p>
      <w:pPr>
        <w:spacing w:line="360" w:lineRule="auto"/>
        <w:ind w:firstLine="520"/>
        <w:rPr>
          <w:rFonts w:ascii="仿宋" w:hAnsi="仿宋" w:eastAsia="仿宋" w:cs="仿宋"/>
          <w:b/>
          <w:color w:val="auto"/>
          <w:sz w:val="24"/>
          <w:highlight w:val="none"/>
        </w:rPr>
      </w:pPr>
      <w:bookmarkStart w:id="335" w:name="_Toc390094863"/>
      <w:r>
        <w:rPr>
          <w:rFonts w:hint="eastAsia" w:ascii="仿宋" w:hAnsi="仿宋" w:eastAsia="仿宋" w:cs="仿宋"/>
          <w:b/>
          <w:color w:val="auto"/>
          <w:sz w:val="24"/>
          <w:highlight w:val="none"/>
        </w:rPr>
        <w:t>四、质量标准</w:t>
      </w:r>
      <w:bookmarkEnd w:id="335"/>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工程质量标准：</w:t>
      </w:r>
      <w:r>
        <w:rPr>
          <w:rFonts w:hint="eastAsia" w:ascii="仿宋" w:hAnsi="仿宋" w:eastAsia="仿宋" w:cs="仿宋"/>
          <w:color w:val="auto"/>
          <w:highlight w:val="none"/>
          <w:u w:val="single"/>
        </w:rPr>
        <w:t>合格。</w:t>
      </w:r>
    </w:p>
    <w:p>
      <w:pPr>
        <w:spacing w:line="360" w:lineRule="auto"/>
        <w:ind w:firstLine="510"/>
        <w:rPr>
          <w:rFonts w:ascii="仿宋" w:hAnsi="仿宋" w:eastAsia="仿宋" w:cs="仿宋"/>
          <w:b/>
          <w:color w:val="auto"/>
          <w:sz w:val="24"/>
          <w:highlight w:val="none"/>
        </w:rPr>
      </w:pPr>
      <w:bookmarkStart w:id="336" w:name="_Toc390094864"/>
      <w:r>
        <w:rPr>
          <w:rFonts w:hint="eastAsia" w:ascii="仿宋" w:hAnsi="仿宋" w:eastAsia="仿宋" w:cs="仿宋"/>
          <w:b/>
          <w:color w:val="auto"/>
          <w:sz w:val="24"/>
          <w:highlight w:val="none"/>
        </w:rPr>
        <w:t>五、合同价款</w:t>
      </w:r>
      <w:bookmarkEnd w:id="336"/>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金额（大写）：_________________________元（人民币）</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 xml:space="preserve">         ￥：_________________________元</w:t>
      </w:r>
    </w:p>
    <w:p>
      <w:pPr>
        <w:spacing w:line="360" w:lineRule="auto"/>
        <w:ind w:firstLine="510"/>
        <w:rPr>
          <w:rFonts w:ascii="仿宋" w:hAnsi="仿宋" w:eastAsia="仿宋" w:cs="仿宋"/>
          <w:b/>
          <w:bCs/>
          <w:color w:val="auto"/>
          <w:sz w:val="24"/>
          <w:highlight w:val="none"/>
        </w:rPr>
      </w:pPr>
      <w:bookmarkStart w:id="337" w:name="_Toc390094865"/>
      <w:r>
        <w:rPr>
          <w:rFonts w:hint="eastAsia" w:ascii="仿宋" w:hAnsi="仿宋" w:eastAsia="仿宋" w:cs="仿宋"/>
          <w:b/>
          <w:bCs/>
          <w:color w:val="auto"/>
          <w:sz w:val="24"/>
          <w:highlight w:val="none"/>
        </w:rPr>
        <w:t>六、组成合同的文件</w:t>
      </w:r>
      <w:bookmarkEnd w:id="337"/>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组成本合同的文件包括：</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1、本合同协议书</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2、成交通知书</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3、竞争性磋商采购文件（含所有补充通知和答疑）</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4、磋商响应文件及其附件</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5、本合同专用条款</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6、本合同通用条款</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7、标准、规范及有关技术文件</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8、图纸</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上述各项合同文件包括合同当事人就该项合同文件所作出的补充和修改，属于同一类内容的文件，应以最新签署的为准（违反招标文件实质性内容的约定除外）。专用合同条款及其附件须经合同当事人签字或盖章。</w:t>
      </w:r>
    </w:p>
    <w:p>
      <w:pPr>
        <w:spacing w:line="360" w:lineRule="auto"/>
        <w:ind w:firstLine="520"/>
        <w:rPr>
          <w:rFonts w:ascii="仿宋" w:hAnsi="仿宋" w:eastAsia="仿宋" w:cs="仿宋"/>
          <w:b/>
          <w:color w:val="auto"/>
          <w:sz w:val="24"/>
          <w:highlight w:val="none"/>
        </w:rPr>
      </w:pPr>
      <w:bookmarkStart w:id="338" w:name="_Toc390094866"/>
      <w:r>
        <w:rPr>
          <w:rFonts w:hint="eastAsia" w:ascii="仿宋" w:hAnsi="仿宋" w:eastAsia="仿宋" w:cs="仿宋"/>
          <w:b/>
          <w:color w:val="auto"/>
          <w:sz w:val="24"/>
          <w:highlight w:val="none"/>
        </w:rPr>
        <w:t>七、本协议书中有关词语定义与本合同第二部分《通用条款》中分别赋予它们的定义相同。</w:t>
      </w:r>
      <w:bookmarkEnd w:id="338"/>
    </w:p>
    <w:p>
      <w:pPr>
        <w:spacing w:line="360" w:lineRule="auto"/>
        <w:ind w:firstLine="520"/>
        <w:rPr>
          <w:rFonts w:ascii="仿宋" w:hAnsi="仿宋" w:eastAsia="仿宋" w:cs="仿宋"/>
          <w:b/>
          <w:color w:val="auto"/>
          <w:sz w:val="24"/>
          <w:highlight w:val="none"/>
        </w:rPr>
      </w:pPr>
      <w:bookmarkStart w:id="339" w:name="_Toc390094867"/>
      <w:r>
        <w:rPr>
          <w:rFonts w:hint="eastAsia" w:ascii="仿宋" w:hAnsi="仿宋" w:eastAsia="仿宋" w:cs="仿宋"/>
          <w:b/>
          <w:color w:val="auto"/>
          <w:sz w:val="24"/>
          <w:highlight w:val="none"/>
        </w:rPr>
        <w:t>八、承包人向发包人承诺按照合同约定进行施工、竣工并在质量保修期内承担工程质量保修责任。</w:t>
      </w:r>
      <w:bookmarkEnd w:id="339"/>
    </w:p>
    <w:p>
      <w:pPr>
        <w:spacing w:line="360" w:lineRule="auto"/>
        <w:ind w:firstLine="510"/>
        <w:rPr>
          <w:rFonts w:ascii="仿宋" w:hAnsi="仿宋" w:eastAsia="仿宋" w:cs="仿宋"/>
          <w:b/>
          <w:color w:val="auto"/>
          <w:sz w:val="24"/>
          <w:highlight w:val="none"/>
        </w:rPr>
      </w:pPr>
      <w:bookmarkStart w:id="340" w:name="_Toc390094868"/>
      <w:r>
        <w:rPr>
          <w:rFonts w:hint="eastAsia" w:ascii="仿宋" w:hAnsi="仿宋" w:eastAsia="仿宋" w:cs="仿宋"/>
          <w:b/>
          <w:color w:val="auto"/>
          <w:sz w:val="24"/>
          <w:highlight w:val="none"/>
        </w:rPr>
        <w:t>九、发包人向承包人承诺按照合同约定的期限和方式支付合同价款及其他应当支付的款项。</w:t>
      </w:r>
      <w:bookmarkEnd w:id="340"/>
    </w:p>
    <w:p>
      <w:pPr>
        <w:spacing w:line="360" w:lineRule="auto"/>
        <w:ind w:firstLine="510"/>
        <w:rPr>
          <w:rFonts w:ascii="仿宋" w:hAnsi="仿宋" w:eastAsia="仿宋" w:cs="仿宋"/>
          <w:b/>
          <w:color w:val="auto"/>
          <w:sz w:val="24"/>
          <w:highlight w:val="none"/>
        </w:rPr>
      </w:pPr>
      <w:bookmarkStart w:id="341" w:name="_Toc390094869"/>
      <w:r>
        <w:rPr>
          <w:rFonts w:hint="eastAsia" w:ascii="仿宋" w:hAnsi="仿宋" w:eastAsia="仿宋" w:cs="仿宋"/>
          <w:b/>
          <w:color w:val="auto"/>
          <w:sz w:val="24"/>
          <w:highlight w:val="none"/>
        </w:rPr>
        <w:t>十、付款方式：所有工程进度款必须通过银行转账转到合同指定承包人合法银行账户。</w:t>
      </w:r>
      <w:bookmarkEnd w:id="341"/>
    </w:p>
    <w:p>
      <w:pPr>
        <w:spacing w:line="360" w:lineRule="auto"/>
        <w:ind w:firstLine="510"/>
        <w:rPr>
          <w:rFonts w:ascii="仿宋" w:hAnsi="仿宋" w:eastAsia="仿宋" w:cs="仿宋"/>
          <w:b/>
          <w:color w:val="auto"/>
          <w:sz w:val="24"/>
          <w:highlight w:val="none"/>
        </w:rPr>
      </w:pPr>
      <w:bookmarkStart w:id="342" w:name="_Toc390094870"/>
      <w:r>
        <w:rPr>
          <w:rFonts w:hint="eastAsia" w:ascii="仿宋" w:hAnsi="仿宋" w:eastAsia="仿宋" w:cs="仿宋"/>
          <w:b/>
          <w:color w:val="auto"/>
          <w:sz w:val="24"/>
          <w:highlight w:val="none"/>
        </w:rPr>
        <w:t>十一、合同生效</w:t>
      </w:r>
      <w:bookmarkEnd w:id="342"/>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合同订立时间：________年________月________日</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合同订立地点：__</w:t>
      </w:r>
      <w:r>
        <w:rPr>
          <w:rFonts w:hint="eastAsia" w:ascii="仿宋" w:hAnsi="仿宋" w:eastAsia="仿宋" w:cs="仿宋"/>
          <w:color w:val="auto"/>
          <w:highlight w:val="none"/>
          <w:u w:val="single"/>
        </w:rPr>
        <w:t xml:space="preserve">_                           </w:t>
      </w:r>
      <w:r>
        <w:rPr>
          <w:rFonts w:hint="eastAsia" w:ascii="仿宋" w:hAnsi="仿宋" w:eastAsia="仿宋" w:cs="仿宋"/>
          <w:color w:val="auto"/>
          <w:highlight w:val="none"/>
        </w:rPr>
        <w:t>___</w:t>
      </w:r>
    </w:p>
    <w:p>
      <w:pPr>
        <w:spacing w:line="360" w:lineRule="auto"/>
        <w:ind w:firstLine="510"/>
        <w:rPr>
          <w:rFonts w:ascii="仿宋" w:hAnsi="仿宋" w:eastAsia="仿宋" w:cs="仿宋"/>
          <w:color w:val="auto"/>
          <w:highlight w:val="none"/>
        </w:rPr>
      </w:pPr>
      <w:r>
        <w:rPr>
          <w:rFonts w:hint="eastAsia" w:ascii="仿宋" w:hAnsi="仿宋" w:eastAsia="仿宋" w:cs="仿宋"/>
          <w:color w:val="auto"/>
          <w:highlight w:val="none"/>
        </w:rPr>
        <w:t>本合同双方约定__</w:t>
      </w:r>
      <w:r>
        <w:rPr>
          <w:rFonts w:hint="eastAsia" w:ascii="仿宋" w:hAnsi="仿宋" w:eastAsia="仿宋" w:cs="仿宋"/>
          <w:color w:val="auto"/>
          <w:highlight w:val="none"/>
          <w:u w:val="single"/>
        </w:rPr>
        <w:t>双方法定代表人签字或盖章并加盖单位公章</w:t>
      </w:r>
      <w:r>
        <w:rPr>
          <w:rFonts w:hint="eastAsia" w:ascii="仿宋" w:hAnsi="仿宋" w:eastAsia="仿宋" w:cs="仿宋"/>
          <w:color w:val="auto"/>
          <w:highlight w:val="none"/>
        </w:rPr>
        <w:t>__后生效。</w:t>
      </w:r>
    </w:p>
    <w:p>
      <w:pPr>
        <w:spacing w:line="360" w:lineRule="auto"/>
        <w:ind w:firstLine="520"/>
        <w:rPr>
          <w:rFonts w:ascii="仿宋" w:hAnsi="仿宋" w:eastAsia="仿宋" w:cs="仿宋"/>
          <w:color w:val="auto"/>
          <w:highlight w:val="none"/>
        </w:rPr>
      </w:pP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发  包  人：（公章）                承  包  人：（公章）</w:t>
      </w: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住      所：                       住      所：</w:t>
      </w: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法定代表人：                       法定代表人：</w:t>
      </w: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委托代理人：                       委托代理人：</w:t>
      </w: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 xml:space="preserve">电      话：                       电      话：   </w:t>
      </w:r>
    </w:p>
    <w:p>
      <w:pPr>
        <w:spacing w:line="360" w:lineRule="auto"/>
        <w:ind w:firstLine="520"/>
        <w:rPr>
          <w:rFonts w:ascii="仿宋" w:hAnsi="仿宋" w:eastAsia="仿宋" w:cs="仿宋"/>
          <w:color w:val="auto"/>
          <w:highlight w:val="none"/>
        </w:rPr>
      </w:pPr>
      <w:r>
        <w:rPr>
          <w:rFonts w:hint="eastAsia" w:ascii="仿宋" w:hAnsi="仿宋" w:eastAsia="仿宋" w:cs="仿宋"/>
          <w:color w:val="auto"/>
          <w:highlight w:val="none"/>
        </w:rPr>
        <w:t>传      真：                       传      真：</w:t>
      </w:r>
    </w:p>
    <w:p>
      <w:pPr>
        <w:spacing w:line="360" w:lineRule="auto"/>
        <w:ind w:firstLine="520"/>
        <w:rPr>
          <w:rFonts w:ascii="仿宋" w:hAnsi="仿宋" w:eastAsia="仿宋" w:cs="仿宋"/>
          <w:color w:val="auto"/>
          <w:spacing w:val="-12"/>
          <w:highlight w:val="none"/>
        </w:rPr>
      </w:pPr>
      <w:r>
        <w:rPr>
          <w:rFonts w:hint="eastAsia" w:ascii="仿宋" w:hAnsi="仿宋" w:eastAsia="仿宋" w:cs="仿宋"/>
          <w:color w:val="auto"/>
          <w:spacing w:val="-12"/>
          <w:highlight w:val="none"/>
        </w:rPr>
        <w:t xml:space="preserve">开 户 银 行：                               开 户 银 行：   </w:t>
      </w:r>
    </w:p>
    <w:p>
      <w:pPr>
        <w:spacing w:line="360" w:lineRule="auto"/>
        <w:ind w:firstLine="520"/>
        <w:rPr>
          <w:rFonts w:ascii="仿宋" w:hAnsi="仿宋" w:eastAsia="仿宋" w:cs="仿宋"/>
          <w:color w:val="auto"/>
          <w:spacing w:val="-12"/>
          <w:highlight w:val="none"/>
        </w:rPr>
      </w:pPr>
      <w:r>
        <w:rPr>
          <w:rFonts w:hint="eastAsia" w:ascii="仿宋" w:hAnsi="仿宋" w:eastAsia="仿宋" w:cs="仿宋"/>
          <w:color w:val="auto"/>
          <w:spacing w:val="-12"/>
          <w:highlight w:val="none"/>
        </w:rPr>
        <w:t>账       号：                                账        号：</w:t>
      </w:r>
    </w:p>
    <w:p>
      <w:pPr>
        <w:spacing w:line="360" w:lineRule="auto"/>
        <w:ind w:firstLine="520"/>
        <w:rPr>
          <w:rFonts w:ascii="仿宋" w:hAnsi="仿宋" w:eastAsia="仿宋" w:cs="仿宋"/>
          <w:color w:val="auto"/>
          <w:spacing w:val="-12"/>
          <w:sz w:val="24"/>
          <w:highlight w:val="none"/>
        </w:rPr>
      </w:pPr>
      <w:r>
        <w:rPr>
          <w:rFonts w:hint="eastAsia" w:ascii="仿宋" w:hAnsi="仿宋" w:eastAsia="仿宋" w:cs="仿宋"/>
          <w:color w:val="auto"/>
          <w:spacing w:val="-12"/>
          <w:highlight w:val="none"/>
        </w:rPr>
        <w:t xml:space="preserve">邮 政 编 号：                               邮 政 编 号：      </w:t>
      </w:r>
      <w:r>
        <w:rPr>
          <w:rFonts w:hint="eastAsia" w:ascii="仿宋" w:hAnsi="仿宋" w:eastAsia="仿宋" w:cs="仿宋"/>
          <w:color w:val="auto"/>
          <w:spacing w:val="-12"/>
          <w:sz w:val="24"/>
          <w:highlight w:val="none"/>
        </w:rPr>
        <w:t xml:space="preserve">                      </w:t>
      </w:r>
    </w:p>
    <w:p>
      <w:pPr>
        <w:tabs>
          <w:tab w:val="left" w:pos="6195"/>
        </w:tabs>
        <w:spacing w:line="360" w:lineRule="auto"/>
        <w:jc w:val="center"/>
        <w:rPr>
          <w:rFonts w:ascii="仿宋" w:hAnsi="仿宋" w:eastAsia="仿宋" w:cs="仿宋"/>
          <w:color w:val="auto"/>
          <w:sz w:val="30"/>
          <w:highlight w:val="none"/>
        </w:rPr>
      </w:pPr>
    </w:p>
    <w:p>
      <w:pPr>
        <w:tabs>
          <w:tab w:val="left" w:pos="6195"/>
        </w:tabs>
        <w:spacing w:line="360" w:lineRule="auto"/>
        <w:jc w:val="center"/>
        <w:rPr>
          <w:rFonts w:ascii="仿宋" w:hAnsi="仿宋" w:eastAsia="仿宋" w:cs="仿宋"/>
          <w:color w:val="auto"/>
          <w:sz w:val="30"/>
          <w:highlight w:val="none"/>
        </w:rPr>
      </w:pPr>
    </w:p>
    <w:p>
      <w:pPr>
        <w:tabs>
          <w:tab w:val="left" w:pos="6195"/>
        </w:tabs>
        <w:spacing w:line="360" w:lineRule="auto"/>
        <w:jc w:val="center"/>
        <w:rPr>
          <w:rFonts w:ascii="仿宋" w:hAnsi="仿宋" w:eastAsia="仿宋" w:cs="仿宋"/>
          <w:color w:val="auto"/>
          <w:sz w:val="30"/>
          <w:highlight w:val="none"/>
        </w:rPr>
      </w:pPr>
    </w:p>
    <w:p>
      <w:pPr>
        <w:tabs>
          <w:tab w:val="left" w:pos="6195"/>
        </w:tabs>
        <w:spacing w:line="360" w:lineRule="auto"/>
        <w:rPr>
          <w:rFonts w:ascii="仿宋" w:hAnsi="仿宋" w:eastAsia="仿宋" w:cs="仿宋"/>
          <w:color w:val="auto"/>
          <w:sz w:val="30"/>
          <w:highlight w:val="none"/>
        </w:rPr>
      </w:pPr>
    </w:p>
    <w:p>
      <w:pPr>
        <w:tabs>
          <w:tab w:val="left" w:pos="6195"/>
        </w:tabs>
        <w:spacing w:line="360" w:lineRule="auto"/>
        <w:jc w:val="center"/>
        <w:rPr>
          <w:rFonts w:ascii="仿宋" w:hAnsi="仿宋" w:eastAsia="仿宋" w:cs="仿宋"/>
          <w:color w:val="auto"/>
          <w:sz w:val="30"/>
          <w:highlight w:val="none"/>
        </w:rPr>
      </w:pPr>
      <w:r>
        <w:rPr>
          <w:rFonts w:hint="eastAsia" w:ascii="仿宋" w:hAnsi="仿宋" w:eastAsia="仿宋" w:cs="仿宋"/>
          <w:color w:val="auto"/>
          <w:sz w:val="30"/>
          <w:highlight w:val="none"/>
        </w:rPr>
        <w:br w:type="page"/>
      </w:r>
      <w:r>
        <w:rPr>
          <w:rFonts w:hint="eastAsia" w:ascii="仿宋" w:hAnsi="仿宋" w:eastAsia="仿宋" w:cs="仿宋"/>
          <w:color w:val="auto"/>
          <w:sz w:val="44"/>
          <w:szCs w:val="44"/>
          <w:highlight w:val="none"/>
        </w:rPr>
        <w:t xml:space="preserve"> </w:t>
      </w:r>
    </w:p>
    <w:p>
      <w:pPr>
        <w:tabs>
          <w:tab w:val="left" w:pos="6195"/>
        </w:tabs>
        <w:spacing w:line="360" w:lineRule="auto"/>
        <w:jc w:val="center"/>
        <w:rPr>
          <w:rFonts w:ascii="仿宋" w:hAnsi="仿宋" w:eastAsia="仿宋" w:cs="仿宋"/>
          <w:color w:val="auto"/>
          <w:sz w:val="30"/>
          <w:highlight w:val="none"/>
        </w:rPr>
      </w:pPr>
    </w:p>
    <w:p>
      <w:pPr>
        <w:tabs>
          <w:tab w:val="left" w:pos="6195"/>
        </w:tabs>
        <w:spacing w:line="360" w:lineRule="auto"/>
        <w:jc w:val="center"/>
        <w:rPr>
          <w:rFonts w:ascii="仿宋" w:hAnsi="仿宋" w:eastAsia="仿宋" w:cs="仿宋"/>
          <w:color w:val="auto"/>
          <w:sz w:val="30"/>
          <w:highlight w:val="none"/>
        </w:rPr>
      </w:pPr>
      <w:r>
        <w:rPr>
          <w:rFonts w:hint="eastAsia" w:ascii="仿宋" w:hAnsi="仿宋" w:eastAsia="仿宋" w:cs="仿宋"/>
          <w:color w:val="auto"/>
          <w:sz w:val="30"/>
          <w:highlight w:val="none"/>
        </w:rPr>
        <w:t>第二部分 通用条款</w:t>
      </w:r>
    </w:p>
    <w:p>
      <w:pPr>
        <w:tabs>
          <w:tab w:val="left" w:pos="6195"/>
        </w:tabs>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    采用国家工商行政管理局和建设部颁发的《建设工程施工合同》（GF-2017-0201）的通用条款。</w:t>
      </w:r>
    </w:p>
    <w:p>
      <w:pPr>
        <w:tabs>
          <w:tab w:val="left" w:pos="6195"/>
        </w:tabs>
        <w:spacing w:line="360" w:lineRule="auto"/>
        <w:ind w:firstLine="500"/>
        <w:jc w:val="center"/>
        <w:rPr>
          <w:rFonts w:ascii="仿宋" w:hAnsi="仿宋" w:eastAsia="仿宋" w:cs="仿宋"/>
          <w:bCs/>
          <w:color w:val="auto"/>
          <w:sz w:val="30"/>
          <w:highlight w:val="none"/>
        </w:rPr>
      </w:pPr>
    </w:p>
    <w:p>
      <w:pPr>
        <w:tabs>
          <w:tab w:val="left" w:pos="6195"/>
        </w:tabs>
        <w:spacing w:line="360" w:lineRule="auto"/>
        <w:rPr>
          <w:rFonts w:ascii="仿宋" w:hAnsi="仿宋" w:eastAsia="仿宋" w:cs="仿宋"/>
          <w:bCs/>
          <w:color w:val="auto"/>
          <w:sz w:val="30"/>
          <w:highlight w:val="none"/>
        </w:rPr>
      </w:pPr>
    </w:p>
    <w:p>
      <w:pPr>
        <w:tabs>
          <w:tab w:val="left" w:pos="6195"/>
        </w:tabs>
        <w:spacing w:line="360" w:lineRule="auto"/>
        <w:ind w:firstLine="500"/>
        <w:jc w:val="center"/>
        <w:rPr>
          <w:rFonts w:ascii="仿宋" w:hAnsi="仿宋" w:eastAsia="仿宋" w:cs="仿宋"/>
          <w:bCs/>
          <w:color w:val="auto"/>
          <w:sz w:val="30"/>
          <w:highlight w:val="none"/>
        </w:rPr>
      </w:pPr>
    </w:p>
    <w:p>
      <w:pPr>
        <w:tabs>
          <w:tab w:val="left" w:pos="6195"/>
        </w:tabs>
        <w:spacing w:line="360" w:lineRule="auto"/>
        <w:ind w:firstLine="500"/>
        <w:jc w:val="center"/>
        <w:rPr>
          <w:rFonts w:ascii="仿宋" w:hAnsi="仿宋" w:eastAsia="仿宋" w:cs="仿宋"/>
          <w:bCs/>
          <w:color w:val="auto"/>
          <w:sz w:val="30"/>
          <w:highlight w:val="none"/>
        </w:rPr>
      </w:pPr>
    </w:p>
    <w:p>
      <w:pPr>
        <w:tabs>
          <w:tab w:val="left" w:pos="6195"/>
        </w:tabs>
        <w:spacing w:line="360" w:lineRule="auto"/>
        <w:ind w:firstLine="500"/>
        <w:jc w:val="center"/>
        <w:rPr>
          <w:rFonts w:ascii="仿宋" w:hAnsi="仿宋" w:eastAsia="仿宋" w:cs="仿宋"/>
          <w:bCs/>
          <w:color w:val="auto"/>
          <w:sz w:val="30"/>
          <w:highlight w:val="none"/>
        </w:rPr>
      </w:pPr>
      <w:r>
        <w:rPr>
          <w:rFonts w:hint="eastAsia" w:ascii="仿宋" w:hAnsi="仿宋" w:eastAsia="仿宋" w:cs="仿宋"/>
          <w:bCs/>
          <w:color w:val="auto"/>
          <w:sz w:val="30"/>
          <w:highlight w:val="none"/>
        </w:rPr>
        <w:br w:type="page"/>
      </w:r>
      <w:r>
        <w:rPr>
          <w:rFonts w:hint="eastAsia" w:ascii="仿宋" w:hAnsi="仿宋" w:eastAsia="仿宋" w:cs="仿宋"/>
          <w:bCs/>
          <w:color w:val="auto"/>
          <w:sz w:val="30"/>
          <w:highlight w:val="none"/>
        </w:rPr>
        <w:t>第三部分    专用条款</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43" w:name="_Toc118023777"/>
      <w:bookmarkStart w:id="344" w:name="_Toc43044940"/>
      <w:r>
        <w:rPr>
          <w:rFonts w:hint="eastAsia" w:ascii="仿宋" w:hAnsi="仿宋" w:eastAsia="仿宋" w:cs="仿宋"/>
          <w:b/>
          <w:color w:val="auto"/>
          <w:highlight w:val="none"/>
        </w:rPr>
        <w:instrText xml:space="preserve">一、词语定义及合同文件</w:instrText>
      </w:r>
      <w:bookmarkEnd w:id="343"/>
      <w:bookmarkEnd w:id="344"/>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一、词语定义及合同文件</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45" w:name="_Toc118023778"/>
      <w:bookmarkStart w:id="346" w:name="_Toc43044942"/>
      <w:r>
        <w:rPr>
          <w:rFonts w:hint="eastAsia" w:ascii="仿宋" w:hAnsi="仿宋" w:eastAsia="仿宋" w:cs="仿宋"/>
          <w:b/>
          <w:color w:val="auto"/>
          <w:highlight w:val="none"/>
        </w:rPr>
        <w:instrText xml:space="preserve">3、语言文字和适用法律、标准及规范</w:instrText>
      </w:r>
      <w:bookmarkEnd w:id="345"/>
      <w:bookmarkEnd w:id="346"/>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 语言文字和适用法律、标准及规范</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3.1 本合同除使用汉语外，无其它语言文字。</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3.2 适用法律和法规</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需要明示的法律、行政法规：</w:t>
      </w:r>
      <w:r>
        <w:rPr>
          <w:rFonts w:hint="eastAsia" w:ascii="仿宋" w:hAnsi="仿宋" w:eastAsia="仿宋" w:cs="仿宋"/>
          <w:color w:val="auto"/>
          <w:highlight w:val="none"/>
          <w:u w:val="single"/>
        </w:rPr>
        <w:t>现行的国家法律和行政法规，工程所在地政府的有关法规和规章。</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3.3 适用标准、规范</w:t>
      </w:r>
    </w:p>
    <w:p>
      <w:pPr>
        <w:spacing w:line="440" w:lineRule="exact"/>
        <w:ind w:firstLine="441" w:firstLineChars="210"/>
        <w:rPr>
          <w:rFonts w:ascii="仿宋" w:hAnsi="仿宋" w:eastAsia="仿宋" w:cs="仿宋"/>
          <w:color w:val="auto"/>
          <w:szCs w:val="21"/>
          <w:highlight w:val="none"/>
        </w:rPr>
      </w:pPr>
      <w:r>
        <w:rPr>
          <w:rFonts w:hint="eastAsia" w:ascii="仿宋" w:hAnsi="仿宋" w:eastAsia="仿宋" w:cs="仿宋"/>
          <w:color w:val="auto"/>
          <w:szCs w:val="21"/>
          <w:highlight w:val="none"/>
        </w:rPr>
        <w:t>适用标准、规范的名称：</w:t>
      </w:r>
      <w:r>
        <w:rPr>
          <w:rFonts w:hint="eastAsia" w:ascii="仿宋" w:hAnsi="仿宋" w:eastAsia="仿宋" w:cs="仿宋"/>
          <w:color w:val="auto"/>
          <w:szCs w:val="21"/>
          <w:highlight w:val="none"/>
          <w:u w:val="single"/>
        </w:rPr>
        <w:t>现行的国家标准、规范、行业标准、规范等。</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发包人提供标准、规范的时间：</w:t>
      </w:r>
      <w:r>
        <w:rPr>
          <w:rFonts w:hint="eastAsia" w:ascii="仿宋" w:hAnsi="仿宋" w:eastAsia="仿宋" w:cs="仿宋"/>
          <w:color w:val="auto"/>
          <w:highlight w:val="none"/>
          <w:u w:val="single"/>
        </w:rPr>
        <w:t xml:space="preserve">  无。</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国内没有相应标准、规范时的约定：</w:t>
      </w:r>
      <w:r>
        <w:rPr>
          <w:rFonts w:hint="eastAsia" w:ascii="仿宋" w:hAnsi="仿宋" w:eastAsia="仿宋" w:cs="仿宋"/>
          <w:color w:val="auto"/>
          <w:highlight w:val="none"/>
          <w:u w:val="single"/>
        </w:rPr>
        <w:t xml:space="preserve">  无。 </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47" w:name="_Toc43044943"/>
      <w:bookmarkStart w:id="348" w:name="_Toc118023779"/>
      <w:r>
        <w:rPr>
          <w:rFonts w:hint="eastAsia" w:ascii="仿宋" w:hAnsi="仿宋" w:eastAsia="仿宋" w:cs="仿宋"/>
          <w:b/>
          <w:color w:val="auto"/>
          <w:highlight w:val="none"/>
        </w:rPr>
        <w:instrText xml:space="preserve">4、图纸</w:instrText>
      </w:r>
      <w:bookmarkEnd w:id="347"/>
      <w:bookmarkEnd w:id="348"/>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4. 图纸</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4.1 发包人向承包人提供图纸日期和套数：合同签定</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shd w:val="pct10" w:color="auto" w:fill="FFFFFF"/>
        </w:rPr>
        <w:t>5</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天后提供一式</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shd w:val="pct10" w:color="auto" w:fill="FFFFFF"/>
        </w:rPr>
        <w:t>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份图纸。</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发包人对图纸的保密要求：</w:t>
      </w:r>
      <w:r>
        <w:rPr>
          <w:rFonts w:hint="eastAsia" w:ascii="仿宋" w:hAnsi="仿宋" w:eastAsia="仿宋" w:cs="仿宋"/>
          <w:color w:val="auto"/>
          <w:highlight w:val="none"/>
          <w:u w:val="single"/>
        </w:rPr>
        <w:t xml:space="preserve">  无。</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使用国外图纸的要求及费用承担：</w:t>
      </w:r>
      <w:r>
        <w:rPr>
          <w:rFonts w:hint="eastAsia" w:ascii="仿宋" w:hAnsi="仿宋" w:eastAsia="仿宋" w:cs="仿宋"/>
          <w:color w:val="auto"/>
          <w:highlight w:val="none"/>
          <w:u w:val="single"/>
        </w:rPr>
        <w:t xml:space="preserve">  无。</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49" w:name="_Toc43044944"/>
      <w:bookmarkStart w:id="350" w:name="_Toc118023780"/>
      <w:r>
        <w:rPr>
          <w:rFonts w:hint="eastAsia" w:ascii="仿宋" w:hAnsi="仿宋" w:eastAsia="仿宋" w:cs="仿宋"/>
          <w:b/>
          <w:color w:val="auto"/>
          <w:highlight w:val="none"/>
        </w:rPr>
        <w:instrText xml:space="preserve">二、双方一般权利和义务</w:instrText>
      </w:r>
      <w:bookmarkEnd w:id="349"/>
      <w:bookmarkEnd w:id="350"/>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二、双方一般权利和义务</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51" w:name="_Toc118023781"/>
      <w:bookmarkStart w:id="352" w:name="_Toc43044945"/>
      <w:r>
        <w:rPr>
          <w:rFonts w:hint="eastAsia" w:ascii="仿宋" w:hAnsi="仿宋" w:eastAsia="仿宋" w:cs="仿宋"/>
          <w:b/>
          <w:color w:val="auto"/>
          <w:highlight w:val="none"/>
        </w:rPr>
        <w:instrText xml:space="preserve">5、工程师</w:instrText>
      </w:r>
      <w:bookmarkEnd w:id="351"/>
      <w:bookmarkEnd w:id="352"/>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5. 工程师</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5.2 监理单位委派的工程师</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姓名：</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职务：</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发包人委托的职权</w:t>
      </w:r>
      <w:r>
        <w:rPr>
          <w:rFonts w:hint="eastAsia" w:ascii="仿宋" w:hAnsi="仿宋" w:eastAsia="仿宋" w:cs="仿宋"/>
          <w:color w:val="auto"/>
          <w:highlight w:val="none"/>
          <w:u w:val="single"/>
        </w:rPr>
        <w:t>： 无。</w:t>
      </w:r>
    </w:p>
    <w:p>
      <w:pPr>
        <w:pStyle w:val="27"/>
        <w:spacing w:line="440" w:lineRule="exact"/>
        <w:ind w:firstLine="420" w:firstLineChars="210"/>
        <w:rPr>
          <w:rFonts w:ascii="仿宋" w:hAnsi="仿宋" w:eastAsia="仿宋" w:cs="仿宋"/>
          <w:b/>
          <w:bCs/>
          <w:color w:val="auto"/>
          <w:highlight w:val="none"/>
        </w:rPr>
      </w:pPr>
      <w:r>
        <w:rPr>
          <w:rFonts w:hint="eastAsia" w:ascii="仿宋" w:hAnsi="仿宋" w:eastAsia="仿宋" w:cs="仿宋"/>
          <w:color w:val="auto"/>
          <w:highlight w:val="none"/>
        </w:rPr>
        <w:t>需要取得发包人批准才能行使的职权：</w:t>
      </w:r>
      <w:r>
        <w:rPr>
          <w:rFonts w:hint="eastAsia" w:ascii="仿宋" w:hAnsi="仿宋" w:eastAsia="仿宋" w:cs="仿宋"/>
          <w:color w:val="auto"/>
          <w:highlight w:val="none"/>
          <w:u w:val="single"/>
        </w:rPr>
        <w:t xml:space="preserve"> 无</w:t>
      </w:r>
      <w:r>
        <w:rPr>
          <w:rFonts w:hint="eastAsia" w:ascii="仿宋" w:hAnsi="仿宋" w:eastAsia="仿宋" w:cs="仿宋"/>
          <w:b/>
          <w:bCs/>
          <w:color w:val="auto"/>
          <w:highlight w:val="none"/>
          <w:u w:val="single"/>
        </w:rPr>
        <w:t>。</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5.3 发包人派驻的工程师</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姓名：</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职务：</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职权： 发包人委派的职权范围 。</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5.6 不实行监理的，工程师的职权：</w:t>
      </w:r>
      <w:r>
        <w:rPr>
          <w:rFonts w:hint="eastAsia" w:ascii="仿宋" w:hAnsi="仿宋" w:eastAsia="仿宋" w:cs="仿宋"/>
          <w:color w:val="auto"/>
          <w:highlight w:val="none"/>
          <w:u w:val="single"/>
        </w:rPr>
        <w:t xml:space="preserve">  无。  </w:t>
      </w:r>
    </w:p>
    <w:p>
      <w:pPr>
        <w:pStyle w:val="27"/>
        <w:spacing w:line="440" w:lineRule="exact"/>
        <w:ind w:firstLine="422" w:firstLineChars="210"/>
        <w:rPr>
          <w:rFonts w:ascii="仿宋" w:hAnsi="仿宋" w:eastAsia="仿宋" w:cs="仿宋"/>
          <w:b/>
          <w:color w:val="auto"/>
          <w:highlight w:val="none"/>
        </w:rPr>
      </w:pPr>
      <w:bookmarkStart w:id="353" w:name="_Toc389065285"/>
      <w:bookmarkStart w:id="354" w:name="_Toc351203638"/>
      <w:bookmarkStart w:id="355" w:name="_Toc9850549"/>
      <w:bookmarkStart w:id="356" w:name="_Toc407135221"/>
      <w:bookmarkStart w:id="357" w:name="_Toc373227719"/>
      <w:bookmarkStart w:id="358" w:name="_Toc373478366"/>
      <w:r>
        <w:rPr>
          <w:rFonts w:ascii="仿宋" w:hAnsi="仿宋" w:eastAsia="仿宋" w:cs="仿宋"/>
          <w:b/>
          <w:color w:val="auto"/>
          <w:highlight w:val="none"/>
        </w:rPr>
        <w:t xml:space="preserve">6. </w:t>
      </w:r>
      <w:r>
        <w:rPr>
          <w:rFonts w:hint="eastAsia" w:ascii="仿宋" w:hAnsi="仿宋" w:eastAsia="仿宋" w:cs="仿宋"/>
          <w:b/>
          <w:color w:val="auto"/>
          <w:highlight w:val="none"/>
        </w:rPr>
        <w:t>安全文明施工与环境保护</w:t>
      </w:r>
      <w:bookmarkEnd w:id="353"/>
      <w:bookmarkEnd w:id="354"/>
      <w:bookmarkEnd w:id="355"/>
      <w:bookmarkEnd w:id="356"/>
      <w:bookmarkEnd w:id="357"/>
      <w:bookmarkEnd w:id="358"/>
    </w:p>
    <w:p>
      <w:pPr>
        <w:pStyle w:val="27"/>
        <w:spacing w:line="440" w:lineRule="exact"/>
        <w:ind w:firstLine="422" w:firstLineChars="210"/>
        <w:rPr>
          <w:rFonts w:ascii="仿宋" w:hAnsi="仿宋" w:eastAsia="仿宋" w:cs="仿宋"/>
          <w:b/>
          <w:color w:val="auto"/>
          <w:highlight w:val="none"/>
        </w:rPr>
      </w:pPr>
      <w:bookmarkStart w:id="359" w:name="_Toc407135222"/>
      <w:bookmarkStart w:id="360" w:name="_Toc9850550"/>
      <w:bookmarkStart w:id="361" w:name="_Toc389065286"/>
      <w:bookmarkStart w:id="362" w:name="_Toc373227720"/>
      <w:bookmarkStart w:id="363" w:name="_Toc373478367"/>
      <w:r>
        <w:rPr>
          <w:rFonts w:ascii="仿宋" w:hAnsi="仿宋" w:eastAsia="仿宋" w:cs="仿宋"/>
          <w:b/>
          <w:color w:val="auto"/>
          <w:highlight w:val="none"/>
        </w:rPr>
        <w:t xml:space="preserve">6.1 </w:t>
      </w:r>
      <w:r>
        <w:rPr>
          <w:rFonts w:hint="eastAsia" w:ascii="仿宋" w:hAnsi="仿宋" w:eastAsia="仿宋" w:cs="仿宋"/>
          <w:b/>
          <w:color w:val="auto"/>
          <w:highlight w:val="none"/>
        </w:rPr>
        <w:t>安全文明施工</w:t>
      </w:r>
      <w:bookmarkEnd w:id="359"/>
      <w:bookmarkEnd w:id="360"/>
      <w:bookmarkEnd w:id="361"/>
      <w:bookmarkEnd w:id="362"/>
      <w:bookmarkEnd w:id="363"/>
    </w:p>
    <w:p>
      <w:pPr>
        <w:spacing w:line="360" w:lineRule="auto"/>
        <w:ind w:firstLine="400" w:firstLineChars="200"/>
        <w:jc w:val="left"/>
        <w:rPr>
          <w:rFonts w:hint="eastAsia" w:ascii="仿宋" w:hAnsi="仿宋" w:eastAsia="仿宋" w:cs="仿宋"/>
          <w:color w:val="auto"/>
          <w:spacing w:val="-4"/>
          <w:sz w:val="20"/>
          <w:szCs w:val="20"/>
          <w:highlight w:val="none"/>
          <w:u w:val="single"/>
        </w:rPr>
      </w:pPr>
      <w:r>
        <w:rPr>
          <w:rFonts w:hint="eastAsia" w:ascii="仿宋" w:hAnsi="仿宋" w:eastAsia="仿宋" w:cs="仿宋"/>
          <w:color w:val="auto"/>
          <w:sz w:val="20"/>
          <w:szCs w:val="20"/>
          <w:highlight w:val="none"/>
        </w:rPr>
        <w:t>6.1.1 项目安全生产的达标目标及相应事项的约定：</w:t>
      </w:r>
      <w:r>
        <w:rPr>
          <w:rFonts w:hint="eastAsia" w:ascii="仿宋" w:hAnsi="仿宋" w:eastAsia="仿宋" w:cs="仿宋"/>
          <w:color w:val="auto"/>
          <w:spacing w:val="-4"/>
          <w:sz w:val="20"/>
          <w:szCs w:val="20"/>
          <w:highlight w:val="none"/>
          <w:u w:val="single"/>
        </w:rPr>
        <w:t>项目安全生产的达标目标及相应事项的约定：约定杜绝伤亡事故，发生事故次数控制在0次以内；除执行通用条款的相关规定外，承包人必须严格按《建设工程安全生产管理条例》、广西壮族自治区、贺州市相关文件规定的标准实行安全文明施工管理，采取安全措施、组织施工；承包人对施工现场的安全生产负总责；承包人在工地现场必须配备符合规范规定数量的专职安全员，安全员必须持证上，并按相关规定在岗在位履行工作职责；因施工原因出现的问题或发生事故所造成的一切责任与后果（包括造成招标人工期延误，并由此产生的全部经济损失损失）均由承包人承担。</w:t>
      </w:r>
    </w:p>
    <w:p>
      <w:pPr>
        <w:spacing w:line="360" w:lineRule="auto"/>
        <w:ind w:firstLine="400" w:firstLineChars="200"/>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6.1.4 关于治安保卫的特别约定：</w:t>
      </w:r>
      <w:r>
        <w:rPr>
          <w:rFonts w:hint="eastAsia" w:ascii="仿宋" w:hAnsi="仿宋" w:eastAsia="仿宋" w:cs="仿宋"/>
          <w:color w:val="auto"/>
          <w:spacing w:val="-4"/>
          <w:sz w:val="20"/>
          <w:szCs w:val="20"/>
          <w:highlight w:val="none"/>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00" w:firstLineChars="200"/>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6.1.5 文明施工</w:t>
      </w:r>
    </w:p>
    <w:p>
      <w:pPr>
        <w:spacing w:line="360" w:lineRule="auto"/>
        <w:ind w:left="420" w:firstLine="400" w:firstLineChars="20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合同当事人对文明施工的要求：</w:t>
      </w:r>
      <w:r>
        <w:rPr>
          <w:rFonts w:hint="eastAsia" w:ascii="仿宋" w:hAnsi="仿宋" w:eastAsia="仿宋" w:cs="仿宋"/>
          <w:color w:val="auto"/>
          <w:sz w:val="20"/>
          <w:szCs w:val="20"/>
          <w:highlight w:val="none"/>
          <w:u w:val="single"/>
        </w:rPr>
        <w:t xml:space="preserve">规范场容、场貌，保持作业环境整洁卫生；创造文明有序安全生产的条件和氛围；减少施工期间对我方使用附属楼不利影响；工程施工要做到工完场清、施工不扰民、运输无遗撒、垃圾不乱弃。现场的主要机械设备、脚手架等必须做好安全防护措施；最大限度减少对附属楼日常使用的影响；现场应设安全警示标志牌，加强安全文明施工的宣传；施工现场应加强治安综合治理，落实好现场施工环保工作。 </w:t>
      </w:r>
    </w:p>
    <w:p>
      <w:pPr>
        <w:pStyle w:val="27"/>
        <w:spacing w:line="440" w:lineRule="exact"/>
        <w:ind w:firstLine="422" w:firstLineChars="210"/>
        <w:rPr>
          <w:rFonts w:hint="eastAsia" w:ascii="仿宋" w:hAnsi="仿宋" w:eastAsia="仿宋" w:cs="仿宋"/>
          <w:b/>
          <w:color w:val="auto"/>
          <w:highlight w:val="none"/>
        </w:rPr>
      </w:pPr>
      <w:r>
        <w:rPr>
          <w:rFonts w:hint="eastAsia" w:ascii="仿宋" w:hAnsi="仿宋" w:eastAsia="仿宋" w:cs="仿宋"/>
          <w:b/>
          <w:color w:val="auto"/>
          <w:highlight w:val="none"/>
        </w:rPr>
        <w:t>6.3 环境保护</w:t>
      </w:r>
    </w:p>
    <w:p>
      <w:pPr>
        <w:spacing w:line="360" w:lineRule="auto"/>
        <w:ind w:left="420" w:firstLine="400" w:firstLineChars="20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因施工需要，经发包人批准，由承包人办理有关施工场地交通、环卫和施工噪音管理等手续，费用由承包人负责。</w:t>
      </w:r>
    </w:p>
    <w:p>
      <w:pPr>
        <w:spacing w:line="360" w:lineRule="auto"/>
        <w:ind w:left="420" w:firstLine="400" w:firstLineChars="200"/>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经过城市道路的施工车辆，必须按交警、城管、运输等部门相关规定执行。由于施工车辆造成的道路、环境等污染，其责任和费用均由承包人承担。</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64" w:name="_Toc118023782"/>
      <w:bookmarkStart w:id="365" w:name="_Toc43044946"/>
      <w:r>
        <w:rPr>
          <w:rFonts w:hint="eastAsia" w:ascii="仿宋" w:hAnsi="仿宋" w:eastAsia="仿宋" w:cs="仿宋"/>
          <w:b/>
          <w:color w:val="auto"/>
          <w:highlight w:val="none"/>
        </w:rPr>
        <w:instrText xml:space="preserve">7、项目经理</w:instrText>
      </w:r>
      <w:bookmarkEnd w:id="364"/>
      <w:bookmarkEnd w:id="365"/>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7. 项目经理</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7.1  姓名：</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职务：</w:t>
      </w:r>
      <w:r>
        <w:rPr>
          <w:rFonts w:hint="eastAsia" w:ascii="仿宋" w:hAnsi="仿宋" w:eastAsia="仿宋" w:cs="仿宋"/>
          <w:color w:val="auto"/>
          <w:highlight w:val="none"/>
          <w:u w:val="single"/>
        </w:rPr>
        <w:t xml:space="preserve">                  </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66" w:name="_Toc118023783"/>
      <w:bookmarkStart w:id="367" w:name="_Toc43044947"/>
      <w:r>
        <w:rPr>
          <w:rFonts w:hint="eastAsia" w:ascii="仿宋" w:hAnsi="仿宋" w:eastAsia="仿宋" w:cs="仿宋"/>
          <w:b/>
          <w:color w:val="auto"/>
          <w:highlight w:val="none"/>
        </w:rPr>
        <w:instrText xml:space="preserve">8、发包人工作</w:instrText>
      </w:r>
      <w:bookmarkEnd w:id="366"/>
      <w:bookmarkEnd w:id="367"/>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8. 发包人工作</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8.1 发包人应按约定的时间和要求完成以下工作：</w:t>
      </w:r>
    </w:p>
    <w:p>
      <w:pPr>
        <w:pStyle w:val="27"/>
        <w:spacing w:line="440" w:lineRule="exact"/>
        <w:ind w:firstLine="620" w:firstLineChars="310"/>
        <w:rPr>
          <w:rFonts w:ascii="仿宋" w:hAnsi="仿宋" w:eastAsia="仿宋" w:cs="仿宋"/>
          <w:color w:val="auto"/>
          <w:highlight w:val="none"/>
        </w:rPr>
      </w:pPr>
      <w:r>
        <w:rPr>
          <w:rFonts w:hint="eastAsia" w:ascii="仿宋" w:hAnsi="仿宋" w:eastAsia="仿宋" w:cs="仿宋"/>
          <w:color w:val="auto"/>
          <w:highlight w:val="none"/>
        </w:rPr>
        <w:t>(l)施工场地具备施工条件的要求及完成的时间</w:t>
      </w:r>
      <w:r>
        <w:rPr>
          <w:rFonts w:hint="eastAsia" w:ascii="仿宋" w:hAnsi="仿宋" w:eastAsia="仿宋" w:cs="仿宋"/>
          <w:color w:val="auto"/>
          <w:highlight w:val="none"/>
          <w:u w:val="single"/>
        </w:rPr>
        <w:t>：于开工前7天。</w:t>
      </w:r>
      <w:r>
        <w:rPr>
          <w:rFonts w:hint="eastAsia" w:ascii="仿宋" w:hAnsi="仿宋" w:eastAsia="仿宋" w:cs="仿宋"/>
          <w:color w:val="auto"/>
          <w:highlight w:val="none"/>
        </w:rPr>
        <w:t xml:space="preserve">   </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 (2)将施工所需的水、电、电讯线路接至施工场地的时间、地点和供应要求：由承包人在竞标报价中自行考虑。</w:t>
      </w:r>
      <w:r>
        <w:rPr>
          <w:rFonts w:hint="eastAsia" w:ascii="仿宋" w:hAnsi="仿宋" w:eastAsia="仿宋" w:cs="仿宋"/>
          <w:b/>
          <w:bCs/>
          <w:color w:val="auto"/>
          <w:highlight w:val="none"/>
          <w:u w:val="single"/>
        </w:rPr>
        <w:t>若供电部门的原因造成停电，承包人必须自行解决施工用电，费用自理。</w:t>
      </w:r>
    </w:p>
    <w:p>
      <w:pPr>
        <w:pStyle w:val="27"/>
        <w:spacing w:line="440" w:lineRule="exact"/>
        <w:ind w:firstLine="550" w:firstLineChars="275"/>
        <w:rPr>
          <w:rFonts w:ascii="仿宋" w:hAnsi="仿宋" w:eastAsia="仿宋" w:cs="仿宋"/>
          <w:bCs/>
          <w:color w:val="auto"/>
          <w:highlight w:val="none"/>
          <w:u w:val="single"/>
        </w:rPr>
      </w:pPr>
      <w:r>
        <w:rPr>
          <w:rFonts w:hint="eastAsia" w:ascii="仿宋" w:hAnsi="仿宋" w:eastAsia="仿宋" w:cs="仿宋"/>
          <w:bCs/>
          <w:color w:val="auto"/>
          <w:highlight w:val="none"/>
        </w:rPr>
        <w:t>(3)施工场地与公共道路的通道开通时间和要求：</w:t>
      </w:r>
      <w:r>
        <w:rPr>
          <w:rFonts w:hint="eastAsia" w:ascii="仿宋" w:hAnsi="仿宋" w:eastAsia="仿宋" w:cs="仿宋"/>
          <w:bCs/>
          <w:color w:val="auto"/>
          <w:highlight w:val="none"/>
          <w:u w:val="single"/>
        </w:rPr>
        <w:t xml:space="preserve"> 已开通。</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 (4)工程地质和地下管线资料的提供时间：</w:t>
      </w:r>
      <w:r>
        <w:rPr>
          <w:rFonts w:hint="eastAsia" w:ascii="仿宋" w:hAnsi="仿宋" w:eastAsia="仿宋" w:cs="仿宋"/>
          <w:b/>
          <w:bCs/>
          <w:color w:val="auto"/>
          <w:highlight w:val="none"/>
          <w:u w:val="single"/>
        </w:rPr>
        <w:t>由承包人现场勘测，费用自理。</w:t>
      </w:r>
    </w:p>
    <w:p>
      <w:pPr>
        <w:pStyle w:val="27"/>
        <w:spacing w:line="440" w:lineRule="exact"/>
        <w:ind w:firstLine="422" w:firstLineChars="210"/>
        <w:rPr>
          <w:rFonts w:ascii="仿宋" w:hAnsi="仿宋" w:eastAsia="仿宋" w:cs="仿宋"/>
          <w:bCs/>
          <w:color w:val="auto"/>
          <w:highlight w:val="none"/>
          <w:u w:val="single"/>
        </w:rPr>
      </w:pPr>
      <w:r>
        <w:rPr>
          <w:rFonts w:hint="eastAsia" w:ascii="仿宋" w:hAnsi="仿宋" w:eastAsia="仿宋" w:cs="仿宋"/>
          <w:b/>
          <w:bCs/>
          <w:color w:val="auto"/>
          <w:highlight w:val="none"/>
        </w:rPr>
        <w:t xml:space="preserve"> </w:t>
      </w:r>
      <w:r>
        <w:rPr>
          <w:rFonts w:hint="eastAsia" w:ascii="仿宋" w:hAnsi="仿宋" w:eastAsia="仿宋" w:cs="仿宋"/>
          <w:bCs/>
          <w:color w:val="auto"/>
          <w:highlight w:val="none"/>
        </w:rPr>
        <w:t>(5)由发包人办理的施工所需证件、批件的名称和完成时间：</w:t>
      </w:r>
      <w:r>
        <w:rPr>
          <w:rFonts w:hint="eastAsia" w:ascii="仿宋" w:hAnsi="仿宋" w:eastAsia="仿宋" w:cs="仿宋"/>
          <w:bCs/>
          <w:color w:val="auto"/>
          <w:highlight w:val="none"/>
          <w:u w:val="single"/>
        </w:rPr>
        <w:t xml:space="preserve">  由承包人负责办理。</w:t>
      </w:r>
    </w:p>
    <w:p>
      <w:pPr>
        <w:pStyle w:val="27"/>
        <w:spacing w:line="440" w:lineRule="exact"/>
        <w:ind w:firstLine="420" w:firstLineChars="210"/>
        <w:rPr>
          <w:rFonts w:ascii="仿宋" w:hAnsi="仿宋" w:eastAsia="仿宋" w:cs="仿宋"/>
          <w:bCs/>
          <w:color w:val="auto"/>
          <w:highlight w:val="none"/>
          <w:u w:val="single"/>
        </w:rPr>
      </w:pPr>
      <w:r>
        <w:rPr>
          <w:rFonts w:hint="eastAsia" w:ascii="仿宋" w:hAnsi="仿宋" w:eastAsia="仿宋" w:cs="仿宋"/>
          <w:bCs/>
          <w:color w:val="auto"/>
          <w:highlight w:val="none"/>
        </w:rPr>
        <w:t xml:space="preserve"> (6)水准点与座标控制点交验要求：</w:t>
      </w:r>
      <w:r>
        <w:rPr>
          <w:rFonts w:hint="eastAsia" w:ascii="仿宋" w:hAnsi="仿宋" w:eastAsia="仿宋" w:cs="仿宋"/>
          <w:bCs/>
          <w:color w:val="auto"/>
          <w:highlight w:val="none"/>
          <w:u w:val="single"/>
        </w:rPr>
        <w:t xml:space="preserve"> 于开工前3日内现场交验，双方做好签认工作。</w:t>
      </w:r>
    </w:p>
    <w:p>
      <w:pPr>
        <w:pStyle w:val="27"/>
        <w:spacing w:line="440" w:lineRule="exact"/>
        <w:ind w:firstLine="520" w:firstLineChars="260"/>
        <w:rPr>
          <w:rFonts w:ascii="仿宋" w:hAnsi="仿宋" w:eastAsia="仿宋" w:cs="仿宋"/>
          <w:bCs/>
          <w:color w:val="auto"/>
          <w:highlight w:val="none"/>
          <w:u w:val="single"/>
        </w:rPr>
      </w:pPr>
      <w:r>
        <w:rPr>
          <w:rFonts w:hint="eastAsia" w:ascii="仿宋" w:hAnsi="仿宋" w:eastAsia="仿宋" w:cs="仿宋"/>
          <w:bCs/>
          <w:color w:val="auto"/>
          <w:highlight w:val="none"/>
        </w:rPr>
        <w:t>(7)图纸会审和设计交底时间：</w:t>
      </w:r>
      <w:r>
        <w:rPr>
          <w:rFonts w:hint="eastAsia" w:ascii="仿宋" w:hAnsi="仿宋" w:eastAsia="仿宋" w:cs="仿宋"/>
          <w:bCs/>
          <w:color w:val="auto"/>
          <w:highlight w:val="none"/>
          <w:u w:val="single"/>
        </w:rPr>
        <w:t xml:space="preserve"> 于开工前7天。</w:t>
      </w:r>
    </w:p>
    <w:p>
      <w:pPr>
        <w:pStyle w:val="27"/>
        <w:spacing w:line="440" w:lineRule="exact"/>
        <w:ind w:firstLine="422" w:firstLineChars="210"/>
        <w:rPr>
          <w:rFonts w:ascii="仿宋" w:hAnsi="仿宋" w:eastAsia="仿宋" w:cs="仿宋"/>
          <w:b/>
          <w:color w:val="auto"/>
          <w:highlight w:val="none"/>
          <w:u w:val="single"/>
        </w:rPr>
      </w:pPr>
      <w:r>
        <w:rPr>
          <w:rFonts w:hint="eastAsia" w:ascii="仿宋" w:hAnsi="仿宋" w:eastAsia="仿宋" w:cs="仿宋"/>
          <w:b/>
          <w:bCs/>
          <w:color w:val="auto"/>
          <w:highlight w:val="none"/>
        </w:rPr>
        <w:t xml:space="preserve">* </w:t>
      </w:r>
      <w:r>
        <w:rPr>
          <w:rFonts w:hint="eastAsia" w:ascii="仿宋" w:hAnsi="仿宋" w:eastAsia="仿宋" w:cs="仿宋"/>
          <w:b/>
          <w:color w:val="auto"/>
          <w:highlight w:val="none"/>
        </w:rPr>
        <w:t>(8)协调处理施工场地周围地下管线和邻近建筑物、构筑物(含文物保护建筑)、古树名木的保护工作：</w:t>
      </w:r>
      <w:r>
        <w:rPr>
          <w:rFonts w:hint="eastAsia" w:ascii="仿宋" w:hAnsi="仿宋" w:eastAsia="仿宋" w:cs="仿宋"/>
          <w:b/>
          <w:color w:val="auto"/>
          <w:highlight w:val="none"/>
          <w:u w:val="single"/>
        </w:rPr>
        <w:t xml:space="preserve"> 由发包人协调，相应费用由承包人承担。</w:t>
      </w:r>
    </w:p>
    <w:p>
      <w:pPr>
        <w:pStyle w:val="27"/>
        <w:spacing w:line="440" w:lineRule="exact"/>
        <w:ind w:firstLine="520" w:firstLineChars="260"/>
        <w:rPr>
          <w:rFonts w:ascii="仿宋" w:hAnsi="仿宋" w:eastAsia="仿宋" w:cs="仿宋"/>
          <w:color w:val="auto"/>
          <w:highlight w:val="none"/>
          <w:u w:val="single"/>
        </w:rPr>
      </w:pPr>
      <w:r>
        <w:rPr>
          <w:rFonts w:hint="eastAsia" w:ascii="仿宋" w:hAnsi="仿宋" w:eastAsia="仿宋" w:cs="仿宋"/>
          <w:color w:val="auto"/>
          <w:highlight w:val="none"/>
        </w:rPr>
        <w:t>(9)双方约定发包人应做的其他工作：</w:t>
      </w:r>
      <w:r>
        <w:rPr>
          <w:rFonts w:hint="eastAsia" w:ascii="仿宋" w:hAnsi="仿宋" w:eastAsia="仿宋" w:cs="仿宋"/>
          <w:color w:val="auto"/>
          <w:highlight w:val="none"/>
          <w:u w:val="single"/>
        </w:rPr>
        <w:t xml:space="preserve">  无 。 </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 xml:space="preserve"> 8.2 发包人委托承包人办理的工作： </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68" w:name="_Toc118023784"/>
      <w:bookmarkStart w:id="369" w:name="_Toc43044948"/>
      <w:r>
        <w:rPr>
          <w:rFonts w:hint="eastAsia" w:ascii="仿宋" w:hAnsi="仿宋" w:eastAsia="仿宋" w:cs="仿宋"/>
          <w:b/>
          <w:color w:val="auto"/>
          <w:highlight w:val="none"/>
        </w:rPr>
        <w:instrText xml:space="preserve">9、承包人工作</w:instrText>
      </w:r>
      <w:bookmarkEnd w:id="368"/>
      <w:bookmarkEnd w:id="369"/>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9. 承包人工作</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9.1 承包人应按约定时间和要求，完成以下工作：</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(1)需由设计资质等级和业务范围允许的承包人完成的设计文件提交时间：</w:t>
      </w:r>
      <w:r>
        <w:rPr>
          <w:rFonts w:hint="eastAsia" w:ascii="仿宋" w:hAnsi="仿宋" w:eastAsia="仿宋" w:cs="仿宋"/>
          <w:color w:val="auto"/>
          <w:highlight w:val="none"/>
          <w:u w:val="single"/>
        </w:rPr>
        <w:t xml:space="preserve">  待定。  </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(2)应提供计划、报表的名称及完成时问：</w:t>
      </w:r>
      <w:r>
        <w:rPr>
          <w:rFonts w:hint="eastAsia" w:ascii="仿宋" w:hAnsi="仿宋" w:eastAsia="仿宋" w:cs="仿宋"/>
          <w:color w:val="auto"/>
          <w:highlight w:val="none"/>
          <w:u w:val="single"/>
        </w:rPr>
        <w:t xml:space="preserve"> 每月25日向发包人提供当月工程进度报表以及下月进度计划各一式两份。</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﹡(3)承担施工安全保卫工作及非夜间施工照明的责任和要求：</w:t>
      </w:r>
      <w:r>
        <w:rPr>
          <w:rFonts w:hint="eastAsia" w:ascii="仿宋" w:hAnsi="仿宋" w:eastAsia="仿宋" w:cs="仿宋"/>
          <w:b/>
          <w:bCs/>
          <w:color w:val="auto"/>
          <w:highlight w:val="none"/>
          <w:u w:val="single"/>
        </w:rPr>
        <w:t xml:space="preserve">  承包人应采取一切合理的预防措施，防止人员伤亡、财产损失事故，费用由承包人承担。  </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(4)向发包人提供的办公和生活房屋及设施的要求：</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无。</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 (5)需承包人办理的有关施工场地交通、环卫和施工噪音管理等手续：</w:t>
      </w:r>
      <w:r>
        <w:rPr>
          <w:rFonts w:hint="eastAsia" w:ascii="仿宋" w:hAnsi="仿宋" w:eastAsia="仿宋" w:cs="仿宋"/>
          <w:b/>
          <w:bCs/>
          <w:color w:val="auto"/>
          <w:highlight w:val="none"/>
          <w:u w:val="single"/>
        </w:rPr>
        <w:t>因施工需要，经发包人批准，由承包人办理和负责费用。</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 xml:space="preserve">(6)已完工程成品保护的特殊要求及费用承担： </w:t>
      </w:r>
      <w:r>
        <w:rPr>
          <w:rFonts w:hint="eastAsia" w:ascii="仿宋" w:hAnsi="仿宋" w:eastAsia="仿宋" w:cs="仿宋"/>
          <w:color w:val="auto"/>
          <w:highlight w:val="none"/>
          <w:u w:val="single"/>
        </w:rPr>
        <w:t xml:space="preserve"> 按通用条款第9.1（6）条执行。 </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﹡(7)施工场地周围地下管线和邻近建筑物、构筑物(含文物保护建筑)、古树名木的保护要求及费用承担：</w:t>
      </w:r>
      <w:r>
        <w:rPr>
          <w:rFonts w:hint="eastAsia" w:ascii="仿宋" w:hAnsi="仿宋" w:eastAsia="仿宋" w:cs="仿宋"/>
          <w:b/>
          <w:bCs/>
          <w:color w:val="auto"/>
          <w:highlight w:val="none"/>
          <w:u w:val="single"/>
        </w:rPr>
        <w:t>承包人施工时应探明并负责保护且承担费用，施工时如损坏地下管线、邻近建筑物、构筑物，所发生费用由承包人承担。</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﹡(8)施工场地清洁卫生的要求：</w:t>
      </w:r>
      <w:r>
        <w:rPr>
          <w:rFonts w:hint="eastAsia" w:ascii="仿宋" w:hAnsi="仿宋" w:eastAsia="仿宋" w:cs="仿宋"/>
          <w:b/>
          <w:bCs/>
          <w:color w:val="auto"/>
          <w:highlight w:val="none"/>
          <w:u w:val="single"/>
        </w:rPr>
        <w:t>由于施工造成的环境污染，其责任和费用均由承包人承担。交工前应负责施工场地清理，清理建筑物周围2米以内的堆积物和挖掘的场地以及2米以处因承包人施工造成的灰池，便所，临时搭设的项目部和简易工棚等障碍物。</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(9)双方约定承包人应做的其他工作：</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1)配合发包人做好安全文明宣传、领导检查宣传等工作，相关费用由承包人承担。</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2)承包人生活设施及施工场地，应自费配备消防设备，防止火灾发生。</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3)取土场及弃土场由承包人自行解决，但不得违反相关管理规定，并承担相关费用。</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4）经过城市道路的施工车辆，必须按交警、城管、运输等部门相关规定执行。由于施工车辆造成的道路、环境等污染，其责任和费用均由承包人承担。</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5）承包人负责合同实施期间其合同段内临时交通道路（含场内外连接公共交通道路）和交通设施的修建、维修、养护和交通管理工作，并承担一切费用。</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70" w:name="_Toc118023785"/>
      <w:bookmarkStart w:id="371" w:name="_Toc43044949"/>
      <w:r>
        <w:rPr>
          <w:rFonts w:hint="eastAsia" w:ascii="仿宋" w:hAnsi="仿宋" w:eastAsia="仿宋" w:cs="仿宋"/>
          <w:b/>
          <w:color w:val="auto"/>
          <w:highlight w:val="none"/>
        </w:rPr>
        <w:instrText xml:space="preserve">三、施工组织设计和工期</w:instrText>
      </w:r>
      <w:bookmarkEnd w:id="370"/>
      <w:bookmarkEnd w:id="371"/>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三、施工组织设计和工期</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72" w:name="_Toc43044950"/>
      <w:bookmarkStart w:id="373" w:name="_Toc118023786"/>
      <w:r>
        <w:rPr>
          <w:rFonts w:hint="eastAsia" w:ascii="仿宋" w:hAnsi="仿宋" w:eastAsia="仿宋" w:cs="仿宋"/>
          <w:b/>
          <w:color w:val="auto"/>
          <w:highlight w:val="none"/>
        </w:rPr>
        <w:instrText xml:space="preserve">10、进度计划</w:instrText>
      </w:r>
      <w:bookmarkEnd w:id="372"/>
      <w:bookmarkEnd w:id="373"/>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10. 进度计划</w:t>
      </w:r>
    </w:p>
    <w:p>
      <w:pPr>
        <w:pStyle w:val="27"/>
        <w:spacing w:line="440" w:lineRule="exact"/>
        <w:ind w:firstLine="420" w:firstLineChars="210"/>
        <w:rPr>
          <w:rFonts w:ascii="仿宋" w:hAnsi="仿宋" w:eastAsia="仿宋" w:cs="仿宋"/>
          <w:bCs/>
          <w:color w:val="auto"/>
          <w:highlight w:val="none"/>
        </w:rPr>
      </w:pPr>
      <w:r>
        <w:rPr>
          <w:rFonts w:hint="eastAsia" w:ascii="仿宋" w:hAnsi="仿宋" w:eastAsia="仿宋" w:cs="仿宋"/>
          <w:bCs/>
          <w:color w:val="auto"/>
          <w:highlight w:val="none"/>
        </w:rPr>
        <w:t>10.1 承包人提供施工组织设计(施工方案)和进度计划的时间：</w:t>
      </w:r>
      <w:r>
        <w:rPr>
          <w:rFonts w:hint="eastAsia" w:ascii="仿宋" w:hAnsi="仿宋" w:eastAsia="仿宋" w:cs="仿宋"/>
          <w:bCs/>
          <w:color w:val="auto"/>
          <w:highlight w:val="none"/>
          <w:u w:val="single"/>
        </w:rPr>
        <w:t xml:space="preserve"> 于开工前7日内</w:t>
      </w:r>
      <w:r>
        <w:rPr>
          <w:rFonts w:hint="eastAsia" w:ascii="仿宋" w:hAnsi="仿宋" w:eastAsia="仿宋" w:cs="仿宋"/>
          <w:bCs/>
          <w:color w:val="auto"/>
          <w:highlight w:val="none"/>
        </w:rPr>
        <w:t>。</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bCs/>
          <w:color w:val="auto"/>
          <w:highlight w:val="none"/>
        </w:rPr>
        <w:t>承包人确认的时间：</w:t>
      </w:r>
      <w:r>
        <w:rPr>
          <w:rFonts w:hint="eastAsia" w:ascii="仿宋" w:hAnsi="仿宋" w:eastAsia="仿宋" w:cs="仿宋"/>
          <w:bCs/>
          <w:color w:val="auto"/>
          <w:highlight w:val="none"/>
          <w:u w:val="single"/>
        </w:rPr>
        <w:t xml:space="preserve"> 收到后5日内予以批复</w:t>
      </w:r>
      <w:r>
        <w:rPr>
          <w:rFonts w:hint="eastAsia" w:ascii="仿宋" w:hAnsi="仿宋" w:eastAsia="仿宋" w:cs="仿宋"/>
          <w:bCs/>
          <w:color w:val="auto"/>
          <w:highlight w:val="none"/>
        </w:rPr>
        <w:t>。</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“13、工期延误”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13. 工期延误</w:t>
      </w:r>
    </w:p>
    <w:p>
      <w:pPr>
        <w:spacing w:line="440" w:lineRule="exact"/>
        <w:ind w:firstLine="441" w:firstLineChars="210"/>
        <w:rPr>
          <w:rFonts w:ascii="仿宋" w:hAnsi="仿宋" w:eastAsia="仿宋" w:cs="仿宋"/>
          <w:color w:val="auto"/>
          <w:szCs w:val="21"/>
          <w:highlight w:val="none"/>
        </w:rPr>
      </w:pPr>
      <w:r>
        <w:rPr>
          <w:rFonts w:hint="eastAsia" w:ascii="仿宋" w:hAnsi="仿宋" w:eastAsia="仿宋" w:cs="仿宋"/>
          <w:color w:val="auto"/>
          <w:szCs w:val="21"/>
          <w:highlight w:val="none"/>
        </w:rPr>
        <w:t>13.1 对以下原因造成工期延误；经承包人确认，工期相应顺延：按通用条款第13条执行。</w:t>
      </w:r>
    </w:p>
    <w:p>
      <w:pPr>
        <w:spacing w:line="440" w:lineRule="exact"/>
        <w:ind w:firstLine="441" w:firstLineChars="210"/>
        <w:rPr>
          <w:rFonts w:ascii="仿宋" w:hAnsi="仿宋" w:eastAsia="仿宋" w:cs="仿宋"/>
          <w:color w:val="auto"/>
          <w:szCs w:val="21"/>
          <w:highlight w:val="none"/>
          <w:u w:val="single"/>
        </w:rPr>
      </w:pPr>
      <w:r>
        <w:rPr>
          <w:rFonts w:hint="eastAsia" w:ascii="仿宋" w:hAnsi="仿宋" w:eastAsia="仿宋" w:cs="仿宋"/>
          <w:color w:val="auto"/>
          <w:szCs w:val="21"/>
          <w:highlight w:val="none"/>
        </w:rPr>
        <w:t>13.1.1 双方约定工期顺延的其他情况：</w:t>
      </w:r>
      <w:r>
        <w:rPr>
          <w:rFonts w:hint="eastAsia" w:ascii="仿宋" w:hAnsi="仿宋" w:eastAsia="仿宋" w:cs="仿宋"/>
          <w:color w:val="auto"/>
          <w:szCs w:val="21"/>
          <w:highlight w:val="none"/>
          <w:u w:val="single"/>
        </w:rPr>
        <w:t xml:space="preserve">  不可抗力的原因。   </w:t>
      </w:r>
    </w:p>
    <w:p>
      <w:pPr>
        <w:spacing w:line="440" w:lineRule="exact"/>
        <w:ind w:firstLine="441" w:firstLineChars="210"/>
        <w:rPr>
          <w:rFonts w:ascii="仿宋" w:hAnsi="仿宋" w:eastAsia="仿宋" w:cs="仿宋"/>
          <w:color w:val="auto"/>
          <w:szCs w:val="21"/>
          <w:highlight w:val="none"/>
        </w:rPr>
      </w:pPr>
      <w:r>
        <w:rPr>
          <w:rFonts w:hint="eastAsia" w:ascii="仿宋" w:hAnsi="仿宋" w:eastAsia="仿宋" w:cs="仿宋"/>
          <w:color w:val="auto"/>
          <w:szCs w:val="21"/>
          <w:highlight w:val="none"/>
        </w:rPr>
        <w:t>13.2 非上述原因，承包人不能按合同约定的时间竣工，承包人应承担违约责任。应向发包人支付误期赔偿费（每天赔偿金额为合同价款的万分之</w:t>
      </w:r>
      <w:r>
        <w:rPr>
          <w:rFonts w:hint="eastAsia" w:ascii="仿宋" w:hAnsi="仿宋" w:eastAsia="仿宋" w:cs="仿宋"/>
          <w:color w:val="auto"/>
          <w:szCs w:val="21"/>
          <w:highlight w:val="none"/>
          <w:u w:val="single"/>
        </w:rPr>
        <w:t xml:space="preserve"> 四 </w:t>
      </w:r>
      <w:r>
        <w:rPr>
          <w:rFonts w:hint="eastAsia" w:ascii="仿宋" w:hAnsi="仿宋" w:eastAsia="仿宋" w:cs="仿宋"/>
          <w:color w:val="auto"/>
          <w:szCs w:val="21"/>
          <w:highlight w:val="none"/>
        </w:rPr>
        <w:t>），误期时间从规定竣工日期起直到全部工程或相应部分工程竣工验收各方签章日期之间的天数（扣除发包人批准顺延的工期），其极限为合同价的</w:t>
      </w:r>
      <w:r>
        <w:rPr>
          <w:rFonts w:hint="eastAsia" w:ascii="仿宋" w:hAnsi="仿宋" w:eastAsia="仿宋" w:cs="仿宋"/>
          <w:color w:val="auto"/>
          <w:szCs w:val="21"/>
          <w:highlight w:val="none"/>
          <w:u w:val="single"/>
        </w:rPr>
        <w:t xml:space="preserve"> 5 %</w:t>
      </w:r>
      <w:r>
        <w:rPr>
          <w:rFonts w:hint="eastAsia" w:ascii="仿宋" w:hAnsi="仿宋" w:eastAsia="仿宋" w:cs="仿宋"/>
          <w:color w:val="auto"/>
          <w:szCs w:val="21"/>
          <w:highlight w:val="none"/>
        </w:rPr>
        <w:t>。发包人可从应向承包人支付的任何金额中扣除此项赔款费或其他方式收回此款，此赔偿款的支付并不能解除承包人应完成工程的责任或合同规定的其他责任。</w:t>
      </w:r>
    </w:p>
    <w:p>
      <w:pPr>
        <w:spacing w:line="440" w:lineRule="exact"/>
        <w:ind w:firstLine="441" w:firstLineChars="210"/>
        <w:rPr>
          <w:rFonts w:ascii="仿宋" w:hAnsi="仿宋" w:eastAsia="仿宋" w:cs="仿宋"/>
          <w:color w:val="auto"/>
          <w:szCs w:val="21"/>
          <w:highlight w:val="none"/>
        </w:rPr>
      </w:pPr>
      <w:r>
        <w:rPr>
          <w:rFonts w:hint="eastAsia" w:ascii="仿宋" w:hAnsi="仿宋" w:eastAsia="仿宋" w:cs="仿宋"/>
          <w:color w:val="auto"/>
          <w:szCs w:val="21"/>
          <w:highlight w:val="none"/>
        </w:rPr>
        <w:t>1</w:t>
      </w:r>
      <w:r>
        <w:rPr>
          <w:rFonts w:ascii="仿宋" w:hAnsi="仿宋" w:eastAsia="仿宋" w:cs="仿宋"/>
          <w:color w:val="auto"/>
          <w:szCs w:val="21"/>
          <w:highlight w:val="none"/>
        </w:rPr>
        <w:t>3.3</w:t>
      </w:r>
      <w:r>
        <w:rPr>
          <w:rFonts w:hint="eastAsia" w:ascii="仿宋" w:hAnsi="仿宋" w:eastAsia="仿宋" w:cs="仿宋"/>
          <w:color w:val="auto"/>
          <w:szCs w:val="21"/>
          <w:highlight w:val="none"/>
        </w:rPr>
        <w:t xml:space="preserve"> 合同要求工期1</w:t>
      </w:r>
      <w:r>
        <w:rPr>
          <w:rFonts w:ascii="仿宋" w:hAnsi="仿宋" w:eastAsia="仿宋" w:cs="仿宋"/>
          <w:color w:val="auto"/>
          <w:szCs w:val="21"/>
          <w:highlight w:val="none"/>
        </w:rPr>
        <w:t>80</w:t>
      </w:r>
      <w:r>
        <w:rPr>
          <w:rFonts w:hint="eastAsia" w:ascii="仿宋" w:hAnsi="仿宋" w:eastAsia="仿宋" w:cs="仿宋"/>
          <w:color w:val="auto"/>
          <w:szCs w:val="21"/>
          <w:highlight w:val="none"/>
        </w:rPr>
        <w:t>天，充分考虑了项目实施工期风险，合同约定工程承包范围工程量变化，合同工期不作调整。施工进度计划按合同通用条款第7条规定执行（施工进度计划的编制应当符合国家法律规定和一般工程实践惯例，如：按</w:t>
      </w:r>
      <w:r>
        <w:rPr>
          <w:rFonts w:ascii="仿宋" w:hAnsi="仿宋" w:eastAsia="仿宋" w:cs="仿宋"/>
          <w:color w:val="auto"/>
          <w:szCs w:val="21"/>
          <w:highlight w:val="none"/>
        </w:rPr>
        <w:t>中华人民共和国住房和城乡建设部发布</w:t>
      </w:r>
      <w:r>
        <w:rPr>
          <w:rFonts w:hint="eastAsia" w:ascii="仿宋" w:hAnsi="仿宋" w:eastAsia="仿宋" w:cs="仿宋"/>
          <w:color w:val="auto"/>
          <w:szCs w:val="21"/>
          <w:highlight w:val="none"/>
        </w:rPr>
        <w:t>的</w:t>
      </w:r>
      <w:r>
        <w:rPr>
          <w:rFonts w:ascii="仿宋" w:hAnsi="仿宋" w:eastAsia="仿宋" w:cs="仿宋"/>
          <w:color w:val="auto"/>
          <w:szCs w:val="21"/>
          <w:highlight w:val="none"/>
        </w:rPr>
        <w:t>行业标准《工程网络计划技术规程》(JGJ/T 121-2015)</w:t>
      </w:r>
      <w:r>
        <w:rPr>
          <w:rFonts w:hint="eastAsia" w:ascii="仿宋" w:hAnsi="仿宋" w:eastAsia="仿宋" w:cs="仿宋"/>
          <w:color w:val="auto"/>
          <w:szCs w:val="21"/>
          <w:highlight w:val="none"/>
        </w:rPr>
        <w:t>进行编制，在进行施工前，并报送工程师审核批准和发包人确认后执行），因发包人原因引起施工进度计划中关键工作延误，工期按相关规定予以顺延，质量要求不变；若发包人要求合同工期执行，则发包人应补偿承包人相应的赶工费。</w:t>
      </w:r>
    </w:p>
    <w:p>
      <w:pPr>
        <w:spacing w:line="440" w:lineRule="exact"/>
        <w:ind w:firstLine="441" w:firstLineChars="210"/>
        <w:rPr>
          <w:rFonts w:ascii="仿宋" w:hAnsi="仿宋" w:eastAsia="仿宋" w:cs="仿宋"/>
          <w:color w:val="auto"/>
          <w:szCs w:val="21"/>
          <w:highlight w:val="none"/>
        </w:rPr>
      </w:pPr>
      <w:r>
        <w:rPr>
          <w:rFonts w:hint="eastAsia" w:ascii="仿宋" w:hAnsi="仿宋" w:eastAsia="仿宋" w:cs="仿宋"/>
          <w:color w:val="auto"/>
          <w:szCs w:val="21"/>
          <w:highlight w:val="none"/>
        </w:rPr>
        <w:t>13.4 承包工人必须按照合同工期或发包人同意顺延的工期竣工。</w:t>
      </w:r>
    </w:p>
    <w:p>
      <w:pPr>
        <w:pStyle w:val="27"/>
        <w:spacing w:line="440" w:lineRule="exact"/>
        <w:ind w:firstLine="420" w:firstLineChars="210"/>
        <w:rPr>
          <w:rFonts w:ascii="仿宋" w:hAnsi="仿宋" w:eastAsia="仿宋" w:cs="仿宋"/>
          <w:color w:val="auto"/>
          <w:highlight w:val="none"/>
        </w:rPr>
      </w:pPr>
    </w:p>
    <w:p>
      <w:pPr>
        <w:pStyle w:val="27"/>
        <w:spacing w:line="440" w:lineRule="exact"/>
        <w:ind w:firstLine="330" w:firstLineChars="165"/>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74" w:name="_Toc118023788"/>
      <w:bookmarkStart w:id="375" w:name="_Toc43044952"/>
      <w:r>
        <w:rPr>
          <w:rFonts w:hint="eastAsia" w:ascii="仿宋" w:hAnsi="仿宋" w:eastAsia="仿宋" w:cs="仿宋"/>
          <w:b/>
          <w:color w:val="auto"/>
          <w:highlight w:val="none"/>
        </w:rPr>
        <w:instrText xml:space="preserve">四、质量与验收</w:instrText>
      </w:r>
      <w:bookmarkEnd w:id="374"/>
      <w:bookmarkEnd w:id="375"/>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四、质量与验收</w:t>
      </w:r>
    </w:p>
    <w:p>
      <w:pPr>
        <w:pStyle w:val="27"/>
        <w:spacing w:line="440" w:lineRule="exact"/>
        <w:ind w:firstLine="331" w:firstLineChars="165"/>
        <w:rPr>
          <w:rFonts w:ascii="仿宋" w:hAnsi="仿宋" w:eastAsia="仿宋" w:cs="仿宋"/>
          <w:b/>
          <w:color w:val="auto"/>
          <w:highlight w:val="none"/>
        </w:rPr>
      </w:pPr>
      <w:r>
        <w:rPr>
          <w:rFonts w:hint="eastAsia" w:ascii="仿宋" w:hAnsi="仿宋" w:eastAsia="仿宋" w:cs="仿宋"/>
          <w:b/>
          <w:color w:val="auto"/>
          <w:highlight w:val="none"/>
        </w:rPr>
        <w:t>15. 工程质量</w:t>
      </w:r>
    </w:p>
    <w:p>
      <w:pPr>
        <w:spacing w:line="440" w:lineRule="exact"/>
        <w:ind w:firstLine="346" w:firstLineChars="165"/>
        <w:rPr>
          <w:rFonts w:ascii="仿宋" w:hAnsi="仿宋" w:eastAsia="仿宋" w:cs="仿宋"/>
          <w:color w:val="auto"/>
          <w:szCs w:val="21"/>
          <w:highlight w:val="none"/>
        </w:rPr>
      </w:pPr>
      <w:r>
        <w:rPr>
          <w:rFonts w:hint="eastAsia" w:ascii="仿宋" w:hAnsi="仿宋" w:eastAsia="仿宋" w:cs="仿宋"/>
          <w:color w:val="auto"/>
          <w:szCs w:val="21"/>
          <w:highlight w:val="none"/>
        </w:rPr>
        <w:t>15.1 发包人对工程质量的要求：</w:t>
      </w:r>
      <w:r>
        <w:rPr>
          <w:rFonts w:hint="eastAsia" w:ascii="仿宋" w:hAnsi="仿宋" w:eastAsia="仿宋" w:cs="仿宋"/>
          <w:color w:val="auto"/>
          <w:szCs w:val="21"/>
          <w:highlight w:val="none"/>
          <w:u w:val="single"/>
        </w:rPr>
        <w:t xml:space="preserve">  </w:t>
      </w:r>
      <w:r>
        <w:rPr>
          <w:rFonts w:hint="eastAsia" w:ascii="仿宋" w:hAnsi="仿宋" w:eastAsia="仿宋" w:cs="仿宋"/>
          <w:b/>
          <w:color w:val="auto"/>
          <w:szCs w:val="21"/>
          <w:highlight w:val="none"/>
          <w:u w:val="single"/>
        </w:rPr>
        <w:t>合格</w:t>
      </w:r>
      <w:r>
        <w:rPr>
          <w:rFonts w:hint="eastAsia" w:ascii="仿宋" w:hAnsi="仿宋" w:eastAsia="仿宋" w:cs="仿宋"/>
          <w:color w:val="auto"/>
          <w:szCs w:val="21"/>
          <w:highlight w:val="none"/>
          <w:u w:val="single"/>
        </w:rPr>
        <w:t>。</w:t>
      </w:r>
      <w:r>
        <w:rPr>
          <w:rFonts w:hint="eastAsia" w:ascii="仿宋" w:hAnsi="仿宋" w:eastAsia="仿宋" w:cs="仿宋"/>
          <w:color w:val="auto"/>
          <w:szCs w:val="21"/>
          <w:highlight w:val="none"/>
        </w:rPr>
        <w:t xml:space="preserve">   </w:t>
      </w:r>
    </w:p>
    <w:p>
      <w:pPr>
        <w:spacing w:line="440" w:lineRule="exact"/>
        <w:ind w:firstLine="346" w:firstLineChars="165"/>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验收要求：项目竣工后，由甲方、乙方共同组织专家组按磋商采购文件要求进行验收。验收不合格项，由施工方负责整改直至通过验收，整改发生的费用由乙方负责，甲方不支付因施工质量问题发生整改的费用。 </w:t>
      </w:r>
    </w:p>
    <w:p>
      <w:pPr>
        <w:spacing w:line="440" w:lineRule="exact"/>
        <w:ind w:firstLine="346" w:firstLineChars="165"/>
        <w:rPr>
          <w:rFonts w:ascii="仿宋" w:hAnsi="仿宋" w:eastAsia="仿宋" w:cs="仿宋"/>
          <w:color w:val="auto"/>
          <w:szCs w:val="21"/>
          <w:highlight w:val="none"/>
        </w:rPr>
      </w:pPr>
      <w:r>
        <w:rPr>
          <w:rFonts w:hint="eastAsia" w:ascii="仿宋" w:hAnsi="仿宋" w:eastAsia="仿宋" w:cs="仿宋"/>
          <w:color w:val="auto"/>
          <w:szCs w:val="21"/>
          <w:highlight w:val="none"/>
        </w:rPr>
        <w:t>15.2 双方对工程质量有争议时，请</w:t>
      </w:r>
      <w:r>
        <w:rPr>
          <w:rFonts w:hint="eastAsia" w:ascii="仿宋" w:hAnsi="仿宋" w:eastAsia="仿宋" w:cs="仿宋"/>
          <w:color w:val="auto"/>
          <w:szCs w:val="21"/>
          <w:highlight w:val="none"/>
          <w:u w:val="single"/>
        </w:rPr>
        <w:t xml:space="preserve">   贺州市</w:t>
      </w:r>
      <w:r>
        <w:rPr>
          <w:rFonts w:hint="eastAsia" w:ascii="仿宋" w:hAnsi="仿宋" w:eastAsia="仿宋" w:cs="仿宋"/>
          <w:color w:val="auto"/>
          <w:szCs w:val="21"/>
          <w:highlight w:val="none"/>
          <w:u w:val="single"/>
          <w:lang w:eastAsia="zh-CN"/>
        </w:rPr>
        <w:t>仲裁机构</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仲裁。 </w:t>
      </w:r>
    </w:p>
    <w:p>
      <w:pPr>
        <w:spacing w:line="440" w:lineRule="exact"/>
        <w:ind w:firstLine="441" w:firstLineChars="210"/>
        <w:rPr>
          <w:rFonts w:ascii="仿宋" w:hAnsi="仿宋" w:eastAsia="仿宋" w:cs="仿宋"/>
          <w:color w:val="auto"/>
          <w:szCs w:val="21"/>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“17、隐蔽工程和中间验收”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17. 隐蔽工程和中间验收</w:t>
      </w:r>
    </w:p>
    <w:p>
      <w:pPr>
        <w:pStyle w:val="27"/>
        <w:spacing w:line="440" w:lineRule="exact"/>
        <w:ind w:firstLine="420" w:firstLineChars="210"/>
        <w:rPr>
          <w:rFonts w:ascii="仿宋" w:hAnsi="仿宋" w:eastAsia="仿宋" w:cs="仿宋"/>
          <w:bCs/>
          <w:color w:val="auto"/>
          <w:highlight w:val="none"/>
        </w:rPr>
      </w:pPr>
      <w:r>
        <w:rPr>
          <w:rFonts w:hint="eastAsia" w:ascii="仿宋" w:hAnsi="仿宋" w:eastAsia="仿宋" w:cs="仿宋"/>
          <w:bCs/>
          <w:color w:val="auto"/>
          <w:highlight w:val="none"/>
        </w:rPr>
        <w:t>17.1 双方约定中间验收部位：</w:t>
      </w:r>
      <w:r>
        <w:rPr>
          <w:rFonts w:hint="eastAsia" w:ascii="仿宋" w:hAnsi="仿宋" w:eastAsia="仿宋" w:cs="仿宋"/>
          <w:bCs/>
          <w:color w:val="auto"/>
          <w:highlight w:val="none"/>
          <w:u w:val="single"/>
        </w:rPr>
        <w:t xml:space="preserve">  待定。</w:t>
      </w:r>
    </w:p>
    <w:p>
      <w:pPr>
        <w:pStyle w:val="27"/>
        <w:spacing w:line="440" w:lineRule="exact"/>
        <w:ind w:firstLine="420" w:firstLineChars="209"/>
        <w:rPr>
          <w:rFonts w:ascii="仿宋" w:hAnsi="仿宋" w:eastAsia="仿宋" w:cs="仿宋"/>
          <w:b/>
          <w:bCs/>
          <w:color w:val="auto"/>
          <w:highlight w:val="none"/>
        </w:rPr>
      </w:pPr>
      <w:r>
        <w:rPr>
          <w:rFonts w:hint="eastAsia" w:ascii="仿宋" w:hAnsi="仿宋" w:eastAsia="仿宋" w:cs="仿宋"/>
          <w:b/>
          <w:bCs/>
          <w:color w:val="auto"/>
          <w:highlight w:val="none"/>
        </w:rPr>
        <w:t>*17.2 工程隐蔽或中间验收前12小时以书面形式通知发包人验收的内容、时间、地点，承包人准备验收记录单（最好是印制的表格）由双方签证。验收合格，承包人可进行隐蔽和继续施工；验收不合格，双方商订时限内修改后按上述循序重新验收。</w:t>
      </w:r>
    </w:p>
    <w:p>
      <w:pPr>
        <w:pStyle w:val="27"/>
        <w:spacing w:line="440" w:lineRule="exact"/>
        <w:ind w:firstLine="420" w:firstLineChars="209"/>
        <w:rPr>
          <w:rFonts w:ascii="仿宋" w:hAnsi="仿宋" w:eastAsia="仿宋" w:cs="仿宋"/>
          <w:color w:val="auto"/>
          <w:highlight w:val="none"/>
        </w:rPr>
      </w:pPr>
      <w:r>
        <w:rPr>
          <w:rFonts w:hint="eastAsia" w:ascii="仿宋" w:hAnsi="仿宋" w:eastAsia="仿宋" w:cs="仿宋"/>
          <w:b/>
          <w:bCs/>
          <w:color w:val="auto"/>
          <w:highlight w:val="none"/>
        </w:rPr>
        <w:t>*17.3 工程师应在承包人约定时间到达现场进行隐蔽中间验收工作（不得以任何理由改期），如果在约定时间超过两小时内工程师未到现场或到现场后不签证（有非承包方人员证明），承包人可自行隐蔽继续施工，后果由工程师承担。但在约定时间承包人未到现场及超过约定时间两小时，工程师可另订时间验收，承包人不得有异议且承担由此引发的责任。</w:t>
      </w:r>
    </w:p>
    <w:p>
      <w:pPr>
        <w:pStyle w:val="27"/>
        <w:spacing w:line="440" w:lineRule="exact"/>
        <w:ind w:firstLine="418" w:firstLineChars="209"/>
        <w:rPr>
          <w:rFonts w:ascii="仿宋" w:hAnsi="仿宋" w:eastAsia="仿宋" w:cs="仿宋"/>
          <w:color w:val="auto"/>
          <w:highlight w:val="none"/>
        </w:rPr>
      </w:pPr>
    </w:p>
    <w:p>
      <w:pPr>
        <w:pStyle w:val="27"/>
        <w:spacing w:line="440" w:lineRule="exact"/>
        <w:ind w:firstLine="346" w:firstLineChars="173"/>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76" w:name="_Toc43044956"/>
      <w:bookmarkStart w:id="377" w:name="_Toc118023792"/>
      <w:r>
        <w:rPr>
          <w:rFonts w:hint="eastAsia" w:ascii="仿宋" w:hAnsi="仿宋" w:eastAsia="仿宋" w:cs="仿宋"/>
          <w:b/>
          <w:color w:val="auto"/>
          <w:highlight w:val="none"/>
        </w:rPr>
        <w:instrText xml:space="preserve">六、合同价款与支付</w:instrText>
      </w:r>
      <w:bookmarkEnd w:id="376"/>
      <w:bookmarkEnd w:id="377"/>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六、合同价款与支付</w:t>
      </w:r>
    </w:p>
    <w:p>
      <w:pPr>
        <w:pStyle w:val="27"/>
        <w:spacing w:line="440" w:lineRule="exact"/>
        <w:ind w:firstLine="346" w:firstLineChars="173"/>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“23、合同价款与调整”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23. 合同价款及调整</w:t>
      </w:r>
    </w:p>
    <w:p>
      <w:pPr>
        <w:pStyle w:val="27"/>
        <w:spacing w:line="440" w:lineRule="exact"/>
        <w:ind w:firstLine="347" w:firstLineChars="173"/>
        <w:rPr>
          <w:rFonts w:ascii="仿宋" w:hAnsi="仿宋" w:eastAsia="仿宋" w:cs="仿宋"/>
          <w:b/>
          <w:bCs/>
          <w:color w:val="auto"/>
          <w:highlight w:val="none"/>
          <w:u w:val="single"/>
        </w:rPr>
      </w:pPr>
      <w:r>
        <w:rPr>
          <w:rFonts w:hint="eastAsia" w:ascii="仿宋" w:hAnsi="仿宋" w:eastAsia="仿宋" w:cs="仿宋"/>
          <w:b/>
          <w:bCs/>
          <w:color w:val="auto"/>
          <w:highlight w:val="none"/>
        </w:rPr>
        <w:t>﹡23.1 本合同价款采用</w:t>
      </w:r>
      <w:r>
        <w:rPr>
          <w:rFonts w:hint="eastAsia" w:ascii="仿宋" w:hAnsi="仿宋" w:eastAsia="仿宋" w:cs="仿宋"/>
          <w:b/>
          <w:bCs/>
          <w:color w:val="auto"/>
          <w:highlight w:val="none"/>
          <w:u w:val="single"/>
        </w:rPr>
        <w:t xml:space="preserve"> </w:t>
      </w:r>
      <w:r>
        <w:rPr>
          <w:rFonts w:hint="eastAsia" w:ascii="仿宋" w:hAnsi="仿宋" w:eastAsia="仿宋" w:cs="仿宋"/>
          <w:b/>
          <w:bCs/>
          <w:color w:val="auto"/>
          <w:highlight w:val="none"/>
        </w:rPr>
        <w:t>固定总价合同。工程总价包干不能因市场价格调整发生变化。</w:t>
      </w:r>
    </w:p>
    <w:p>
      <w:pPr>
        <w:pStyle w:val="27"/>
        <w:spacing w:line="440" w:lineRule="exact"/>
        <w:ind w:firstLine="347" w:firstLineChars="173"/>
        <w:rPr>
          <w:rFonts w:ascii="仿宋" w:hAnsi="仿宋" w:eastAsia="仿宋" w:cs="仿宋"/>
          <w:b/>
          <w:bCs/>
          <w:color w:val="auto"/>
          <w:highlight w:val="none"/>
        </w:rPr>
      </w:pPr>
      <w:r>
        <w:rPr>
          <w:rFonts w:hint="eastAsia" w:ascii="仿宋" w:hAnsi="仿宋" w:eastAsia="仿宋" w:cs="仿宋"/>
          <w:b/>
          <w:bCs/>
          <w:color w:val="auto"/>
          <w:highlight w:val="none"/>
        </w:rPr>
        <w:t>合同价款中包括的风险范围：</w:t>
      </w:r>
      <w:r>
        <w:rPr>
          <w:rFonts w:hint="eastAsia" w:ascii="仿宋" w:hAnsi="仿宋" w:eastAsia="仿宋" w:cs="仿宋"/>
          <w:b/>
          <w:bCs/>
          <w:color w:val="auto"/>
          <w:highlight w:val="none"/>
          <w:u w:val="single"/>
        </w:rPr>
        <w:t xml:space="preserve"> 除工程变更和政策性调整以外的其他风险。 </w:t>
      </w:r>
    </w:p>
    <w:p>
      <w:pPr>
        <w:pStyle w:val="27"/>
        <w:spacing w:line="440" w:lineRule="exact"/>
        <w:ind w:firstLine="347" w:firstLineChars="173"/>
        <w:rPr>
          <w:rFonts w:ascii="仿宋" w:hAnsi="仿宋" w:eastAsia="仿宋" w:cs="仿宋"/>
          <w:b/>
          <w:bCs/>
          <w:color w:val="auto"/>
          <w:highlight w:val="none"/>
        </w:rPr>
      </w:pPr>
      <w:r>
        <w:rPr>
          <w:rFonts w:hint="eastAsia" w:ascii="仿宋" w:hAnsi="仿宋" w:eastAsia="仿宋" w:cs="仿宋"/>
          <w:b/>
          <w:bCs/>
          <w:color w:val="auto"/>
          <w:highlight w:val="none"/>
        </w:rPr>
        <w:t xml:space="preserve">风险范围以外合同价款调整方法： </w:t>
      </w:r>
    </w:p>
    <w:p>
      <w:pPr>
        <w:pStyle w:val="27"/>
        <w:spacing w:line="440" w:lineRule="exact"/>
        <w:ind w:firstLine="347" w:firstLineChars="173"/>
        <w:rPr>
          <w:rFonts w:ascii="仿宋" w:hAnsi="仿宋" w:eastAsia="仿宋" w:cs="仿宋"/>
          <w:b/>
          <w:bCs/>
          <w:color w:val="auto"/>
          <w:highlight w:val="none"/>
          <w:u w:val="single"/>
        </w:rPr>
      </w:pPr>
      <w:r>
        <w:rPr>
          <w:rFonts w:hint="eastAsia" w:ascii="仿宋" w:hAnsi="仿宋" w:eastAsia="仿宋" w:cs="仿宋"/>
          <w:b/>
          <w:bCs/>
          <w:color w:val="auto"/>
          <w:highlight w:val="none"/>
          <w:u w:val="single"/>
        </w:rPr>
        <w:t>（一）因设计变更引起工程项目、工程量任何变化的，变更合同价款按下列方法进行：（1）合同中已有适用于变更工程的价格，按合同已有的价格变更合同价款；（2）合同中只有类似于变更工程的价格，可以参照类似价格变更合同价款；（3）合同中没有适用或类似于变更工程的价格，则有定额的套定额计算（土石方工程除外），并乘以下浮系数（中标价/经审定的工程招标控制价）计算，其中材料价格有信息价的按施工期间的信息价进行计算，无信息的按市场价；无定额可套的，根据市场价格协商；新增项目的单价必须经第三方审计部门审定。</w:t>
      </w:r>
    </w:p>
    <w:p>
      <w:pPr>
        <w:pStyle w:val="27"/>
        <w:spacing w:line="440" w:lineRule="exact"/>
        <w:ind w:firstLine="347" w:firstLineChars="173"/>
        <w:rPr>
          <w:rFonts w:ascii="仿宋" w:hAnsi="仿宋" w:eastAsia="仿宋" w:cs="仿宋"/>
          <w:b/>
          <w:bCs/>
          <w:color w:val="auto"/>
          <w:highlight w:val="none"/>
          <w:u w:val="single"/>
        </w:rPr>
      </w:pPr>
      <w:r>
        <w:rPr>
          <w:rFonts w:hint="eastAsia" w:ascii="仿宋" w:hAnsi="仿宋" w:eastAsia="仿宋" w:cs="仿宋"/>
          <w:b/>
          <w:bCs/>
          <w:color w:val="auto"/>
          <w:highlight w:val="none"/>
          <w:u w:val="single"/>
        </w:rPr>
        <w:t>（二）国家和自治区政策性调整有关费用标准的，按文件规定执行。</w:t>
      </w:r>
    </w:p>
    <w:p>
      <w:pPr>
        <w:pStyle w:val="27"/>
        <w:spacing w:line="440" w:lineRule="exact"/>
        <w:ind w:firstLine="420" w:firstLineChars="209"/>
        <w:rPr>
          <w:rFonts w:ascii="仿宋" w:hAnsi="仿宋" w:eastAsia="仿宋" w:cs="仿宋"/>
          <w:b/>
          <w:color w:val="auto"/>
          <w:highlight w:val="none"/>
          <w:u w:val="single"/>
        </w:rPr>
      </w:pPr>
      <w:r>
        <w:rPr>
          <w:rFonts w:hint="eastAsia" w:ascii="仿宋" w:hAnsi="仿宋" w:eastAsia="仿宋" w:cs="仿宋"/>
          <w:b/>
          <w:color w:val="auto"/>
          <w:highlight w:val="none"/>
          <w:u w:val="single"/>
        </w:rPr>
        <w:t>本工程最终结算价以发包人及相关单位审定为准。</w:t>
      </w:r>
    </w:p>
    <w:p>
      <w:pPr>
        <w:pStyle w:val="27"/>
        <w:spacing w:line="440" w:lineRule="exact"/>
        <w:ind w:firstLine="420" w:firstLineChars="209"/>
        <w:rPr>
          <w:rFonts w:ascii="仿宋" w:hAnsi="仿宋" w:eastAsia="仿宋" w:cs="仿宋"/>
          <w:b/>
          <w:bCs/>
          <w:color w:val="auto"/>
          <w:highlight w:val="none"/>
        </w:rPr>
      </w:pPr>
    </w:p>
    <w:p>
      <w:pPr>
        <w:pStyle w:val="27"/>
        <w:spacing w:line="440" w:lineRule="exact"/>
        <w:ind w:firstLine="418" w:firstLineChars="209"/>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78" w:name="_Toc43044959"/>
      <w:bookmarkStart w:id="379" w:name="_Toc118023795"/>
      <w:r>
        <w:rPr>
          <w:rFonts w:hint="eastAsia" w:ascii="仿宋" w:hAnsi="仿宋" w:eastAsia="仿宋" w:cs="仿宋"/>
          <w:b/>
          <w:color w:val="auto"/>
          <w:highlight w:val="none"/>
        </w:rPr>
        <w:instrText xml:space="preserve">25、工程量确认</w:instrText>
      </w:r>
      <w:bookmarkEnd w:id="378"/>
      <w:bookmarkEnd w:id="379"/>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25. 工程量确认：</w:t>
      </w:r>
    </w:p>
    <w:p>
      <w:pPr>
        <w:pStyle w:val="27"/>
        <w:spacing w:line="480" w:lineRule="exact"/>
        <w:ind w:firstLine="418" w:firstLineChars="209"/>
        <w:rPr>
          <w:rFonts w:ascii="仿宋" w:hAnsi="仿宋" w:eastAsia="仿宋" w:cs="仿宋"/>
          <w:color w:val="auto"/>
          <w:highlight w:val="none"/>
        </w:rPr>
      </w:pPr>
      <w:r>
        <w:rPr>
          <w:rFonts w:hint="eastAsia" w:ascii="仿宋" w:hAnsi="仿宋" w:eastAsia="仿宋" w:cs="仿宋"/>
          <w:color w:val="auto"/>
          <w:highlight w:val="none"/>
        </w:rPr>
        <w:t>25.1 承包人向发包人提交已完工程量报告的时间：</w:t>
      </w:r>
      <w:r>
        <w:rPr>
          <w:rFonts w:hint="eastAsia" w:ascii="仿宋" w:hAnsi="仿宋" w:eastAsia="仿宋" w:cs="仿宋"/>
          <w:color w:val="auto"/>
          <w:highlight w:val="none"/>
          <w:u w:val="single"/>
        </w:rPr>
        <w:t xml:space="preserve"> 每月25日前。 </w:t>
      </w:r>
      <w:r>
        <w:rPr>
          <w:rFonts w:hint="eastAsia" w:ascii="仿宋" w:hAnsi="仿宋" w:eastAsia="仿宋" w:cs="仿宋"/>
          <w:color w:val="auto"/>
          <w:highlight w:val="none"/>
        </w:rPr>
        <w:t xml:space="preserve">   </w:t>
      </w:r>
    </w:p>
    <w:p>
      <w:pPr>
        <w:spacing w:line="480" w:lineRule="exact"/>
        <w:ind w:firstLine="438" w:firstLineChars="209"/>
        <w:rPr>
          <w:rFonts w:ascii="仿宋" w:hAnsi="仿宋" w:eastAsia="仿宋" w:cs="仿宋"/>
          <w:color w:val="auto"/>
          <w:szCs w:val="21"/>
          <w:highlight w:val="none"/>
        </w:rPr>
      </w:pPr>
      <w:r>
        <w:rPr>
          <w:rFonts w:hint="eastAsia" w:ascii="仿宋" w:hAnsi="仿宋" w:eastAsia="仿宋" w:cs="仿宋"/>
          <w:color w:val="auto"/>
          <w:szCs w:val="21"/>
          <w:highlight w:val="none"/>
        </w:rPr>
        <w:t>25.1.1 工程量清单所列的工程量，不能作为承包人按合同履行其责任依据，实际施工中发生的工程量增加或减少并不影响承包人履行合同的责任，</w:t>
      </w:r>
      <w:r>
        <w:rPr>
          <w:rFonts w:hint="eastAsia" w:ascii="仿宋" w:hAnsi="仿宋" w:eastAsia="仿宋" w:cs="仿宋"/>
          <w:b/>
          <w:bCs/>
          <w:color w:val="auto"/>
          <w:highlight w:val="none"/>
          <w:u w:val="single"/>
        </w:rPr>
        <w:t>合同约定工程内容、工程量变化属于风险范围，工程价款不作调整；因设计变更引起工程项目、工程量变化，所完成工程款按合同约定比例在当月同期支付，这部分工程结算以完成的实际工程量为准。</w:t>
      </w:r>
    </w:p>
    <w:p>
      <w:pPr>
        <w:spacing w:line="480" w:lineRule="exact"/>
        <w:ind w:firstLine="438" w:firstLineChars="209"/>
        <w:rPr>
          <w:rFonts w:ascii="仿宋" w:hAnsi="仿宋" w:eastAsia="仿宋" w:cs="仿宋"/>
          <w:color w:val="auto"/>
          <w:szCs w:val="21"/>
          <w:highlight w:val="none"/>
        </w:rPr>
      </w:pPr>
      <w:r>
        <w:rPr>
          <w:rFonts w:hint="eastAsia" w:ascii="仿宋" w:hAnsi="仿宋" w:eastAsia="仿宋" w:cs="仿宋"/>
          <w:color w:val="auto"/>
          <w:szCs w:val="21"/>
          <w:highlight w:val="none"/>
        </w:rPr>
        <w:t>25.2 除另有规定外，工程师应按照合同通过计量来核实确定已完成的工程量和价值，承包人应得到该价值扣除保留金后的价款。当工程师要对已完工的工程量进行计量时，应适时地通知承包人参加。</w:t>
      </w:r>
    </w:p>
    <w:p>
      <w:pPr>
        <w:spacing w:line="480" w:lineRule="exact"/>
        <w:ind w:firstLine="438" w:firstLineChars="209"/>
        <w:rPr>
          <w:rFonts w:ascii="仿宋" w:hAnsi="仿宋" w:eastAsia="仿宋" w:cs="仿宋"/>
          <w:color w:val="auto"/>
          <w:szCs w:val="21"/>
          <w:highlight w:val="none"/>
        </w:rPr>
      </w:pPr>
      <w:r>
        <w:rPr>
          <w:rFonts w:hint="eastAsia" w:ascii="仿宋" w:hAnsi="仿宋" w:eastAsia="仿宋" w:cs="仿宋"/>
          <w:color w:val="auto"/>
          <w:szCs w:val="21"/>
          <w:highlight w:val="none"/>
        </w:rPr>
        <w:t>25.3 计量方法</w:t>
      </w:r>
    </w:p>
    <w:p>
      <w:pPr>
        <w:spacing w:line="480" w:lineRule="exact"/>
        <w:ind w:firstLine="438" w:firstLineChars="209"/>
        <w:rPr>
          <w:rFonts w:ascii="仿宋" w:hAnsi="仿宋" w:eastAsia="仿宋" w:cs="仿宋"/>
          <w:i/>
          <w:iCs/>
          <w:color w:val="auto"/>
          <w:szCs w:val="21"/>
          <w:highlight w:val="none"/>
          <w:u w:val="single"/>
        </w:rPr>
      </w:pPr>
      <w:r>
        <w:rPr>
          <w:rFonts w:hint="eastAsia" w:ascii="仿宋" w:hAnsi="仿宋" w:eastAsia="仿宋" w:cs="仿宋"/>
          <w:color w:val="auto"/>
          <w:szCs w:val="21"/>
          <w:highlight w:val="none"/>
        </w:rPr>
        <w:t>工程的计量均以国家标准《建设工程工程量清单计价规范》（GB50500—2013）和《建设工程工程量清单计价规范（GB50500—2013）广西壮族自治区实施细则》计算的净值为准，如有不明之处，应以造价管理部门指定的计量方法为准。</w:t>
      </w:r>
    </w:p>
    <w:p>
      <w:pPr>
        <w:spacing w:line="440" w:lineRule="exact"/>
        <w:ind w:firstLine="438" w:firstLineChars="209"/>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25.4 计量单位  </w:t>
      </w:r>
    </w:p>
    <w:p>
      <w:pPr>
        <w:pStyle w:val="21"/>
        <w:spacing w:line="440" w:lineRule="exact"/>
        <w:ind w:firstLine="441" w:firstLineChars="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除了合同另有规定外，所有计量单位均应符合本工程的工程量清单。</w:t>
      </w:r>
    </w:p>
    <w:p>
      <w:pPr>
        <w:pStyle w:val="27"/>
        <w:spacing w:line="440" w:lineRule="exact"/>
        <w:ind w:firstLine="420" w:firstLineChars="210"/>
        <w:rPr>
          <w:rFonts w:ascii="仿宋" w:hAnsi="仿宋" w:eastAsia="仿宋" w:cs="仿宋"/>
          <w:color w:val="auto"/>
          <w:highlight w:val="none"/>
        </w:rPr>
      </w:pP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w:t>
      </w:r>
      <w:r>
        <w:rPr>
          <w:rFonts w:hint="eastAsia"/>
          <w:color w:val="auto"/>
          <w:highlight w:val="none"/>
        </w:rPr>
        <w:fldChar w:fldCharType="begin"/>
      </w:r>
      <w:r>
        <w:rPr>
          <w:rFonts w:hint="eastAsia" w:ascii="仿宋" w:hAnsi="仿宋" w:eastAsia="仿宋" w:cs="仿宋"/>
          <w:b/>
          <w:bCs/>
          <w:color w:val="auto"/>
          <w:highlight w:val="none"/>
        </w:rPr>
        <w:instrText xml:space="preserve"> TC “</w:instrText>
      </w:r>
      <w:bookmarkStart w:id="380" w:name="_Toc118023796"/>
      <w:bookmarkStart w:id="381" w:name="_Toc43044960"/>
      <w:r>
        <w:rPr>
          <w:rFonts w:hint="eastAsia" w:ascii="仿宋" w:hAnsi="仿宋" w:eastAsia="仿宋" w:cs="仿宋"/>
          <w:b/>
          <w:bCs/>
          <w:color w:val="auto"/>
          <w:highlight w:val="none"/>
        </w:rPr>
        <w:instrText xml:space="preserve">26、工程款（进度款）支付</w:instrText>
      </w:r>
      <w:bookmarkEnd w:id="380"/>
      <w:bookmarkEnd w:id="381"/>
      <w:r>
        <w:rPr>
          <w:rFonts w:hint="eastAsia" w:ascii="仿宋" w:hAnsi="仿宋" w:eastAsia="仿宋" w:cs="仿宋"/>
          <w:b/>
          <w:bCs/>
          <w:color w:val="auto"/>
          <w:highlight w:val="none"/>
        </w:rPr>
        <w:instrText xml:space="preserve">” \l 2 \f s </w:instrTex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26. 工程款（进度款）支付</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26.1工程预付款：</w:t>
      </w:r>
      <w:r>
        <w:rPr>
          <w:rFonts w:hint="eastAsia" w:ascii="仿宋" w:hAnsi="仿宋" w:eastAsia="仿宋" w:cs="仿宋"/>
          <w:b/>
          <w:bCs/>
          <w:color w:val="auto"/>
          <w:highlight w:val="none"/>
          <w:u w:val="single"/>
        </w:rPr>
        <w:t xml:space="preserve"> 合同内工程款金额的30%       </w:t>
      </w:r>
      <w:r>
        <w:rPr>
          <w:rFonts w:hint="eastAsia" w:ascii="仿宋" w:hAnsi="仿宋" w:eastAsia="仿宋" w:cs="仿宋"/>
          <w:b/>
          <w:bCs/>
          <w:color w:val="auto"/>
          <w:highlight w:val="none"/>
        </w:rPr>
        <w:t>。</w:t>
      </w:r>
    </w:p>
    <w:p>
      <w:pPr>
        <w:pStyle w:val="27"/>
        <w:spacing w:line="440" w:lineRule="exact"/>
        <w:ind w:firstLine="422" w:firstLineChars="210"/>
        <w:rPr>
          <w:rFonts w:hint="eastAsia" w:ascii="仿宋" w:hAnsi="仿宋" w:eastAsia="仿宋" w:cs="仿宋"/>
          <w:color w:val="auto"/>
          <w:kern w:val="0"/>
          <w:sz w:val="20"/>
          <w:szCs w:val="20"/>
          <w:highlight w:val="none"/>
          <w:lang w:eastAsia="zh-CN"/>
        </w:rPr>
      </w:pPr>
      <w:r>
        <w:rPr>
          <w:rFonts w:hint="eastAsia" w:ascii="仿宋" w:hAnsi="仿宋" w:eastAsia="仿宋" w:cs="仿宋"/>
          <w:b/>
          <w:bCs/>
          <w:color w:val="auto"/>
          <w:highlight w:val="none"/>
        </w:rPr>
        <w:t>26.2工程进度款支付：</w:t>
      </w:r>
      <w:r>
        <w:rPr>
          <w:rFonts w:hint="eastAsia" w:ascii="仿宋" w:hAnsi="仿宋" w:eastAsia="仿宋" w:cs="仿宋"/>
          <w:color w:val="auto"/>
          <w:kern w:val="0"/>
          <w:sz w:val="20"/>
          <w:szCs w:val="20"/>
          <w:highlight w:val="none"/>
        </w:rPr>
        <w:t>关于付款周期的约定：关于付款周期的约定：工程款原则上按月</w:t>
      </w:r>
      <w:r>
        <w:rPr>
          <w:rFonts w:hint="eastAsia" w:ascii="仿宋" w:hAnsi="仿宋" w:eastAsia="仿宋" w:cs="仿宋"/>
          <w:color w:val="auto"/>
          <w:kern w:val="0"/>
          <w:sz w:val="20"/>
          <w:szCs w:val="20"/>
          <w:highlight w:val="none"/>
          <w:lang w:eastAsia="zh-CN"/>
        </w:rPr>
        <w:t>按进度</w:t>
      </w:r>
      <w:r>
        <w:rPr>
          <w:rFonts w:hint="eastAsia" w:ascii="仿宋" w:hAnsi="仿宋" w:eastAsia="仿宋" w:cs="仿宋"/>
          <w:color w:val="auto"/>
          <w:kern w:val="0"/>
          <w:sz w:val="20"/>
          <w:szCs w:val="20"/>
          <w:highlight w:val="none"/>
        </w:rPr>
        <w:t>支付，</w:t>
      </w:r>
      <w:r>
        <w:rPr>
          <w:rFonts w:hint="eastAsia" w:ascii="仿宋" w:hAnsi="仿宋" w:eastAsia="仿宋" w:cs="仿宋"/>
          <w:color w:val="auto"/>
          <w:kern w:val="0"/>
          <w:sz w:val="20"/>
          <w:szCs w:val="20"/>
          <w:highlight w:val="none"/>
          <w:lang w:eastAsia="zh-CN"/>
        </w:rPr>
        <w:t>每月支付时抵减前期预付款，承包方按约定时间提交经双方确认的工程进度表等相关资料，</w:t>
      </w:r>
      <w:r>
        <w:rPr>
          <w:rFonts w:hint="eastAsia" w:ascii="仿宋" w:hAnsi="仿宋" w:eastAsia="仿宋" w:cs="仿宋"/>
          <w:color w:val="auto"/>
          <w:kern w:val="0"/>
          <w:sz w:val="20"/>
          <w:szCs w:val="20"/>
          <w:highlight w:val="none"/>
        </w:rPr>
        <w:t>合同内进度款支付限额为已完成工程量的88%，工程完工验收达到质量要求并结算经发包人组织审定后，</w:t>
      </w:r>
      <w:r>
        <w:rPr>
          <w:rFonts w:hint="eastAsia" w:ascii="仿宋" w:hAnsi="仿宋" w:eastAsia="仿宋" w:cs="仿宋"/>
          <w:color w:val="auto"/>
          <w:kern w:val="0"/>
          <w:sz w:val="20"/>
          <w:szCs w:val="20"/>
          <w:highlight w:val="none"/>
          <w:lang w:eastAsia="zh-CN"/>
        </w:rPr>
        <w:t>发包人支付工程款至结算总价的</w:t>
      </w:r>
      <w:r>
        <w:rPr>
          <w:rFonts w:hint="eastAsia" w:ascii="仿宋" w:hAnsi="仿宋" w:eastAsia="仿宋" w:cs="仿宋"/>
          <w:color w:val="auto"/>
          <w:kern w:val="0"/>
          <w:sz w:val="20"/>
          <w:szCs w:val="20"/>
          <w:highlight w:val="none"/>
          <w:lang w:val="en-US" w:eastAsia="zh-CN"/>
        </w:rPr>
        <w:t>100%</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rPr>
        <w:t>发包方向承包方支付工程款时，承包方须提供等额的建筑业统一工程正式发票作为付款的依据。工程质量保修期满后，发包人根据承包人的工程质量保修金申请书</w:t>
      </w:r>
      <w:r>
        <w:rPr>
          <w:rFonts w:hint="eastAsia" w:ascii="仿宋" w:hAnsi="仿宋" w:eastAsia="仿宋" w:cs="仿宋"/>
          <w:color w:val="auto"/>
          <w:kern w:val="0"/>
          <w:sz w:val="20"/>
          <w:szCs w:val="20"/>
          <w:highlight w:val="none"/>
          <w:lang w:eastAsia="zh-CN"/>
        </w:rPr>
        <w:t>经相关管理人员检验确认后，</w:t>
      </w:r>
      <w:r>
        <w:rPr>
          <w:rFonts w:hint="eastAsia" w:ascii="仿宋" w:hAnsi="仿宋" w:eastAsia="仿宋" w:cs="仿宋"/>
          <w:color w:val="auto"/>
          <w:kern w:val="0"/>
          <w:sz w:val="20"/>
          <w:szCs w:val="20"/>
          <w:highlight w:val="none"/>
        </w:rPr>
        <w:t>十个工作日内返还工程质量保修金。工程质量保修金不计利息。</w:t>
      </w:r>
    </w:p>
    <w:p>
      <w:pPr>
        <w:pStyle w:val="27"/>
        <w:spacing w:line="440" w:lineRule="exact"/>
        <w:ind w:firstLine="420" w:firstLineChars="210"/>
        <w:rPr>
          <w:rFonts w:ascii="仿宋" w:hAnsi="仿宋" w:eastAsia="仿宋" w:cs="仿宋"/>
          <w:color w:val="auto"/>
          <w:szCs w:val="20"/>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82" w:name="_Toc118023797"/>
      <w:bookmarkStart w:id="383" w:name="_Toc43044961"/>
      <w:r>
        <w:rPr>
          <w:rFonts w:hint="eastAsia" w:ascii="仿宋" w:hAnsi="仿宋" w:eastAsia="仿宋" w:cs="仿宋"/>
          <w:b/>
          <w:color w:val="auto"/>
          <w:highlight w:val="none"/>
        </w:rPr>
        <w:instrText xml:space="preserve">七、材料设备供应</w:instrText>
      </w:r>
      <w:bookmarkEnd w:id="382"/>
      <w:bookmarkEnd w:id="383"/>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七、材料设备供应</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84" w:name="_Toc43044963"/>
      <w:bookmarkStart w:id="385" w:name="_Toc118023799"/>
      <w:r>
        <w:rPr>
          <w:rFonts w:hint="eastAsia" w:ascii="仿宋" w:hAnsi="仿宋" w:eastAsia="仿宋" w:cs="仿宋"/>
          <w:b/>
          <w:color w:val="auto"/>
          <w:highlight w:val="none"/>
        </w:rPr>
        <w:instrText xml:space="preserve">28、承包人采购材料设备</w:instrText>
      </w:r>
      <w:bookmarkEnd w:id="384"/>
      <w:bookmarkEnd w:id="385"/>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28、承包人采购材料设备</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28.1 承包人采购材料设备的约定：本工程由承包人自行采购的工程材料和设备（政府集中采购的除外），采购前须征得发包人或其授权人认可同意。主要材料涉及品种、款式、颜色等方面内容的，承包人应提前准备合格的材料样品送发包人选定。</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86" w:name="_Toc118023800"/>
      <w:bookmarkStart w:id="387" w:name="_Toc43044964"/>
      <w:r>
        <w:rPr>
          <w:rFonts w:hint="eastAsia" w:ascii="仿宋" w:hAnsi="仿宋" w:eastAsia="仿宋" w:cs="仿宋"/>
          <w:b/>
          <w:color w:val="auto"/>
          <w:highlight w:val="none"/>
        </w:rPr>
        <w:instrText xml:space="preserve">八、工程变更</w:instrText>
      </w:r>
      <w:bookmarkEnd w:id="386"/>
      <w:bookmarkEnd w:id="387"/>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八、工程变更</w:t>
      </w:r>
    </w:p>
    <w:p>
      <w:pPr>
        <w:pStyle w:val="27"/>
        <w:spacing w:line="440" w:lineRule="exact"/>
        <w:ind w:firstLine="422" w:firstLineChars="210"/>
        <w:rPr>
          <w:rFonts w:ascii="仿宋" w:hAnsi="仿宋" w:eastAsia="仿宋" w:cs="仿宋"/>
          <w:b/>
          <w:color w:val="auto"/>
          <w:highlight w:val="none"/>
        </w:rPr>
      </w:pPr>
      <w:r>
        <w:rPr>
          <w:rFonts w:hint="eastAsia" w:ascii="仿宋" w:hAnsi="仿宋" w:eastAsia="仿宋" w:cs="仿宋"/>
          <w:b/>
          <w:color w:val="auto"/>
          <w:highlight w:val="none"/>
        </w:rPr>
        <w:t>29.工程设计变更</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﹡29.1.1设计变更和工程签证，按政策规定办理。属不可抗力（自然灾害、突发事件等）造成变更的，按特事特办原则予以办理。</w:t>
      </w:r>
    </w:p>
    <w:p>
      <w:pPr>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﹡29.1.2 工程设计变更和签证工程发生前，由承包人将有关变更文件、签证单审批件、工程联系单、预算书等工程资料送发包人，经发包人签字同意后，10个工作日内承包方将完整资料留存一份发包方，作为进度款支付、事后抽查和工程结算的主要依据。</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﹡29.1.3 发包人在实施项目过程中，增加或减少工程量，由发包人与承包人共同商定并签字确认，单价不变。</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29.1.4承包人应当在合同规定的调整情况发生后14天内，将调整原因，金额以书面形式通知发包人，发包人按第29.1.1、29.1.2、29.1.3、29.1.4条款的要求初步确认调整金额后将其作为追加合同价款，按不高于60%的比例与工程进度款同期支付，调整金额待工程单项结算或结算时，由发包人组织最终审定后确定。</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29.1.5 当合同规定的调整合同价款的调整情况发生后，承包人未在规定时间内通知发包人，或者未在规定时间内提出调整报告，发包人可以根据有关资料，决定是否调整和调整的金额，并书面通知承包人。</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﹡31 变更价款的确定按专用条款第23条执行。</w:t>
      </w:r>
    </w:p>
    <w:p>
      <w:pPr>
        <w:pStyle w:val="27"/>
        <w:spacing w:line="440" w:lineRule="exact"/>
        <w:ind w:firstLine="422" w:firstLineChars="210"/>
        <w:rPr>
          <w:rFonts w:ascii="仿宋" w:hAnsi="仿宋" w:eastAsia="仿宋" w:cs="仿宋"/>
          <w:b/>
          <w:bCs/>
          <w:color w:val="auto"/>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88" w:name="_Toc118023801"/>
      <w:bookmarkStart w:id="389" w:name="_Toc43044965"/>
      <w:r>
        <w:rPr>
          <w:rFonts w:hint="eastAsia" w:ascii="仿宋" w:hAnsi="仿宋" w:eastAsia="仿宋" w:cs="仿宋"/>
          <w:b/>
          <w:color w:val="auto"/>
          <w:highlight w:val="none"/>
        </w:rPr>
        <w:instrText xml:space="preserve">九、竣工验收与结算</w:instrText>
      </w:r>
      <w:bookmarkEnd w:id="388"/>
      <w:bookmarkEnd w:id="389"/>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九、竣工验收与结算</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0" w:name="_Toc43044966"/>
      <w:bookmarkStart w:id="391" w:name="_Toc118023802"/>
      <w:r>
        <w:rPr>
          <w:rFonts w:hint="eastAsia" w:ascii="仿宋" w:hAnsi="仿宋" w:eastAsia="仿宋" w:cs="仿宋"/>
          <w:b/>
          <w:color w:val="auto"/>
          <w:highlight w:val="none"/>
        </w:rPr>
        <w:instrText xml:space="preserve">32、竣工验收</w:instrText>
      </w:r>
      <w:bookmarkEnd w:id="390"/>
      <w:bookmarkEnd w:id="391"/>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32. 竣工验收</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*32.1 提供竣工图的约定：竣工验收正式通过后5天承包人向发包方提供4套竣工图。</w:t>
      </w:r>
    </w:p>
    <w:p>
      <w:pPr>
        <w:spacing w:line="440" w:lineRule="exact"/>
        <w:ind w:firstLine="441" w:firstLineChars="210"/>
        <w:rPr>
          <w:rFonts w:ascii="仿宋" w:hAnsi="仿宋" w:eastAsia="仿宋" w:cs="仿宋"/>
          <w:color w:val="auto"/>
          <w:szCs w:val="21"/>
          <w:highlight w:val="none"/>
          <w:u w:val="single"/>
        </w:rPr>
      </w:pPr>
      <w:r>
        <w:rPr>
          <w:rFonts w:hint="eastAsia" w:ascii="仿宋" w:hAnsi="仿宋" w:eastAsia="仿宋" w:cs="仿宋"/>
          <w:color w:val="auto"/>
          <w:szCs w:val="21"/>
          <w:highlight w:val="none"/>
        </w:rPr>
        <w:t>32.6 中间交工工程的范围和竣工时间：</w:t>
      </w:r>
      <w:r>
        <w:rPr>
          <w:rFonts w:hint="eastAsia" w:ascii="仿宋" w:hAnsi="仿宋" w:eastAsia="仿宋" w:cs="仿宋"/>
          <w:color w:val="auto"/>
          <w:szCs w:val="21"/>
          <w:highlight w:val="none"/>
          <w:u w:val="single"/>
        </w:rPr>
        <w:t xml:space="preserve">         </w:t>
      </w:r>
    </w:p>
    <w:p>
      <w:pPr>
        <w:pStyle w:val="27"/>
        <w:spacing w:line="440" w:lineRule="exact"/>
        <w:ind w:firstLine="422" w:firstLineChars="210"/>
        <w:rPr>
          <w:rFonts w:ascii="仿宋" w:hAnsi="仿宋" w:eastAsia="仿宋" w:cs="仿宋"/>
          <w:b/>
          <w:bCs/>
          <w:color w:val="auto"/>
          <w:highlight w:val="none"/>
        </w:rPr>
      </w:pPr>
    </w:p>
    <w:p>
      <w:pPr>
        <w:pStyle w:val="27"/>
        <w:spacing w:line="440" w:lineRule="exact"/>
        <w:ind w:firstLine="422" w:firstLineChars="210"/>
        <w:rPr>
          <w:rFonts w:ascii="仿宋" w:hAnsi="仿宋" w:eastAsia="仿宋" w:cs="仿宋"/>
          <w:b/>
          <w:color w:val="auto"/>
          <w:highlight w:val="none"/>
        </w:rPr>
      </w:pPr>
      <w:r>
        <w:rPr>
          <w:rFonts w:hint="eastAsia" w:ascii="仿宋" w:hAnsi="仿宋" w:eastAsia="仿宋" w:cs="仿宋"/>
          <w:b/>
          <w:color w:val="auto"/>
          <w:highlight w:val="none"/>
        </w:rPr>
        <w:t>﹡33.</w:t>
      </w: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2" w:name="_Toc118023803"/>
      <w:r>
        <w:rPr>
          <w:rFonts w:hint="eastAsia" w:ascii="仿宋" w:hAnsi="仿宋" w:eastAsia="仿宋" w:cs="仿宋"/>
          <w:b/>
          <w:color w:val="auto"/>
          <w:highlight w:val="none"/>
        </w:rPr>
        <w:instrText xml:space="preserve">32、竣工验收</w:instrText>
      </w:r>
      <w:bookmarkEnd w:id="392"/>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 xml:space="preserve"> 竣工结算</w:t>
      </w:r>
    </w:p>
    <w:p>
      <w:pPr>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 发包人竣工结算报告审查时间：从接到竣工结算报告和完整的竣工结算资料之日起20天。</w:t>
      </w:r>
    </w:p>
    <w:p>
      <w:pPr>
        <w:spacing w:line="440" w:lineRule="exact"/>
        <w:ind w:firstLine="443" w:firstLineChars="210"/>
        <w:rPr>
          <w:rFonts w:ascii="仿宋" w:hAnsi="仿宋" w:eastAsia="仿宋" w:cs="仿宋"/>
          <w:b/>
          <w:bCs/>
          <w:strike/>
          <w:color w:val="auto"/>
          <w:szCs w:val="21"/>
          <w:highlight w:val="none"/>
        </w:rPr>
      </w:pPr>
    </w:p>
    <w:p>
      <w:pPr>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因承包人提供的结算资料不完整而需要补充或承包人不按时对账耽误时间时，审查时间应相应顺延；</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其余按通用条款第33.1、33.5、33.6条执行。</w:t>
      </w:r>
    </w:p>
    <w:p>
      <w:pPr>
        <w:pStyle w:val="27"/>
        <w:spacing w:line="440" w:lineRule="exact"/>
        <w:ind w:firstLine="422" w:firstLineChars="210"/>
        <w:rPr>
          <w:rFonts w:ascii="仿宋" w:hAnsi="仿宋" w:eastAsia="仿宋" w:cs="仿宋"/>
          <w:b/>
          <w:bCs/>
          <w:color w:val="auto"/>
          <w:highlight w:val="none"/>
        </w:rPr>
      </w:pPr>
    </w:p>
    <w:p>
      <w:pPr>
        <w:pStyle w:val="27"/>
        <w:numPr>
          <w:ilvl w:val="0"/>
          <w:numId w:val="2"/>
        </w:numPr>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质量保修</w:t>
      </w:r>
    </w:p>
    <w:p>
      <w:pPr>
        <w:pStyle w:val="27"/>
        <w:spacing w:line="440" w:lineRule="exact"/>
        <w:ind w:firstLine="402" w:firstLineChars="200"/>
        <w:rPr>
          <w:rFonts w:ascii="仿宋" w:hAnsi="仿宋" w:eastAsia="仿宋" w:cs="仿宋"/>
          <w:b/>
          <w:bCs/>
          <w:color w:val="auto"/>
          <w:highlight w:val="none"/>
        </w:rPr>
      </w:pPr>
      <w:r>
        <w:rPr>
          <w:rFonts w:hint="eastAsia" w:ascii="仿宋" w:hAnsi="仿宋" w:eastAsia="仿宋" w:cs="仿宋"/>
          <w:b/>
          <w:bCs/>
          <w:color w:val="auto"/>
          <w:highlight w:val="none"/>
        </w:rPr>
        <w:t>34.1承包人应按法律、行政法规或国家关于工程质量保修的有关规定，对交付发包人使用的工程在质量保修期内承担保修责任。</w:t>
      </w:r>
    </w:p>
    <w:p>
      <w:pPr>
        <w:pStyle w:val="27"/>
        <w:spacing w:line="440" w:lineRule="exact"/>
        <w:ind w:firstLine="402" w:firstLineChars="200"/>
        <w:rPr>
          <w:rFonts w:ascii="仿宋" w:hAnsi="仿宋" w:eastAsia="仿宋" w:cs="仿宋"/>
          <w:b/>
          <w:bCs/>
          <w:color w:val="auto"/>
          <w:highlight w:val="none"/>
        </w:rPr>
      </w:pPr>
      <w:r>
        <w:rPr>
          <w:rFonts w:hint="eastAsia" w:ascii="仿宋" w:hAnsi="仿宋" w:eastAsia="仿宋" w:cs="仿宋"/>
          <w:b/>
          <w:bCs/>
          <w:color w:val="auto"/>
          <w:highlight w:val="none"/>
        </w:rPr>
        <w:t>34.2质量保修工作的实施。承包人在工程竣工验收之前，与发包人签订质量保修书，作为本合同的附件。</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3" w:name="_Toc43044967"/>
      <w:bookmarkStart w:id="394" w:name="_Toc118023804"/>
      <w:r>
        <w:rPr>
          <w:rFonts w:hint="eastAsia" w:ascii="仿宋" w:hAnsi="仿宋" w:eastAsia="仿宋" w:cs="仿宋"/>
          <w:b/>
          <w:color w:val="auto"/>
          <w:highlight w:val="none"/>
        </w:rPr>
        <w:instrText xml:space="preserve">十、违约、索赔和争议</w:instrText>
      </w:r>
      <w:bookmarkEnd w:id="393"/>
      <w:bookmarkEnd w:id="394"/>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p>
    <w:p>
      <w:pPr>
        <w:pStyle w:val="27"/>
        <w:spacing w:line="440" w:lineRule="exact"/>
        <w:ind w:firstLine="422" w:firstLineChars="210"/>
        <w:rPr>
          <w:rFonts w:ascii="仿宋" w:hAnsi="仿宋" w:eastAsia="仿宋" w:cs="仿宋"/>
          <w:b/>
          <w:color w:val="auto"/>
          <w:highlight w:val="none"/>
        </w:rPr>
      </w:pPr>
      <w:r>
        <w:rPr>
          <w:rFonts w:hint="eastAsia" w:ascii="仿宋" w:hAnsi="仿宋" w:eastAsia="仿宋" w:cs="仿宋"/>
          <w:b/>
          <w:color w:val="auto"/>
          <w:highlight w:val="none"/>
        </w:rPr>
        <w:t>十、 违约、索赔和争议</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5" w:name="_Toc118023805"/>
      <w:bookmarkStart w:id="396" w:name="_Toc43044968"/>
      <w:r>
        <w:rPr>
          <w:rFonts w:hint="eastAsia" w:ascii="仿宋" w:hAnsi="仿宋" w:eastAsia="仿宋" w:cs="仿宋"/>
          <w:b/>
          <w:color w:val="auto"/>
          <w:highlight w:val="none"/>
        </w:rPr>
        <w:instrText xml:space="preserve">35、违约</w:instrText>
      </w:r>
      <w:bookmarkEnd w:id="395"/>
      <w:bookmarkEnd w:id="396"/>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35. 违约</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35.1 本合同中关于发包人违约的具体责任如下：</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*本合同通用条款第24条约定发包人违约应承担的违约责任：</w:t>
      </w:r>
      <w:r>
        <w:rPr>
          <w:rFonts w:hint="eastAsia" w:ascii="仿宋" w:hAnsi="仿宋" w:eastAsia="仿宋" w:cs="仿宋"/>
          <w:b/>
          <w:bCs/>
          <w:color w:val="auto"/>
          <w:highlight w:val="none"/>
          <w:u w:val="single"/>
        </w:rPr>
        <w:t xml:space="preserve"> 按通用条款24条规定 </w:t>
      </w:r>
    </w:p>
    <w:p>
      <w:pPr>
        <w:pStyle w:val="27"/>
        <w:spacing w:line="440" w:lineRule="exact"/>
        <w:ind w:firstLine="422" w:firstLineChars="210"/>
        <w:rPr>
          <w:rFonts w:ascii="仿宋" w:hAnsi="仿宋" w:eastAsia="仿宋" w:cs="仿宋"/>
          <w:b/>
          <w:bCs/>
          <w:color w:val="auto"/>
          <w:highlight w:val="none"/>
          <w:u w:val="single"/>
        </w:rPr>
      </w:pPr>
      <w:r>
        <w:rPr>
          <w:rFonts w:hint="eastAsia" w:ascii="仿宋" w:hAnsi="仿宋" w:eastAsia="仿宋" w:cs="仿宋"/>
          <w:b/>
          <w:bCs/>
          <w:color w:val="auto"/>
          <w:highlight w:val="none"/>
        </w:rPr>
        <w:t>* 本合同通用条款第26.4款约定发包人违约应承担的违约责任：</w:t>
      </w:r>
      <w:r>
        <w:rPr>
          <w:rFonts w:hint="eastAsia" w:ascii="仿宋" w:hAnsi="仿宋" w:eastAsia="仿宋" w:cs="仿宋"/>
          <w:b/>
          <w:bCs/>
          <w:color w:val="auto"/>
          <w:highlight w:val="none"/>
          <w:u w:val="single"/>
        </w:rPr>
        <w:t xml:space="preserve">  无   。</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双方约定的发包人其他违约责任：</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 xml:space="preserve">          </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 xml:space="preserve">35.2 本合同中关于承包人违约的具体责任如下：  </w:t>
      </w:r>
    </w:p>
    <w:p>
      <w:pPr>
        <w:snapToGrid w:val="0"/>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*35.2.1 本合同通用条款第14.2款约定承包人违约应承担的违约责任：承包人向发包人支付每延误一天，按合同价款万分之四的违约赔偿费，其限额为中标价的3％。延误天数按本专用条款第13.3条计算。</w:t>
      </w:r>
    </w:p>
    <w:p>
      <w:pPr>
        <w:snapToGrid w:val="0"/>
        <w:spacing w:line="48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*35.2.2 承包人未按本合同通用条款第15.1条内容完成：工程质量达不到要求的，承包人无条件返工处理，修复至工程质量要求并承担相关费用，并在发包人规定的时间内完成返工，否则，发包人有权扣罚该分项工程10％的工程款作为处罚。</w:t>
      </w:r>
    </w:p>
    <w:p>
      <w:pPr>
        <w:snapToGrid w:val="0"/>
        <w:spacing w:line="48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双方约定的承包人其他违约责任：</w:t>
      </w:r>
    </w:p>
    <w:p>
      <w:pPr>
        <w:snapToGrid w:val="0"/>
        <w:spacing w:line="48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35.2.3 承包人如违反了以下情况之一者，发包人有权解除合同，并没收其全部履约保证金。</w:t>
      </w:r>
    </w:p>
    <w:p>
      <w:pPr>
        <w:numPr>
          <w:ilvl w:val="0"/>
          <w:numId w:val="3"/>
        </w:numPr>
        <w:tabs>
          <w:tab w:val="left" w:pos="246"/>
          <w:tab w:val="clear" w:pos="1350"/>
        </w:tabs>
        <w:adjustRightInd w:val="0"/>
        <w:snapToGrid w:val="0"/>
        <w:spacing w:line="48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承包人无正当理由不按开工通知的要求及时进点组织施工和不按签订协议书时商订的进度计划有效地开展施工准备，造成工期延误。</w:t>
      </w:r>
    </w:p>
    <w:p>
      <w:pPr>
        <w:numPr>
          <w:ilvl w:val="0"/>
          <w:numId w:val="3"/>
        </w:numPr>
        <w:tabs>
          <w:tab w:val="left" w:pos="246"/>
          <w:tab w:val="clear" w:pos="1350"/>
        </w:tabs>
        <w:adjustRightInd w:val="0"/>
        <w:snapToGrid w:val="0"/>
        <w:spacing w:line="48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承包人违反第38.1条规定私自将合同或合同的任何部分或任何权利转让给其他人，或私自将工程或工程的一部分分包出去。</w:t>
      </w:r>
    </w:p>
    <w:p>
      <w:pPr>
        <w:numPr>
          <w:ilvl w:val="0"/>
          <w:numId w:val="3"/>
        </w:numPr>
        <w:tabs>
          <w:tab w:val="left" w:pos="246"/>
          <w:tab w:val="clear" w:pos="1350"/>
        </w:tabs>
        <w:adjustRightInd w:val="0"/>
        <w:snapToGrid w:val="0"/>
        <w:spacing w:line="48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未经发包人批准，承包人私自将已按投标书承诺进入工地的工程设备、施工设备、临时工程或材料撤离工地。</w:t>
      </w:r>
    </w:p>
    <w:p>
      <w:pPr>
        <w:numPr>
          <w:ilvl w:val="0"/>
          <w:numId w:val="3"/>
        </w:numPr>
        <w:tabs>
          <w:tab w:val="left" w:pos="246"/>
          <w:tab w:val="clear" w:pos="1350"/>
        </w:tabs>
        <w:adjustRightInd w:val="0"/>
        <w:snapToGrid w:val="0"/>
        <w:spacing w:line="48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由于承包人原因拒绝按合同进度计划及时完成合同规定的工程，而又未采取有效措施赶上进度，造成工期延误。</w:t>
      </w:r>
    </w:p>
    <w:p>
      <w:pPr>
        <w:numPr>
          <w:ilvl w:val="0"/>
          <w:numId w:val="3"/>
        </w:numPr>
        <w:tabs>
          <w:tab w:val="left" w:pos="246"/>
          <w:tab w:val="clear" w:pos="1350"/>
        </w:tabs>
        <w:adjustRightInd w:val="0"/>
        <w:snapToGrid w:val="0"/>
        <w:spacing w:line="48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承包人否认合同有效或拒绝履行合同规定的承包人义务，或由于法律、财务等原因导致承包人无法继续履行或实质上已停止履行合同的义务。</w:t>
      </w:r>
    </w:p>
    <w:p>
      <w:pPr>
        <w:tabs>
          <w:tab w:val="left" w:pos="246"/>
        </w:tabs>
        <w:snapToGrid w:val="0"/>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35.2.4 承包人在保修期内拒绝按通用条款第34.1条的规定进行修复，发包人将扣除承包人全部质量保修金。</w:t>
      </w:r>
    </w:p>
    <w:p>
      <w:pPr>
        <w:tabs>
          <w:tab w:val="left" w:pos="246"/>
        </w:tabs>
        <w:snapToGrid w:val="0"/>
        <w:spacing w:line="440" w:lineRule="exact"/>
        <w:ind w:firstLine="443" w:firstLineChars="21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35.2.5 承包人违约有以下情况之一者，发包人有权扣除承包人的违约金。违约金金额均在承包人的履约保证金及计量支付款内扣除。承包人履约保证金被罚款后由发包人从最后一次计量支付时扣相应金额补足履约保证金。承包人在合同期内，完成合同规定的全部工程，且质量合格（本工程施工，竣工验收后十五天内可以申请返还全部或部分罚款。罚款金额返还时不包括银行利息。</w:t>
      </w:r>
    </w:p>
    <w:p>
      <w:pPr>
        <w:numPr>
          <w:ilvl w:val="0"/>
          <w:numId w:val="4"/>
        </w:numPr>
        <w:tabs>
          <w:tab w:val="left" w:pos="246"/>
          <w:tab w:val="clear" w:pos="1350"/>
        </w:tabs>
        <w:adjustRightInd w:val="0"/>
        <w:snapToGrid w:val="0"/>
        <w:spacing w:line="44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承包人必须按照投标文件的承诺派出符合和满足工程建设要求的项目管理人员。承包人未经发包人批准擅自调换工程管理人员或因管理人员不称职，发包人要求调换而未及时调换的，视为承包人违约，必须向发包人交纳处罚金，处罚标准为：项目经理1.5万元/人·次（人民币）；总工程师1万元/人·次；专业工程师则0.5万元/人·次。</w:t>
      </w:r>
    </w:p>
    <w:p>
      <w:pPr>
        <w:numPr>
          <w:ilvl w:val="0"/>
          <w:numId w:val="4"/>
        </w:numPr>
        <w:tabs>
          <w:tab w:val="left" w:pos="246"/>
          <w:tab w:val="clear" w:pos="1350"/>
        </w:tabs>
        <w:adjustRightInd w:val="0"/>
        <w:snapToGrid w:val="0"/>
        <w:spacing w:line="44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发包人有权检查承包人的人员到岗情况，如发现未经发包人同意或正当理由，项目经理擅自离岗的，视为承包人违约，发包人有权处违约金1万元/人·次，未经发包人同意，技术负责人（总工程师）擅自离岗的，视为承包人违约，发包人有权处违约金0.8万元/人·次，未经发包人同意专业工程师擅自离岗的，视为承包人违约，发包人有权处违约金0.5万元/人·次。</w:t>
      </w:r>
    </w:p>
    <w:p>
      <w:pPr>
        <w:numPr>
          <w:ilvl w:val="0"/>
          <w:numId w:val="4"/>
        </w:numPr>
        <w:tabs>
          <w:tab w:val="left" w:pos="246"/>
          <w:tab w:val="clear" w:pos="1350"/>
        </w:tabs>
        <w:adjustRightInd w:val="0"/>
        <w:snapToGrid w:val="0"/>
        <w:spacing w:line="440" w:lineRule="exact"/>
        <w:ind w:left="0" w:firstLine="443" w:firstLineChars="210"/>
        <w:textAlignment w:val="baseline"/>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未经发包人审查批准，施工期内自行调走主要施工机械，经发现不及时调回的，视为承包人违约，发包人有权处违约金为履约保证金金额的10-50％（视情节严重而定）。</w:t>
      </w:r>
    </w:p>
    <w:p>
      <w:pPr>
        <w:pStyle w:val="27"/>
        <w:tabs>
          <w:tab w:val="left" w:pos="246"/>
        </w:tabs>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35.2.6 承包人有违反其他规定的，按规定给予处罚。</w:t>
      </w:r>
    </w:p>
    <w:p>
      <w:pPr>
        <w:pStyle w:val="27"/>
        <w:tabs>
          <w:tab w:val="left" w:pos="246"/>
        </w:tabs>
        <w:spacing w:line="440" w:lineRule="exact"/>
        <w:ind w:firstLine="422" w:firstLineChars="210"/>
        <w:rPr>
          <w:rFonts w:ascii="仿宋" w:hAnsi="仿宋" w:eastAsia="仿宋" w:cs="仿宋"/>
          <w:b/>
          <w:bCs/>
          <w:color w:val="auto"/>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7" w:name="_Toc43044969"/>
      <w:bookmarkStart w:id="398" w:name="_Toc118023806"/>
      <w:r>
        <w:rPr>
          <w:rFonts w:hint="eastAsia" w:ascii="仿宋" w:hAnsi="仿宋" w:eastAsia="仿宋" w:cs="仿宋"/>
          <w:b/>
          <w:color w:val="auto"/>
          <w:highlight w:val="none"/>
        </w:rPr>
        <w:instrText xml:space="preserve">37、争议</w:instrText>
      </w:r>
      <w:bookmarkEnd w:id="397"/>
      <w:bookmarkEnd w:id="398"/>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37. 争议</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37.1 双方约定，在履行合同过程中产生争议时：</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(1)请项目管辖</w:t>
      </w:r>
      <w:r>
        <w:rPr>
          <w:rFonts w:hint="eastAsia" w:ascii="仿宋" w:hAnsi="仿宋" w:eastAsia="仿宋" w:cs="仿宋"/>
          <w:color w:val="auto"/>
          <w:highlight w:val="none"/>
          <w:u w:val="single"/>
        </w:rPr>
        <w:t xml:space="preserve">建设行政主管有关部门 </w:t>
      </w:r>
      <w:r>
        <w:rPr>
          <w:rFonts w:hint="eastAsia" w:ascii="仿宋" w:hAnsi="仿宋" w:eastAsia="仿宋" w:cs="仿宋"/>
          <w:color w:val="auto"/>
          <w:highlight w:val="none"/>
        </w:rPr>
        <w:t>调解，或；</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(2提交</w:t>
      </w:r>
      <w:r>
        <w:rPr>
          <w:rFonts w:hint="eastAsia" w:ascii="仿宋" w:hAnsi="仿宋" w:eastAsia="仿宋" w:cs="仿宋"/>
          <w:color w:val="auto"/>
          <w:highlight w:val="none"/>
          <w:u w:val="single"/>
        </w:rPr>
        <w:t xml:space="preserve"> 项目管辖仲裁委员会 </w:t>
      </w:r>
      <w:r>
        <w:rPr>
          <w:rFonts w:hint="eastAsia" w:ascii="仿宋" w:hAnsi="仿宋" w:eastAsia="仿宋" w:cs="仿宋"/>
          <w:color w:val="auto"/>
          <w:highlight w:val="none"/>
        </w:rPr>
        <w:t>仲裁。</w:t>
      </w:r>
    </w:p>
    <w:p>
      <w:pPr>
        <w:pStyle w:val="27"/>
        <w:spacing w:line="440" w:lineRule="exact"/>
        <w:ind w:firstLine="422" w:firstLineChars="210"/>
        <w:rPr>
          <w:rFonts w:ascii="仿宋" w:hAnsi="仿宋" w:eastAsia="仿宋" w:cs="仿宋"/>
          <w:b/>
          <w:color w:val="auto"/>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399" w:name="_Toc43044970"/>
      <w:bookmarkStart w:id="400" w:name="_Toc118023807"/>
      <w:r>
        <w:rPr>
          <w:rFonts w:hint="eastAsia" w:ascii="仿宋" w:hAnsi="仿宋" w:eastAsia="仿宋" w:cs="仿宋"/>
          <w:b/>
          <w:color w:val="auto"/>
          <w:highlight w:val="none"/>
        </w:rPr>
        <w:instrText xml:space="preserve">十一、其他</w:instrText>
      </w:r>
      <w:bookmarkEnd w:id="399"/>
      <w:bookmarkEnd w:id="400"/>
      <w:r>
        <w:rPr>
          <w:rFonts w:hint="eastAsia" w:ascii="仿宋" w:hAnsi="仿宋" w:eastAsia="仿宋" w:cs="仿宋"/>
          <w:b/>
          <w:color w:val="auto"/>
          <w:highlight w:val="none"/>
        </w:rPr>
        <w:instrText xml:space="preserve">” \l 1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十一、其他</w:t>
      </w: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401" w:name="_Toc43044971"/>
      <w:bookmarkStart w:id="402" w:name="_Toc118023808"/>
      <w:r>
        <w:rPr>
          <w:rFonts w:hint="eastAsia" w:ascii="仿宋" w:hAnsi="仿宋" w:eastAsia="仿宋" w:cs="仿宋"/>
          <w:b/>
          <w:color w:val="auto"/>
          <w:highlight w:val="none"/>
        </w:rPr>
        <w:instrText xml:space="preserve">38、工程分包</w:instrText>
      </w:r>
      <w:bookmarkEnd w:id="401"/>
      <w:bookmarkEnd w:id="402"/>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38. 工程分包</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38.1本工程不允许分包。</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38.2 承包人有以下情况之一者，发包人有权解除合同，并视情况扣除其履约保证金：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38.2.1个人承包工程，包括本人单位及外单位人员承包，发包人不承认其个人拥有任何资质等级及营业许可资格。没收全部履约保证金。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38.2.2几个人联合承包工程，就地组织暗分包队伍，不具备完成本工程的技术、机械能力，被发包人判定为没有能力履行的承包人。没收全部履约保证金。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38.2.3 就地转包全部的工程，以谋取高额转让费、管理费的承包人。没收全部履约保证金。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38.2.4承包人有部分分包现象（其中包括冒充承包人下属单位的挂勾单位，凭口头协议参与施工的分包人及其他暗分包个体户），一经发现核实，发包人将采取驱逐该暗分包人措施，并对承包人处予违约处罚金，违约处罚金金额为履约保证金金额的5%～20%（视情节严重而定）。</w:t>
      </w:r>
    </w:p>
    <w:p>
      <w:pPr>
        <w:pStyle w:val="27"/>
        <w:spacing w:line="440" w:lineRule="exact"/>
        <w:ind w:firstLine="420" w:firstLineChars="210"/>
        <w:rPr>
          <w:rFonts w:ascii="仿宋" w:hAnsi="仿宋" w:eastAsia="仿宋" w:cs="仿宋"/>
          <w:color w:val="auto"/>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403" w:name="_Toc43044972"/>
      <w:bookmarkStart w:id="404" w:name="_Toc118023809"/>
      <w:r>
        <w:rPr>
          <w:rFonts w:hint="eastAsia" w:ascii="仿宋" w:hAnsi="仿宋" w:eastAsia="仿宋" w:cs="仿宋"/>
          <w:b/>
          <w:color w:val="auto"/>
          <w:highlight w:val="none"/>
        </w:rPr>
        <w:instrText xml:space="preserve">39、不可抗力</w:instrText>
      </w:r>
      <w:bookmarkEnd w:id="403"/>
      <w:bookmarkEnd w:id="404"/>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39. 不可抗力</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39.1 双方关于不可抗力的约定:以有关部门发布的文告或文件为准。</w:t>
      </w:r>
    </w:p>
    <w:p>
      <w:pPr>
        <w:pStyle w:val="27"/>
        <w:spacing w:line="440" w:lineRule="exact"/>
        <w:ind w:firstLine="420" w:firstLineChars="210"/>
        <w:rPr>
          <w:rFonts w:ascii="仿宋" w:hAnsi="仿宋" w:eastAsia="仿宋" w:cs="仿宋"/>
          <w:color w:val="auto"/>
          <w:highlight w:val="none"/>
        </w:rPr>
      </w:pPr>
    </w:p>
    <w:p>
      <w:pPr>
        <w:pStyle w:val="27"/>
        <w:spacing w:line="440" w:lineRule="exact"/>
        <w:ind w:firstLine="420" w:firstLineChars="210"/>
        <w:rPr>
          <w:rFonts w:ascii="仿宋" w:hAnsi="仿宋" w:eastAsia="仿宋" w:cs="仿宋"/>
          <w:b/>
          <w:color w:val="auto"/>
          <w:highlight w:val="none"/>
        </w:rPr>
      </w:pPr>
      <w:r>
        <w:rPr>
          <w:rFonts w:hint="eastAsia"/>
          <w:color w:val="auto"/>
          <w:highlight w:val="none"/>
        </w:rPr>
        <w:fldChar w:fldCharType="begin"/>
      </w:r>
      <w:r>
        <w:rPr>
          <w:rFonts w:hint="eastAsia" w:ascii="仿宋" w:hAnsi="仿宋" w:eastAsia="仿宋" w:cs="仿宋"/>
          <w:b/>
          <w:color w:val="auto"/>
          <w:highlight w:val="none"/>
        </w:rPr>
        <w:instrText xml:space="preserve"> TC “</w:instrText>
      </w:r>
      <w:bookmarkStart w:id="405" w:name="_Toc118023810"/>
      <w:bookmarkStart w:id="406" w:name="_Toc43044973"/>
      <w:r>
        <w:rPr>
          <w:rFonts w:hint="eastAsia" w:ascii="仿宋" w:hAnsi="仿宋" w:eastAsia="仿宋" w:cs="仿宋"/>
          <w:b/>
          <w:color w:val="auto"/>
          <w:highlight w:val="none"/>
        </w:rPr>
        <w:instrText xml:space="preserve">40、保险</w:instrText>
      </w:r>
      <w:bookmarkEnd w:id="405"/>
      <w:bookmarkEnd w:id="406"/>
      <w:r>
        <w:rPr>
          <w:rFonts w:hint="eastAsia" w:ascii="仿宋" w:hAnsi="仿宋" w:eastAsia="仿宋" w:cs="仿宋"/>
          <w:b/>
          <w:color w:val="auto"/>
          <w:highlight w:val="none"/>
        </w:rPr>
        <w:instrText xml:space="preserve">” \l 2 \f s </w:instrText>
      </w:r>
      <w:r>
        <w:rPr>
          <w:rFonts w:hint="eastAsia" w:ascii="仿宋" w:hAnsi="仿宋" w:eastAsia="仿宋" w:cs="仿宋"/>
          <w:b/>
          <w:color w:val="auto"/>
          <w:highlight w:val="none"/>
        </w:rPr>
        <w:fldChar w:fldCharType="end"/>
      </w:r>
      <w:r>
        <w:rPr>
          <w:rFonts w:hint="eastAsia" w:ascii="仿宋" w:hAnsi="仿宋" w:eastAsia="仿宋" w:cs="仿宋"/>
          <w:b/>
          <w:color w:val="auto"/>
          <w:highlight w:val="none"/>
        </w:rPr>
        <w:t>40. 保险</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40.6 本工程双方约定投保内容如下：</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(1)发包人投保内容:自行负责办理。</w:t>
      </w:r>
    </w:p>
    <w:p>
      <w:pPr>
        <w:pStyle w:val="27"/>
        <w:spacing w:line="440" w:lineRule="exact"/>
        <w:ind w:firstLine="420" w:firstLineChars="210"/>
        <w:rPr>
          <w:rFonts w:ascii="仿宋" w:hAnsi="仿宋" w:eastAsia="仿宋" w:cs="仿宋"/>
          <w:color w:val="auto"/>
          <w:highlight w:val="none"/>
          <w:u w:val="single"/>
        </w:rPr>
      </w:pPr>
      <w:r>
        <w:rPr>
          <w:rFonts w:hint="eastAsia" w:ascii="仿宋" w:hAnsi="仿宋" w:eastAsia="仿宋" w:cs="仿宋"/>
          <w:color w:val="auto"/>
          <w:highlight w:val="none"/>
        </w:rPr>
        <w:t>发包人委托承包人办理的保险事项：</w:t>
      </w:r>
      <w:r>
        <w:rPr>
          <w:rFonts w:hint="eastAsia" w:ascii="仿宋" w:hAnsi="仿宋" w:eastAsia="仿宋" w:cs="仿宋"/>
          <w:color w:val="auto"/>
          <w:highlight w:val="none"/>
          <w:u w:val="single"/>
        </w:rPr>
        <w:t xml:space="preserve"> 无。</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(2)承包人投保内容：</w:t>
      </w:r>
    </w:p>
    <w:p>
      <w:pPr>
        <w:pStyle w:val="27"/>
        <w:spacing w:line="440" w:lineRule="exact"/>
        <w:ind w:firstLine="422" w:firstLineChars="210"/>
        <w:rPr>
          <w:rFonts w:ascii="仿宋" w:hAnsi="仿宋" w:eastAsia="仿宋" w:cs="仿宋"/>
          <w:b/>
          <w:bCs/>
          <w:color w:val="auto"/>
          <w:highlight w:val="none"/>
        </w:rPr>
      </w:pPr>
      <w:r>
        <w:rPr>
          <w:rFonts w:hint="eastAsia" w:ascii="仿宋" w:hAnsi="仿宋" w:eastAsia="仿宋" w:cs="仿宋"/>
          <w:b/>
          <w:bCs/>
          <w:color w:val="auto"/>
          <w:highlight w:val="none"/>
        </w:rPr>
        <w:t>﹡承包人必须为施工现场从事施工的所有作业人员和管理人员办理意外伤害保险，并支付保险费。</w:t>
      </w:r>
    </w:p>
    <w:p>
      <w:pPr>
        <w:pStyle w:val="27"/>
        <w:spacing w:line="440" w:lineRule="exact"/>
        <w:ind w:firstLine="422" w:firstLineChars="210"/>
        <w:rPr>
          <w:rFonts w:ascii="仿宋" w:hAnsi="仿宋" w:eastAsia="仿宋" w:cs="仿宋"/>
          <w:b/>
          <w:color w:val="auto"/>
          <w:highlight w:val="none"/>
        </w:rPr>
      </w:pPr>
      <w:r>
        <w:rPr>
          <w:rFonts w:hint="eastAsia" w:eastAsia="仿宋"/>
          <w:b/>
          <w:bCs/>
          <w:color w:val="auto"/>
          <w:highlight w:val="none"/>
        </w:rPr>
        <w:t>41.</w:t>
      </w:r>
      <w:r>
        <w:rPr>
          <w:rFonts w:hint="eastAsia" w:ascii="仿宋" w:hAnsi="仿宋" w:eastAsia="仿宋" w:cs="仿宋"/>
          <w:b/>
          <w:color w:val="auto"/>
          <w:highlight w:val="none"/>
        </w:rPr>
        <w:t xml:space="preserve"> 合同份数</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46.1 双方约定合同副本份数：</w:t>
      </w:r>
      <w:r>
        <w:rPr>
          <w:rFonts w:hint="eastAsia" w:ascii="仿宋" w:hAnsi="仿宋" w:eastAsia="仿宋" w:cs="仿宋"/>
          <w:color w:val="auto"/>
          <w:highlight w:val="none"/>
          <w:u w:val="single"/>
        </w:rPr>
        <w:t>两份正本、捌份副本。</w:t>
      </w:r>
    </w:p>
    <w:p>
      <w:pPr>
        <w:pStyle w:val="27"/>
        <w:spacing w:line="440" w:lineRule="exact"/>
        <w:ind w:firstLine="422" w:firstLineChars="210"/>
        <w:rPr>
          <w:rFonts w:ascii="仿宋" w:hAnsi="仿宋" w:eastAsia="仿宋" w:cs="仿宋"/>
          <w:color w:val="auto"/>
          <w:highlight w:val="none"/>
        </w:rPr>
      </w:pPr>
      <w:bookmarkStart w:id="407" w:name="_Toc69654573"/>
      <w:bookmarkStart w:id="408" w:name="_Toc68547804"/>
      <w:bookmarkStart w:id="409" w:name="_Toc68452840"/>
      <w:r>
        <w:rPr>
          <w:rFonts w:hint="eastAsia" w:ascii="仿宋" w:hAnsi="仿宋" w:eastAsia="仿宋" w:cs="仿宋"/>
          <w:b/>
          <w:color w:val="auto"/>
          <w:highlight w:val="none"/>
        </w:rPr>
        <w:t>42. 补充条款</w:t>
      </w:r>
      <w:bookmarkEnd w:id="407"/>
      <w:bookmarkEnd w:id="408"/>
      <w:bookmarkEnd w:id="409"/>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 承包人有以下情况之一者，将视为违约，发包人有权采取以下措施处理，并视情节轻重处予违约处罚金。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42.1.1合同签订之日起15日内，承包人无法按合同规定及磋商响应文件的承诺进场的全部人员和机械时，视为违约，发包人有权解除合同，没收其全部履约保证金，发包人有权另行发包工程。</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42.1.2项目经理、总工程师及专业工程师未经发包人允许不准调换他人，未经发包人同意中标单位更换项目经理则视为违约。</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42.1.3主要机械的数量、型号，应与合同相符，若发包人认为合同规定的进场机械不能满足施工进度要求，有权指令承包人增加机械投入，承包人不得拒绝。</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42.1.4所有以上违约处罚金金额均在承包人的履约保证金（包括银行利息）及计量支付款内扣除，发包人预先下发统一格式含有违约处罚意向的指令，如承包人不及时采取措施纠正，则在指令下达后十五天下发违约处罚通知书（不再陈述违约处罚理由）。承包人履约保证金被扣罚后，发包人从承包人最近一次计量支付时扣相应金额补足履约保证金。</w:t>
      </w:r>
    </w:p>
    <w:p>
      <w:pPr>
        <w:pStyle w:val="27"/>
        <w:spacing w:line="440" w:lineRule="exact"/>
        <w:ind w:firstLine="420" w:firstLineChars="210"/>
        <w:rPr>
          <w:rFonts w:ascii="仿宋" w:hAnsi="仿宋" w:eastAsia="仿宋" w:cs="仿宋"/>
          <w:color w:val="auto"/>
          <w:highlight w:val="none"/>
        </w:rPr>
      </w:pPr>
      <w:r>
        <w:rPr>
          <w:rFonts w:hint="eastAsia" w:ascii="仿宋" w:hAnsi="仿宋" w:eastAsia="仿宋" w:cs="仿宋"/>
          <w:color w:val="auto"/>
          <w:highlight w:val="none"/>
        </w:rPr>
        <w:t>42.1.5 承包人在合同期内，完成合同规定的全部工程，且质量合格，竣工验收后十五天内可申请返还全部或部分违约处罚金（不包括利息）。</w:t>
      </w:r>
    </w:p>
    <w:p>
      <w:pPr>
        <w:spacing w:line="440" w:lineRule="exact"/>
        <w:ind w:firstLine="420" w:firstLineChars="200"/>
        <w:jc w:val="left"/>
        <w:rPr>
          <w:rFonts w:ascii="仿宋" w:hAnsi="仿宋" w:eastAsia="仿宋" w:cs="仿宋"/>
          <w:color w:val="auto"/>
          <w:spacing w:val="-4"/>
          <w:szCs w:val="21"/>
          <w:highlight w:val="none"/>
        </w:rPr>
      </w:pPr>
      <w:r>
        <w:rPr>
          <w:rFonts w:hint="eastAsia" w:ascii="仿宋" w:hAnsi="仿宋" w:eastAsia="仿宋" w:cs="仿宋"/>
          <w:color w:val="auto"/>
          <w:szCs w:val="21"/>
          <w:highlight w:val="none"/>
        </w:rPr>
        <w:t xml:space="preserve">42.2 </w:t>
      </w:r>
      <w:r>
        <w:rPr>
          <w:rFonts w:hint="eastAsia" w:ascii="仿宋" w:hAnsi="仿宋" w:eastAsia="仿宋" w:cs="仿宋"/>
          <w:color w:val="auto"/>
          <w:spacing w:val="-4"/>
          <w:szCs w:val="21"/>
          <w:highlight w:val="none"/>
        </w:rPr>
        <w:t>售后服务要求：1、免费送货上门、安装、调试，免费提供完善的设备使用、操作培训（现场安装培训：工程师到现场为采购人单位免费培训日常操作维护人员。2、质保期内每半年免费到现场进行一次维保。3、接到故障通知后24小时内到达现场维修， 48小时以内排除故障；4、质保期后定期回访以及对设备终身维护、维修；5、供应商保证所售设备自交货之日起有备件供应；</w:t>
      </w:r>
    </w:p>
    <w:p>
      <w:pPr>
        <w:spacing w:line="440" w:lineRule="exact"/>
        <w:jc w:val="left"/>
        <w:rPr>
          <w:rFonts w:ascii="仿宋" w:hAnsi="仿宋" w:eastAsia="仿宋" w:cs="仿宋"/>
          <w:color w:val="auto"/>
          <w:spacing w:val="-4"/>
          <w:szCs w:val="21"/>
          <w:highlight w:val="none"/>
        </w:rPr>
      </w:pPr>
      <w:r>
        <w:rPr>
          <w:rFonts w:hint="eastAsia" w:ascii="仿宋" w:hAnsi="仿宋" w:eastAsia="仿宋" w:cs="仿宋"/>
          <w:color w:val="auto"/>
          <w:spacing w:val="-4"/>
          <w:szCs w:val="21"/>
          <w:highlight w:val="none"/>
        </w:rPr>
        <w:t>其余按厂家承诺进行。</w:t>
      </w:r>
    </w:p>
    <w:p>
      <w:pPr>
        <w:ind w:firstLine="420" w:firstLineChars="200"/>
        <w:jc w:val="left"/>
        <w:rPr>
          <w:rFonts w:ascii="仿宋" w:hAnsi="仿宋" w:eastAsia="仿宋" w:cs="仿宋"/>
          <w:b/>
          <w:color w:val="auto"/>
          <w:szCs w:val="21"/>
          <w:highlight w:val="none"/>
        </w:rPr>
      </w:pPr>
      <w:r>
        <w:rPr>
          <w:rFonts w:hint="eastAsia" w:ascii="仿宋" w:hAnsi="仿宋" w:eastAsia="仿宋" w:cs="仿宋"/>
          <w:color w:val="auto"/>
          <w:szCs w:val="21"/>
          <w:highlight w:val="none"/>
        </w:rPr>
        <w:t>42.3如有未尽事宜，或在实施过程中发生新的情况，经双方平等协商可签订补充协议予以明确。</w:t>
      </w:r>
      <w:r>
        <w:rPr>
          <w:rFonts w:hint="eastAsia" w:ascii="仿宋" w:hAnsi="仿宋" w:eastAsia="仿宋" w:cs="仿宋"/>
          <w:color w:val="auto"/>
          <w:szCs w:val="21"/>
          <w:highlight w:val="none"/>
        </w:rPr>
        <w:br w:type="page"/>
      </w:r>
      <w:r>
        <w:rPr>
          <w:rFonts w:hint="eastAsia" w:ascii="仿宋" w:hAnsi="仿宋" w:eastAsia="仿宋" w:cs="仿宋"/>
          <w:b/>
          <w:color w:val="auto"/>
          <w:szCs w:val="21"/>
          <w:highlight w:val="none"/>
        </w:rPr>
        <w:t>附件1：</w:t>
      </w:r>
      <w:bookmarkStart w:id="410" w:name="_Toc152468326"/>
      <w:bookmarkStart w:id="411" w:name="_Toc70328174"/>
      <w:bookmarkStart w:id="412" w:name="_Toc152468502"/>
      <w:bookmarkStart w:id="413" w:name="_Toc152469248"/>
      <w:bookmarkStart w:id="414" w:name="_Toc514238625"/>
      <w:bookmarkStart w:id="415" w:name="_Toc23046699"/>
      <w:bookmarkStart w:id="416" w:name="_Toc23152593"/>
      <w:bookmarkStart w:id="417" w:name="_Toc65314736"/>
      <w:bookmarkStart w:id="418" w:name="_Toc152469398"/>
      <w:bookmarkStart w:id="419" w:name="_Toc101237644"/>
      <w:r>
        <w:rPr>
          <w:rFonts w:hint="eastAsia" w:ascii="仿宋" w:hAnsi="仿宋" w:eastAsia="仿宋" w:cs="仿宋"/>
          <w:b/>
          <w:color w:val="auto"/>
          <w:szCs w:val="21"/>
          <w:highlight w:val="none"/>
        </w:rPr>
        <w:t>附属用房维修项目工程主要工程内容一览表</w:t>
      </w:r>
    </w:p>
    <w:p>
      <w:pPr>
        <w:ind w:hanging="1"/>
        <w:jc w:val="center"/>
        <w:rPr>
          <w:rFonts w:ascii="仿宋" w:hAnsi="仿宋" w:eastAsia="仿宋" w:cs="仿宋"/>
          <w:b/>
          <w:color w:val="auto"/>
          <w:sz w:val="24"/>
          <w:highlight w:val="none"/>
        </w:rPr>
      </w:pPr>
    </w:p>
    <w:tbl>
      <w:tblPr>
        <w:tblStyle w:val="60"/>
        <w:tblW w:w="8637" w:type="dxa"/>
        <w:tblInd w:w="707" w:type="dxa"/>
        <w:tblLayout w:type="fixed"/>
        <w:tblCellMar>
          <w:top w:w="0" w:type="dxa"/>
          <w:left w:w="108" w:type="dxa"/>
          <w:bottom w:w="0" w:type="dxa"/>
          <w:right w:w="108" w:type="dxa"/>
        </w:tblCellMar>
      </w:tblPr>
      <w:tblGrid>
        <w:gridCol w:w="707"/>
        <w:gridCol w:w="5946"/>
        <w:gridCol w:w="1984"/>
      </w:tblGrid>
      <w:tr>
        <w:tblPrEx>
          <w:tblLayout w:type="fixed"/>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项目名称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备注</w:t>
            </w:r>
          </w:p>
        </w:tc>
      </w:tr>
      <w:tr>
        <w:tblPrEx>
          <w:tblLayout w:type="fixed"/>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一、屋面、外立面围护系统修缮</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屋面天面楼面防水工程修缮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p>
        </w:tc>
      </w:tr>
      <w:tr>
        <w:tblPrEx>
          <w:tblLayout w:type="fixed"/>
          <w:tblCellMar>
            <w:top w:w="0" w:type="dxa"/>
            <w:left w:w="108" w:type="dxa"/>
            <w:bottom w:w="0" w:type="dxa"/>
            <w:right w:w="108" w:type="dxa"/>
          </w:tblCellMar>
        </w:tblPrEx>
        <w:trPr>
          <w:trHeight w:val="155"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真石漆外墙面修缮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3</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清洗花岗岩外墙面</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4</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对厨房外墙面污损部分修复后，刷涂外墙防水漆翻新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5</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附属主楼步梯间顶避雷球漆面（银色）拆除，原样翻新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6</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附楼三楼顶女儿墙面，六楼露台墙面防水层、真石漆层拆除，重做防水层和真石漆层</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7</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外窗修缮：破损外窗修缮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等线" w:hAnsi="等线" w:eastAsia="等线" w:cs="宋体"/>
                <w:color w:val="auto"/>
                <w:kern w:val="0"/>
                <w:sz w:val="22"/>
                <w:szCs w:val="22"/>
                <w:highlight w:val="none"/>
              </w:rPr>
              <w:t>二</w:t>
            </w:r>
            <w:r>
              <w:rPr>
                <w:rFonts w:hint="eastAsia" w:ascii="仿宋" w:hAnsi="仿宋" w:eastAsia="仿宋" w:cs="宋体"/>
                <w:b/>
                <w:bCs/>
                <w:color w:val="auto"/>
                <w:kern w:val="0"/>
                <w:szCs w:val="21"/>
                <w:highlight w:val="none"/>
              </w:rPr>
              <w:t>、建筑室内装修装饰修缮</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8</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旧木门拆除，原样安装修缮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 xml:space="preserve">9 </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衣柜拆除，原样安装修缮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10</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一楼餐厅柜子，原样安装修缮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11</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天棚铝扣板天花</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12</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埃特板天花</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13</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隔墙修缮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14</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附属用房乳胶漆内墙面、天棚翻新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三、其它装饰装修修缮</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15</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瓷砖地面破裂、发黑老化损坏更换</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16</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花岗岩、大理石地面抛光或清洗翻新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17</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步梯间的楼梯木扶手打磨、喷漆翻新。</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18</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不锈钢骨架耐力板顶挡雨棚</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四、电气照明、电气线路安装修缮</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19</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电气线路敷设</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20</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照明灯具</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21</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电源插座</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22</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灯控制开关</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五、建筑智能化工程（综合布线）</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22</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综合布线</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665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六、给排水工程修缮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24</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给水管安装修缮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25</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排水管安装修缮</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Layout w:type="fixed"/>
          <w:tblCellMar>
            <w:top w:w="0" w:type="dxa"/>
            <w:left w:w="108" w:type="dxa"/>
            <w:bottom w:w="0" w:type="dxa"/>
            <w:right w:w="108" w:type="dxa"/>
          </w:tblCellMar>
        </w:tblPrEx>
        <w:trPr>
          <w:trHeight w:val="254" w:hRule="atLeast"/>
        </w:trPr>
        <w:tc>
          <w:tcPr>
            <w:tcW w:w="863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七、六楼改造三间功能室其它装修装饰以安装修缮</w:t>
            </w: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26</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卫生间隔断</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仿宋" w:hAnsi="仿宋" w:eastAsia="仿宋" w:cs="宋体"/>
                <w:color w:val="auto"/>
                <w:kern w:val="0"/>
                <w:szCs w:val="21"/>
                <w:highlight w:val="none"/>
              </w:rPr>
              <w:t>27</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卫生间洗手盘</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p>
        </w:tc>
      </w:tr>
      <w:tr>
        <w:tblPrEx>
          <w:tblLayout w:type="fixed"/>
          <w:tblCellMar>
            <w:top w:w="0" w:type="dxa"/>
            <w:left w:w="108" w:type="dxa"/>
            <w:bottom w:w="0" w:type="dxa"/>
            <w:right w:w="108" w:type="dxa"/>
          </w:tblCellMar>
        </w:tblPrEx>
        <w:trPr>
          <w:trHeight w:val="254" w:hRule="atLeast"/>
        </w:trPr>
        <w:tc>
          <w:tcPr>
            <w:tcW w:w="7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auto"/>
                <w:kern w:val="0"/>
                <w:sz w:val="22"/>
                <w:szCs w:val="22"/>
                <w:highlight w:val="none"/>
              </w:rPr>
            </w:pPr>
            <w:r>
              <w:rPr>
                <w:rFonts w:hint="eastAsia" w:ascii="等线" w:hAnsi="等线" w:eastAsia="等线" w:cs="宋体"/>
                <w:color w:val="auto"/>
                <w:kern w:val="0"/>
                <w:sz w:val="22"/>
                <w:szCs w:val="22"/>
                <w:highlight w:val="none"/>
              </w:rPr>
              <w:t>28</w:t>
            </w:r>
          </w:p>
        </w:tc>
        <w:tc>
          <w:tcPr>
            <w:tcW w:w="594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卫生间蹲便器</w:t>
            </w:r>
          </w:p>
        </w:tc>
        <w:tc>
          <w:tcPr>
            <w:tcW w:w="19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auto"/>
                <w:kern w:val="0"/>
                <w:szCs w:val="21"/>
                <w:highlight w:val="none"/>
              </w:rPr>
            </w:pPr>
          </w:p>
        </w:tc>
      </w:tr>
    </w:tbl>
    <w:p>
      <w:pPr>
        <w:spacing w:line="360" w:lineRule="auto"/>
        <w:ind w:firstLine="422" w:firstLineChars="200"/>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说明：</w:t>
      </w:r>
    </w:p>
    <w:p>
      <w:pPr>
        <w:spacing w:line="360" w:lineRule="auto"/>
        <w:ind w:firstLine="422" w:firstLineChars="200"/>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一、主要工程内容位置及施工说明</w:t>
      </w:r>
    </w:p>
    <w:p>
      <w:pPr>
        <w:spacing w:line="360" w:lineRule="auto"/>
        <w:ind w:firstLine="422" w:firstLineChars="200"/>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1、屋面、外立面围护系统修缮：</w:t>
      </w:r>
    </w:p>
    <w:p>
      <w:pPr>
        <w:pStyle w:val="115"/>
        <w:spacing w:line="360" w:lineRule="auto"/>
        <w:ind w:firstLine="495" w:firstLineChars="235"/>
        <w:jc w:val="left"/>
        <w:rPr>
          <w:rFonts w:ascii="仿宋" w:hAnsi="仿宋" w:eastAsia="仿宋" w:cs="仿宋"/>
          <w:b/>
          <w:color w:val="auto"/>
          <w:szCs w:val="21"/>
          <w:highlight w:val="none"/>
        </w:rPr>
      </w:pPr>
      <w:r>
        <w:rPr>
          <w:rFonts w:ascii="仿宋" w:hAnsi="仿宋" w:eastAsia="仿宋" w:cs="仿宋"/>
          <w:b/>
          <w:color w:val="auto"/>
          <w:szCs w:val="21"/>
          <w:highlight w:val="none"/>
        </w:rPr>
        <w:t>1</w:t>
      </w:r>
      <w:r>
        <w:rPr>
          <w:rFonts w:hint="eastAsia" w:ascii="仿宋" w:hAnsi="仿宋" w:eastAsia="仿宋" w:cs="仿宋"/>
          <w:b/>
          <w:color w:val="auto"/>
          <w:szCs w:val="21"/>
          <w:highlight w:val="none"/>
        </w:rPr>
        <w:t xml:space="preserve">）屋面天面楼面防水工程修缮： </w:t>
      </w:r>
    </w:p>
    <w:p>
      <w:pPr>
        <w:spacing w:line="360" w:lineRule="auto"/>
        <w:ind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附属用房所有的屋面天面以及其它露天部分重做保温隔热层和防水层修缮。</w:t>
      </w:r>
    </w:p>
    <w:p>
      <w:pPr>
        <w:pStyle w:val="115"/>
        <w:numPr>
          <w:ilvl w:val="0"/>
          <w:numId w:val="5"/>
        </w:numPr>
        <w:spacing w:line="360" w:lineRule="auto"/>
        <w:ind w:left="0" w:firstLine="42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将以下楼顶屋面原隔热层、防水层拆除后，重做隔热层、防水层：附属用房附楼三楼顶，附属用房与主楼连廊顶，主楼五楼顶，六楼楼顶，附属主楼步梯间顶，电梯机房顶。</w:t>
      </w:r>
    </w:p>
    <w:p>
      <w:pPr>
        <w:pStyle w:val="115"/>
        <w:numPr>
          <w:ilvl w:val="0"/>
          <w:numId w:val="6"/>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四楼平台（将已经停用中央空调管道拆除）屋面原隔热层、防水层拆除后，重做隔热层、防水层。</w:t>
      </w:r>
    </w:p>
    <w:p>
      <w:pPr>
        <w:pStyle w:val="115"/>
        <w:numPr>
          <w:ilvl w:val="0"/>
          <w:numId w:val="6"/>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六楼锅灶房洗衣房（拆除里面设备以及管道后，改造为3间功能室）楼面，六楼阳台楼面，六楼走廊楼面，一楼厨房、杂物间天面以及附属用房其它露天的屋面楼面防水层拆除后重做防水层。</w:t>
      </w:r>
    </w:p>
    <w:p>
      <w:pPr>
        <w:spacing w:line="360" w:lineRule="auto"/>
        <w:ind w:left="482"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其中，六楼阳台做好防水层后，抬高到合适高度，并安装挡雨棚；六楼走廊做防水层后铺贴瓷砖。</w:t>
      </w:r>
    </w:p>
    <w:p>
      <w:pPr>
        <w:pStyle w:val="44"/>
        <w:numPr>
          <w:ilvl w:val="0"/>
          <w:numId w:val="7"/>
        </w:numPr>
        <w:spacing w:before="0" w:beforeAutospacing="0" w:after="0" w:afterAutospacing="0" w:line="360" w:lineRule="auto"/>
        <w:ind w:left="851"/>
        <w:jc w:val="both"/>
        <w:rPr>
          <w:rFonts w:hint="eastAsia" w:ascii="&amp;quot" w:hAnsi="&amp;quot" w:cs="宋体"/>
          <w:bCs/>
          <w:color w:val="auto"/>
          <w:sz w:val="21"/>
          <w:szCs w:val="21"/>
          <w:highlight w:val="none"/>
        </w:rPr>
      </w:pPr>
      <w:r>
        <w:rPr>
          <w:rFonts w:hint="eastAsia" w:ascii="仿宋" w:hAnsi="仿宋" w:eastAsia="仿宋" w:cs="仿宋"/>
          <w:bCs/>
          <w:color w:val="auto"/>
          <w:sz w:val="21"/>
          <w:szCs w:val="21"/>
          <w:highlight w:val="none"/>
        </w:rPr>
        <w:t>一楼餐厅顶屋面修缮：</w:t>
      </w:r>
    </w:p>
    <w:p>
      <w:pPr>
        <w:pStyle w:val="44"/>
        <w:spacing w:before="0" w:beforeAutospacing="0" w:after="0" w:afterAutospacing="0" w:line="360" w:lineRule="auto"/>
        <w:ind w:left="851"/>
        <w:jc w:val="both"/>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对漏水、空鼓部位或开裂的瓷砖拆除，对屋面防水处理后，重新铺贴瓷砖；</w:t>
      </w:r>
    </w:p>
    <w:p>
      <w:pPr>
        <w:pStyle w:val="44"/>
        <w:spacing w:before="0" w:beforeAutospacing="0" w:after="0" w:afterAutospacing="0" w:line="360" w:lineRule="auto"/>
        <w:ind w:left="851"/>
        <w:jc w:val="both"/>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对</w:t>
      </w:r>
      <w:r>
        <w:rPr>
          <w:rFonts w:ascii="仿宋" w:hAnsi="仿宋" w:eastAsia="仿宋" w:cs="仿宋"/>
          <w:bCs/>
          <w:color w:val="auto"/>
          <w:sz w:val="21"/>
          <w:szCs w:val="21"/>
          <w:highlight w:val="none"/>
        </w:rPr>
        <w:t>原来老化</w:t>
      </w:r>
      <w:r>
        <w:rPr>
          <w:rFonts w:hint="eastAsia" w:ascii="仿宋" w:hAnsi="仿宋" w:eastAsia="仿宋" w:cs="仿宋"/>
          <w:bCs/>
          <w:color w:val="auto"/>
          <w:sz w:val="21"/>
          <w:szCs w:val="21"/>
          <w:highlight w:val="none"/>
        </w:rPr>
        <w:t>、</w:t>
      </w:r>
      <w:r>
        <w:rPr>
          <w:rFonts w:ascii="仿宋" w:hAnsi="仿宋" w:eastAsia="仿宋" w:cs="仿宋"/>
          <w:bCs/>
          <w:color w:val="auto"/>
          <w:sz w:val="21"/>
          <w:szCs w:val="21"/>
          <w:highlight w:val="none"/>
        </w:rPr>
        <w:t>脱落</w:t>
      </w:r>
      <w:r>
        <w:rPr>
          <w:rFonts w:hint="eastAsia" w:ascii="仿宋" w:hAnsi="仿宋" w:eastAsia="仿宋" w:cs="仿宋"/>
          <w:bCs/>
          <w:color w:val="auto"/>
          <w:sz w:val="21"/>
          <w:szCs w:val="21"/>
          <w:highlight w:val="none"/>
        </w:rPr>
        <w:t>、</w:t>
      </w:r>
      <w:r>
        <w:rPr>
          <w:rFonts w:ascii="仿宋" w:hAnsi="仿宋" w:eastAsia="仿宋" w:cs="仿宋"/>
          <w:bCs/>
          <w:color w:val="auto"/>
          <w:sz w:val="21"/>
          <w:szCs w:val="21"/>
          <w:highlight w:val="none"/>
        </w:rPr>
        <w:t>开裂</w:t>
      </w:r>
      <w:r>
        <w:rPr>
          <w:rFonts w:hint="eastAsia" w:ascii="仿宋" w:hAnsi="仿宋" w:eastAsia="仿宋" w:cs="仿宋"/>
          <w:bCs/>
          <w:color w:val="auto"/>
          <w:sz w:val="21"/>
          <w:szCs w:val="21"/>
          <w:highlight w:val="none"/>
        </w:rPr>
        <w:t>的瓷砖缝用防水勾缝材料</w:t>
      </w:r>
      <w:r>
        <w:rPr>
          <w:rFonts w:ascii="仿宋" w:hAnsi="仿宋" w:eastAsia="仿宋" w:cs="仿宋"/>
          <w:bCs/>
          <w:color w:val="auto"/>
          <w:sz w:val="21"/>
          <w:szCs w:val="21"/>
          <w:highlight w:val="none"/>
        </w:rPr>
        <w:t>重新勾缝</w:t>
      </w:r>
      <w:r>
        <w:rPr>
          <w:rFonts w:hint="eastAsia" w:ascii="仿宋" w:hAnsi="仿宋" w:eastAsia="仿宋" w:cs="仿宋"/>
          <w:bCs/>
          <w:color w:val="auto"/>
          <w:sz w:val="21"/>
          <w:szCs w:val="21"/>
          <w:highlight w:val="none"/>
        </w:rPr>
        <w:t>；</w:t>
      </w:r>
    </w:p>
    <w:p>
      <w:pPr>
        <w:pStyle w:val="44"/>
        <w:spacing w:before="0" w:beforeAutospacing="0" w:after="0" w:afterAutospacing="0" w:line="360" w:lineRule="auto"/>
        <w:ind w:left="851"/>
        <w:jc w:val="both"/>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对一楼餐厅顶瓷砖屋面进行防水处理</w:t>
      </w:r>
      <w:r>
        <w:rPr>
          <w:rFonts w:hint="eastAsia" w:ascii="仿宋" w:hAnsi="仿宋" w:eastAsia="仿宋" w:cs="仿宋"/>
          <w:bCs/>
          <w:color w:val="auto"/>
          <w:sz w:val="21"/>
          <w:szCs w:val="21"/>
          <w:highlight w:val="none"/>
          <w:shd w:val="pct10" w:color="auto" w:fill="FFFFFF"/>
        </w:rPr>
        <w:t>（如，用抗渗防漏剂涂刷整个屋面）</w:t>
      </w:r>
      <w:r>
        <w:rPr>
          <w:rFonts w:hint="eastAsia" w:ascii="仿宋" w:hAnsi="仿宋" w:eastAsia="仿宋" w:cs="仿宋"/>
          <w:bCs/>
          <w:color w:val="auto"/>
          <w:sz w:val="21"/>
          <w:szCs w:val="21"/>
          <w:highlight w:val="none"/>
        </w:rPr>
        <w:t>。</w:t>
      </w:r>
    </w:p>
    <w:p>
      <w:pPr>
        <w:pStyle w:val="115"/>
        <w:spacing w:line="360" w:lineRule="auto"/>
        <w:ind w:firstLine="495" w:firstLineChars="235"/>
        <w:jc w:val="left"/>
        <w:rPr>
          <w:rFonts w:ascii="仿宋" w:hAnsi="仿宋" w:eastAsia="仿宋" w:cs="仿宋"/>
          <w:b/>
          <w:color w:val="auto"/>
          <w:szCs w:val="21"/>
          <w:highlight w:val="none"/>
        </w:rPr>
      </w:pPr>
      <w:r>
        <w:rPr>
          <w:rFonts w:ascii="仿宋" w:hAnsi="仿宋" w:eastAsia="仿宋" w:cs="仿宋"/>
          <w:b/>
          <w:color w:val="auto"/>
          <w:szCs w:val="21"/>
          <w:highlight w:val="none"/>
        </w:rPr>
        <w:t>2</w:t>
      </w:r>
      <w:r>
        <w:rPr>
          <w:rFonts w:hint="eastAsia" w:ascii="仿宋" w:hAnsi="仿宋" w:eastAsia="仿宋" w:cs="仿宋"/>
          <w:b/>
          <w:color w:val="auto"/>
          <w:szCs w:val="21"/>
          <w:highlight w:val="none"/>
        </w:rPr>
        <w:t>）外立面、外墙面修缮：</w:t>
      </w:r>
    </w:p>
    <w:p>
      <w:pPr>
        <w:pStyle w:val="115"/>
        <w:numPr>
          <w:ilvl w:val="0"/>
          <w:numId w:val="5"/>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拆除附属用房真石漆外墙面的真石漆层和抹灰层，做防水保温层和抹灰层后按原来颜色恢复真石漆层。</w:t>
      </w:r>
    </w:p>
    <w:p>
      <w:pPr>
        <w:pStyle w:val="115"/>
        <w:numPr>
          <w:ilvl w:val="0"/>
          <w:numId w:val="5"/>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清洗花岗岩外墙面。</w:t>
      </w:r>
    </w:p>
    <w:p>
      <w:pPr>
        <w:pStyle w:val="115"/>
        <w:numPr>
          <w:ilvl w:val="0"/>
          <w:numId w:val="5"/>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对厨房外墙面污损部分修复后，刷涂外墙防水漆翻新。</w:t>
      </w:r>
    </w:p>
    <w:p>
      <w:pPr>
        <w:pStyle w:val="115"/>
        <w:numPr>
          <w:ilvl w:val="0"/>
          <w:numId w:val="5"/>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附属主楼步梯间顶避雷球漆面（银色）拆除，原样翻新。</w:t>
      </w:r>
    </w:p>
    <w:p>
      <w:pPr>
        <w:pStyle w:val="115"/>
        <w:numPr>
          <w:ilvl w:val="0"/>
          <w:numId w:val="5"/>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附楼三楼顶女儿墙面，六楼露台墙面防水层、真石漆层拆除，重做防水层和真石漆层。</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3）外窗修缮：破损外窗修缮</w:t>
      </w:r>
    </w:p>
    <w:p>
      <w:pPr>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2、建筑室内装修装饰修缮</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1）室内木门，客房衣柜，一楼餐厅柜子修缮。</w:t>
      </w:r>
    </w:p>
    <w:p>
      <w:pPr>
        <w:pStyle w:val="115"/>
        <w:numPr>
          <w:ilvl w:val="2"/>
          <w:numId w:val="8"/>
        </w:numPr>
        <w:spacing w:line="360" w:lineRule="auto"/>
        <w:ind w:left="1134" w:firstLineChars="0"/>
        <w:jc w:val="left"/>
        <w:rPr>
          <w:rFonts w:ascii="仿宋" w:hAnsi="仿宋" w:eastAsia="仿宋" w:cs="仿宋"/>
          <w:bCs/>
          <w:color w:val="auto"/>
          <w:szCs w:val="21"/>
          <w:highlight w:val="none"/>
        </w:rPr>
      </w:pPr>
      <w:r>
        <w:rPr>
          <w:rFonts w:ascii="仿宋" w:hAnsi="仿宋" w:eastAsia="仿宋" w:cs="仿宋"/>
          <w:bCs/>
          <w:color w:val="auto"/>
          <w:szCs w:val="21"/>
          <w:highlight w:val="none"/>
        </w:rPr>
        <w:t>附属用房内木门经久使用，一楼餐厅、厨房、大堂（包括前台）、储物房、食堂办公室、杂物间、更衣室，一楼四间包厢，二楼餐厅、包厢，二至五楼客房，布草间，楼内走廊及其它部位的全部木门拆除，按原样式安装修缮，</w:t>
      </w:r>
      <w:r>
        <w:rPr>
          <w:rFonts w:eastAsia="仿宋" w:cs="Calibri"/>
          <w:bCs/>
          <w:color w:val="auto"/>
          <w:szCs w:val="21"/>
          <w:highlight w:val="none"/>
        </w:rPr>
        <w:t> </w:t>
      </w:r>
      <w:r>
        <w:rPr>
          <w:rFonts w:ascii="仿宋" w:hAnsi="仿宋" w:eastAsia="仿宋" w:cs="仿宋"/>
          <w:bCs/>
          <w:color w:val="auto"/>
          <w:szCs w:val="21"/>
          <w:highlight w:val="none"/>
        </w:rPr>
        <w:t>同时6楼三间新改造</w:t>
      </w:r>
      <w:r>
        <w:rPr>
          <w:rFonts w:hint="eastAsia" w:ascii="仿宋" w:hAnsi="仿宋" w:eastAsia="仿宋" w:cs="仿宋"/>
          <w:bCs/>
          <w:color w:val="auto"/>
          <w:szCs w:val="21"/>
          <w:highlight w:val="none"/>
        </w:rPr>
        <w:t>功能室</w:t>
      </w:r>
      <w:r>
        <w:rPr>
          <w:rFonts w:ascii="仿宋" w:hAnsi="仿宋" w:eastAsia="仿宋" w:cs="仿宋"/>
          <w:bCs/>
          <w:color w:val="auto"/>
          <w:szCs w:val="21"/>
          <w:highlight w:val="none"/>
        </w:rPr>
        <w:t>各增1樘。</w:t>
      </w:r>
    </w:p>
    <w:p>
      <w:pPr>
        <w:pStyle w:val="115"/>
        <w:numPr>
          <w:ilvl w:val="2"/>
          <w:numId w:val="8"/>
        </w:numPr>
        <w:spacing w:line="360" w:lineRule="auto"/>
        <w:ind w:left="1134"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附属用房客房内衣柜经久使用，全部拆除，按原样式安装修缮， 同时6楼三间新改造功能室每间各增加1套。</w:t>
      </w:r>
    </w:p>
    <w:p>
      <w:pPr>
        <w:pStyle w:val="115"/>
        <w:numPr>
          <w:ilvl w:val="2"/>
          <w:numId w:val="8"/>
        </w:numPr>
        <w:spacing w:line="360" w:lineRule="auto"/>
        <w:ind w:left="1134"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一楼餐厅柜子，拆除，原样式安装修缮。</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室内木门、房间衣柜所采用的材料，</w:t>
      </w:r>
      <w:r>
        <w:rPr>
          <w:color w:val="auto"/>
          <w:highlight w:val="none"/>
        </w:rPr>
        <w:fldChar w:fldCharType="begin"/>
      </w:r>
      <w:r>
        <w:rPr>
          <w:color w:val="auto"/>
          <w:highlight w:val="none"/>
        </w:rPr>
        <w:instrText xml:space="preserve"> HYPERLINK "https://www.baidu.com/link?url=10XG8oHYUiDX0sqCoDiv8GC0brJ0Ry6CI10bOtDyj_GbmD4SDYyGaMBhbGPkVn_9Y2TfOk9aymCw-eTMlxmnBK&amp;wd=&amp;eqid=cbc1a12d00275f35000000065edd5c01" \t "_blank" </w:instrText>
      </w:r>
      <w:r>
        <w:rPr>
          <w:color w:val="auto"/>
          <w:highlight w:val="none"/>
        </w:rPr>
        <w:fldChar w:fldCharType="separate"/>
      </w:r>
      <w:r>
        <w:rPr>
          <w:rFonts w:ascii="仿宋" w:hAnsi="仿宋" w:eastAsia="仿宋" w:cs="仿宋"/>
          <w:bCs/>
          <w:color w:val="auto"/>
          <w:szCs w:val="21"/>
          <w:highlight w:val="none"/>
        </w:rPr>
        <w:t>TVOC</w:t>
      </w:r>
      <w:r>
        <w:rPr>
          <w:rFonts w:ascii="仿宋" w:hAnsi="仿宋" w:eastAsia="仿宋" w:cs="仿宋"/>
          <w:bCs/>
          <w:color w:val="auto"/>
          <w:szCs w:val="21"/>
          <w:highlight w:val="none"/>
        </w:rPr>
        <w:fldChar w:fldCharType="end"/>
      </w:r>
      <w:r>
        <w:rPr>
          <w:rFonts w:hint="eastAsia" w:ascii="仿宋" w:hAnsi="仿宋" w:eastAsia="仿宋" w:cs="仿宋"/>
          <w:bCs/>
          <w:color w:val="auto"/>
          <w:szCs w:val="21"/>
          <w:highlight w:val="none"/>
        </w:rPr>
        <w:t>（</w:t>
      </w:r>
      <w:r>
        <w:rPr>
          <w:rFonts w:ascii="仿宋" w:hAnsi="仿宋" w:eastAsia="仿宋" w:cs="仿宋"/>
          <w:bCs/>
          <w:color w:val="auto"/>
          <w:szCs w:val="21"/>
          <w:highlight w:val="none"/>
        </w:rPr>
        <w:t>总</w:t>
      </w:r>
      <w:r>
        <w:rPr>
          <w:color w:val="auto"/>
          <w:highlight w:val="none"/>
        </w:rPr>
        <w:fldChar w:fldCharType="begin"/>
      </w:r>
      <w:r>
        <w:rPr>
          <w:color w:val="auto"/>
          <w:highlight w:val="none"/>
        </w:rPr>
        <w:instrText xml:space="preserve"> HYPERLINK "https://baike.baidu.com/item/%E6%8C%A5%E5%8F%91%E6%80%A7%E6%9C%89%E6%9C%BA%E7%89%A9" \t "_blank" </w:instrText>
      </w:r>
      <w:r>
        <w:rPr>
          <w:color w:val="auto"/>
          <w:highlight w:val="none"/>
        </w:rPr>
        <w:fldChar w:fldCharType="separate"/>
      </w:r>
      <w:r>
        <w:rPr>
          <w:rFonts w:ascii="仿宋" w:hAnsi="仿宋" w:eastAsia="仿宋" w:cs="仿宋"/>
          <w:bCs/>
          <w:color w:val="auto"/>
          <w:szCs w:val="21"/>
          <w:highlight w:val="none"/>
        </w:rPr>
        <w:t>挥发性有机物</w:t>
      </w:r>
      <w:r>
        <w:rPr>
          <w:rFonts w:ascii="仿宋" w:hAnsi="仿宋" w:eastAsia="仿宋" w:cs="仿宋"/>
          <w:bCs/>
          <w:color w:val="auto"/>
          <w:szCs w:val="21"/>
          <w:highlight w:val="none"/>
        </w:rPr>
        <w:fldChar w:fldCharType="end"/>
      </w:r>
      <w:r>
        <w:rPr>
          <w:rFonts w:hint="eastAsia" w:ascii="仿宋" w:hAnsi="仿宋" w:eastAsia="仿宋" w:cs="仿宋"/>
          <w:bCs/>
          <w:color w:val="auto"/>
          <w:szCs w:val="21"/>
          <w:highlight w:val="none"/>
        </w:rPr>
        <w:t>）含量必须符合《住宅建筑室内装修污染控制技术标准》（J</w:t>
      </w:r>
      <w:r>
        <w:rPr>
          <w:rFonts w:ascii="仿宋" w:hAnsi="仿宋" w:eastAsia="仿宋" w:cs="仿宋"/>
          <w:bCs/>
          <w:color w:val="auto"/>
          <w:szCs w:val="21"/>
          <w:highlight w:val="none"/>
        </w:rPr>
        <w:t>GJ/T436-2018</w:t>
      </w:r>
      <w:r>
        <w:rPr>
          <w:rFonts w:hint="eastAsia" w:ascii="仿宋" w:hAnsi="仿宋" w:eastAsia="仿宋" w:cs="仿宋"/>
          <w:bCs/>
          <w:color w:val="auto"/>
          <w:szCs w:val="21"/>
          <w:highlight w:val="none"/>
        </w:rPr>
        <w:t>）要求。</w:t>
      </w:r>
    </w:p>
    <w:p>
      <w:pPr>
        <w:pStyle w:val="115"/>
        <w:spacing w:line="360" w:lineRule="auto"/>
        <w:ind w:firstLine="495" w:firstLineChars="235"/>
        <w:jc w:val="left"/>
        <w:rPr>
          <w:rFonts w:ascii="仿宋" w:hAnsi="仿宋" w:eastAsia="仿宋" w:cs="仿宋"/>
          <w:b/>
          <w:color w:val="auto"/>
          <w:szCs w:val="21"/>
          <w:highlight w:val="none"/>
        </w:rPr>
      </w:pPr>
      <w:r>
        <w:rPr>
          <w:rFonts w:ascii="仿宋" w:hAnsi="仿宋" w:eastAsia="仿宋" w:cs="仿宋"/>
          <w:b/>
          <w:color w:val="auto"/>
          <w:szCs w:val="21"/>
          <w:highlight w:val="none"/>
        </w:rPr>
        <w:t>2</w:t>
      </w:r>
      <w:r>
        <w:rPr>
          <w:rFonts w:hint="eastAsia" w:ascii="仿宋" w:hAnsi="仿宋" w:eastAsia="仿宋" w:cs="仿宋"/>
          <w:b/>
          <w:color w:val="auto"/>
          <w:szCs w:val="21"/>
          <w:highlight w:val="none"/>
        </w:rPr>
        <w:t>）天棚铝扣板天花，埃特板天花、隔墙修缮</w:t>
      </w:r>
    </w:p>
    <w:p>
      <w:pPr>
        <w:pStyle w:val="115"/>
        <w:numPr>
          <w:ilvl w:val="0"/>
          <w:numId w:val="9"/>
        </w:numPr>
        <w:spacing w:line="360" w:lineRule="auto"/>
        <w:ind w:left="1134"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天棚铝扣板天花安装，包含天花内LED灯、排（抽）风扇及供电线路敷设安装。</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将以下部位天棚原天花吊顶或造型天花拆除（包括灯具，电气线路等），安装铝扣板吊顶：</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一楼餐厅、二楼餐厅，一楼更衣室，主楼和附属用房走廊、电梯候梯间（现为埃特板吊顶），一楼四间包厢（现为木造型吊顶），客房、一楼和二楼包厢、6楼三间新改造功能室以及其它位置所有卫生间。</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上述铝扣板吊顶修缮包括LED灯、排（抽）风机（扇）及供电线路敷设安装。</w:t>
      </w:r>
    </w:p>
    <w:p>
      <w:pPr>
        <w:pStyle w:val="115"/>
        <w:numPr>
          <w:ilvl w:val="0"/>
          <w:numId w:val="9"/>
        </w:numPr>
        <w:spacing w:line="360" w:lineRule="auto"/>
        <w:ind w:hanging="277"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主楼二至五层走廊，附属用房一至三层走廊、电梯候梯间，拆除中央空调管道后重新吊铝扣板吊顶时，提高吊顶高度。</w:t>
      </w:r>
    </w:p>
    <w:p>
      <w:pPr>
        <w:pStyle w:val="115"/>
        <w:numPr>
          <w:ilvl w:val="0"/>
          <w:numId w:val="9"/>
        </w:numPr>
        <w:spacing w:line="360" w:lineRule="auto"/>
        <w:ind w:hanging="277" w:firstLineChars="0"/>
        <w:jc w:val="left"/>
        <w:rPr>
          <w:rFonts w:ascii="仿宋" w:hAnsi="仿宋" w:eastAsia="仿宋" w:cs="仿宋"/>
          <w:bCs/>
          <w:color w:val="auto"/>
          <w:spacing w:val="-2"/>
          <w:szCs w:val="21"/>
          <w:highlight w:val="none"/>
        </w:rPr>
      </w:pPr>
      <w:r>
        <w:rPr>
          <w:rFonts w:hint="eastAsia" w:ascii="仿宋" w:hAnsi="仿宋" w:eastAsia="仿宋" w:cs="仿宋"/>
          <w:bCs/>
          <w:color w:val="auto"/>
          <w:spacing w:val="-2"/>
          <w:szCs w:val="21"/>
          <w:highlight w:val="none"/>
        </w:rPr>
        <w:t>对于一楼走廊，要着重考虑光亮和通风（考虑以下两种方案的一种 ：1、可在吊顶加带感应开关lED灯，抽风机，抽风机在灯亮时启动；2、在走廊北头安装窗户）。</w:t>
      </w:r>
    </w:p>
    <w:p>
      <w:pPr>
        <w:pStyle w:val="115"/>
        <w:numPr>
          <w:ilvl w:val="0"/>
          <w:numId w:val="9"/>
        </w:numPr>
        <w:spacing w:line="360" w:lineRule="auto"/>
        <w:ind w:left="1134"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埃特板天花</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一楼大堂埃特板天花吊顶修缮：</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拆除一楼大堂埃特板天花吊顶，以及吊顶内的电气线路，中央空调管道、出（回）风口等；</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按原造型恢复埃特板天花吊顶，其中大堂前台上方的中央空调</w:t>
      </w:r>
      <w:r>
        <w:rPr>
          <w:rFonts w:ascii="Arial" w:hAnsi="Arial" w:cs="Arial"/>
          <w:bCs/>
          <w:color w:val="auto"/>
          <w:szCs w:val="21"/>
          <w:highlight w:val="none"/>
          <w:shd w:val="clear" w:color="auto" w:fill="FFFFFF"/>
        </w:rPr>
        <w:t>固定</w:t>
      </w:r>
      <w:r>
        <w:rPr>
          <w:rFonts w:hint="eastAsia" w:ascii="仿宋" w:hAnsi="仿宋" w:eastAsia="仿宋" w:cs="仿宋"/>
          <w:bCs/>
          <w:color w:val="auto"/>
          <w:szCs w:val="21"/>
          <w:highlight w:val="none"/>
        </w:rPr>
        <w:t>条形出风口不再保留，用埃特板在沿条形出风口上部位置水平封平。</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附属用房内其它除主楼和附属用房走廊、电梯候梯间改为铝扣板天花外的位置，原为埃特板天花的天棚拆除重装恢复修缮。</w:t>
      </w:r>
    </w:p>
    <w:p>
      <w:pPr>
        <w:pStyle w:val="115"/>
        <w:numPr>
          <w:ilvl w:val="0"/>
          <w:numId w:val="9"/>
        </w:numPr>
        <w:spacing w:line="360" w:lineRule="auto"/>
        <w:ind w:left="1134"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埃特板隔墙</w:t>
      </w:r>
    </w:p>
    <w:p>
      <w:pPr>
        <w:spacing w:line="360" w:lineRule="auto"/>
        <w:ind w:left="1134"/>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六楼三间功能室隔墙（现六楼锅灶房洗衣房）。</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3）附属用房乳胶漆内墙面、天棚翻新</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对附属用房内全部墙面和天棚（包括主楼、附楼步梯间墙面，走廊，厨房，6楼三间新改造功能室，以及所有客房）的乳胶漆面进行翻新。</w:t>
      </w:r>
    </w:p>
    <w:p>
      <w:pPr>
        <w:pStyle w:val="115"/>
        <w:spacing w:line="360" w:lineRule="auto"/>
        <w:ind w:left="567" w:leftChars="27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修补好有破损的墙面（或天棚），并对墙面（天棚）进行清洁后，刷涂乳胶漆三遍翻新，个别污渍较严重的地方进行着重清洁处理后，同时适当加多刷涂次数。</w:t>
      </w:r>
    </w:p>
    <w:p>
      <w:pPr>
        <w:pStyle w:val="115"/>
        <w:spacing w:line="360" w:lineRule="auto"/>
        <w:ind w:left="567" w:leftChars="270" w:firstLine="412"/>
        <w:jc w:val="left"/>
        <w:rPr>
          <w:rFonts w:ascii="仿宋" w:hAnsi="仿宋" w:eastAsia="仿宋" w:cs="仿宋"/>
          <w:bCs/>
          <w:color w:val="auto"/>
          <w:spacing w:val="-2"/>
          <w:szCs w:val="21"/>
          <w:highlight w:val="none"/>
        </w:rPr>
      </w:pPr>
      <w:r>
        <w:rPr>
          <w:rFonts w:hint="eastAsia" w:ascii="仿宋" w:hAnsi="仿宋" w:eastAsia="仿宋" w:cs="仿宋"/>
          <w:bCs/>
          <w:color w:val="auto"/>
          <w:spacing w:val="-2"/>
          <w:szCs w:val="21"/>
          <w:highlight w:val="none"/>
        </w:rPr>
        <w:t>采用的乳胶漆为符合</w:t>
      </w:r>
      <w:r>
        <w:rPr>
          <w:rFonts w:ascii="仿宋" w:hAnsi="仿宋" w:eastAsia="仿宋" w:cs="仿宋"/>
          <w:bCs/>
          <w:color w:val="auto"/>
          <w:spacing w:val="-2"/>
          <w:szCs w:val="21"/>
          <w:highlight w:val="none"/>
        </w:rPr>
        <w:t>《室内空气净化功能涂覆材料净化性能》（JC/T1074-2008）</w:t>
      </w:r>
      <w:r>
        <w:rPr>
          <w:rFonts w:hint="eastAsia" w:ascii="仿宋" w:hAnsi="仿宋" w:eastAsia="仿宋" w:cs="仿宋"/>
          <w:bCs/>
          <w:color w:val="auto"/>
          <w:spacing w:val="-2"/>
          <w:szCs w:val="21"/>
          <w:highlight w:val="none"/>
        </w:rPr>
        <w:t>标准的产品。</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4）其它装饰装修修缮</w:t>
      </w:r>
    </w:p>
    <w:p>
      <w:pPr>
        <w:pStyle w:val="115"/>
        <w:numPr>
          <w:ilvl w:val="0"/>
          <w:numId w:val="10"/>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瓷砖地面：将附属用房一楼大堂、餐厅、厨房、包厢、走廊、步梯间、候梯间等瓷砖地面存在破裂、发黑老化、空鼓或其它损坏现象的，进行修缮更换。</w:t>
      </w:r>
    </w:p>
    <w:p>
      <w:pPr>
        <w:pStyle w:val="115"/>
        <w:numPr>
          <w:ilvl w:val="0"/>
          <w:numId w:val="10"/>
        </w:numPr>
        <w:spacing w:line="360" w:lineRule="auto"/>
        <w:ind w:firstLineChars="0"/>
        <w:jc w:val="left"/>
        <w:rPr>
          <w:rFonts w:ascii="仿宋" w:hAnsi="仿宋" w:eastAsia="仿宋" w:cs="仿宋"/>
          <w:bCs/>
          <w:color w:val="auto"/>
          <w:spacing w:val="-2"/>
          <w:szCs w:val="21"/>
          <w:highlight w:val="none"/>
        </w:rPr>
      </w:pPr>
      <w:r>
        <w:rPr>
          <w:rFonts w:hint="eastAsia" w:ascii="仿宋" w:hAnsi="仿宋" w:eastAsia="仿宋" w:cs="仿宋"/>
          <w:bCs/>
          <w:color w:val="auto"/>
          <w:spacing w:val="-2"/>
          <w:szCs w:val="21"/>
          <w:highlight w:val="none"/>
        </w:rPr>
        <w:t>花岗岩、大理石地面：将附属用房为花岗岩、大理石的地面和墙面、柱面进行抛光或清洗翻新。</w:t>
      </w:r>
    </w:p>
    <w:p>
      <w:pPr>
        <w:pStyle w:val="115"/>
        <w:numPr>
          <w:ilvl w:val="0"/>
          <w:numId w:val="10"/>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对步梯间的楼梯木扶手打磨、喷漆翻新。</w:t>
      </w:r>
    </w:p>
    <w:p>
      <w:pPr>
        <w:pStyle w:val="115"/>
        <w:numPr>
          <w:ilvl w:val="0"/>
          <w:numId w:val="10"/>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挡雨棚，不锈钢骨架，5MM耐力板顶。</w:t>
      </w:r>
    </w:p>
    <w:p>
      <w:pPr>
        <w:spacing w:line="360" w:lineRule="auto"/>
        <w:ind w:left="566"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二层附楼通向主楼连廊雨棚顶耐力板更换；</w:t>
      </w:r>
    </w:p>
    <w:p>
      <w:pPr>
        <w:spacing w:line="360" w:lineRule="auto"/>
        <w:ind w:left="566"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主楼四层走廊出附楼三楼顶门口档雨棚更换；</w:t>
      </w:r>
    </w:p>
    <w:p>
      <w:pPr>
        <w:spacing w:line="360" w:lineRule="auto"/>
        <w:ind w:left="566"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六楼阳台搭建挡雨棚；</w:t>
      </w:r>
    </w:p>
    <w:p>
      <w:pPr>
        <w:spacing w:line="360" w:lineRule="auto"/>
        <w:ind w:left="566"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六楼步梯间至三间功能室（原锅灶房洗衣房）之间走廊搭建挡雨棚。</w:t>
      </w:r>
    </w:p>
    <w:p>
      <w:pPr>
        <w:spacing w:line="360" w:lineRule="auto"/>
        <w:ind w:firstLine="422" w:firstLineChars="200"/>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w:t>
      </w:r>
      <w:r>
        <w:rPr>
          <w:rFonts w:ascii="仿宋" w:hAnsi="仿宋" w:eastAsia="仿宋" w:cs="仿宋"/>
          <w:b/>
          <w:color w:val="auto"/>
          <w:szCs w:val="21"/>
          <w:highlight w:val="none"/>
        </w:rPr>
        <w:t xml:space="preserve"> </w:t>
      </w:r>
      <w:r>
        <w:rPr>
          <w:rFonts w:hint="eastAsia" w:ascii="仿宋" w:hAnsi="仿宋" w:eastAsia="仿宋" w:cs="仿宋"/>
          <w:b/>
          <w:color w:val="auto"/>
          <w:szCs w:val="21"/>
          <w:highlight w:val="none"/>
        </w:rPr>
        <w:t>3、电气照明、电气线路安装修缮</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1）电气线路敷设</w:t>
      </w:r>
    </w:p>
    <w:p>
      <w:pPr>
        <w:pStyle w:val="115"/>
        <w:numPr>
          <w:ilvl w:val="0"/>
          <w:numId w:val="9"/>
        </w:numPr>
        <w:spacing w:line="360" w:lineRule="auto"/>
        <w:ind w:hanging="277"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管线敷设</w:t>
      </w:r>
    </w:p>
    <w:p>
      <w:pPr>
        <w:spacing w:line="360" w:lineRule="auto"/>
        <w:ind w:left="709" w:firstLine="493" w:firstLineChars="235"/>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所有管线均暗敷，在吊顶里电气线缆穿阻燃塑料套管敷设；在房间内穿塑料管沟槽暗敷。</w:t>
      </w:r>
    </w:p>
    <w:p>
      <w:pPr>
        <w:spacing w:line="360" w:lineRule="auto"/>
        <w:ind w:left="709" w:firstLine="493" w:firstLineChars="235"/>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在暗敷管线施工过程，对开凿的沟槽恢复抹水泥砂浆时，应注意抹面的平整，应恢复到开凿前的原状。</w:t>
      </w:r>
    </w:p>
    <w:p>
      <w:pPr>
        <w:pStyle w:val="115"/>
        <w:numPr>
          <w:ilvl w:val="0"/>
          <w:numId w:val="9"/>
        </w:numPr>
        <w:spacing w:line="360" w:lineRule="auto"/>
        <w:ind w:hanging="277" w:firstLineChars="0"/>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修缮部位:</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一楼：餐厅，大堂（含前台），四间包厢，走廊，更衣室，储物间，杂物间，厨房，厨房办公室，食堂样品间，其它各房间和功能房（室），以及全部卫生间；</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二楼：餐厅，包厢，客房，它各房间和功能房（室），以及全部卫生间；</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三、四、五楼：客房，布草间，其它各房间和功能房（室）和全部卫生间；</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六楼：走廊、新改造三间功能室；</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穿线管要求采用阻燃塑料管，电气线缆要求采用阻燃护套铜芯线。</w:t>
      </w:r>
    </w:p>
    <w:p>
      <w:pPr>
        <w:spacing w:line="360" w:lineRule="auto"/>
        <w:ind w:left="851"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插座电源线铜芯线径不小于4MM</w:t>
      </w:r>
      <w:r>
        <w:rPr>
          <w:rFonts w:ascii="仿宋" w:hAnsi="仿宋" w:eastAsia="仿宋" w:cs="仿宋"/>
          <w:bCs/>
          <w:color w:val="auto"/>
          <w:szCs w:val="21"/>
          <w:highlight w:val="none"/>
        </w:rPr>
        <w:t>2</w:t>
      </w:r>
      <w:r>
        <w:rPr>
          <w:rFonts w:hint="eastAsia" w:ascii="仿宋" w:hAnsi="仿宋" w:eastAsia="仿宋" w:cs="仿宋"/>
          <w:bCs/>
          <w:color w:val="auto"/>
          <w:szCs w:val="21"/>
          <w:highlight w:val="none"/>
        </w:rPr>
        <w:t>，房间内照明、开关控制的铜芯线径不小于1.</w:t>
      </w:r>
      <w:r>
        <w:rPr>
          <w:rFonts w:ascii="仿宋" w:hAnsi="仿宋" w:eastAsia="仿宋" w:cs="仿宋"/>
          <w:bCs/>
          <w:color w:val="auto"/>
          <w:szCs w:val="21"/>
          <w:highlight w:val="none"/>
        </w:rPr>
        <w:t>5</w:t>
      </w:r>
      <w:r>
        <w:rPr>
          <w:rFonts w:hint="eastAsia" w:ascii="仿宋" w:hAnsi="仿宋" w:eastAsia="仿宋" w:cs="仿宋"/>
          <w:bCs/>
          <w:color w:val="auto"/>
          <w:szCs w:val="21"/>
          <w:highlight w:val="none"/>
        </w:rPr>
        <w:t>MM2，天棚吊顶内照明铜芯线不小于2.</w:t>
      </w:r>
      <w:r>
        <w:rPr>
          <w:rFonts w:ascii="仿宋" w:hAnsi="仿宋" w:eastAsia="仿宋" w:cs="仿宋"/>
          <w:bCs/>
          <w:color w:val="auto"/>
          <w:szCs w:val="21"/>
          <w:highlight w:val="none"/>
        </w:rPr>
        <w:t>5</w:t>
      </w:r>
      <w:r>
        <w:rPr>
          <w:rFonts w:hint="eastAsia" w:ascii="仿宋" w:hAnsi="仿宋" w:eastAsia="仿宋" w:cs="仿宋"/>
          <w:bCs/>
          <w:color w:val="auto"/>
          <w:szCs w:val="21"/>
          <w:highlight w:val="none"/>
        </w:rPr>
        <w:t>MM2。</w:t>
      </w:r>
    </w:p>
    <w:p>
      <w:pPr>
        <w:spacing w:line="360" w:lineRule="auto"/>
        <w:ind w:left="851" w:firstLine="412" w:firstLineChars="200"/>
        <w:jc w:val="left"/>
        <w:rPr>
          <w:rFonts w:ascii="仿宋" w:hAnsi="仿宋" w:eastAsia="仿宋" w:cs="仿宋"/>
          <w:bCs/>
          <w:color w:val="auto"/>
          <w:spacing w:val="-2"/>
          <w:szCs w:val="21"/>
          <w:highlight w:val="none"/>
        </w:rPr>
      </w:pPr>
      <w:r>
        <w:rPr>
          <w:rFonts w:hint="eastAsia" w:ascii="仿宋" w:hAnsi="仿宋" w:eastAsia="仿宋" w:cs="仿宋"/>
          <w:bCs/>
          <w:color w:val="auto"/>
          <w:spacing w:val="-2"/>
          <w:szCs w:val="21"/>
          <w:highlight w:val="none"/>
        </w:rPr>
        <w:t>管内穿线数量、施工工艺等要求符合相关国家标准规范，如外径为2</w:t>
      </w:r>
      <w:r>
        <w:rPr>
          <w:rFonts w:ascii="仿宋" w:hAnsi="仿宋" w:eastAsia="仿宋" w:cs="仿宋"/>
          <w:bCs/>
          <w:color w:val="auto"/>
          <w:spacing w:val="-2"/>
          <w:szCs w:val="21"/>
          <w:highlight w:val="none"/>
        </w:rPr>
        <w:t>0</w:t>
      </w:r>
      <w:r>
        <w:rPr>
          <w:rFonts w:hint="eastAsia" w:ascii="仿宋" w:hAnsi="仿宋" w:eastAsia="仿宋" w:cs="仿宋"/>
          <w:bCs/>
          <w:color w:val="auto"/>
          <w:spacing w:val="-2"/>
          <w:szCs w:val="21"/>
          <w:highlight w:val="none"/>
        </w:rPr>
        <w:t>MM电线管穿截面2.</w:t>
      </w:r>
      <w:r>
        <w:rPr>
          <w:rFonts w:ascii="仿宋" w:hAnsi="仿宋" w:eastAsia="仿宋" w:cs="仿宋"/>
          <w:bCs/>
          <w:color w:val="auto"/>
          <w:spacing w:val="-2"/>
          <w:szCs w:val="21"/>
          <w:highlight w:val="none"/>
        </w:rPr>
        <w:t>5</w:t>
      </w:r>
      <w:r>
        <w:rPr>
          <w:rFonts w:hint="eastAsia" w:ascii="仿宋" w:hAnsi="仿宋" w:eastAsia="仿宋" w:cs="仿宋"/>
          <w:bCs/>
          <w:color w:val="auto"/>
          <w:spacing w:val="-2"/>
          <w:szCs w:val="21"/>
          <w:highlight w:val="none"/>
        </w:rPr>
        <w:t>MM2、4MM2单芯导线芯不超过3根，穿1.</w:t>
      </w:r>
      <w:r>
        <w:rPr>
          <w:rFonts w:ascii="仿宋" w:hAnsi="仿宋" w:eastAsia="仿宋" w:cs="仿宋"/>
          <w:bCs/>
          <w:color w:val="auto"/>
          <w:spacing w:val="-2"/>
          <w:szCs w:val="21"/>
          <w:highlight w:val="none"/>
        </w:rPr>
        <w:t>5</w:t>
      </w:r>
      <w:r>
        <w:rPr>
          <w:rFonts w:hint="eastAsia" w:ascii="仿宋" w:hAnsi="仿宋" w:eastAsia="仿宋" w:cs="仿宋"/>
          <w:bCs/>
          <w:color w:val="auto"/>
          <w:spacing w:val="-2"/>
          <w:szCs w:val="21"/>
          <w:highlight w:val="none"/>
        </w:rPr>
        <w:t>MM2单芯导线芯不超过</w:t>
      </w:r>
      <w:r>
        <w:rPr>
          <w:rFonts w:ascii="仿宋" w:hAnsi="仿宋" w:eastAsia="仿宋" w:cs="仿宋"/>
          <w:bCs/>
          <w:color w:val="auto"/>
          <w:spacing w:val="-2"/>
          <w:szCs w:val="21"/>
          <w:highlight w:val="none"/>
        </w:rPr>
        <w:t>4</w:t>
      </w:r>
      <w:r>
        <w:rPr>
          <w:rFonts w:hint="eastAsia" w:ascii="仿宋" w:hAnsi="仿宋" w:eastAsia="仿宋" w:cs="仿宋"/>
          <w:bCs/>
          <w:color w:val="auto"/>
          <w:spacing w:val="-2"/>
          <w:szCs w:val="21"/>
          <w:highlight w:val="none"/>
        </w:rPr>
        <w:t>根等。</w:t>
      </w:r>
    </w:p>
    <w:p>
      <w:pPr>
        <w:pStyle w:val="115"/>
        <w:spacing w:line="360" w:lineRule="auto"/>
        <w:ind w:firstLine="495" w:firstLineChars="235"/>
        <w:jc w:val="left"/>
        <w:rPr>
          <w:rFonts w:ascii="仿宋" w:hAnsi="仿宋" w:eastAsia="仿宋" w:cs="仿宋"/>
          <w:b/>
          <w:color w:val="auto"/>
          <w:szCs w:val="21"/>
          <w:highlight w:val="none"/>
        </w:rPr>
      </w:pPr>
      <w:r>
        <w:rPr>
          <w:rFonts w:ascii="仿宋" w:hAnsi="仿宋" w:eastAsia="仿宋" w:cs="仿宋"/>
          <w:b/>
          <w:color w:val="auto"/>
          <w:szCs w:val="21"/>
          <w:highlight w:val="none"/>
        </w:rPr>
        <w:t>2</w:t>
      </w:r>
      <w:r>
        <w:rPr>
          <w:rFonts w:hint="eastAsia" w:ascii="仿宋" w:hAnsi="仿宋" w:eastAsia="仿宋" w:cs="仿宋"/>
          <w:b/>
          <w:color w:val="auto"/>
          <w:szCs w:val="21"/>
          <w:highlight w:val="none"/>
        </w:rPr>
        <w:t>）照明灯具</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铝扣板吊顶中灯尺寸规格与铝板尺寸相同，采用</w:t>
      </w:r>
      <w:r>
        <w:rPr>
          <w:rFonts w:ascii="仿宋" w:hAnsi="仿宋" w:eastAsia="仿宋" w:cs="仿宋"/>
          <w:bCs/>
          <w:color w:val="auto"/>
          <w:szCs w:val="21"/>
          <w:highlight w:val="none"/>
        </w:rPr>
        <w:t>LED</w:t>
      </w:r>
      <w:r>
        <w:rPr>
          <w:rFonts w:hint="eastAsia" w:ascii="仿宋" w:hAnsi="仿宋" w:eastAsia="仿宋" w:cs="仿宋"/>
          <w:bCs/>
          <w:color w:val="auto"/>
          <w:szCs w:val="21"/>
          <w:highlight w:val="none"/>
        </w:rPr>
        <w:t>面板灯；</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客房，6楼三间新改造功能室灯采用LED吸顶灯。</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一楼大堂大灯更换。</w:t>
      </w:r>
    </w:p>
    <w:p>
      <w:pPr>
        <w:pStyle w:val="115"/>
        <w:spacing w:line="360" w:lineRule="auto"/>
        <w:ind w:left="567"/>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灯具各项参数应符合国家相关标准范围要求。</w:t>
      </w:r>
    </w:p>
    <w:p>
      <w:pPr>
        <w:pStyle w:val="115"/>
        <w:spacing w:line="360" w:lineRule="auto"/>
        <w:ind w:firstLine="495" w:firstLineChars="235"/>
        <w:jc w:val="left"/>
        <w:rPr>
          <w:rFonts w:ascii="仿宋" w:hAnsi="仿宋" w:eastAsia="仿宋" w:cs="仿宋"/>
          <w:b/>
          <w:color w:val="auto"/>
          <w:szCs w:val="21"/>
          <w:highlight w:val="none"/>
        </w:rPr>
      </w:pPr>
      <w:r>
        <w:rPr>
          <w:rFonts w:ascii="仿宋" w:hAnsi="仿宋" w:eastAsia="仿宋" w:cs="仿宋"/>
          <w:b/>
          <w:color w:val="auto"/>
          <w:szCs w:val="21"/>
          <w:highlight w:val="none"/>
        </w:rPr>
        <w:t>3)</w:t>
      </w:r>
      <w:r>
        <w:rPr>
          <w:rFonts w:hint="eastAsia" w:ascii="仿宋" w:hAnsi="仿宋" w:eastAsia="仿宋" w:cs="仿宋"/>
          <w:b/>
          <w:color w:val="auto"/>
          <w:szCs w:val="21"/>
          <w:highlight w:val="none"/>
        </w:rPr>
        <w:t>电源插座、灯控制开关</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客房和6楼三间功能室电源插座、灯控制开关</w:t>
      </w:r>
    </w:p>
    <w:p>
      <w:pPr>
        <w:spacing w:line="360" w:lineRule="auto"/>
        <w:ind w:left="567" w:leftChars="270" w:firstLine="420" w:firstLineChars="20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每间客房房间，6楼三间新改造功能室，不少于4只电源插座，卫生间（至少1只电源插座）均要求合理安排电源插座和灯控制开关，如可在床头两侧方便取电用电和进行关开房间灯、打开关闭电视机电源。</w:t>
      </w:r>
    </w:p>
    <w:p>
      <w:pPr>
        <w:pStyle w:val="115"/>
        <w:numPr>
          <w:ilvl w:val="0"/>
          <w:numId w:val="11"/>
        </w:numPr>
        <w:spacing w:line="360" w:lineRule="auto"/>
        <w:ind w:left="567" w:leftChars="270" w:firstLine="42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一楼4间包厢电源插座、灯控制开关</w:t>
      </w:r>
    </w:p>
    <w:p>
      <w:pPr>
        <w:spacing w:line="360" w:lineRule="auto"/>
        <w:ind w:left="1049"/>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包厢内每面墙面不少于2个电源插座，插座布置的间距应适用合理。</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其它部位的电源插座</w:t>
      </w:r>
    </w:p>
    <w:p>
      <w:pPr>
        <w:spacing w:line="360" w:lineRule="auto"/>
        <w:ind w:left="1049"/>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电源插座、灯控制开关布置应达到合理方便使用。</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4、建筑智能化工程（综合布线）</w:t>
      </w:r>
    </w:p>
    <w:p>
      <w:pPr>
        <w:pStyle w:val="115"/>
        <w:spacing w:line="360" w:lineRule="auto"/>
        <w:ind w:left="567"/>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附属用房餐厅、大堂、包厢以及一至六层所有房间均配置信息插座，其中1层4间包厢每间至少</w:t>
      </w:r>
      <w:r>
        <w:rPr>
          <w:rFonts w:ascii="仿宋" w:hAnsi="仿宋" w:eastAsia="仿宋" w:cs="仿宋"/>
          <w:bCs/>
          <w:color w:val="auto"/>
          <w:szCs w:val="21"/>
          <w:highlight w:val="none"/>
        </w:rPr>
        <w:t>6</w:t>
      </w:r>
      <w:r>
        <w:rPr>
          <w:rFonts w:hint="eastAsia" w:ascii="仿宋" w:hAnsi="仿宋" w:eastAsia="仿宋" w:cs="仿宋"/>
          <w:bCs/>
          <w:color w:val="auto"/>
          <w:szCs w:val="21"/>
          <w:highlight w:val="none"/>
        </w:rPr>
        <w:t>个，一楼大堂前台4个，一楼餐厅、食品样品间、二楼餐厅和包厢每间不少于2个 ，其它客房以及包括6楼三间新改造在内的其它功能室每间不少于1个；信息插座采用单口模块面板，模块采用6类非屏蔽模块；各房间（尤其是1层4间包厢）信息插座位置布局要求合理适用。</w:t>
      </w:r>
    </w:p>
    <w:p>
      <w:pPr>
        <w:pStyle w:val="115"/>
        <w:spacing w:line="360" w:lineRule="auto"/>
        <w:ind w:left="567"/>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在每层配电间安装1台9U标准壁挂网络机柜，各房间的网络线缆敷设至本层所安装的网络机柜内，敷设到机柜内网络线缆的预留长度足够长，应符合标准规范要求。 网络线缆采用六类4对非屏蔽网络线缆。</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5、给排水工程修缮</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1）给水管</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更换六楼顶铁管给水管；</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更换六楼顶PPR热水管，并加保温棉层做保温处理；</w:t>
      </w:r>
    </w:p>
    <w:p>
      <w:pPr>
        <w:pStyle w:val="115"/>
        <w:numPr>
          <w:ilvl w:val="0"/>
          <w:numId w:val="11"/>
        </w:numPr>
        <w:spacing w:line="360" w:lineRule="auto"/>
        <w:ind w:firstLineChars="0"/>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更换至各客房铁管给水管；</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2）排水管</w:t>
      </w:r>
    </w:p>
    <w:p>
      <w:pPr>
        <w:pStyle w:val="115"/>
        <w:spacing w:line="360" w:lineRule="auto"/>
        <w:ind w:left="567" w:leftChars="270" w:firstLine="493" w:firstLineChars="235"/>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将楼顶天面内排水方式改为沿墙面外排，沿外墙面敷设的排水管位置要求选择在不影响外立面美观。</w:t>
      </w:r>
    </w:p>
    <w:p>
      <w:pPr>
        <w:pStyle w:val="115"/>
        <w:spacing w:line="360" w:lineRule="auto"/>
        <w:ind w:firstLine="495" w:firstLineChars="235"/>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6、六楼改造三间功能室其它装修装饰以安装修缮</w:t>
      </w:r>
    </w:p>
    <w:p>
      <w:pPr>
        <w:pStyle w:val="115"/>
        <w:spacing w:line="360" w:lineRule="auto"/>
        <w:ind w:left="567" w:leftChars="270" w:firstLine="493" w:firstLineChars="235"/>
        <w:jc w:val="left"/>
        <w:rPr>
          <w:rFonts w:ascii="仿宋" w:hAnsi="仿宋" w:eastAsia="仿宋" w:cs="仿宋"/>
          <w:color w:val="auto"/>
          <w:szCs w:val="21"/>
          <w:highlight w:val="none"/>
        </w:rPr>
      </w:pPr>
      <w:r>
        <w:rPr>
          <w:rFonts w:hint="eastAsia" w:ascii="仿宋" w:hAnsi="仿宋" w:eastAsia="仿宋" w:cs="仿宋"/>
          <w:color w:val="auto"/>
          <w:szCs w:val="21"/>
          <w:highlight w:val="none"/>
        </w:rPr>
        <w:t>六楼改造三间功能室除前面涉及隔墙面，原墙面、天棚乳胶面翻新，电气照明和线路安装，网络综合布线，给水排水，卫生间吊顶天花（包括照明灯），衣柜外。</w:t>
      </w:r>
    </w:p>
    <w:p>
      <w:pPr>
        <w:pStyle w:val="115"/>
        <w:spacing w:line="360" w:lineRule="auto"/>
        <w:ind w:left="567" w:leftChars="270" w:firstLine="493" w:firstLineChars="235"/>
        <w:jc w:val="left"/>
        <w:rPr>
          <w:rFonts w:ascii="仿宋" w:hAnsi="仿宋" w:eastAsia="仿宋" w:cs="仿宋"/>
          <w:color w:val="auto"/>
          <w:szCs w:val="21"/>
          <w:highlight w:val="none"/>
        </w:rPr>
      </w:pPr>
      <w:r>
        <w:rPr>
          <w:rFonts w:hint="eastAsia" w:ascii="仿宋" w:hAnsi="仿宋" w:eastAsia="仿宋" w:cs="仿宋"/>
          <w:color w:val="auto"/>
          <w:szCs w:val="21"/>
          <w:highlight w:val="none"/>
        </w:rPr>
        <w:t>在考虑铺贴地面瓷砖的同时，还要求承包人对功能室内的卫生间以下项目进行深化设计和绘制施工详图：</w:t>
      </w:r>
    </w:p>
    <w:p>
      <w:pPr>
        <w:pStyle w:val="115"/>
        <w:spacing w:line="360" w:lineRule="auto"/>
        <w:ind w:left="567" w:leftChars="270" w:firstLine="493" w:firstLineChars="235"/>
        <w:jc w:val="left"/>
        <w:rPr>
          <w:rFonts w:ascii="仿宋" w:hAnsi="仿宋" w:eastAsia="仿宋" w:cs="仿宋"/>
          <w:color w:val="auto"/>
          <w:szCs w:val="21"/>
          <w:highlight w:val="none"/>
        </w:rPr>
      </w:pPr>
      <w:r>
        <w:rPr>
          <w:rFonts w:hint="eastAsia" w:ascii="仿宋" w:hAnsi="仿宋" w:eastAsia="仿宋" w:cs="仿宋"/>
          <w:color w:val="auto"/>
          <w:szCs w:val="21"/>
          <w:highlight w:val="none"/>
        </w:rPr>
        <w:t>卫生间隔断(墙</w:t>
      </w:r>
      <w:r>
        <w:rPr>
          <w:rFonts w:ascii="仿宋" w:hAnsi="仿宋" w:eastAsia="仿宋" w:cs="仿宋"/>
          <w:color w:val="auto"/>
          <w:szCs w:val="21"/>
          <w:highlight w:val="none"/>
        </w:rPr>
        <w:t>)</w:t>
      </w:r>
      <w:r>
        <w:rPr>
          <w:rFonts w:hint="eastAsia" w:ascii="仿宋" w:hAnsi="仿宋" w:eastAsia="仿宋" w:cs="仿宋"/>
          <w:color w:val="auto"/>
          <w:szCs w:val="21"/>
          <w:highlight w:val="none"/>
        </w:rPr>
        <w:t>，洗手盘，蹲便器。</w:t>
      </w:r>
    </w:p>
    <w:p>
      <w:pPr>
        <w:spacing w:line="360" w:lineRule="auto"/>
        <w:ind w:right="-283" w:rightChars="-135"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二、</w:t>
      </w:r>
      <w:r>
        <w:rPr>
          <w:rFonts w:hint="eastAsia" w:ascii="仿宋" w:hAnsi="仿宋" w:eastAsia="仿宋" w:cs="仿宋"/>
          <w:b/>
          <w:color w:val="auto"/>
          <w:szCs w:val="21"/>
          <w:highlight w:val="none"/>
        </w:rPr>
        <w:t>工程采用材料要求</w:t>
      </w:r>
    </w:p>
    <w:p>
      <w:pPr>
        <w:spacing w:line="360" w:lineRule="auto"/>
        <w:ind w:right="-283" w:rightChars="-135"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所有</w:t>
      </w:r>
      <w:r>
        <w:rPr>
          <w:rFonts w:ascii="仿宋" w:hAnsi="仿宋" w:eastAsia="仿宋" w:cs="仿宋"/>
          <w:color w:val="auto"/>
          <w:szCs w:val="21"/>
          <w:highlight w:val="none"/>
        </w:rPr>
        <w:t>室内装饰装修材料</w:t>
      </w:r>
      <w:r>
        <w:rPr>
          <w:rFonts w:hint="eastAsia" w:ascii="仿宋" w:hAnsi="仿宋" w:eastAsia="仿宋" w:cs="仿宋"/>
          <w:color w:val="auto"/>
          <w:szCs w:val="21"/>
          <w:highlight w:val="none"/>
        </w:rPr>
        <w:t>均要采用环保型材料，</w:t>
      </w:r>
      <w:r>
        <w:rPr>
          <w:rFonts w:ascii="仿宋" w:hAnsi="仿宋" w:eastAsia="仿宋" w:cs="仿宋"/>
          <w:color w:val="auto"/>
          <w:szCs w:val="21"/>
          <w:highlight w:val="none"/>
        </w:rPr>
        <w:t>凡不符合"室内装饰装修材料有害物质限量"10项国家强制性标准规定的产品</w:t>
      </w:r>
      <w:r>
        <w:rPr>
          <w:rFonts w:hint="eastAsia" w:ascii="仿宋" w:hAnsi="仿宋" w:eastAsia="仿宋" w:cs="仿宋"/>
          <w:color w:val="auto"/>
          <w:szCs w:val="21"/>
          <w:highlight w:val="none"/>
        </w:rPr>
        <w:t>，一律不能进场施工使用。装修完成后，室内空气氡、游离甲醛、苯、氨、TVOC（总挥发性有机物）等污染物含量必须符合《住宅建筑室内装修污染控制技术标准》（J</w:t>
      </w:r>
      <w:r>
        <w:rPr>
          <w:rFonts w:ascii="仿宋" w:hAnsi="仿宋" w:eastAsia="仿宋" w:cs="仿宋"/>
          <w:color w:val="auto"/>
          <w:szCs w:val="21"/>
          <w:highlight w:val="none"/>
        </w:rPr>
        <w:t>GJ/T436-2018</w:t>
      </w:r>
      <w:r>
        <w:rPr>
          <w:rFonts w:hint="eastAsia" w:ascii="仿宋" w:hAnsi="仿宋" w:eastAsia="仿宋" w:cs="仿宋"/>
          <w:color w:val="auto"/>
          <w:szCs w:val="21"/>
          <w:highlight w:val="none"/>
        </w:rPr>
        <w:t>）要求。</w:t>
      </w:r>
    </w:p>
    <w:p>
      <w:pPr>
        <w:spacing w:line="360" w:lineRule="auto"/>
        <w:ind w:right="-283" w:rightChars="-135" w:firstLine="422" w:firstLineChars="200"/>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三、其它</w:t>
      </w:r>
    </w:p>
    <w:p>
      <w:pPr>
        <w:spacing w:line="360" w:lineRule="auto"/>
        <w:ind w:firstLine="420" w:firstLineChars="200"/>
        <w:jc w:val="left"/>
        <w:rPr>
          <w:rFonts w:ascii="仿宋" w:hAnsi="仿宋" w:eastAsia="仿宋" w:cs="仿宋"/>
          <w:color w:val="auto"/>
          <w:highlight w:val="none"/>
        </w:rPr>
      </w:pPr>
      <w:r>
        <w:rPr>
          <w:rFonts w:hint="eastAsia" w:ascii="仿宋" w:hAnsi="仿宋" w:eastAsia="仿宋" w:cs="仿宋"/>
          <w:color w:val="auto"/>
          <w:szCs w:val="21"/>
          <w:highlight w:val="none"/>
        </w:rPr>
        <w:t>本次磋商项目采用总价合同式方式。在进行编制招标工程量清单时，已经充分考虑到项目工程量数量、价格等方面风险和合理的利润。磋商供应商应充分了解招标文件要求和项目附属用房修缮内容以及现场具体情况，以满足我方使用功能要求（如附属用房插座，电器以及照明用电，用水，网络线路等）按标准规范施工，除由我方提出增加额外工程内容外（以书面文件提出，或由监理工程师书面下达施工指令），磋商供应商不能以任何理由（如，工程清清单数量不足，缺项、漏项等）提出索赔或签证等形式主动提出变更或调整工程价款，以及延长工期的要求。</w:t>
      </w:r>
    </w:p>
    <w:p>
      <w:pPr>
        <w:spacing w:line="360" w:lineRule="auto"/>
        <w:ind w:right="-283" w:rightChars="-135"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磋商供应商应提供针对本项目切实可行施工方案。在进场施工前必须严格逐一详细针对</w:t>
      </w:r>
      <w:r>
        <w:rPr>
          <w:rFonts w:hint="eastAsia" w:ascii="仿宋" w:hAnsi="仿宋" w:eastAsia="仿宋" w:cs="仿宋"/>
          <w:b/>
          <w:color w:val="auto"/>
          <w:szCs w:val="21"/>
          <w:highlight w:val="none"/>
        </w:rPr>
        <w:t>本项目</w:t>
      </w:r>
      <w:r>
        <w:rPr>
          <w:rFonts w:hint="eastAsia" w:ascii="仿宋" w:hAnsi="仿宋" w:eastAsia="仿宋" w:cs="仿宋"/>
          <w:color w:val="auto"/>
          <w:szCs w:val="21"/>
          <w:highlight w:val="none"/>
        </w:rPr>
        <w:t>工程内容、所提供施工方案的进行深化设计和施工详图设计，《深化设计方案》和施工详图设计经工程师（监理单位）审核和我方确认后与《</w:t>
      </w:r>
      <w:r>
        <w:rPr>
          <w:rFonts w:hint="eastAsia" w:ascii="仿宋" w:hAnsi="仿宋" w:eastAsia="仿宋" w:cs="仿宋"/>
          <w:b/>
          <w:color w:val="auto"/>
          <w:szCs w:val="21"/>
          <w:highlight w:val="none"/>
        </w:rPr>
        <w:t>附属用房维修项目工程主要工程内容一览表</w:t>
      </w:r>
      <w:r>
        <w:rPr>
          <w:rFonts w:hint="eastAsia" w:ascii="仿宋" w:hAnsi="仿宋" w:eastAsia="仿宋" w:cs="仿宋"/>
          <w:color w:val="auto"/>
          <w:szCs w:val="21"/>
          <w:highlight w:val="none"/>
        </w:rPr>
        <w:t>》作为合同附件和执行。</w:t>
      </w:r>
    </w:p>
    <w:p>
      <w:pPr>
        <w:pStyle w:val="178"/>
        <w:jc w:val="center"/>
        <w:rPr>
          <w:rFonts w:ascii="仿宋" w:hAnsi="仿宋" w:eastAsia="仿宋" w:cs="仿宋"/>
          <w:color w:val="auto"/>
          <w:highlight w:val="none"/>
        </w:rPr>
      </w:pPr>
    </w:p>
    <w:bookmarkEnd w:id="410"/>
    <w:bookmarkEnd w:id="411"/>
    <w:bookmarkEnd w:id="412"/>
    <w:bookmarkEnd w:id="413"/>
    <w:bookmarkEnd w:id="414"/>
    <w:bookmarkEnd w:id="415"/>
    <w:bookmarkEnd w:id="416"/>
    <w:bookmarkEnd w:id="417"/>
    <w:bookmarkEnd w:id="418"/>
    <w:bookmarkEnd w:id="419"/>
    <w:p>
      <w:pPr>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r>
        <w:rPr>
          <w:rFonts w:hint="eastAsia" w:ascii="仿宋" w:hAnsi="仿宋" w:eastAsia="仿宋" w:cs="仿宋"/>
          <w:b/>
          <w:color w:val="auto"/>
          <w:szCs w:val="21"/>
          <w:highlight w:val="none"/>
        </w:rPr>
        <w:t>附件2：发包人供应材料设备一览表</w:t>
      </w:r>
    </w:p>
    <w:tbl>
      <w:tblPr>
        <w:tblStyle w:val="60"/>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485"/>
        <w:gridCol w:w="1080"/>
        <w:gridCol w:w="634"/>
        <w:gridCol w:w="928"/>
        <w:gridCol w:w="928"/>
        <w:gridCol w:w="928"/>
        <w:gridCol w:w="928"/>
        <w:gridCol w:w="92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485"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材料设备品种</w:t>
            </w:r>
          </w:p>
        </w:tc>
        <w:tc>
          <w:tcPr>
            <w:tcW w:w="1080"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型号品种</w:t>
            </w:r>
          </w:p>
        </w:tc>
        <w:tc>
          <w:tcPr>
            <w:tcW w:w="634"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单价</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质量等级</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供应时间</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送达地点</w:t>
            </w:r>
          </w:p>
        </w:tc>
        <w:tc>
          <w:tcPr>
            <w:tcW w:w="928" w:type="dxa"/>
          </w:tcPr>
          <w:p>
            <w:pPr>
              <w:autoSpaceDE w:val="0"/>
              <w:autoSpaceDN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color w:val="auto"/>
                <w:szCs w:val="21"/>
                <w:highlight w:val="none"/>
              </w:rPr>
            </w:pPr>
          </w:p>
        </w:tc>
        <w:tc>
          <w:tcPr>
            <w:tcW w:w="1485" w:type="dxa"/>
          </w:tcPr>
          <w:p>
            <w:pPr>
              <w:autoSpaceDE w:val="0"/>
              <w:autoSpaceDN w:val="0"/>
              <w:spacing w:line="360" w:lineRule="auto"/>
              <w:rPr>
                <w:rFonts w:ascii="仿宋" w:hAnsi="仿宋" w:eastAsia="仿宋" w:cs="仿宋"/>
                <w:color w:val="auto"/>
                <w:szCs w:val="21"/>
                <w:highlight w:val="none"/>
              </w:rPr>
            </w:pPr>
          </w:p>
        </w:tc>
        <w:tc>
          <w:tcPr>
            <w:tcW w:w="1080" w:type="dxa"/>
          </w:tcPr>
          <w:p>
            <w:pPr>
              <w:autoSpaceDE w:val="0"/>
              <w:autoSpaceDN w:val="0"/>
              <w:spacing w:line="360" w:lineRule="auto"/>
              <w:rPr>
                <w:rFonts w:ascii="仿宋" w:hAnsi="仿宋" w:eastAsia="仿宋" w:cs="仿宋"/>
                <w:b/>
                <w:color w:val="auto"/>
                <w:szCs w:val="21"/>
                <w:highlight w:val="none"/>
              </w:rPr>
            </w:pPr>
          </w:p>
        </w:tc>
        <w:tc>
          <w:tcPr>
            <w:tcW w:w="634"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b/>
                <w:color w:val="auto"/>
                <w:szCs w:val="21"/>
                <w:highlight w:val="none"/>
              </w:rPr>
            </w:pPr>
          </w:p>
        </w:tc>
        <w:tc>
          <w:tcPr>
            <w:tcW w:w="1485" w:type="dxa"/>
          </w:tcPr>
          <w:p>
            <w:pPr>
              <w:autoSpaceDE w:val="0"/>
              <w:autoSpaceDN w:val="0"/>
              <w:spacing w:line="360" w:lineRule="auto"/>
              <w:rPr>
                <w:rFonts w:ascii="仿宋" w:hAnsi="仿宋" w:eastAsia="仿宋" w:cs="仿宋"/>
                <w:b/>
                <w:color w:val="auto"/>
                <w:szCs w:val="21"/>
                <w:highlight w:val="none"/>
              </w:rPr>
            </w:pPr>
          </w:p>
        </w:tc>
        <w:tc>
          <w:tcPr>
            <w:tcW w:w="1080" w:type="dxa"/>
          </w:tcPr>
          <w:p>
            <w:pPr>
              <w:autoSpaceDE w:val="0"/>
              <w:autoSpaceDN w:val="0"/>
              <w:spacing w:line="360" w:lineRule="auto"/>
              <w:rPr>
                <w:rFonts w:ascii="仿宋" w:hAnsi="仿宋" w:eastAsia="仿宋" w:cs="仿宋"/>
                <w:b/>
                <w:color w:val="auto"/>
                <w:szCs w:val="21"/>
                <w:highlight w:val="none"/>
              </w:rPr>
            </w:pPr>
          </w:p>
        </w:tc>
        <w:tc>
          <w:tcPr>
            <w:tcW w:w="634"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b/>
                <w:color w:val="auto"/>
                <w:szCs w:val="21"/>
                <w:highlight w:val="none"/>
              </w:rPr>
            </w:pPr>
          </w:p>
        </w:tc>
        <w:tc>
          <w:tcPr>
            <w:tcW w:w="1485" w:type="dxa"/>
          </w:tcPr>
          <w:p>
            <w:pPr>
              <w:autoSpaceDE w:val="0"/>
              <w:autoSpaceDN w:val="0"/>
              <w:spacing w:line="360" w:lineRule="auto"/>
              <w:rPr>
                <w:rFonts w:ascii="仿宋" w:hAnsi="仿宋" w:eastAsia="仿宋" w:cs="仿宋"/>
                <w:b/>
                <w:color w:val="auto"/>
                <w:szCs w:val="21"/>
                <w:highlight w:val="none"/>
              </w:rPr>
            </w:pPr>
          </w:p>
        </w:tc>
        <w:tc>
          <w:tcPr>
            <w:tcW w:w="1080" w:type="dxa"/>
          </w:tcPr>
          <w:p>
            <w:pPr>
              <w:autoSpaceDE w:val="0"/>
              <w:autoSpaceDN w:val="0"/>
              <w:spacing w:line="360" w:lineRule="auto"/>
              <w:rPr>
                <w:rFonts w:ascii="仿宋" w:hAnsi="仿宋" w:eastAsia="仿宋" w:cs="仿宋"/>
                <w:b/>
                <w:color w:val="auto"/>
                <w:szCs w:val="21"/>
                <w:highlight w:val="none"/>
              </w:rPr>
            </w:pPr>
          </w:p>
        </w:tc>
        <w:tc>
          <w:tcPr>
            <w:tcW w:w="634"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b/>
                <w:color w:val="auto"/>
                <w:szCs w:val="21"/>
                <w:highlight w:val="none"/>
              </w:rPr>
            </w:pPr>
          </w:p>
        </w:tc>
        <w:tc>
          <w:tcPr>
            <w:tcW w:w="1485" w:type="dxa"/>
          </w:tcPr>
          <w:p>
            <w:pPr>
              <w:autoSpaceDE w:val="0"/>
              <w:autoSpaceDN w:val="0"/>
              <w:spacing w:line="360" w:lineRule="auto"/>
              <w:rPr>
                <w:rFonts w:ascii="仿宋" w:hAnsi="仿宋" w:eastAsia="仿宋" w:cs="仿宋"/>
                <w:b/>
                <w:color w:val="auto"/>
                <w:szCs w:val="21"/>
                <w:highlight w:val="none"/>
              </w:rPr>
            </w:pPr>
          </w:p>
        </w:tc>
        <w:tc>
          <w:tcPr>
            <w:tcW w:w="1080" w:type="dxa"/>
          </w:tcPr>
          <w:p>
            <w:pPr>
              <w:autoSpaceDE w:val="0"/>
              <w:autoSpaceDN w:val="0"/>
              <w:spacing w:line="360" w:lineRule="auto"/>
              <w:rPr>
                <w:rFonts w:ascii="仿宋" w:hAnsi="仿宋" w:eastAsia="仿宋" w:cs="仿宋"/>
                <w:b/>
                <w:color w:val="auto"/>
                <w:szCs w:val="21"/>
                <w:highlight w:val="none"/>
              </w:rPr>
            </w:pPr>
          </w:p>
        </w:tc>
        <w:tc>
          <w:tcPr>
            <w:tcW w:w="634"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Pr>
          <w:p>
            <w:pPr>
              <w:autoSpaceDE w:val="0"/>
              <w:autoSpaceDN w:val="0"/>
              <w:spacing w:line="360" w:lineRule="auto"/>
              <w:rPr>
                <w:rFonts w:ascii="仿宋" w:hAnsi="仿宋" w:eastAsia="仿宋" w:cs="仿宋"/>
                <w:b/>
                <w:color w:val="auto"/>
                <w:szCs w:val="21"/>
                <w:highlight w:val="none"/>
              </w:rPr>
            </w:pPr>
          </w:p>
        </w:tc>
        <w:tc>
          <w:tcPr>
            <w:tcW w:w="1485" w:type="dxa"/>
          </w:tcPr>
          <w:p>
            <w:pPr>
              <w:autoSpaceDE w:val="0"/>
              <w:autoSpaceDN w:val="0"/>
              <w:spacing w:line="360" w:lineRule="auto"/>
              <w:rPr>
                <w:rFonts w:ascii="仿宋" w:hAnsi="仿宋" w:eastAsia="仿宋" w:cs="仿宋"/>
                <w:b/>
                <w:color w:val="auto"/>
                <w:szCs w:val="21"/>
                <w:highlight w:val="none"/>
              </w:rPr>
            </w:pPr>
          </w:p>
        </w:tc>
        <w:tc>
          <w:tcPr>
            <w:tcW w:w="1080" w:type="dxa"/>
          </w:tcPr>
          <w:p>
            <w:pPr>
              <w:autoSpaceDE w:val="0"/>
              <w:autoSpaceDN w:val="0"/>
              <w:spacing w:line="360" w:lineRule="auto"/>
              <w:rPr>
                <w:rFonts w:ascii="仿宋" w:hAnsi="仿宋" w:eastAsia="仿宋" w:cs="仿宋"/>
                <w:b/>
                <w:color w:val="auto"/>
                <w:szCs w:val="21"/>
                <w:highlight w:val="none"/>
              </w:rPr>
            </w:pPr>
          </w:p>
        </w:tc>
        <w:tc>
          <w:tcPr>
            <w:tcW w:w="634"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c>
          <w:tcPr>
            <w:tcW w:w="928" w:type="dxa"/>
          </w:tcPr>
          <w:p>
            <w:pPr>
              <w:autoSpaceDE w:val="0"/>
              <w:autoSpaceDN w:val="0"/>
              <w:spacing w:line="360" w:lineRule="auto"/>
              <w:rPr>
                <w:rFonts w:ascii="仿宋" w:hAnsi="仿宋" w:eastAsia="仿宋" w:cs="仿宋"/>
                <w:b/>
                <w:color w:val="auto"/>
                <w:szCs w:val="21"/>
                <w:highlight w:val="none"/>
              </w:rPr>
            </w:pPr>
          </w:p>
        </w:tc>
      </w:tr>
    </w:tbl>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ind w:firstLine="562" w:firstLineChars="200"/>
        <w:rPr>
          <w:rFonts w:ascii="仿宋" w:hAnsi="仿宋" w:eastAsia="仿宋" w:cs="仿宋"/>
          <w:b/>
          <w:color w:val="auto"/>
          <w:sz w:val="28"/>
          <w:szCs w:val="28"/>
          <w:highlight w:val="none"/>
        </w:rPr>
      </w:pPr>
    </w:p>
    <w:p>
      <w:pPr>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8"/>
          <w:szCs w:val="28"/>
          <w:highlight w:val="none"/>
        </w:rPr>
        <w:t>工程质量保修书</w:t>
      </w:r>
    </w:p>
    <w:p>
      <w:pPr>
        <w:spacing w:before="120" w:beforeLines="50" w:after="120" w:afterLines="50" w:line="440" w:lineRule="exact"/>
        <w:jc w:val="center"/>
        <w:rPr>
          <w:rFonts w:ascii="黑体" w:eastAsia="黑体"/>
          <w:color w:val="auto"/>
          <w:sz w:val="32"/>
          <w:szCs w:val="32"/>
          <w:highlight w:val="none"/>
        </w:rPr>
      </w:pPr>
    </w:p>
    <w:p>
      <w:pPr>
        <w:spacing w:line="440" w:lineRule="exact"/>
        <w:ind w:firstLine="420" w:firstLineChars="200"/>
        <w:rPr>
          <w:color w:val="auto"/>
          <w:highlight w:val="none"/>
        </w:rPr>
      </w:pPr>
      <w:r>
        <w:rPr>
          <w:rFonts w:hint="eastAsia" w:cs="宋体"/>
          <w:color w:val="auto"/>
          <w:highlight w:val="none"/>
        </w:rPr>
        <w:t>发包人（全称）：</w:t>
      </w:r>
      <w:r>
        <w:rPr>
          <w:color w:val="auto"/>
          <w:highlight w:val="none"/>
          <w:u w:val="single"/>
        </w:rPr>
        <w:t xml:space="preserve">                                </w:t>
      </w:r>
      <w:r>
        <w:rPr>
          <w:color w:val="auto"/>
          <w:highlight w:val="none"/>
        </w:rPr>
        <w:t xml:space="preserve"> </w:t>
      </w:r>
    </w:p>
    <w:p>
      <w:pPr>
        <w:spacing w:line="440" w:lineRule="exact"/>
        <w:ind w:firstLine="420" w:firstLineChars="200"/>
        <w:rPr>
          <w:color w:val="auto"/>
          <w:highlight w:val="none"/>
        </w:rPr>
      </w:pPr>
      <w:r>
        <w:rPr>
          <w:rFonts w:hint="eastAsia" w:cs="宋体"/>
          <w:color w:val="auto"/>
          <w:highlight w:val="none"/>
        </w:rPr>
        <w:t>承包人（全称）：</w:t>
      </w:r>
      <w:r>
        <w:rPr>
          <w:color w:val="auto"/>
          <w:highlight w:val="none"/>
          <w:u w:val="single"/>
        </w:rPr>
        <w:t xml:space="preserve">                                </w:t>
      </w:r>
      <w:r>
        <w:rPr>
          <w:color w:val="auto"/>
          <w:highlight w:val="none"/>
        </w:rPr>
        <w:t xml:space="preserve"> </w:t>
      </w:r>
    </w:p>
    <w:p>
      <w:pPr>
        <w:spacing w:line="440" w:lineRule="exact"/>
        <w:rPr>
          <w:color w:val="auto"/>
          <w:highlight w:val="none"/>
        </w:rPr>
      </w:pPr>
    </w:p>
    <w:p>
      <w:pPr>
        <w:spacing w:line="360" w:lineRule="auto"/>
        <w:ind w:firstLine="420" w:firstLineChars="200"/>
        <w:rPr>
          <w:color w:val="auto"/>
          <w:highlight w:val="none"/>
        </w:rPr>
      </w:pPr>
      <w:r>
        <w:rPr>
          <w:rFonts w:hint="eastAsia" w:cs="宋体"/>
          <w:color w:val="auto"/>
          <w:highlight w:val="none"/>
        </w:rPr>
        <w:t>发包人和承包人根据《中华人民共和国建筑法》和《建设工程质量管理条例》，经协商一致就</w:t>
      </w:r>
      <w:r>
        <w:rPr>
          <w:color w:val="auto"/>
          <w:highlight w:val="none"/>
          <w:u w:val="single"/>
        </w:rPr>
        <w:t xml:space="preserve">                                   </w:t>
      </w:r>
      <w:r>
        <w:rPr>
          <w:rFonts w:hint="eastAsia" w:cs="宋体"/>
          <w:color w:val="auto"/>
          <w:highlight w:val="none"/>
        </w:rPr>
        <w:t>（工程全称）签订工程质量保修书。</w:t>
      </w:r>
    </w:p>
    <w:p>
      <w:pPr>
        <w:spacing w:line="360" w:lineRule="auto"/>
        <w:ind w:firstLine="420" w:firstLineChars="200"/>
        <w:rPr>
          <w:rFonts w:ascii="黑体" w:eastAsia="黑体"/>
          <w:color w:val="auto"/>
          <w:highlight w:val="none"/>
        </w:rPr>
      </w:pPr>
      <w:r>
        <w:rPr>
          <w:rFonts w:hint="eastAsia" w:ascii="黑体" w:eastAsia="黑体" w:cs="黑体"/>
          <w:color w:val="auto"/>
          <w:highlight w:val="none"/>
        </w:rPr>
        <w:t>一、工程质量保修范围和内容</w:t>
      </w:r>
    </w:p>
    <w:p>
      <w:pPr>
        <w:spacing w:line="360" w:lineRule="auto"/>
        <w:ind w:firstLine="420" w:firstLineChars="200"/>
        <w:rPr>
          <w:color w:val="auto"/>
          <w:highlight w:val="none"/>
        </w:rPr>
      </w:pPr>
      <w:r>
        <w:rPr>
          <w:rFonts w:hint="eastAsia" w:cs="宋体"/>
          <w:color w:val="auto"/>
          <w:highlight w:val="none"/>
        </w:rPr>
        <w:t>承包人在质量保修期内，按照有关法律规定和合同约定，承担工程质量保修责任。</w:t>
      </w:r>
    </w:p>
    <w:p>
      <w:pPr>
        <w:spacing w:line="360" w:lineRule="auto"/>
        <w:ind w:firstLine="420"/>
        <w:rPr>
          <w:color w:val="auto"/>
          <w:highlight w:val="none"/>
        </w:rPr>
      </w:pPr>
      <w:r>
        <w:rPr>
          <w:rFonts w:hint="eastAsia" w:cs="宋体"/>
          <w:color w:val="auto"/>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rPr>
          <w:color w:val="auto"/>
          <w:highlight w:val="none"/>
        </w:rPr>
      </w:pPr>
      <w:r>
        <w:rPr>
          <w:color w:val="auto"/>
          <w:highlight w:val="none"/>
          <w:u w:val="single"/>
        </w:rPr>
        <w:t xml:space="preserve">                                                                                                                                                            </w:t>
      </w:r>
      <w:r>
        <w:rPr>
          <w:rFonts w:hint="eastAsia" w:cs="宋体"/>
          <w:color w:val="auto"/>
          <w:highlight w:val="none"/>
        </w:rPr>
        <w:t>。</w:t>
      </w:r>
    </w:p>
    <w:p>
      <w:pPr>
        <w:spacing w:line="360" w:lineRule="auto"/>
        <w:ind w:firstLine="420"/>
        <w:rPr>
          <w:rFonts w:ascii="黑体" w:eastAsia="黑体"/>
          <w:color w:val="auto"/>
          <w:highlight w:val="none"/>
        </w:rPr>
      </w:pPr>
      <w:r>
        <w:rPr>
          <w:rFonts w:hint="eastAsia" w:ascii="黑体" w:eastAsia="黑体" w:cs="黑体"/>
          <w:color w:val="auto"/>
          <w:highlight w:val="none"/>
        </w:rPr>
        <w:t>二、质量保修期</w:t>
      </w:r>
    </w:p>
    <w:p>
      <w:pPr>
        <w:spacing w:line="360" w:lineRule="auto"/>
        <w:ind w:firstLine="420"/>
        <w:rPr>
          <w:color w:val="auto"/>
          <w:highlight w:val="none"/>
        </w:rPr>
      </w:pPr>
      <w:r>
        <w:rPr>
          <w:rFonts w:hint="eastAsia" w:cs="宋体"/>
          <w:color w:val="auto"/>
          <w:highlight w:val="none"/>
        </w:rPr>
        <w:t>根据《建设工程质量管理条例》及有关规定，工程的质量保修期如下：</w:t>
      </w:r>
    </w:p>
    <w:p>
      <w:pPr>
        <w:spacing w:line="360" w:lineRule="auto"/>
        <w:ind w:firstLine="420"/>
        <w:rPr>
          <w:color w:val="auto"/>
          <w:highlight w:val="none"/>
        </w:rPr>
      </w:pPr>
      <w:r>
        <w:rPr>
          <w:color w:val="auto"/>
          <w:highlight w:val="none"/>
        </w:rPr>
        <w:t>1</w:t>
      </w:r>
      <w:r>
        <w:rPr>
          <w:rFonts w:hint="eastAsia" w:cs="宋体"/>
          <w:color w:val="auto"/>
          <w:highlight w:val="none"/>
        </w:rPr>
        <w:t>．地基基础工程和主体结构工程为设计文件规定的工程合理使用年限；</w:t>
      </w:r>
    </w:p>
    <w:p>
      <w:pPr>
        <w:spacing w:line="360" w:lineRule="auto"/>
        <w:ind w:firstLine="420"/>
        <w:rPr>
          <w:color w:val="auto"/>
          <w:highlight w:val="none"/>
        </w:rPr>
      </w:pPr>
      <w:r>
        <w:rPr>
          <w:color w:val="auto"/>
          <w:highlight w:val="none"/>
        </w:rPr>
        <w:t>2</w:t>
      </w:r>
      <w:r>
        <w:rPr>
          <w:rFonts w:hint="eastAsia" w:cs="宋体"/>
          <w:color w:val="auto"/>
          <w:highlight w:val="none"/>
        </w:rPr>
        <w:t>．屋面防水工程、有防水要求的卫生间、房间和外墙面的防渗为</w:t>
      </w:r>
      <w:r>
        <w:rPr>
          <w:color w:val="auto"/>
          <w:highlight w:val="none"/>
          <w:u w:val="single"/>
        </w:rPr>
        <w:t xml:space="preserve">   </w:t>
      </w:r>
      <w:r>
        <w:rPr>
          <w:rFonts w:hint="eastAsia"/>
          <w:color w:val="auto"/>
          <w:highlight w:val="none"/>
          <w:u w:val="single"/>
        </w:rPr>
        <w:t>5</w:t>
      </w:r>
      <w:r>
        <w:rPr>
          <w:color w:val="auto"/>
          <w:highlight w:val="none"/>
          <w:u w:val="single"/>
        </w:rPr>
        <w:t xml:space="preserve">   </w:t>
      </w:r>
      <w:r>
        <w:rPr>
          <w:rFonts w:hint="eastAsia" w:cs="宋体"/>
          <w:color w:val="auto"/>
          <w:highlight w:val="none"/>
        </w:rPr>
        <w:t>年；</w:t>
      </w:r>
    </w:p>
    <w:p>
      <w:pPr>
        <w:spacing w:line="360" w:lineRule="auto"/>
        <w:ind w:firstLine="420"/>
        <w:rPr>
          <w:color w:val="auto"/>
          <w:highlight w:val="none"/>
        </w:rPr>
      </w:pPr>
      <w:r>
        <w:rPr>
          <w:color w:val="auto"/>
          <w:highlight w:val="none"/>
        </w:rPr>
        <w:t>3</w:t>
      </w:r>
      <w:r>
        <w:rPr>
          <w:rFonts w:hint="eastAsia" w:cs="宋体"/>
          <w:color w:val="auto"/>
          <w:highlight w:val="none"/>
        </w:rPr>
        <w:t>．装修工程为</w:t>
      </w:r>
      <w:r>
        <w:rPr>
          <w:color w:val="auto"/>
          <w:highlight w:val="none"/>
          <w:u w:val="single"/>
        </w:rPr>
        <w:t xml:space="preserve">  </w:t>
      </w:r>
      <w:r>
        <w:rPr>
          <w:rFonts w:hint="eastAsia"/>
          <w:color w:val="auto"/>
          <w:highlight w:val="none"/>
          <w:u w:val="single"/>
        </w:rPr>
        <w:t>2</w:t>
      </w:r>
      <w:r>
        <w:rPr>
          <w:color w:val="auto"/>
          <w:highlight w:val="none"/>
          <w:u w:val="single"/>
        </w:rPr>
        <w:t xml:space="preserve">  </w:t>
      </w:r>
      <w:r>
        <w:rPr>
          <w:rFonts w:hint="eastAsia" w:cs="宋体"/>
          <w:color w:val="auto"/>
          <w:highlight w:val="none"/>
        </w:rPr>
        <w:t>年（国家相关规定对产品、工程类质保期有特别要求的按其要求）；</w:t>
      </w:r>
    </w:p>
    <w:p>
      <w:pPr>
        <w:spacing w:line="360" w:lineRule="auto"/>
        <w:ind w:firstLine="420"/>
        <w:rPr>
          <w:color w:val="auto"/>
          <w:highlight w:val="none"/>
        </w:rPr>
      </w:pPr>
      <w:r>
        <w:rPr>
          <w:color w:val="auto"/>
          <w:highlight w:val="none"/>
        </w:rPr>
        <w:t>4</w:t>
      </w:r>
      <w:r>
        <w:rPr>
          <w:rFonts w:hint="eastAsia" w:cs="宋体"/>
          <w:color w:val="auto"/>
          <w:highlight w:val="none"/>
        </w:rPr>
        <w:t>．电气管线、给排水管道、设备安装工程为</w:t>
      </w:r>
      <w:r>
        <w:rPr>
          <w:color w:val="auto"/>
          <w:highlight w:val="none"/>
          <w:u w:val="single"/>
        </w:rPr>
        <w:t xml:space="preserve">   </w:t>
      </w:r>
      <w:r>
        <w:rPr>
          <w:rFonts w:hint="eastAsia"/>
          <w:color w:val="auto"/>
          <w:highlight w:val="none"/>
          <w:u w:val="single"/>
        </w:rPr>
        <w:t>2</w:t>
      </w:r>
      <w:r>
        <w:rPr>
          <w:color w:val="auto"/>
          <w:highlight w:val="none"/>
          <w:u w:val="single"/>
        </w:rPr>
        <w:t xml:space="preserve">   </w:t>
      </w:r>
      <w:r>
        <w:rPr>
          <w:rFonts w:hint="eastAsia" w:cs="宋体"/>
          <w:color w:val="auto"/>
          <w:highlight w:val="none"/>
        </w:rPr>
        <w:t>年；</w:t>
      </w:r>
    </w:p>
    <w:p>
      <w:pPr>
        <w:spacing w:line="360" w:lineRule="auto"/>
        <w:ind w:firstLine="420"/>
        <w:rPr>
          <w:color w:val="auto"/>
          <w:highlight w:val="none"/>
        </w:rPr>
      </w:pPr>
      <w:r>
        <w:rPr>
          <w:color w:val="auto"/>
          <w:highlight w:val="none"/>
        </w:rPr>
        <w:t>5</w:t>
      </w:r>
      <w:r>
        <w:rPr>
          <w:rFonts w:hint="eastAsia" w:cs="宋体"/>
          <w:color w:val="auto"/>
          <w:highlight w:val="none"/>
        </w:rPr>
        <w:t>．供热与供冷系统为</w:t>
      </w:r>
      <w:r>
        <w:rPr>
          <w:color w:val="auto"/>
          <w:highlight w:val="none"/>
          <w:u w:val="single"/>
        </w:rPr>
        <w:t xml:space="preserve">   </w:t>
      </w:r>
      <w:r>
        <w:rPr>
          <w:rFonts w:hint="eastAsia"/>
          <w:color w:val="auto"/>
          <w:highlight w:val="none"/>
          <w:u w:val="single"/>
        </w:rPr>
        <w:t>2</w:t>
      </w:r>
      <w:r>
        <w:rPr>
          <w:color w:val="auto"/>
          <w:highlight w:val="none"/>
          <w:u w:val="single"/>
        </w:rPr>
        <w:t xml:space="preserve">    </w:t>
      </w:r>
      <w:r>
        <w:rPr>
          <w:rFonts w:hint="eastAsia" w:cs="宋体"/>
          <w:color w:val="auto"/>
          <w:highlight w:val="none"/>
        </w:rPr>
        <w:t>个采暖期、供冷期；</w:t>
      </w:r>
    </w:p>
    <w:p>
      <w:pPr>
        <w:spacing w:line="360" w:lineRule="auto"/>
        <w:ind w:firstLine="420"/>
        <w:rPr>
          <w:color w:val="auto"/>
          <w:highlight w:val="none"/>
        </w:rPr>
      </w:pPr>
      <w:r>
        <w:rPr>
          <w:color w:val="auto"/>
          <w:highlight w:val="none"/>
        </w:rPr>
        <w:t>6</w:t>
      </w:r>
      <w:r>
        <w:rPr>
          <w:rFonts w:hint="eastAsia" w:cs="宋体"/>
          <w:color w:val="auto"/>
          <w:highlight w:val="none"/>
        </w:rPr>
        <w:t>．住宅小区内的给排水设施、道路等配套工程为</w:t>
      </w:r>
      <w:r>
        <w:rPr>
          <w:color w:val="auto"/>
          <w:highlight w:val="none"/>
          <w:u w:val="single"/>
        </w:rPr>
        <w:t xml:space="preserve"> /   </w:t>
      </w:r>
      <w:r>
        <w:rPr>
          <w:rFonts w:hint="eastAsia" w:cs="宋体"/>
          <w:color w:val="auto"/>
          <w:highlight w:val="none"/>
        </w:rPr>
        <w:t>年；</w:t>
      </w:r>
    </w:p>
    <w:p>
      <w:pPr>
        <w:spacing w:line="360" w:lineRule="auto"/>
        <w:ind w:firstLine="420"/>
        <w:rPr>
          <w:rFonts w:cs="宋体"/>
          <w:color w:val="auto"/>
          <w:highlight w:val="none"/>
        </w:rPr>
      </w:pPr>
      <w:r>
        <w:rPr>
          <w:color w:val="auto"/>
          <w:highlight w:val="none"/>
        </w:rPr>
        <w:t>7</w:t>
      </w:r>
      <w:r>
        <w:rPr>
          <w:rFonts w:hint="eastAsia" w:cs="宋体"/>
          <w:color w:val="auto"/>
          <w:highlight w:val="none"/>
        </w:rPr>
        <w:t>．其他项目保修期限约定如下：</w:t>
      </w:r>
    </w:p>
    <w:p>
      <w:pPr>
        <w:spacing w:line="360" w:lineRule="auto"/>
        <w:ind w:firstLine="420"/>
        <w:rPr>
          <w:rFonts w:cs="宋体"/>
          <w:color w:val="auto"/>
          <w:highlight w:val="none"/>
        </w:rPr>
      </w:pPr>
      <w:r>
        <w:rPr>
          <w:rFonts w:hint="eastAsia" w:cs="宋体"/>
          <w:color w:val="auto"/>
          <w:highlight w:val="none"/>
        </w:rPr>
        <w:t>质保期内故障免费上门维修及更换配件。三个月内如有严重质量问题，整机（指送风和排风机组）包换。终身维修 。</w:t>
      </w:r>
    </w:p>
    <w:p>
      <w:pPr>
        <w:spacing w:line="360" w:lineRule="auto"/>
        <w:ind w:firstLine="420"/>
        <w:rPr>
          <w:color w:val="auto"/>
          <w:highlight w:val="none"/>
        </w:rPr>
      </w:pPr>
      <w:r>
        <w:rPr>
          <w:rFonts w:hint="eastAsia" w:cs="宋体"/>
          <w:color w:val="auto"/>
          <w:highlight w:val="none"/>
        </w:rPr>
        <w:t>质量保修期自工程竣工验收合格之日起计算。</w:t>
      </w:r>
    </w:p>
    <w:p>
      <w:pPr>
        <w:spacing w:line="360" w:lineRule="auto"/>
        <w:ind w:firstLine="420"/>
        <w:rPr>
          <w:rFonts w:ascii="黑体" w:eastAsia="黑体"/>
          <w:color w:val="auto"/>
          <w:highlight w:val="none"/>
        </w:rPr>
      </w:pPr>
      <w:r>
        <w:rPr>
          <w:rFonts w:hint="eastAsia" w:ascii="黑体" w:eastAsia="黑体" w:cs="黑体"/>
          <w:color w:val="auto"/>
          <w:highlight w:val="none"/>
        </w:rPr>
        <w:t>三、缺陷责任期</w:t>
      </w:r>
    </w:p>
    <w:p>
      <w:pPr>
        <w:spacing w:line="360" w:lineRule="auto"/>
        <w:ind w:firstLine="420"/>
        <w:rPr>
          <w:color w:val="auto"/>
          <w:highlight w:val="none"/>
        </w:rPr>
      </w:pPr>
      <w:r>
        <w:rPr>
          <w:rFonts w:hint="eastAsia" w:cs="宋体"/>
          <w:color w:val="auto"/>
          <w:highlight w:val="none"/>
        </w:rPr>
        <w:t>工程缺陷责任期为</w:t>
      </w:r>
      <w:r>
        <w:rPr>
          <w:color w:val="auto"/>
          <w:highlight w:val="none"/>
          <w:u w:val="single"/>
        </w:rPr>
        <w:t xml:space="preserve">   </w:t>
      </w:r>
      <w:r>
        <w:rPr>
          <w:rFonts w:hint="eastAsia"/>
          <w:color w:val="auto"/>
          <w:highlight w:val="none"/>
          <w:u w:val="single"/>
        </w:rPr>
        <w:t>24</w:t>
      </w:r>
      <w:r>
        <w:rPr>
          <w:color w:val="auto"/>
          <w:highlight w:val="none"/>
          <w:u w:val="single"/>
        </w:rPr>
        <w:t xml:space="preserve"> </w:t>
      </w:r>
      <w:r>
        <w:rPr>
          <w:rFonts w:hint="eastAsia" w:cs="宋体"/>
          <w:color w:val="auto"/>
          <w:highlight w:val="none"/>
        </w:rPr>
        <w:t>个月（最长不超过</w:t>
      </w:r>
      <w:r>
        <w:rPr>
          <w:color w:val="auto"/>
          <w:highlight w:val="none"/>
        </w:rPr>
        <w:t>24</w:t>
      </w:r>
      <w:r>
        <w:rPr>
          <w:rFonts w:hint="eastAsia" w:cs="宋体"/>
          <w:color w:val="auto"/>
          <w:highlight w:val="none"/>
        </w:rPr>
        <w:t>个月），缺陷责任期自工程竣工验收合格之日起计算。单位工程先于全部工程进行验收，单位工程缺陷责任期自单位工程验收合格之日起算。</w:t>
      </w:r>
    </w:p>
    <w:p>
      <w:pPr>
        <w:spacing w:line="360" w:lineRule="auto"/>
        <w:ind w:firstLine="420"/>
        <w:rPr>
          <w:color w:val="auto"/>
          <w:highlight w:val="none"/>
        </w:rPr>
      </w:pPr>
      <w:r>
        <w:rPr>
          <w:rFonts w:hint="eastAsia" w:cs="宋体"/>
          <w:color w:val="auto"/>
          <w:highlight w:val="none"/>
        </w:rPr>
        <w:t>缺陷责任期</w:t>
      </w:r>
      <w:r>
        <w:rPr>
          <w:rFonts w:hint="eastAsia" w:cs="宋体"/>
          <w:color w:val="auto"/>
          <w:highlight w:val="none"/>
          <w:u w:val="single"/>
        </w:rPr>
        <w:t>满</w:t>
      </w:r>
      <w:r>
        <w:rPr>
          <w:rFonts w:hint="eastAsia" w:ascii="仿宋_GB2312" w:hAnsi="仿宋_GB2312"/>
          <w:color w:val="auto"/>
          <w:highlight w:val="none"/>
        </w:rPr>
        <w:t>之日起</w:t>
      </w:r>
      <w:r>
        <w:rPr>
          <w:rFonts w:hint="eastAsia" w:ascii="仿宋_GB2312" w:hAnsi="仿宋_GB2312"/>
          <w:color w:val="auto"/>
          <w:highlight w:val="none"/>
          <w:u w:val="single"/>
        </w:rPr>
        <w:t xml:space="preserve"> 14</w:t>
      </w:r>
      <w:r>
        <w:rPr>
          <w:rFonts w:hint="eastAsia" w:ascii="仿宋_GB2312" w:hAnsi="仿宋_GB2312"/>
          <w:color w:val="auto"/>
          <w:highlight w:val="none"/>
        </w:rPr>
        <w:t>天</w:t>
      </w:r>
      <w:r>
        <w:rPr>
          <w:rFonts w:hint="eastAsia" w:cs="宋体"/>
          <w:color w:val="auto"/>
          <w:highlight w:val="none"/>
          <w:u w:val="single"/>
        </w:rPr>
        <w:t>（按</w:t>
      </w:r>
      <w:r>
        <w:rPr>
          <w:rFonts w:cs="宋体"/>
          <w:color w:val="auto"/>
          <w:highlight w:val="none"/>
          <w:u w:val="single"/>
        </w:rPr>
        <w:t>合同约定期限）</w:t>
      </w:r>
      <w:r>
        <w:rPr>
          <w:rFonts w:hint="eastAsia" w:cs="宋体"/>
          <w:color w:val="auto"/>
          <w:highlight w:val="none"/>
          <w:u w:val="single"/>
        </w:rPr>
        <w:t>，</w:t>
      </w:r>
      <w:r>
        <w:rPr>
          <w:rFonts w:hint="eastAsia" w:cs="宋体"/>
          <w:color w:val="auto"/>
          <w:highlight w:val="none"/>
        </w:rPr>
        <w:t>发包人应退还剩余的质量保证金。</w:t>
      </w:r>
    </w:p>
    <w:p>
      <w:pPr>
        <w:spacing w:line="360" w:lineRule="auto"/>
        <w:ind w:firstLine="420"/>
        <w:rPr>
          <w:rFonts w:ascii="黑体" w:eastAsia="黑体"/>
          <w:color w:val="auto"/>
          <w:highlight w:val="none"/>
        </w:rPr>
      </w:pPr>
      <w:r>
        <w:rPr>
          <w:rFonts w:hint="eastAsia" w:ascii="黑体" w:eastAsia="黑体" w:cs="黑体"/>
          <w:color w:val="auto"/>
          <w:highlight w:val="none"/>
        </w:rPr>
        <w:t>四、质量保修责任</w:t>
      </w:r>
    </w:p>
    <w:p>
      <w:pPr>
        <w:spacing w:line="360" w:lineRule="auto"/>
        <w:ind w:left="105" w:leftChars="50" w:firstLine="430" w:firstLineChars="205"/>
        <w:rPr>
          <w:color w:val="auto"/>
          <w:highlight w:val="none"/>
        </w:rPr>
      </w:pPr>
      <w:r>
        <w:rPr>
          <w:color w:val="auto"/>
          <w:highlight w:val="none"/>
        </w:rPr>
        <w:t>1</w:t>
      </w:r>
      <w:r>
        <w:rPr>
          <w:rFonts w:hint="eastAsia" w:cs="宋体"/>
          <w:color w:val="auto"/>
          <w:highlight w:val="none"/>
        </w:rPr>
        <w:t>．属于保修范围、内容的项目，承包人应当在接到保修通知之日起</w:t>
      </w:r>
      <w:r>
        <w:rPr>
          <w:color w:val="auto"/>
          <w:highlight w:val="none"/>
          <w:u w:val="single"/>
        </w:rPr>
        <w:t xml:space="preserve">  </w:t>
      </w:r>
      <w:r>
        <w:rPr>
          <w:rFonts w:hint="eastAsia"/>
          <w:color w:val="auto"/>
          <w:highlight w:val="none"/>
          <w:u w:val="single"/>
        </w:rPr>
        <w:t>1</w:t>
      </w:r>
      <w:r>
        <w:rPr>
          <w:color w:val="auto"/>
          <w:highlight w:val="none"/>
          <w:u w:val="single"/>
        </w:rPr>
        <w:t xml:space="preserve">  </w:t>
      </w:r>
      <w:r>
        <w:rPr>
          <w:rFonts w:hint="eastAsia" w:cs="宋体"/>
          <w:color w:val="auto"/>
          <w:highlight w:val="none"/>
        </w:rPr>
        <w:t>天内派人保修。承包人不在约定期限内派人保修的，发包人可以委托他人修理，修理费用从质量保证金内扣除。</w:t>
      </w:r>
    </w:p>
    <w:p>
      <w:pPr>
        <w:spacing w:line="360" w:lineRule="auto"/>
        <w:ind w:firstLine="420"/>
        <w:rPr>
          <w:color w:val="auto"/>
          <w:highlight w:val="none"/>
        </w:rPr>
      </w:pPr>
      <w:r>
        <w:rPr>
          <w:color w:val="auto"/>
          <w:highlight w:val="none"/>
        </w:rPr>
        <w:t>2</w:t>
      </w:r>
      <w:r>
        <w:rPr>
          <w:rFonts w:hint="eastAsia" w:cs="宋体"/>
          <w:color w:val="auto"/>
          <w:highlight w:val="none"/>
        </w:rPr>
        <w:t>．发生紧急事故需抢修的，承包人在接到事故通知后，应当立即到达事故现场抢修。</w:t>
      </w:r>
    </w:p>
    <w:p>
      <w:pPr>
        <w:spacing w:line="360" w:lineRule="auto"/>
        <w:ind w:firstLine="420"/>
        <w:rPr>
          <w:color w:val="auto"/>
          <w:highlight w:val="none"/>
        </w:rPr>
      </w:pPr>
      <w:r>
        <w:rPr>
          <w:color w:val="auto"/>
          <w:highlight w:val="none"/>
        </w:rPr>
        <w:t>3</w:t>
      </w:r>
      <w:r>
        <w:rPr>
          <w:rFonts w:hint="eastAsia" w:cs="宋体"/>
          <w:color w:val="auto"/>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color w:val="auto"/>
          <w:highlight w:val="none"/>
        </w:rPr>
      </w:pPr>
      <w:r>
        <w:rPr>
          <w:color w:val="auto"/>
          <w:highlight w:val="none"/>
        </w:rPr>
        <w:t>4</w:t>
      </w:r>
      <w:r>
        <w:rPr>
          <w:rFonts w:hint="eastAsia" w:cs="宋体"/>
          <w:color w:val="auto"/>
          <w:highlight w:val="none"/>
        </w:rPr>
        <w:t>．质量保修完成后，由发包人组织验收。</w:t>
      </w:r>
    </w:p>
    <w:p>
      <w:pPr>
        <w:spacing w:line="360" w:lineRule="auto"/>
        <w:ind w:firstLine="420"/>
        <w:rPr>
          <w:rFonts w:ascii="黑体" w:eastAsia="黑体"/>
          <w:color w:val="auto"/>
          <w:highlight w:val="none"/>
        </w:rPr>
      </w:pPr>
      <w:r>
        <w:rPr>
          <w:rFonts w:hint="eastAsia" w:ascii="黑体" w:eastAsia="黑体" w:cs="黑体"/>
          <w:color w:val="auto"/>
          <w:highlight w:val="none"/>
        </w:rPr>
        <w:t>五、保修费用</w:t>
      </w:r>
    </w:p>
    <w:p>
      <w:pPr>
        <w:tabs>
          <w:tab w:val="left" w:pos="7380"/>
        </w:tabs>
        <w:spacing w:line="360" w:lineRule="auto"/>
        <w:ind w:firstLine="420"/>
        <w:rPr>
          <w:color w:val="auto"/>
          <w:highlight w:val="none"/>
        </w:rPr>
      </w:pPr>
      <w:r>
        <w:rPr>
          <w:rFonts w:hint="eastAsia" w:cs="宋体"/>
          <w:color w:val="auto"/>
          <w:highlight w:val="none"/>
        </w:rPr>
        <w:t>保修费用由造成质量缺陷的责任方承担。</w:t>
      </w:r>
    </w:p>
    <w:p>
      <w:pPr>
        <w:spacing w:line="360" w:lineRule="auto"/>
        <w:ind w:firstLine="420"/>
        <w:rPr>
          <w:rFonts w:ascii="黑体" w:eastAsia="黑体" w:cs="黑体"/>
          <w:color w:val="auto"/>
          <w:highlight w:val="none"/>
        </w:rPr>
      </w:pPr>
      <w:r>
        <w:rPr>
          <w:rFonts w:hint="eastAsia" w:ascii="黑体" w:eastAsia="黑体" w:cs="黑体"/>
          <w:color w:val="auto"/>
          <w:highlight w:val="none"/>
        </w:rPr>
        <w:t xml:space="preserve">六、双方约定的其他工程质量保修事项： </w:t>
      </w:r>
    </w:p>
    <w:p>
      <w:pPr>
        <w:spacing w:line="360" w:lineRule="auto"/>
        <w:ind w:firstLine="420" w:firstLineChars="200"/>
        <w:jc w:val="left"/>
        <w:rPr>
          <w:color w:val="auto"/>
          <w:highlight w:val="none"/>
        </w:rPr>
      </w:pPr>
      <w:r>
        <w:rPr>
          <w:color w:val="auto"/>
          <w:highlight w:val="none"/>
          <w:u w:val="single"/>
        </w:rPr>
        <w:t xml:space="preserve">                                                                                                                                                             </w:t>
      </w:r>
      <w:r>
        <w:rPr>
          <w:rFonts w:hint="eastAsia" w:cs="宋体"/>
          <w:color w:val="auto"/>
          <w:highlight w:val="none"/>
        </w:rPr>
        <w:t>。</w:t>
      </w:r>
    </w:p>
    <w:p>
      <w:pPr>
        <w:spacing w:line="360" w:lineRule="auto"/>
        <w:ind w:firstLine="399" w:firstLineChars="190"/>
        <w:rPr>
          <w:color w:val="auto"/>
          <w:highlight w:val="none"/>
        </w:rPr>
      </w:pPr>
      <w:r>
        <w:rPr>
          <w:rFonts w:hint="eastAsia" w:cs="宋体"/>
          <w:color w:val="auto"/>
          <w:highlight w:val="none"/>
        </w:rPr>
        <w:t>工程质量保修书由发包人、承包人在工程竣工验收前共同签署，作为施工合同附件，其有效期限至保修期满。</w:t>
      </w:r>
    </w:p>
    <w:p>
      <w:pPr>
        <w:spacing w:line="360" w:lineRule="auto"/>
        <w:ind w:firstLine="420"/>
        <w:rPr>
          <w:color w:val="auto"/>
          <w:highlight w:val="none"/>
        </w:rPr>
      </w:pPr>
    </w:p>
    <w:p>
      <w:pPr>
        <w:spacing w:line="360" w:lineRule="auto"/>
        <w:rPr>
          <w:color w:val="auto"/>
          <w:highlight w:val="none"/>
        </w:rPr>
      </w:pPr>
      <w:r>
        <w:rPr>
          <w:color w:val="auto"/>
          <w:highlight w:val="none"/>
        </w:rPr>
        <w:t>发包人</w:t>
      </w:r>
      <w:r>
        <w:rPr>
          <w:rFonts w:hint="eastAsia"/>
          <w:color w:val="auto"/>
          <w:highlight w:val="none"/>
        </w:rPr>
        <w:t>（</w:t>
      </w:r>
      <w:r>
        <w:rPr>
          <w:color w:val="auto"/>
          <w:highlight w:val="none"/>
        </w:rPr>
        <w:t>公章</w:t>
      </w:r>
      <w:r>
        <w:rPr>
          <w:rFonts w:hint="eastAsia"/>
          <w:color w:val="auto"/>
          <w:highlight w:val="none"/>
        </w:rPr>
        <w:t>）</w:t>
      </w:r>
      <w:r>
        <w:rPr>
          <w:color w:val="auto"/>
          <w:highlight w:val="none"/>
        </w:rPr>
        <w:t>：</w:t>
      </w:r>
      <w:r>
        <w:rPr>
          <w:color w:val="auto"/>
          <w:highlight w:val="none"/>
          <w:u w:val="single"/>
        </w:rPr>
        <w:t xml:space="preserve"> </w:t>
      </w:r>
      <w:r>
        <w:rPr>
          <w:rFonts w:hint="eastAsia" w:ascii="宋体"/>
          <w:color w:val="auto"/>
          <w:highlight w:val="none"/>
          <w:u w:val="single"/>
        </w:rPr>
        <w:t></w:t>
      </w:r>
      <w:r>
        <w:rPr>
          <w:color w:val="auto"/>
          <w:highlight w:val="none"/>
          <w:u w:val="single"/>
        </w:rPr>
        <w:t xml:space="preserve"> </w:t>
      </w:r>
      <w:r>
        <w:rPr>
          <w:rFonts w:hint="eastAsia" w:asci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承包人</w:t>
      </w:r>
      <w:r>
        <w:rPr>
          <w:rFonts w:hint="eastAsia"/>
          <w:color w:val="auto"/>
          <w:highlight w:val="none"/>
        </w:rPr>
        <w:t>（</w:t>
      </w:r>
      <w:r>
        <w:rPr>
          <w:color w:val="auto"/>
          <w:highlight w:val="none"/>
        </w:rPr>
        <w:t>公章</w:t>
      </w:r>
      <w:r>
        <w:rPr>
          <w:rFonts w:hint="eastAsia"/>
          <w:color w:val="auto"/>
          <w:highlight w:val="none"/>
        </w:rPr>
        <w:t>）</w:t>
      </w:r>
      <w:r>
        <w:rPr>
          <w:color w:val="auto"/>
          <w:highlight w:val="none"/>
        </w:rPr>
        <w:t>：</w:t>
      </w:r>
      <w:r>
        <w:rPr>
          <w:rFonts w:hint="eastAsia" w:ascii="宋体"/>
          <w:color w:val="auto"/>
          <w:highlight w:val="none"/>
          <w:u w:val="single"/>
        </w:rPr>
        <w:t></w:t>
      </w:r>
      <w:r>
        <w:rPr>
          <w:color w:val="auto"/>
          <w:highlight w:val="none"/>
          <w:u w:val="single"/>
        </w:rPr>
        <w:t xml:space="preserve">          </w:t>
      </w:r>
      <w:r>
        <w:rPr>
          <w:rFonts w:hint="eastAsia" w:ascii="宋体"/>
          <w:color w:val="auto"/>
          <w:highlight w:val="none"/>
          <w:u w:val="single"/>
        </w:rPr>
        <w:t></w:t>
      </w:r>
    </w:p>
    <w:p>
      <w:pPr>
        <w:spacing w:line="360" w:lineRule="auto"/>
        <w:rPr>
          <w:color w:val="auto"/>
          <w:highlight w:val="none"/>
        </w:rPr>
      </w:pPr>
      <w:r>
        <w:rPr>
          <w:color w:val="auto"/>
          <w:highlight w:val="none"/>
        </w:rPr>
        <w:t>地  址：</w:t>
      </w:r>
      <w:r>
        <w:rPr>
          <w:color w:val="auto"/>
          <w:highlight w:val="none"/>
          <w:u w:val="single"/>
        </w:rPr>
        <w:t xml:space="preserve"> </w:t>
      </w:r>
      <w:r>
        <w:rPr>
          <w:rFonts w:hint="eastAsia" w:asci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地  址：</w:t>
      </w:r>
      <w:r>
        <w:rPr>
          <w:rFonts w:hint="eastAsia" w:asci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rFonts w:hint="eastAsia" w:ascii="宋体"/>
          <w:color w:val="auto"/>
          <w:highlight w:val="none"/>
          <w:u w:val="single"/>
        </w:rPr>
        <w:t></w:t>
      </w:r>
    </w:p>
    <w:p>
      <w:pPr>
        <w:spacing w:line="360" w:lineRule="auto"/>
        <w:rPr>
          <w:color w:val="auto"/>
          <w:highlight w:val="none"/>
        </w:rPr>
      </w:pPr>
      <w:r>
        <w:rPr>
          <w:color w:val="auto"/>
          <w:highlight w:val="none"/>
        </w:rPr>
        <w:t>法定代表人</w:t>
      </w:r>
      <w:r>
        <w:rPr>
          <w:rFonts w:hint="eastAsia"/>
          <w:color w:val="auto"/>
          <w:highlight w:val="none"/>
        </w:rPr>
        <w:t>（</w:t>
      </w:r>
      <w:r>
        <w:rPr>
          <w:color w:val="auto"/>
          <w:highlight w:val="none"/>
        </w:rPr>
        <w:t>签字</w:t>
      </w:r>
      <w:r>
        <w:rPr>
          <w:rFonts w:hint="eastAsia"/>
          <w:color w:val="auto"/>
          <w:highlight w:val="none"/>
        </w:rPr>
        <w:t>）</w:t>
      </w:r>
      <w:r>
        <w:rPr>
          <w:color w:val="auto"/>
          <w:highlight w:val="none"/>
        </w:rPr>
        <w:t>：</w:t>
      </w:r>
      <w:r>
        <w:rPr>
          <w:rFonts w:hint="eastAsia" w:ascii="宋体"/>
          <w:color w:val="auto"/>
          <w:highlight w:val="none"/>
          <w:u w:val="single"/>
        </w:rPr>
        <w:t></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法定代表人</w:t>
      </w:r>
      <w:r>
        <w:rPr>
          <w:rFonts w:hint="eastAsia"/>
          <w:color w:val="auto"/>
          <w:highlight w:val="none"/>
        </w:rPr>
        <w:t>（</w:t>
      </w:r>
      <w:r>
        <w:rPr>
          <w:color w:val="auto"/>
          <w:highlight w:val="none"/>
        </w:rPr>
        <w:t>签字</w:t>
      </w:r>
      <w:r>
        <w:rPr>
          <w:rFonts w:hint="eastAsia"/>
          <w:color w:val="auto"/>
          <w:highlight w:val="none"/>
        </w:rPr>
        <w:t>）</w:t>
      </w:r>
      <w:r>
        <w:rPr>
          <w:color w:val="auto"/>
          <w:highlight w:val="none"/>
        </w:rPr>
        <w:t>：</w:t>
      </w:r>
      <w:r>
        <w:rPr>
          <w:rFonts w:hint="eastAsia" w:ascii="宋体"/>
          <w:color w:val="auto"/>
          <w:highlight w:val="none"/>
          <w:u w:val="single"/>
        </w:rPr>
        <w:t>     </w:t>
      </w:r>
    </w:p>
    <w:p>
      <w:pPr>
        <w:spacing w:line="360" w:lineRule="auto"/>
        <w:rPr>
          <w:color w:val="auto"/>
          <w:highlight w:val="none"/>
        </w:rPr>
      </w:pPr>
      <w:r>
        <w:rPr>
          <w:color w:val="auto"/>
          <w:highlight w:val="none"/>
        </w:rPr>
        <w:t>委托代理人</w:t>
      </w:r>
      <w:r>
        <w:rPr>
          <w:rFonts w:hint="eastAsia"/>
          <w:color w:val="auto"/>
          <w:highlight w:val="none"/>
        </w:rPr>
        <w:t>（</w:t>
      </w:r>
      <w:r>
        <w:rPr>
          <w:color w:val="auto"/>
          <w:highlight w:val="none"/>
        </w:rPr>
        <w:t>签字</w:t>
      </w:r>
      <w:r>
        <w:rPr>
          <w:rFonts w:hint="eastAsia"/>
          <w:color w:val="auto"/>
          <w:highlight w:val="none"/>
        </w:rPr>
        <w:t>）</w:t>
      </w:r>
      <w:r>
        <w:rPr>
          <w:color w:val="auto"/>
          <w:highlight w:val="none"/>
        </w:rPr>
        <w:t>：</w:t>
      </w:r>
      <w:r>
        <w:rPr>
          <w:rFonts w:hint="eastAsia" w:ascii="宋体"/>
          <w:color w:val="auto"/>
          <w:highlight w:val="none"/>
          <w:u w:val="single"/>
        </w:rPr>
        <w:t></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委托代理人</w:t>
      </w:r>
      <w:r>
        <w:rPr>
          <w:rFonts w:hint="eastAsia"/>
          <w:color w:val="auto"/>
          <w:highlight w:val="none"/>
        </w:rPr>
        <w:t>（</w:t>
      </w:r>
      <w:r>
        <w:rPr>
          <w:color w:val="auto"/>
          <w:highlight w:val="none"/>
        </w:rPr>
        <w:t>签字</w:t>
      </w:r>
      <w:r>
        <w:rPr>
          <w:rFonts w:hint="eastAsia"/>
          <w:color w:val="auto"/>
          <w:highlight w:val="none"/>
        </w:rPr>
        <w:t>）</w:t>
      </w:r>
      <w:r>
        <w:rPr>
          <w:color w:val="auto"/>
          <w:highlight w:val="none"/>
        </w:rPr>
        <w:t>：</w:t>
      </w:r>
      <w:r>
        <w:rPr>
          <w:rFonts w:hint="eastAsia" w:ascii="宋体"/>
          <w:color w:val="auto"/>
          <w:highlight w:val="none"/>
          <w:u w:val="single"/>
        </w:rPr>
        <w:t>     </w:t>
      </w:r>
    </w:p>
    <w:p>
      <w:pPr>
        <w:spacing w:line="360" w:lineRule="auto"/>
        <w:rPr>
          <w:color w:val="auto"/>
          <w:highlight w:val="none"/>
        </w:rPr>
      </w:pPr>
      <w:r>
        <w:rPr>
          <w:color w:val="auto"/>
          <w:highlight w:val="none"/>
        </w:rPr>
        <w:t>电  话：</w:t>
      </w:r>
      <w:r>
        <w:rPr>
          <w:rFonts w:hint="eastAsia" w:asci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电  话：</w:t>
      </w:r>
      <w:r>
        <w:rPr>
          <w:rFonts w:hint="eastAsia" w:ascii="宋体"/>
          <w:color w:val="auto"/>
          <w:highlight w:val="none"/>
          <w:u w:val="single"/>
        </w:rPr>
        <w:t>      </w:t>
      </w:r>
    </w:p>
    <w:p>
      <w:pPr>
        <w:spacing w:line="360" w:lineRule="auto"/>
        <w:rPr>
          <w:color w:val="auto"/>
          <w:highlight w:val="none"/>
        </w:rPr>
      </w:pPr>
      <w:r>
        <w:rPr>
          <w:color w:val="auto"/>
          <w:highlight w:val="none"/>
        </w:rPr>
        <w:t>传  真：</w:t>
      </w:r>
      <w:r>
        <w:rPr>
          <w:rFonts w:hint="eastAsia" w:asci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传  真：</w:t>
      </w:r>
      <w:r>
        <w:rPr>
          <w:rFonts w:hint="eastAsia" w:ascii="宋体"/>
          <w:color w:val="auto"/>
          <w:highlight w:val="none"/>
          <w:u w:val="single"/>
        </w:rPr>
        <w:t xml:space="preserve">  </w:t>
      </w:r>
      <w:r>
        <w:rPr>
          <w:color w:val="auto"/>
          <w:highlight w:val="none"/>
          <w:u w:val="single"/>
        </w:rPr>
        <w:t xml:space="preserve">  </w:t>
      </w:r>
      <w:r>
        <w:rPr>
          <w:rFonts w:hint="eastAsia" w:ascii="宋体"/>
          <w:color w:val="auto"/>
          <w:highlight w:val="none"/>
          <w:u w:val="single"/>
        </w:rPr>
        <w:t></w:t>
      </w:r>
    </w:p>
    <w:p>
      <w:pPr>
        <w:spacing w:line="360" w:lineRule="auto"/>
        <w:rPr>
          <w:color w:val="auto"/>
          <w:highlight w:val="none"/>
        </w:rPr>
      </w:pPr>
      <w:r>
        <w:rPr>
          <w:color w:val="auto"/>
          <w:highlight w:val="none"/>
        </w:rPr>
        <w:t>开户银行：</w:t>
      </w:r>
      <w:r>
        <w:rPr>
          <w:rFonts w:hint="eastAsia" w:asci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开户银行：</w:t>
      </w:r>
      <w:r>
        <w:rPr>
          <w:rFonts w:hint="eastAsia" w:ascii="宋体"/>
          <w:color w:val="auto"/>
          <w:highlight w:val="none"/>
          <w:u w:val="single"/>
        </w:rPr>
        <w:t>  </w:t>
      </w:r>
    </w:p>
    <w:p>
      <w:pPr>
        <w:tabs>
          <w:tab w:val="left" w:pos="2880"/>
          <w:tab w:val="left" w:pos="3060"/>
          <w:tab w:val="left" w:pos="4500"/>
        </w:tabs>
        <w:spacing w:line="360" w:lineRule="auto"/>
        <w:rPr>
          <w:color w:val="auto"/>
          <w:highlight w:val="none"/>
        </w:rPr>
      </w:pPr>
      <w:r>
        <w:rPr>
          <w:color w:val="auto"/>
          <w:highlight w:val="none"/>
        </w:rPr>
        <w:t>账  号：</w:t>
      </w:r>
      <w:r>
        <w:rPr>
          <w:rFonts w:hint="eastAsia" w:ascii="宋体"/>
          <w:color w:val="auto"/>
          <w:highlight w:val="none"/>
          <w:u w:val="single"/>
        </w:rPr>
        <w:t></w:t>
      </w:r>
      <w:r>
        <w:rPr>
          <w:color w:val="auto"/>
          <w:highlight w:val="none"/>
          <w:u w:val="single"/>
        </w:rPr>
        <w:t xml:space="preserve"> </w:t>
      </w:r>
      <w:r>
        <w:rPr>
          <w:rFonts w:hint="eastAsia" w:asci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账  号：</w:t>
      </w:r>
      <w:r>
        <w:rPr>
          <w:rFonts w:hint="eastAsia" w:ascii="宋体"/>
          <w:color w:val="auto"/>
          <w:highlight w:val="none"/>
          <w:u w:val="single"/>
        </w:rPr>
        <w:t>    </w:t>
      </w:r>
    </w:p>
    <w:p>
      <w:pPr>
        <w:tabs>
          <w:tab w:val="left" w:pos="7200"/>
          <w:tab w:val="left" w:pos="7380"/>
          <w:tab w:val="left" w:pos="7560"/>
        </w:tabs>
        <w:spacing w:line="360" w:lineRule="auto"/>
        <w:rPr>
          <w:color w:val="auto"/>
          <w:highlight w:val="none"/>
        </w:rPr>
      </w:pPr>
      <w:r>
        <w:rPr>
          <w:color w:val="auto"/>
          <w:highlight w:val="none"/>
        </w:rPr>
        <w:t>邮政编码：</w:t>
      </w:r>
      <w:r>
        <w:rPr>
          <w:color w:val="auto"/>
          <w:highlight w:val="none"/>
          <w:u w:val="single"/>
        </w:rPr>
        <w:t xml:space="preserve"> </w:t>
      </w:r>
      <w:r>
        <w:rPr>
          <w:rFonts w:hint="eastAsia" w:asci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color w:val="auto"/>
          <w:highlight w:val="none"/>
        </w:rPr>
        <w:t>邮政编码：</w:t>
      </w:r>
      <w:r>
        <w:rPr>
          <w:rFonts w:hint="eastAsia" w:ascii="宋体"/>
          <w:color w:val="auto"/>
          <w:highlight w:val="none"/>
          <w:u w:val="single"/>
        </w:rPr>
        <w:t>   </w:t>
      </w:r>
    </w:p>
    <w:p>
      <w:pPr>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color w:val="auto"/>
          <w:sz w:val="24"/>
          <w:highlight w:val="none"/>
        </w:rPr>
        <w:br w:type="page"/>
      </w:r>
      <w:bookmarkStart w:id="420" w:name="_Toc17439"/>
      <w:bookmarkStart w:id="421" w:name="_Toc15705"/>
      <w:bookmarkStart w:id="422" w:name="_Toc472"/>
      <w:bookmarkStart w:id="423" w:name="_Toc10361"/>
      <w:r>
        <w:rPr>
          <w:rFonts w:hint="eastAsia" w:ascii="仿宋" w:hAnsi="仿宋" w:eastAsia="仿宋" w:cs="仿宋"/>
          <w:b/>
          <w:color w:val="auto"/>
          <w:sz w:val="32"/>
          <w:szCs w:val="32"/>
          <w:highlight w:val="none"/>
        </w:rPr>
        <w:t xml:space="preserve">第四章  </w:t>
      </w:r>
      <w:bookmarkEnd w:id="420"/>
      <w:bookmarkEnd w:id="421"/>
      <w:bookmarkStart w:id="424" w:name="_Toc4653"/>
      <w:r>
        <w:rPr>
          <w:rFonts w:hint="eastAsia" w:ascii="仿宋" w:hAnsi="仿宋" w:eastAsia="仿宋" w:cs="仿宋"/>
          <w:b/>
          <w:color w:val="auto"/>
          <w:sz w:val="32"/>
          <w:szCs w:val="32"/>
          <w:highlight w:val="none"/>
        </w:rPr>
        <w:t xml:space="preserve">  </w:t>
      </w:r>
      <w:bookmarkEnd w:id="14"/>
      <w:bookmarkEnd w:id="15"/>
      <w:r>
        <w:rPr>
          <w:rFonts w:hint="eastAsia" w:ascii="仿宋" w:hAnsi="仿宋" w:eastAsia="仿宋" w:cs="仿宋"/>
          <w:b/>
          <w:color w:val="auto"/>
          <w:sz w:val="32"/>
          <w:szCs w:val="32"/>
          <w:highlight w:val="none"/>
        </w:rPr>
        <w:t>图纸</w:t>
      </w:r>
      <w:bookmarkEnd w:id="422"/>
      <w:bookmarkEnd w:id="423"/>
      <w:bookmarkEnd w:id="424"/>
    </w:p>
    <w:p>
      <w:pPr>
        <w:spacing w:line="360" w:lineRule="auto"/>
        <w:jc w:val="center"/>
        <w:outlineLvl w:val="0"/>
        <w:rPr>
          <w:rFonts w:ascii="仿宋" w:hAnsi="仿宋" w:eastAsia="仿宋" w:cs="仿宋"/>
          <w:b/>
          <w:color w:val="auto"/>
          <w:sz w:val="32"/>
          <w:szCs w:val="32"/>
          <w:highlight w:val="none"/>
        </w:rPr>
      </w:pPr>
      <w:bookmarkStart w:id="425" w:name="_Toc17010"/>
      <w:bookmarkStart w:id="426" w:name="_Toc9120"/>
      <w:r>
        <w:rPr>
          <w:rFonts w:hint="eastAsia" w:ascii="仿宋" w:hAnsi="仿宋" w:eastAsia="仿宋" w:cs="仿宋"/>
          <w:b/>
          <w:color w:val="auto"/>
          <w:sz w:val="32"/>
          <w:szCs w:val="32"/>
          <w:highlight w:val="none"/>
        </w:rPr>
        <w:t>（另册发放）</w:t>
      </w:r>
      <w:bookmarkEnd w:id="425"/>
      <w:bookmarkEnd w:id="426"/>
    </w:p>
    <w:p>
      <w:pPr>
        <w:spacing w:line="360" w:lineRule="auto"/>
        <w:jc w:val="center"/>
        <w:outlineLvl w:val="0"/>
        <w:rPr>
          <w:rFonts w:ascii="仿宋" w:hAnsi="仿宋" w:eastAsia="仿宋" w:cs="仿宋"/>
          <w:b/>
          <w:color w:val="auto"/>
          <w:sz w:val="32"/>
          <w:szCs w:val="32"/>
          <w:highlight w:val="none"/>
        </w:rPr>
      </w:pPr>
    </w:p>
    <w:p>
      <w:pPr>
        <w:pStyle w:val="2"/>
        <w:spacing w:line="360" w:lineRule="auto"/>
        <w:jc w:val="center"/>
        <w:rPr>
          <w:color w:val="auto"/>
          <w:highlight w:val="none"/>
        </w:rPr>
      </w:pPr>
      <w:bookmarkStart w:id="427" w:name="_Toc30631"/>
      <w:bookmarkStart w:id="428" w:name="_Toc326217563"/>
      <w:r>
        <w:rPr>
          <w:rFonts w:hint="eastAsia" w:ascii="仿宋" w:hAnsi="仿宋" w:eastAsia="仿宋" w:cs="仿宋"/>
          <w:color w:val="auto"/>
          <w:sz w:val="32"/>
          <w:szCs w:val="32"/>
          <w:highlight w:val="none"/>
        </w:rPr>
        <w:t>第五章 工程量清单</w:t>
      </w:r>
      <w:bookmarkEnd w:id="427"/>
    </w:p>
    <w:p>
      <w:pPr>
        <w:pStyle w:val="3"/>
        <w:rPr>
          <w:rFonts w:ascii="仿宋" w:hAnsi="仿宋" w:eastAsia="仿宋" w:cs="仿宋"/>
          <w:color w:val="auto"/>
          <w:highlight w:val="none"/>
        </w:rPr>
      </w:pPr>
      <w:bookmarkStart w:id="429" w:name="_Toc8227"/>
      <w:bookmarkStart w:id="430" w:name="_Toc10957"/>
      <w:bookmarkStart w:id="431" w:name="_Toc23717"/>
      <w:r>
        <w:rPr>
          <w:rFonts w:hint="eastAsia" w:ascii="仿宋" w:hAnsi="仿宋" w:eastAsia="仿宋" w:cs="仿宋"/>
          <w:color w:val="auto"/>
          <w:highlight w:val="none"/>
        </w:rPr>
        <w:t>1.招标控制价编制说明</w:t>
      </w:r>
      <w:bookmarkEnd w:id="429"/>
      <w:bookmarkEnd w:id="430"/>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bCs/>
          <w:color w:val="auto"/>
          <w:szCs w:val="21"/>
          <w:highlight w:val="none"/>
        </w:rPr>
        <w:t>2</w:t>
      </w:r>
      <w:r>
        <w:rPr>
          <w:rFonts w:hint="eastAsia" w:ascii="仿宋" w:hAnsi="仿宋" w:eastAsia="仿宋" w:cs="仿宋"/>
          <w:color w:val="auto"/>
          <w:szCs w:val="21"/>
          <w:highlight w:val="none"/>
        </w:rPr>
        <w:t>.1 招标控制价编制依据：</w:t>
      </w:r>
    </w:p>
    <w:p>
      <w:pPr>
        <w:spacing w:line="360" w:lineRule="auto"/>
        <w:ind w:firstLine="632" w:firstLineChars="3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1、编制资料：广西荣域建设工程有限公司设计的“国家税务总局贺州市税务局附属用房维修工程设计装饰方案”(装饰设计施工图纸)。</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2、工程量清单：《建设工程工程量清单计价规范》（GB-50500-2013）、《〈建设工程工程量计算规范〉（GB50854~50862-2013）广西壮族自治区实施细则（修订本））》、《房屋建筑与装饰工程工程量计算规范》（GB50854-2013）、《通用安装工程工程量计算规范》（GB50856-2013）以及《建设工程造价咨询规范》GB/T51095-2015；</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3、计价定额：2013年《广西壮族自治区建筑装饰装修工程消耗量定额》，2015年版《广西壮族自治区安装工程消耗量定额》以及现行配套的相关文件规定进行计价。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4、《自治区住房城乡建设厅关于颁布2016年（广西壮族自治区建设工程费用定额）的通知》（桂建标〔2016〕16号）。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5、《自治区住房城乡建设厅关于建筑业实施营业税改增值税后广西壮族自治区建设工程计价依据调整的通知》（桂建标〔2016〕17号）。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6、《自治区住房城乡建设厅关于调整建设工程计价增值税税率的通知》（桂建标〔2018〕14号）。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7、《自治区住房城乡建设厅关于调整建设工程定额人工费及有关费率的通知》（桂建标〔2018〕19号）。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8、材料价格：按2020年第3期《贺州市建设工程造价信息》公布的材料价格取定及同期《南宁建设工程造价信息》综合考虑，不足部分材料按市场询价。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9、《住房和城乡建设部办公厅关于重新调整建设工程计价依据增值税税率的通知》（建办标函[2019]193号）。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  10、与建设工程项目有关的标准、规范、技术资料及其他相关资料。</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2.2 分部分项及单价措施项目综合单价应包括招标文件中招标人要求磋商供应商所承担的风险内容及其范围（幅度）产生的风险费用。</w:t>
      </w:r>
    </w:p>
    <w:p>
      <w:pPr>
        <w:spacing w:line="360" w:lineRule="auto"/>
        <w:ind w:firstLine="420"/>
        <w:rPr>
          <w:rFonts w:ascii="仿宋" w:hAnsi="仿宋" w:eastAsia="仿宋" w:cs="仿宋"/>
          <w:color w:val="auto"/>
          <w:szCs w:val="21"/>
          <w:highlight w:val="none"/>
        </w:rPr>
      </w:pPr>
      <w:r>
        <w:rPr>
          <w:rFonts w:hint="eastAsia" w:ascii="仿宋" w:hAnsi="仿宋" w:eastAsia="仿宋" w:cs="仿宋"/>
          <w:color w:val="auto"/>
          <w:highlight w:val="none"/>
        </w:rPr>
        <w:t xml:space="preserve">2.3 </w:t>
      </w:r>
      <w:r>
        <w:rPr>
          <w:rFonts w:hint="eastAsia" w:ascii="仿宋" w:hAnsi="仿宋" w:eastAsia="仿宋" w:cs="仿宋"/>
          <w:color w:val="auto"/>
          <w:szCs w:val="21"/>
          <w:highlight w:val="none"/>
        </w:rPr>
        <w:t>总价措施项目应根据拟定的竞争性磋商采购文件和常规施工方案按《计价规范》和《计算规范》规定编制。</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2.4 其他项目费应按下列规定报价：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（1）暂列金额应按招标工程量清单中列出的金额填写；</w:t>
      </w:r>
    </w:p>
    <w:p>
      <w:pPr>
        <w:pStyle w:val="182"/>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（2）材料、工程设备暂估价应按招标工程量清单中列出的单价计入综合单价；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（3）专业工程暂估价应按招标工程量清单中列出的金额填写；</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（4）计日工应按招标工程量清单中列出的项目和数量，根据工程特点和有关计价依据确定的综合单价计算；</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2.5 规费和税金应按规定确定，作为不可竞争费用。</w:t>
      </w:r>
    </w:p>
    <w:p>
      <w:pPr>
        <w:spacing w:line="360" w:lineRule="auto"/>
        <w:ind w:firstLine="420" w:firstLineChars="200"/>
        <w:rPr>
          <w:rFonts w:ascii="仿宋" w:hAnsi="仿宋" w:eastAsia="仿宋" w:cs="仿宋"/>
          <w:color w:val="auto"/>
          <w:szCs w:val="21"/>
          <w:highlight w:val="none"/>
        </w:rPr>
      </w:pPr>
    </w:p>
    <w:p>
      <w:pPr>
        <w:spacing w:line="360" w:lineRule="auto"/>
        <w:ind w:firstLine="420"/>
        <w:rPr>
          <w:rFonts w:ascii="仿宋" w:hAnsi="仿宋" w:eastAsia="仿宋" w:cs="仿宋"/>
          <w:color w:val="auto"/>
          <w:szCs w:val="21"/>
          <w:highlight w:val="none"/>
          <w:u w:val="single"/>
        </w:rPr>
      </w:pPr>
      <w:r>
        <w:rPr>
          <w:rFonts w:hint="eastAsia" w:ascii="仿宋" w:hAnsi="仿宋" w:eastAsia="仿宋" w:cs="仿宋"/>
          <w:color w:val="auto"/>
          <w:szCs w:val="21"/>
          <w:highlight w:val="none"/>
        </w:rPr>
        <w:t>2.6 其它需要说明的问题：</w:t>
      </w:r>
      <w:r>
        <w:rPr>
          <w:rFonts w:hint="eastAsia" w:ascii="仿宋" w:hAnsi="仿宋" w:eastAsia="仿宋" w:cs="仿宋"/>
          <w:color w:val="auto"/>
          <w:szCs w:val="21"/>
          <w:highlight w:val="none"/>
          <w:u w:val="single"/>
        </w:rPr>
        <w:t xml:space="preserve">                                                       </w:t>
      </w:r>
    </w:p>
    <w:p>
      <w:pPr>
        <w:spacing w:line="360" w:lineRule="auto"/>
        <w:rPr>
          <w:rFonts w:ascii="仿宋" w:hAnsi="仿宋" w:eastAsia="仿宋" w:cs="仿宋"/>
          <w:color w:val="auto"/>
          <w:highlight w:val="none"/>
          <w:u w:val="none"/>
        </w:rPr>
      </w:pPr>
      <w:r>
        <w:rPr>
          <w:rFonts w:hint="eastAsia" w:ascii="仿宋" w:hAnsi="仿宋" w:eastAsia="仿宋" w:cs="仿宋"/>
          <w:color w:val="auto"/>
          <w:highlight w:val="none"/>
          <w:u w:val="none"/>
        </w:rPr>
        <w:t xml:space="preserve">       1、本工程原设计时间为1998年，拟维修改造施工图纸不尽详细，但</w:t>
      </w:r>
      <w:r>
        <w:rPr>
          <w:rFonts w:hint="eastAsia" w:ascii="仿宋" w:hAnsi="仿宋" w:eastAsia="仿宋" w:cs="仿宋"/>
          <w:color w:val="auto"/>
          <w:szCs w:val="21"/>
          <w:highlight w:val="none"/>
          <w:u w:val="none"/>
        </w:rPr>
        <w:t>编制招标工程量清单时，已充分考虑到项目工程量数量、价格等方面风险和合理的利润</w:t>
      </w:r>
      <w:r>
        <w:rPr>
          <w:rFonts w:hint="eastAsia" w:ascii="仿宋" w:hAnsi="仿宋" w:eastAsia="仿宋" w:cs="仿宋"/>
          <w:color w:val="auto"/>
          <w:highlight w:val="none"/>
          <w:u w:val="none"/>
        </w:rPr>
        <w:t>，采用总价合同方式，在本次招标范围内工程内容的工程量增加或减少，合同总价款不作调整。</w:t>
      </w:r>
    </w:p>
    <w:p>
      <w:pPr>
        <w:spacing w:line="360" w:lineRule="auto"/>
        <w:rPr>
          <w:rFonts w:ascii="仿宋" w:hAnsi="仿宋" w:eastAsia="仿宋" w:cs="仿宋"/>
          <w:color w:val="auto"/>
          <w:highlight w:val="none"/>
          <w:u w:val="none"/>
        </w:rPr>
      </w:pPr>
      <w:r>
        <w:rPr>
          <w:rFonts w:hint="eastAsia" w:ascii="仿宋" w:hAnsi="仿宋" w:eastAsia="仿宋" w:cs="仿宋"/>
          <w:color w:val="auto"/>
          <w:highlight w:val="none"/>
          <w:u w:val="none"/>
        </w:rPr>
        <w:t xml:space="preserve">    2、工程采用一般计税法，计价软件：博奥V17版；</w:t>
      </w:r>
    </w:p>
    <w:p>
      <w:pPr>
        <w:spacing w:line="360" w:lineRule="auto"/>
        <w:rPr>
          <w:rFonts w:ascii="仿宋" w:hAnsi="仿宋" w:eastAsia="仿宋" w:cs="仿宋"/>
          <w:color w:val="auto"/>
          <w:highlight w:val="none"/>
          <w:u w:val="none"/>
        </w:rPr>
      </w:pPr>
      <w:r>
        <w:rPr>
          <w:rFonts w:hint="eastAsia" w:ascii="仿宋" w:hAnsi="仿宋" w:eastAsia="仿宋" w:cs="仿宋"/>
          <w:color w:val="auto"/>
          <w:highlight w:val="none"/>
          <w:u w:val="none"/>
        </w:rPr>
        <w:t xml:space="preserve">    3、弃土运距:暂按10k           。</w:t>
      </w:r>
    </w:p>
    <w:p>
      <w:pPr>
        <w:pStyle w:val="3"/>
        <w:rPr>
          <w:rFonts w:ascii="仿宋" w:hAnsi="仿宋" w:eastAsia="仿宋" w:cs="仿宋"/>
          <w:color w:val="auto"/>
          <w:szCs w:val="21"/>
          <w:highlight w:val="none"/>
        </w:rPr>
      </w:pPr>
      <w:bookmarkStart w:id="432" w:name="_Toc407135286"/>
      <w:bookmarkStart w:id="433" w:name="_Toc490471842"/>
      <w:bookmarkStart w:id="434" w:name="_Toc22594"/>
      <w:bookmarkStart w:id="435" w:name="_Toc17561"/>
      <w:r>
        <w:rPr>
          <w:rFonts w:hint="eastAsia" w:ascii="仿宋" w:hAnsi="仿宋" w:eastAsia="仿宋" w:cs="仿宋"/>
          <w:color w:val="auto"/>
          <w:highlight w:val="none"/>
        </w:rPr>
        <w:t>2. 磋商报价（已标价工程量清单）编制说明</w:t>
      </w:r>
      <w:bookmarkEnd w:id="432"/>
      <w:bookmarkEnd w:id="433"/>
      <w:bookmarkEnd w:id="434"/>
      <w:bookmarkEnd w:id="435"/>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3.1 磋商供应商应依据招标文件、招标工程量清单以及《计价规范》、《计算规范》自主报价，自主报价不得违反计价规范强制性条文规定。磋商供应商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3.2 磋商供应商应按招标工程量清单填报价格。项目编码、项目名称、项目特征、计量单位、工程量必须与招标工程量清单一致，磋商供应商不得对招标工程量清单项目进行增减调整。</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3.3 综合单价中应包含招标文件中划分的应有磋商供应商承担的风险范围及其费用。</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3.4 分部分项工程项目和单价措施项目，应根据招标文件和招标工程量清单项目中的特征描述确定综合单价计算。如出现招标工程量清单特征描述与设计图纸不符时，磋商供应商应以招标工程量清单的项目特征描述为准，确定磋商报价的综合单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3.5 总价措施项目的金额应根据招标文件及磋商时拟定的施工组织设计或施工方案，按计价规范的规定自主确定。但安全文明施工费按有关规定执行，作为不竞争费用单列。</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3.6 其他项目费应按下列规定报价：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（1）暂列金额应按招标工程量清单中列出的金额填写；</w:t>
      </w:r>
    </w:p>
    <w:p>
      <w:pPr>
        <w:pStyle w:val="182"/>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（2）材料、工程设备暂估价应按招标工程量清单中列出的单价计入综合单价；</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（3）专业工程暂估价应按招标工程量清单中列出的金额填写；</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（4）计日工应按招标工程量清单中列出的项目和数量，自主确定综合单价并计算计日工总额；</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（5）总承包服务费应根据招标工程量清单中列出的内容和供应材料、设备情况，按照招标人提出的协调、配合与服务要求和施工现场管理需要自主确定。</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3.7 规费和税金应按规定确定，作为不可竞争费用，且规费中的建安劳保费要单列。</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3.8 招标工程量清单与计价表中列明的所有需要填写的单价和合价的项目，磋商供应商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3.9 磋商总价应当与分部分项工程费、措施项目费、其他项目费和规费、税金的合计金额一致。</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3.10 因分部分项工程量清单漏项、设计变更、相关签证引起工程项目、工程量任何变化的，变更合同价款按专用合同条款中变更估价原则处理。</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3.11 磋商供应商应按《承包人提供的主要材料和设备一览表》的内容填报，不得擅自调整材料和设备名称型号规格、单位、风险系数、基准单价。</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szCs w:val="21"/>
          <w:highlight w:val="none"/>
        </w:rPr>
        <w:t>3.12磋商报价表格按本工程工程量清单表格要求填写，并</w:t>
      </w:r>
      <w:r>
        <w:rPr>
          <w:rFonts w:hint="eastAsia" w:ascii="仿宋" w:hAnsi="仿宋" w:eastAsia="仿宋" w:cs="仿宋"/>
          <w:color w:val="auto"/>
          <w:highlight w:val="none"/>
        </w:rPr>
        <w:t>应按招标文件的要求，附上《工程量清单综合单价分析表》（表-09）和《主要清单项目工料机分析表》（表-10）。</w:t>
      </w:r>
    </w:p>
    <w:p>
      <w:pPr>
        <w:spacing w:line="360"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未尽事宜详见本工程招标工程量清单、招标控制价编制说明以及现行《计价规范》等有关规定执行。</w:t>
      </w:r>
    </w:p>
    <w:p>
      <w:pPr>
        <w:spacing w:line="360" w:lineRule="auto"/>
        <w:jc w:val="center"/>
        <w:outlineLvl w:val="0"/>
        <w:rPr>
          <w:rFonts w:ascii="仿宋" w:hAnsi="仿宋" w:eastAsia="仿宋" w:cs="仿宋"/>
          <w:color w:val="auto"/>
          <w:highlight w:val="none"/>
        </w:rPr>
      </w:pPr>
      <w:r>
        <w:rPr>
          <w:rFonts w:hint="eastAsia" w:ascii="仿宋" w:hAnsi="仿宋" w:eastAsia="仿宋" w:cs="仿宋"/>
          <w:color w:val="auto"/>
          <w:sz w:val="24"/>
          <w:highlight w:val="none"/>
        </w:rPr>
        <w:br w:type="page"/>
      </w:r>
      <w:bookmarkEnd w:id="428"/>
      <w:bookmarkStart w:id="436" w:name="_Toc326217564"/>
      <w:bookmarkStart w:id="437" w:name="_Toc32387"/>
      <w:bookmarkStart w:id="438" w:name="_Toc9791"/>
      <w:bookmarkStart w:id="439" w:name="_Toc23212"/>
      <w:r>
        <w:rPr>
          <w:rFonts w:hint="eastAsia" w:ascii="仿宋" w:hAnsi="仿宋" w:eastAsia="仿宋" w:cs="仿宋"/>
          <w:b/>
          <w:color w:val="auto"/>
          <w:sz w:val="32"/>
          <w:szCs w:val="32"/>
          <w:highlight w:val="none"/>
        </w:rPr>
        <w:t>第六章 响应文件格式</w:t>
      </w:r>
      <w:bookmarkEnd w:id="431"/>
      <w:bookmarkEnd w:id="436"/>
      <w:bookmarkEnd w:id="437"/>
      <w:bookmarkEnd w:id="438"/>
      <w:bookmarkEnd w:id="439"/>
    </w:p>
    <w:p>
      <w:pPr>
        <w:pStyle w:val="27"/>
        <w:snapToGrid w:val="0"/>
        <w:spacing w:before="120" w:after="120"/>
        <w:outlineLvl w:val="1"/>
        <w:rPr>
          <w:rFonts w:ascii="仿宋" w:hAnsi="仿宋" w:eastAsia="仿宋" w:cs="仿宋"/>
          <w:b/>
          <w:color w:val="auto"/>
          <w:sz w:val="24"/>
          <w:szCs w:val="24"/>
          <w:highlight w:val="none"/>
        </w:rPr>
      </w:pPr>
      <w:bookmarkStart w:id="440" w:name="_Toc293863331"/>
      <w:bookmarkStart w:id="441" w:name="_Toc293863061"/>
      <w:bookmarkStart w:id="442" w:name="_Toc301424939"/>
      <w:bookmarkStart w:id="443" w:name="_Toc326217565"/>
      <w:bookmarkStart w:id="444" w:name="_Toc4780"/>
      <w:bookmarkStart w:id="445" w:name="_Toc28372"/>
      <w:bookmarkStart w:id="446" w:name="_Toc23401"/>
      <w:bookmarkStart w:id="447" w:name="_Toc13951"/>
      <w:r>
        <w:rPr>
          <w:rFonts w:hint="eastAsia" w:ascii="仿宋" w:hAnsi="仿宋" w:eastAsia="仿宋" w:cs="仿宋"/>
          <w:b/>
          <w:color w:val="auto"/>
          <w:sz w:val="24"/>
          <w:szCs w:val="24"/>
          <w:highlight w:val="none"/>
        </w:rPr>
        <w:t>一、响应文件外层包装封面及响应文件外封面格式</w:t>
      </w:r>
      <w:bookmarkEnd w:id="440"/>
      <w:bookmarkEnd w:id="441"/>
      <w:bookmarkEnd w:id="442"/>
      <w:bookmarkEnd w:id="443"/>
      <w:bookmarkEnd w:id="444"/>
      <w:bookmarkEnd w:id="445"/>
      <w:bookmarkEnd w:id="446"/>
      <w:bookmarkEnd w:id="447"/>
    </w:p>
    <w:p>
      <w:pPr>
        <w:snapToGrid w:val="0"/>
        <w:spacing w:before="120" w:beforeLines="50" w:after="50"/>
        <w:rPr>
          <w:rFonts w:ascii="仿宋" w:hAnsi="仿宋" w:eastAsia="仿宋" w:cs="仿宋"/>
          <w:b/>
          <w:color w:val="auto"/>
          <w:sz w:val="24"/>
          <w:highlight w:val="none"/>
        </w:rPr>
      </w:pPr>
      <w:bookmarkStart w:id="448" w:name="_Toc293863332"/>
      <w:bookmarkStart w:id="449" w:name="_Toc293863062"/>
    </w:p>
    <w:p>
      <w:pPr>
        <w:pStyle w:val="27"/>
        <w:snapToGrid w:val="0"/>
        <w:spacing w:before="120" w:after="120"/>
        <w:outlineLvl w:val="1"/>
        <w:rPr>
          <w:rFonts w:ascii="仿宋" w:hAnsi="仿宋" w:eastAsia="仿宋" w:cs="仿宋"/>
          <w:b/>
          <w:color w:val="auto"/>
          <w:sz w:val="24"/>
          <w:szCs w:val="24"/>
          <w:highlight w:val="none"/>
        </w:rPr>
      </w:pPr>
      <w:bookmarkStart w:id="450" w:name="_Toc301424940"/>
      <w:bookmarkStart w:id="451" w:name="_Toc326217566"/>
      <w:bookmarkStart w:id="452" w:name="_Toc29858"/>
      <w:bookmarkStart w:id="453" w:name="_Toc28789"/>
      <w:bookmarkStart w:id="454" w:name="_Toc6141"/>
      <w:bookmarkStart w:id="455" w:name="_Toc12183"/>
      <w:r>
        <w:rPr>
          <w:rFonts w:hint="eastAsia" w:ascii="仿宋" w:hAnsi="仿宋" w:eastAsia="仿宋" w:cs="仿宋"/>
          <w:b/>
          <w:color w:val="auto"/>
          <w:sz w:val="24"/>
          <w:szCs w:val="24"/>
          <w:highlight w:val="none"/>
        </w:rPr>
        <w:t>1、所有响应文件的外包装封面格式（格式可自拟）：</w:t>
      </w:r>
      <w:bookmarkEnd w:id="448"/>
      <w:bookmarkEnd w:id="449"/>
      <w:bookmarkEnd w:id="450"/>
      <w:bookmarkEnd w:id="451"/>
      <w:bookmarkEnd w:id="452"/>
      <w:bookmarkEnd w:id="453"/>
      <w:bookmarkEnd w:id="454"/>
      <w:bookmarkEnd w:id="455"/>
    </w:p>
    <w:p>
      <w:pPr>
        <w:snapToGrid w:val="0"/>
        <w:spacing w:before="120" w:beforeLines="50" w:after="50"/>
        <w:rPr>
          <w:rFonts w:ascii="仿宋" w:hAnsi="仿宋" w:eastAsia="仿宋" w:cs="仿宋"/>
          <w:color w:val="auto"/>
          <w:sz w:val="24"/>
          <w:szCs w:val="20"/>
          <w:highlight w:val="none"/>
        </w:rPr>
      </w:pPr>
    </w:p>
    <w:p>
      <w:pPr>
        <w:snapToGrid w:val="0"/>
        <w:spacing w:before="120" w:beforeLines="50" w:after="50"/>
        <w:jc w:val="center"/>
        <w:rPr>
          <w:rFonts w:ascii="仿宋" w:hAnsi="仿宋" w:eastAsia="仿宋" w:cs="仿宋"/>
          <w:bCs/>
          <w:color w:val="auto"/>
          <w:sz w:val="24"/>
          <w:szCs w:val="20"/>
          <w:highlight w:val="none"/>
        </w:rPr>
      </w:pPr>
    </w:p>
    <w:p>
      <w:pPr>
        <w:snapToGrid w:val="0"/>
        <w:spacing w:before="120" w:beforeLines="50" w:after="50"/>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竞争性磋商响应文件</w:t>
      </w:r>
    </w:p>
    <w:p>
      <w:pPr>
        <w:snapToGrid w:val="0"/>
        <w:spacing w:before="120" w:beforeLines="50" w:after="50"/>
        <w:rPr>
          <w:rFonts w:ascii="仿宋" w:hAnsi="仿宋" w:eastAsia="仿宋" w:cs="仿宋"/>
          <w:bCs/>
          <w:color w:val="auto"/>
          <w:sz w:val="24"/>
          <w:szCs w:val="20"/>
          <w:highlight w:val="none"/>
        </w:rPr>
      </w:pP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项目名称： </w:t>
      </w: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项目编号： </w:t>
      </w:r>
    </w:p>
    <w:p>
      <w:pPr>
        <w:snapToGrid w:val="0"/>
        <w:spacing w:before="120" w:beforeLines="50" w:after="50"/>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pStyle w:val="8"/>
        <w:snapToGrid w:val="0"/>
        <w:spacing w:before="50" w:after="50"/>
        <w:ind w:firstLine="1164" w:firstLineChars="416"/>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供应商名称：盖章</w:t>
      </w:r>
    </w:p>
    <w:p>
      <w:pPr>
        <w:pStyle w:val="8"/>
        <w:snapToGrid w:val="0"/>
        <w:spacing w:before="50" w:after="50"/>
        <w:ind w:firstLine="1164" w:firstLineChars="416"/>
        <w:rPr>
          <w:rFonts w:ascii="仿宋" w:hAnsi="仿宋" w:eastAsia="仿宋" w:cs="仿宋"/>
          <w:bCs/>
          <w:color w:val="auto"/>
          <w:sz w:val="28"/>
          <w:szCs w:val="28"/>
          <w:highlight w:val="none"/>
        </w:rPr>
      </w:pPr>
    </w:p>
    <w:p>
      <w:pPr>
        <w:pStyle w:val="8"/>
        <w:snapToGrid w:val="0"/>
        <w:spacing w:before="50" w:after="50"/>
        <w:ind w:firstLine="1164" w:firstLineChars="416"/>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供应商地址：</w:t>
      </w:r>
    </w:p>
    <w:p>
      <w:pPr>
        <w:pStyle w:val="8"/>
        <w:snapToGrid w:val="0"/>
        <w:spacing w:before="50" w:after="50"/>
        <w:ind w:firstLine="1164" w:firstLineChars="416"/>
        <w:rPr>
          <w:rFonts w:ascii="仿宋" w:hAnsi="仿宋" w:eastAsia="仿宋" w:cs="仿宋"/>
          <w:bCs/>
          <w:color w:val="auto"/>
          <w:sz w:val="28"/>
          <w:szCs w:val="28"/>
          <w:highlight w:val="none"/>
        </w:rPr>
      </w:pPr>
    </w:p>
    <w:p>
      <w:pPr>
        <w:pStyle w:val="8"/>
        <w:snapToGrid w:val="0"/>
        <w:spacing w:before="50" w:after="50"/>
        <w:ind w:firstLine="1120" w:firstLineChars="4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在×年×月×日×时×分前不得启封（开标时才能启封）</w:t>
      </w:r>
    </w:p>
    <w:p>
      <w:pPr>
        <w:snapToGrid w:val="0"/>
        <w:spacing w:before="120" w:beforeLines="50" w:after="50"/>
        <w:ind w:firstLine="4760" w:firstLineChars="1700"/>
        <w:rPr>
          <w:rFonts w:ascii="仿宋" w:hAnsi="仿宋" w:eastAsia="仿宋" w:cs="仿宋"/>
          <w:bCs/>
          <w:color w:val="auto"/>
          <w:sz w:val="28"/>
          <w:szCs w:val="28"/>
          <w:highlight w:val="none"/>
        </w:rPr>
      </w:pPr>
    </w:p>
    <w:p>
      <w:pPr>
        <w:snapToGrid w:val="0"/>
        <w:spacing w:before="120" w:beforeLines="50" w:after="50"/>
        <w:ind w:firstLine="645"/>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年  月  日</w:t>
      </w:r>
    </w:p>
    <w:p>
      <w:pPr>
        <w:snapToGrid w:val="0"/>
        <w:spacing w:before="120" w:beforeLines="50" w:after="50"/>
        <w:ind w:firstLine="645"/>
        <w:rPr>
          <w:rFonts w:ascii="仿宋" w:hAnsi="仿宋" w:eastAsia="仿宋" w:cs="仿宋"/>
          <w:bCs/>
          <w:color w:val="auto"/>
          <w:sz w:val="24"/>
          <w:highlight w:val="none"/>
        </w:rPr>
      </w:pPr>
    </w:p>
    <w:p>
      <w:pPr>
        <w:pStyle w:val="27"/>
        <w:snapToGrid w:val="0"/>
        <w:spacing w:before="120" w:after="120"/>
        <w:outlineLvl w:val="0"/>
        <w:rPr>
          <w:rFonts w:ascii="仿宋" w:hAnsi="仿宋" w:eastAsia="仿宋" w:cs="仿宋"/>
          <w:b/>
          <w:color w:val="auto"/>
          <w:sz w:val="24"/>
          <w:szCs w:val="24"/>
          <w:highlight w:val="none"/>
        </w:rPr>
      </w:pPr>
      <w:r>
        <w:rPr>
          <w:rFonts w:hint="eastAsia" w:ascii="仿宋" w:hAnsi="仿宋" w:eastAsia="仿宋" w:cs="仿宋"/>
          <w:b/>
          <w:color w:val="auto"/>
          <w:highlight w:val="none"/>
        </w:rPr>
        <w:br w:type="page"/>
      </w:r>
      <w:bookmarkStart w:id="456" w:name="_Toc301424941"/>
      <w:bookmarkStart w:id="457" w:name="_Toc326217567"/>
      <w:bookmarkStart w:id="458" w:name="_Toc31903"/>
      <w:bookmarkStart w:id="459" w:name="_Toc15476"/>
      <w:bookmarkStart w:id="460" w:name="_Toc25020"/>
      <w:bookmarkStart w:id="461" w:name="_Toc10886"/>
      <w:r>
        <w:rPr>
          <w:rFonts w:hint="eastAsia" w:ascii="仿宋" w:hAnsi="仿宋" w:eastAsia="仿宋" w:cs="仿宋"/>
          <w:b/>
          <w:color w:val="auto"/>
          <w:sz w:val="24"/>
          <w:szCs w:val="24"/>
          <w:highlight w:val="none"/>
        </w:rPr>
        <w:t>2、响应文件外封面格式（格式可自拟）：</w:t>
      </w:r>
      <w:bookmarkEnd w:id="456"/>
      <w:bookmarkEnd w:id="457"/>
      <w:bookmarkEnd w:id="458"/>
      <w:bookmarkEnd w:id="459"/>
      <w:bookmarkEnd w:id="460"/>
      <w:bookmarkEnd w:id="461"/>
    </w:p>
    <w:p>
      <w:pPr>
        <w:snapToGrid w:val="0"/>
        <w:spacing w:before="120" w:beforeLines="50" w:after="50"/>
        <w:ind w:firstLine="8160" w:firstLineChars="3400"/>
        <w:rPr>
          <w:rFonts w:ascii="仿宋" w:hAnsi="仿宋" w:eastAsia="仿宋" w:cs="仿宋"/>
          <w:bCs/>
          <w:color w:val="auto"/>
          <w:sz w:val="24"/>
          <w:highlight w:val="none"/>
        </w:rPr>
      </w:pPr>
      <w:r>
        <w:rPr>
          <w:rFonts w:hint="eastAsia" w:ascii="仿宋" w:hAnsi="仿宋" w:eastAsia="仿宋" w:cs="仿宋"/>
          <w:bCs/>
          <w:color w:val="auto"/>
          <w:sz w:val="24"/>
          <w:highlight w:val="none"/>
        </w:rPr>
        <w:t>正本/或副本</w:t>
      </w:r>
    </w:p>
    <w:p>
      <w:pPr>
        <w:snapToGrid w:val="0"/>
        <w:spacing w:before="120" w:beforeLines="50" w:after="50"/>
        <w:rPr>
          <w:rFonts w:ascii="仿宋" w:hAnsi="仿宋" w:eastAsia="仿宋" w:cs="仿宋"/>
          <w:color w:val="auto"/>
          <w:sz w:val="24"/>
          <w:szCs w:val="20"/>
          <w:highlight w:val="none"/>
        </w:rPr>
      </w:pPr>
    </w:p>
    <w:p>
      <w:pPr>
        <w:snapToGrid w:val="0"/>
        <w:spacing w:before="120" w:beforeLines="50" w:after="50"/>
        <w:jc w:val="center"/>
        <w:rPr>
          <w:rFonts w:ascii="仿宋" w:hAnsi="仿宋" w:eastAsia="仿宋" w:cs="仿宋"/>
          <w:bCs/>
          <w:color w:val="auto"/>
          <w:sz w:val="24"/>
          <w:szCs w:val="20"/>
          <w:highlight w:val="none"/>
        </w:rPr>
      </w:pPr>
    </w:p>
    <w:p>
      <w:pPr>
        <w:snapToGrid w:val="0"/>
        <w:spacing w:before="120" w:beforeLines="50" w:after="50"/>
        <w:jc w:val="center"/>
        <w:rPr>
          <w:rFonts w:ascii="仿宋" w:hAnsi="仿宋" w:eastAsia="仿宋" w:cs="仿宋"/>
          <w:bCs/>
          <w:color w:val="auto"/>
          <w:sz w:val="24"/>
          <w:szCs w:val="20"/>
          <w:highlight w:val="none"/>
        </w:rPr>
      </w:pPr>
      <w:r>
        <w:rPr>
          <w:rFonts w:hint="eastAsia" w:ascii="仿宋" w:hAnsi="仿宋" w:eastAsia="仿宋" w:cs="仿宋"/>
          <w:b/>
          <w:bCs/>
          <w:color w:val="auto"/>
          <w:sz w:val="52"/>
          <w:szCs w:val="52"/>
          <w:highlight w:val="none"/>
        </w:rPr>
        <w:t>竞争性磋商响应文件</w:t>
      </w:r>
    </w:p>
    <w:p>
      <w:pPr>
        <w:snapToGrid w:val="0"/>
        <w:spacing w:before="120" w:beforeLines="50" w:after="50"/>
        <w:ind w:firstLine="943" w:firstLineChars="393"/>
        <w:rPr>
          <w:rFonts w:ascii="仿宋" w:hAnsi="仿宋" w:eastAsia="仿宋" w:cs="仿宋"/>
          <w:bCs/>
          <w:color w:val="auto"/>
          <w:sz w:val="24"/>
          <w:highlight w:val="none"/>
        </w:rPr>
      </w:pP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项目名称： </w:t>
      </w: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snapToGrid w:val="0"/>
        <w:spacing w:before="120" w:beforeLines="50" w:after="50"/>
        <w:ind w:firstLine="1100" w:firstLineChars="393"/>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项目编号： </w:t>
      </w:r>
    </w:p>
    <w:p>
      <w:pPr>
        <w:snapToGrid w:val="0"/>
        <w:spacing w:before="120" w:beforeLines="50" w:after="50"/>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pStyle w:val="8"/>
        <w:snapToGrid w:val="0"/>
        <w:spacing w:before="50" w:after="50"/>
        <w:ind w:firstLine="1164" w:firstLineChars="416"/>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供应商名称：盖章</w:t>
      </w:r>
    </w:p>
    <w:p>
      <w:pPr>
        <w:snapToGrid w:val="0"/>
        <w:spacing w:before="120" w:beforeLines="50" w:after="50"/>
        <w:ind w:firstLine="560" w:firstLineChars="200"/>
        <w:rPr>
          <w:rFonts w:ascii="仿宋" w:hAnsi="仿宋" w:eastAsia="仿宋" w:cs="仿宋"/>
          <w:bCs/>
          <w:color w:val="auto"/>
          <w:sz w:val="28"/>
          <w:szCs w:val="28"/>
          <w:highlight w:val="none"/>
        </w:rPr>
      </w:pPr>
    </w:p>
    <w:p>
      <w:pPr>
        <w:pStyle w:val="8"/>
        <w:snapToGrid w:val="0"/>
        <w:spacing w:before="50" w:after="50"/>
        <w:ind w:firstLine="1164" w:firstLineChars="416"/>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法定代表人或委托代理人签字：</w:t>
      </w:r>
    </w:p>
    <w:p>
      <w:pPr>
        <w:pStyle w:val="8"/>
        <w:snapToGrid w:val="0"/>
        <w:spacing w:before="50" w:after="50"/>
        <w:ind w:firstLine="1120" w:firstLineChars="400"/>
        <w:rPr>
          <w:rFonts w:ascii="仿宋" w:hAnsi="仿宋" w:eastAsia="仿宋" w:cs="仿宋"/>
          <w:bCs/>
          <w:color w:val="auto"/>
          <w:sz w:val="28"/>
          <w:szCs w:val="28"/>
          <w:highlight w:val="none"/>
        </w:rPr>
      </w:pPr>
    </w:p>
    <w:p>
      <w:pPr>
        <w:pStyle w:val="8"/>
        <w:snapToGrid w:val="0"/>
        <w:spacing w:before="50" w:after="50"/>
        <w:ind w:firstLine="1120" w:firstLineChars="400"/>
        <w:rPr>
          <w:rFonts w:ascii="仿宋" w:hAnsi="仿宋" w:eastAsia="仿宋" w:cs="仿宋"/>
          <w:bCs/>
          <w:color w:val="auto"/>
          <w:sz w:val="28"/>
          <w:szCs w:val="28"/>
          <w:highlight w:val="none"/>
        </w:rPr>
      </w:pPr>
    </w:p>
    <w:p>
      <w:pPr>
        <w:snapToGrid w:val="0"/>
        <w:spacing w:before="120" w:beforeLines="50" w:after="50"/>
        <w:ind w:firstLine="4760" w:firstLineChars="1700"/>
        <w:rPr>
          <w:rFonts w:ascii="仿宋" w:hAnsi="仿宋" w:eastAsia="仿宋" w:cs="仿宋"/>
          <w:bCs/>
          <w:color w:val="auto"/>
          <w:sz w:val="28"/>
          <w:szCs w:val="28"/>
          <w:highlight w:val="none"/>
        </w:rPr>
      </w:pPr>
    </w:p>
    <w:p>
      <w:pPr>
        <w:snapToGrid w:val="0"/>
        <w:spacing w:before="120" w:beforeLines="50" w:after="50"/>
        <w:ind w:firstLine="645"/>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年  月  日</w:t>
      </w:r>
    </w:p>
    <w:p>
      <w:pPr>
        <w:snapToGrid w:val="0"/>
        <w:spacing w:before="120" w:beforeLines="50" w:after="50"/>
        <w:ind w:firstLine="645"/>
        <w:rPr>
          <w:rFonts w:ascii="仿宋" w:hAnsi="仿宋" w:eastAsia="仿宋" w:cs="仿宋"/>
          <w:bCs/>
          <w:color w:val="auto"/>
          <w:sz w:val="28"/>
          <w:szCs w:val="28"/>
          <w:highlight w:val="none"/>
        </w:rPr>
      </w:pPr>
    </w:p>
    <w:p>
      <w:pPr>
        <w:snapToGrid w:val="0"/>
        <w:spacing w:before="120" w:beforeLines="50" w:after="50"/>
        <w:ind w:firstLine="645"/>
        <w:rPr>
          <w:rFonts w:ascii="仿宋" w:hAnsi="仿宋" w:eastAsia="仿宋" w:cs="仿宋"/>
          <w:bCs/>
          <w:color w:val="auto"/>
          <w:sz w:val="24"/>
          <w:highlight w:val="none"/>
        </w:rPr>
      </w:pPr>
    </w:p>
    <w:p>
      <w:pPr>
        <w:snapToGrid w:val="0"/>
        <w:spacing w:before="120" w:beforeLines="50" w:after="50"/>
        <w:outlineLvl w:val="1"/>
        <w:rPr>
          <w:rFonts w:ascii="仿宋" w:hAnsi="仿宋" w:eastAsia="仿宋" w:cs="仿宋"/>
          <w:b/>
          <w:bCs/>
          <w:color w:val="auto"/>
          <w:sz w:val="24"/>
          <w:highlight w:val="none"/>
        </w:rPr>
      </w:pPr>
      <w:r>
        <w:rPr>
          <w:rFonts w:hint="eastAsia" w:ascii="仿宋" w:hAnsi="仿宋" w:eastAsia="仿宋" w:cs="仿宋"/>
          <w:bCs/>
          <w:color w:val="auto"/>
          <w:sz w:val="24"/>
          <w:highlight w:val="none"/>
        </w:rPr>
        <w:br w:type="page"/>
      </w:r>
      <w:bookmarkStart w:id="462" w:name="_Toc254970557"/>
      <w:bookmarkStart w:id="463" w:name="_Toc254970698"/>
      <w:bookmarkStart w:id="464" w:name="_Toc293863063"/>
      <w:bookmarkStart w:id="465" w:name="_Toc293863333"/>
      <w:bookmarkStart w:id="466" w:name="_Toc301424942"/>
      <w:bookmarkStart w:id="467" w:name="_Toc326217568"/>
      <w:bookmarkStart w:id="468" w:name="_Toc32637"/>
      <w:bookmarkStart w:id="469" w:name="_Toc14722"/>
      <w:bookmarkStart w:id="470" w:name="_Toc2809"/>
      <w:bookmarkStart w:id="471" w:name="_Toc9022"/>
      <w:r>
        <w:rPr>
          <w:rFonts w:hint="eastAsia" w:ascii="仿宋" w:hAnsi="仿宋" w:eastAsia="仿宋" w:cs="仿宋"/>
          <w:b/>
          <w:bCs/>
          <w:color w:val="auto"/>
          <w:sz w:val="24"/>
          <w:highlight w:val="none"/>
        </w:rPr>
        <w:t>二、资信/商务文件格式</w:t>
      </w:r>
      <w:bookmarkEnd w:id="462"/>
      <w:bookmarkEnd w:id="463"/>
      <w:bookmarkEnd w:id="464"/>
      <w:bookmarkEnd w:id="465"/>
      <w:bookmarkEnd w:id="466"/>
      <w:bookmarkEnd w:id="467"/>
      <w:bookmarkEnd w:id="468"/>
      <w:bookmarkEnd w:id="469"/>
      <w:bookmarkEnd w:id="470"/>
      <w:bookmarkEnd w:id="471"/>
    </w:p>
    <w:p>
      <w:pPr>
        <w:snapToGrid w:val="0"/>
        <w:spacing w:before="50" w:after="50"/>
        <w:rPr>
          <w:rFonts w:ascii="仿宋" w:hAnsi="仿宋" w:eastAsia="仿宋" w:cs="仿宋"/>
          <w:b/>
          <w:color w:val="auto"/>
          <w:sz w:val="24"/>
          <w:highlight w:val="none"/>
        </w:rPr>
      </w:pPr>
    </w:p>
    <w:p>
      <w:pPr>
        <w:snapToGrid w:val="0"/>
        <w:spacing w:before="50" w:after="50"/>
        <w:rPr>
          <w:rFonts w:ascii="仿宋" w:hAnsi="仿宋" w:eastAsia="仿宋" w:cs="仿宋"/>
          <w:b/>
          <w:color w:val="auto"/>
          <w:szCs w:val="21"/>
          <w:highlight w:val="none"/>
        </w:rPr>
      </w:pPr>
      <w:r>
        <w:rPr>
          <w:rFonts w:hint="eastAsia" w:ascii="仿宋" w:hAnsi="仿宋" w:eastAsia="仿宋" w:cs="仿宋"/>
          <w:b/>
          <w:color w:val="auto"/>
          <w:sz w:val="24"/>
          <w:highlight w:val="none"/>
        </w:rPr>
        <w:t>1、</w:t>
      </w:r>
      <w:r>
        <w:rPr>
          <w:rFonts w:hint="eastAsia" w:ascii="仿宋" w:hAnsi="仿宋" w:eastAsia="仿宋" w:cs="仿宋"/>
          <w:b/>
          <w:bCs/>
          <w:color w:val="auto"/>
          <w:sz w:val="24"/>
          <w:highlight w:val="none"/>
        </w:rPr>
        <w:t>资信/</w:t>
      </w:r>
      <w:r>
        <w:rPr>
          <w:rFonts w:hint="eastAsia" w:ascii="仿宋" w:hAnsi="仿宋" w:eastAsia="仿宋" w:cs="仿宋"/>
          <w:b/>
          <w:color w:val="auto"/>
          <w:sz w:val="24"/>
          <w:highlight w:val="none"/>
        </w:rPr>
        <w:t>商务文件内封面格式（格式可自拟）：</w:t>
      </w:r>
      <w:r>
        <w:rPr>
          <w:rFonts w:hint="eastAsia" w:ascii="仿宋" w:hAnsi="仿宋" w:eastAsia="仿宋" w:cs="仿宋"/>
          <w:b/>
          <w:color w:val="auto"/>
          <w:szCs w:val="21"/>
          <w:highlight w:val="none"/>
        </w:rPr>
        <w:t xml:space="preserve"> </w:t>
      </w:r>
    </w:p>
    <w:p>
      <w:pPr>
        <w:snapToGrid w:val="0"/>
        <w:spacing w:before="120" w:beforeLines="50" w:after="50"/>
        <w:ind w:firstLine="645"/>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资信/商务文件</w:t>
      </w: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项目名称：</w:t>
      </w:r>
      <w:r>
        <w:rPr>
          <w:rFonts w:hint="eastAsia" w:ascii="仿宋" w:hAnsi="仿宋" w:eastAsia="仿宋" w:cs="仿宋"/>
          <w:bCs/>
          <w:color w:val="auto"/>
          <w:sz w:val="24"/>
          <w:szCs w:val="20"/>
          <w:highlight w:val="none"/>
        </w:rPr>
        <w:t xml:space="preserve"> </w:t>
      </w:r>
    </w:p>
    <w:p>
      <w:pPr>
        <w:snapToGrid w:val="0"/>
        <w:spacing w:line="400" w:lineRule="exact"/>
        <w:ind w:firstLine="943" w:firstLineChars="393"/>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 xml:space="preserve">项目编号： </w:t>
      </w:r>
    </w:p>
    <w:p>
      <w:pPr>
        <w:snapToGrid w:val="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供应商名称：盖章</w:t>
      </w:r>
    </w:p>
    <w:p>
      <w:pPr>
        <w:pStyle w:val="8"/>
        <w:snapToGrid w:val="0"/>
        <w:spacing w:line="400" w:lineRule="exact"/>
        <w:ind w:firstLine="998" w:firstLineChars="416"/>
        <w:rPr>
          <w:rFonts w:ascii="仿宋" w:hAnsi="仿宋" w:eastAsia="仿宋" w:cs="仿宋"/>
          <w:bCs/>
          <w:color w:val="auto"/>
          <w:sz w:val="24"/>
          <w:szCs w:val="24"/>
          <w:highlight w:val="none"/>
        </w:rPr>
      </w:pP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法定代表人或委托代理人签字：</w:t>
      </w:r>
    </w:p>
    <w:p>
      <w:pPr>
        <w:snapToGrid w:val="0"/>
        <w:spacing w:before="120" w:beforeLines="50" w:after="50"/>
        <w:ind w:firstLine="960" w:firstLineChars="400"/>
        <w:rPr>
          <w:rFonts w:ascii="仿宋" w:hAnsi="仿宋" w:eastAsia="仿宋" w:cs="仿宋"/>
          <w:bCs/>
          <w:color w:val="auto"/>
          <w:sz w:val="24"/>
          <w:szCs w:val="20"/>
          <w:highlight w:val="none"/>
        </w:rPr>
      </w:pPr>
    </w:p>
    <w:p>
      <w:pPr>
        <w:snapToGrid w:val="0"/>
        <w:spacing w:before="120" w:beforeLines="50" w:after="50"/>
        <w:rPr>
          <w:rFonts w:ascii="仿宋" w:hAnsi="仿宋" w:eastAsia="仿宋" w:cs="仿宋"/>
          <w:color w:val="auto"/>
          <w:sz w:val="24"/>
          <w:szCs w:val="20"/>
          <w:highlight w:val="none"/>
        </w:rPr>
      </w:pPr>
    </w:p>
    <w:p>
      <w:pPr>
        <w:snapToGrid w:val="0"/>
        <w:spacing w:line="400" w:lineRule="exact"/>
        <w:rPr>
          <w:rFonts w:ascii="仿宋" w:hAnsi="仿宋" w:eastAsia="仿宋" w:cs="仿宋"/>
          <w:b/>
          <w:bCs/>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2、</w:t>
      </w:r>
      <w:r>
        <w:rPr>
          <w:rFonts w:hint="eastAsia" w:ascii="仿宋" w:hAnsi="仿宋" w:eastAsia="仿宋" w:cs="仿宋"/>
          <w:b/>
          <w:bCs/>
          <w:color w:val="auto"/>
          <w:sz w:val="24"/>
          <w:highlight w:val="none"/>
        </w:rPr>
        <w:t>资信/商务文件目录</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（1）磋商保证金缴纳证明材料复印件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（2）磋商声明书</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（3）有效的营业执照副本复印件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（4）有效的建筑装修装饰工程专业承包二级或以上资质证书复印件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（5）有效的安全生产许可证复印件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（6）拟投入本项目项目经理有效的建筑工程专业二级（及以上）注册建造师执业资格证书复印件及安全生产考核合格证书（B类）复印件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（7）有效的法定代表人身份证正反面复印件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（8）法定代表人授权委托书（委托代理时提供）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（9）有效的委托代理人身份证正反面复印件（委托代理时提供）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（10）2020年以来任意连续2个月的有效依法缴纳税费或依法免缴税费的证明（无纳税记录的，应提供由供应商所在地主管国税、地税部门出具的《依法纳税或依法免税证明》；2020年新成立的公司可不提供）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（11）2020年以来任意连续2个月的有效依法缴纳社保费的缴费凭证（无缴费记录的，应提供由供应商所在地社保部门出具的《依法缴纳或依法免缴社保费证明》；2020年新成立的公司可不提供）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（12）近三年有效的财务状况报告复印件或有效的第三方具备审计资质的机构出具的审计报告复印件</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（13）农民工工资保障金承诺书</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（14）供应商的类似业绩证明文件（如有，请提供）</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（15）建设工程项目管理承诺书</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（16）供应商认为与商务分评分有关的其他证明材料（格式自拟）</w:t>
      </w:r>
    </w:p>
    <w:p>
      <w:pPr>
        <w:snapToGrid w:val="0"/>
        <w:spacing w:line="400" w:lineRule="exact"/>
        <w:ind w:firstLine="480" w:firstLineChars="200"/>
        <w:jc w:val="left"/>
        <w:rPr>
          <w:rFonts w:ascii="仿宋" w:hAnsi="仿宋" w:eastAsia="仿宋" w:cs="仿宋"/>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（1）磋商保证金缴纳证明材料复印件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（2）磋商声明书格式：</w:t>
      </w:r>
    </w:p>
    <w:p>
      <w:pPr>
        <w:spacing w:line="400" w:lineRule="exact"/>
        <w:jc w:val="center"/>
        <w:rPr>
          <w:rFonts w:ascii="仿宋" w:hAnsi="仿宋" w:eastAsia="仿宋" w:cs="仿宋"/>
          <w:b/>
          <w:color w:val="auto"/>
          <w:spacing w:val="6"/>
          <w:sz w:val="32"/>
          <w:szCs w:val="32"/>
          <w:highlight w:val="none"/>
        </w:rPr>
      </w:pPr>
    </w:p>
    <w:p>
      <w:pPr>
        <w:spacing w:line="400" w:lineRule="exact"/>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磋商声明书</w:t>
      </w:r>
    </w:p>
    <w:p>
      <w:pPr>
        <w:spacing w:line="400" w:lineRule="exact"/>
        <w:jc w:val="center"/>
        <w:rPr>
          <w:rFonts w:ascii="仿宋" w:hAnsi="仿宋" w:eastAsia="仿宋" w:cs="仿宋"/>
          <w:b/>
          <w:color w:val="auto"/>
          <w:spacing w:val="6"/>
          <w:sz w:val="32"/>
          <w:szCs w:val="32"/>
          <w:highlight w:val="none"/>
        </w:rPr>
      </w:pP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国家税务总局贺州市税务局</w:t>
      </w:r>
      <w:r>
        <w:rPr>
          <w:rFonts w:hint="eastAsia" w:ascii="仿宋" w:hAnsi="仿宋" w:eastAsia="仿宋" w:cs="仿宋"/>
          <w:color w:val="auto"/>
          <w:sz w:val="24"/>
          <w:highlight w:val="none"/>
        </w:rPr>
        <w:t>（招标采购单位名称）：</w:t>
      </w:r>
    </w:p>
    <w:p>
      <w:pPr>
        <w:snapToGrid w:val="0"/>
        <w:spacing w:line="400" w:lineRule="exact"/>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（供应商名称）系中华人民共和国合法企业，经营地址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napToGrid w:val="0"/>
        <w:spacing w:line="400" w:lineRule="exact"/>
        <w:ind w:firstLine="645"/>
        <w:rPr>
          <w:rFonts w:ascii="仿宋" w:hAnsi="仿宋" w:eastAsia="仿宋" w:cs="仿宋"/>
          <w:color w:val="auto"/>
          <w:sz w:val="24"/>
          <w:highlight w:val="none"/>
        </w:rPr>
      </w:pPr>
      <w:r>
        <w:rPr>
          <w:rFonts w:hint="eastAsia" w:ascii="仿宋" w:hAnsi="仿宋" w:eastAsia="仿宋" w:cs="仿宋"/>
          <w:color w:val="auto"/>
          <w:sz w:val="24"/>
          <w:highlight w:val="none"/>
        </w:rPr>
        <w:t>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（供应商名称）的法定代表人，我方愿意参加贵方组织的</w:t>
      </w:r>
      <w:r>
        <w:rPr>
          <w:rFonts w:hint="eastAsia" w:ascii="仿宋" w:hAnsi="仿宋" w:eastAsia="仿宋" w:cs="仿宋"/>
          <w:color w:val="auto"/>
          <w:sz w:val="24"/>
          <w:highlight w:val="none"/>
          <w:u w:val="single"/>
        </w:rPr>
        <w:t>国家税务总局贺州市税务局附属用房维修项目工程采购</w:t>
      </w:r>
      <w:r>
        <w:rPr>
          <w:rFonts w:hint="eastAsia" w:ascii="仿宋" w:hAnsi="仿宋" w:eastAsia="仿宋" w:cs="仿宋"/>
          <w:color w:val="auto"/>
          <w:sz w:val="24"/>
          <w:highlight w:val="none"/>
        </w:rPr>
        <w:t>项目的磋商，为便于贵方公正、择优地确定成交人及其磋商产品和服务，我方就本次磋商有关事项郑重声明如下：</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1、我方向贵方提交的所有响应文件、资料都是准确的和真实的。</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2、我方不是采购人的附属机构；在获知本项目采购信息后，与采购人聘请的为此项目提供咨询服务的公司及其附属机构没有任何联系。</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3、我方诚意提请贵方关注：我方资产结构、组织结构及人员配置等方面的重大决策和事项有：</w:t>
      </w:r>
    </w:p>
    <w:p>
      <w:pPr>
        <w:wordWrap w:val="0"/>
        <w:topLinePunct/>
        <w:snapToGrid w:val="0"/>
        <w:spacing w:line="40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w:t>
      </w:r>
    </w:p>
    <w:p>
      <w:pPr>
        <w:wordWrap w:val="0"/>
        <w:topLinePunct/>
        <w:snapToGrid w:val="0"/>
        <w:spacing w:line="40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w:t>
      </w:r>
    </w:p>
    <w:p>
      <w:pPr>
        <w:pStyle w:val="21"/>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4、我方及由本人担任法定代表人的其他机构最近三年内被通报或者被处罚的违法行为有：</w:t>
      </w:r>
    </w:p>
    <w:p>
      <w:pPr>
        <w:wordWrap w:val="0"/>
        <w:snapToGrid w:val="0"/>
        <w:spacing w:line="40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w:t>
      </w:r>
    </w:p>
    <w:p>
      <w:pPr>
        <w:wordWrap w:val="0"/>
        <w:snapToGrid w:val="0"/>
        <w:spacing w:line="40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5、以上事项如有虚假或隐瞒，我方愿意承担一切后果，并不再寻求任何旨在减轻或免除法律责任的辩解。</w:t>
      </w:r>
    </w:p>
    <w:p>
      <w:pPr>
        <w:wordWrap w:val="0"/>
        <w:snapToGrid w:val="0"/>
        <w:spacing w:line="400" w:lineRule="exact"/>
        <w:ind w:firstLine="5760" w:firstLineChars="24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w:t>
      </w:r>
      <w:r>
        <w:rPr>
          <w:rFonts w:hint="eastAsia" w:ascii="仿宋" w:hAnsi="仿宋" w:eastAsia="仿宋" w:cs="仿宋"/>
          <w:color w:val="auto"/>
          <w:sz w:val="24"/>
          <w:highlight w:val="none"/>
          <w:u w:val="single"/>
        </w:rPr>
        <w:t xml:space="preserve">                </w:t>
      </w:r>
    </w:p>
    <w:p>
      <w:pPr>
        <w:wordWrap w:val="0"/>
        <w:snapToGrid w:val="0"/>
        <w:spacing w:line="400" w:lineRule="exact"/>
        <w:ind w:firstLine="6720" w:firstLineChars="2800"/>
        <w:rPr>
          <w:rFonts w:ascii="仿宋" w:hAnsi="仿宋" w:eastAsia="仿宋" w:cs="仿宋"/>
          <w:color w:val="auto"/>
          <w:sz w:val="24"/>
          <w:highlight w:val="none"/>
        </w:rPr>
      </w:pPr>
      <w:r>
        <w:rPr>
          <w:rFonts w:hint="eastAsia" w:ascii="仿宋" w:hAnsi="仿宋" w:eastAsia="仿宋" w:cs="仿宋"/>
          <w:color w:val="auto"/>
          <w:sz w:val="24"/>
          <w:highlight w:val="none"/>
        </w:rPr>
        <w:t>供应商公章：</w:t>
      </w:r>
      <w:r>
        <w:rPr>
          <w:rFonts w:hint="eastAsia" w:ascii="仿宋" w:hAnsi="仿宋" w:eastAsia="仿宋" w:cs="仿宋"/>
          <w:color w:val="auto"/>
          <w:sz w:val="24"/>
          <w:highlight w:val="none"/>
          <w:u w:val="single"/>
        </w:rPr>
        <w:t xml:space="preserve">            </w:t>
      </w:r>
    </w:p>
    <w:p>
      <w:pPr>
        <w:snapToGrid w:val="0"/>
        <w:spacing w:line="400" w:lineRule="exact"/>
        <w:ind w:firstLine="7080" w:firstLineChars="2950"/>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（3）有效的营业执照副本复印件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（4）有效的建筑装修装饰工程专业承包二级或以上资质证书复印件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（5）有效的安全生产许可证复印件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（6）拟投入本项目项目经理有效的建筑工程专业二级（及以上）注册建造师执业资格证书复印件及安全生产考核合格证书（B类）复印件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（7）有效的法定代表人身份证正反面复印件（如法定代表人非中国国籍应提交护照复印件，要求证件有效并与营业执照中的法定代表人相符）</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color w:val="auto"/>
          <w:sz w:val="24"/>
          <w:highlight w:val="none"/>
        </w:rPr>
      </w:pPr>
      <w:r>
        <w:rPr>
          <w:rFonts w:hint="eastAsia" w:ascii="仿宋" w:hAnsi="仿宋" w:eastAsia="仿宋" w:cs="仿宋"/>
          <w:b/>
          <w:color w:val="auto"/>
          <w:sz w:val="24"/>
          <w:highlight w:val="none"/>
        </w:rPr>
        <w:t>（8）法定代表人授权委托书格式（委托代理时提供）：</w:t>
      </w:r>
    </w:p>
    <w:p>
      <w:pPr>
        <w:spacing w:line="400" w:lineRule="exact"/>
        <w:jc w:val="center"/>
        <w:rPr>
          <w:rFonts w:ascii="仿宋" w:hAnsi="仿宋" w:eastAsia="仿宋" w:cs="仿宋"/>
          <w:b/>
          <w:color w:val="auto"/>
          <w:spacing w:val="6"/>
          <w:sz w:val="32"/>
          <w:szCs w:val="32"/>
          <w:highlight w:val="none"/>
        </w:rPr>
      </w:pPr>
    </w:p>
    <w:p>
      <w:pPr>
        <w:spacing w:line="400" w:lineRule="exact"/>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法定代表人授权委托书</w:t>
      </w:r>
    </w:p>
    <w:p>
      <w:pPr>
        <w:snapToGrid w:val="0"/>
        <w:spacing w:line="400" w:lineRule="exact"/>
        <w:rPr>
          <w:rFonts w:ascii="仿宋" w:hAnsi="仿宋" w:eastAsia="仿宋" w:cs="仿宋"/>
          <w:bCs/>
          <w:color w:val="auto"/>
          <w:sz w:val="24"/>
          <w:highlight w:val="none"/>
        </w:rPr>
      </w:pPr>
    </w:p>
    <w:p>
      <w:pPr>
        <w:snapToGrid w:val="0"/>
        <w:spacing w:line="400" w:lineRule="exact"/>
        <w:rPr>
          <w:rFonts w:ascii="仿宋" w:hAnsi="仿宋" w:eastAsia="仿宋" w:cs="仿宋"/>
          <w:b/>
          <w:bCs/>
          <w:color w:val="auto"/>
          <w:sz w:val="24"/>
          <w:highlight w:val="none"/>
        </w:rPr>
      </w:pPr>
      <w:r>
        <w:rPr>
          <w:rFonts w:hint="eastAsia" w:ascii="仿宋" w:hAnsi="仿宋" w:eastAsia="仿宋" w:cs="仿宋"/>
          <w:bCs/>
          <w:color w:val="auto"/>
          <w:sz w:val="24"/>
          <w:highlight w:val="none"/>
        </w:rPr>
        <w:t>致：</w:t>
      </w:r>
      <w:r>
        <w:rPr>
          <w:rFonts w:hint="eastAsia" w:ascii="仿宋" w:hAnsi="仿宋" w:eastAsia="仿宋" w:cs="仿宋"/>
          <w:color w:val="auto"/>
          <w:sz w:val="24"/>
          <w:highlight w:val="none"/>
          <w:u w:val="single"/>
        </w:rPr>
        <w:t>国家税务总局贺州市税务局</w:t>
      </w:r>
      <w:r>
        <w:rPr>
          <w:rFonts w:hint="eastAsia" w:ascii="仿宋" w:hAnsi="仿宋" w:eastAsia="仿宋" w:cs="仿宋"/>
          <w:color w:val="auto"/>
          <w:sz w:val="24"/>
          <w:highlight w:val="none"/>
        </w:rPr>
        <w:t>（招标采购单位名称）：</w:t>
      </w:r>
    </w:p>
    <w:p>
      <w:pPr>
        <w:snapToGrid w:val="0"/>
        <w:spacing w:line="400" w:lineRule="exact"/>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（供应商名称）的法定代表人，现授权委托本单位在职职工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（姓名）以我方的名义参加</w:t>
      </w:r>
      <w:r>
        <w:rPr>
          <w:rFonts w:hint="eastAsia" w:ascii="仿宋" w:hAnsi="仿宋" w:eastAsia="仿宋" w:cs="仿宋"/>
          <w:color w:val="auto"/>
          <w:sz w:val="24"/>
          <w:highlight w:val="none"/>
          <w:u w:val="single"/>
        </w:rPr>
        <w:t>国家税务总局贺州市税务局附属用房维修项目工程采购</w:t>
      </w:r>
      <w:r>
        <w:rPr>
          <w:rFonts w:hint="eastAsia" w:ascii="仿宋" w:hAnsi="仿宋" w:eastAsia="仿宋" w:cs="仿宋"/>
          <w:color w:val="auto"/>
          <w:sz w:val="24"/>
          <w:highlight w:val="none"/>
        </w:rPr>
        <w:t>项目的磋商活动，并代表我方全权办理针对上述项目的磋商、开标、评审、签约等具体事务和签署相关文件。</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我方对被授权人的签名事项负全部责任。</w:t>
      </w:r>
    </w:p>
    <w:p>
      <w:pPr>
        <w:snapToGrid w:val="0"/>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u w:val="single"/>
        </w:rPr>
        <w:t>在撤销授权的书面通知以前，本授权书一直有效。</w:t>
      </w:r>
      <w:r>
        <w:rPr>
          <w:rFonts w:hint="eastAsia" w:ascii="仿宋" w:hAnsi="仿宋" w:eastAsia="仿宋" w:cs="仿宋"/>
          <w:color w:val="auto"/>
          <w:sz w:val="24"/>
          <w:highlight w:val="none"/>
        </w:rPr>
        <w:t>被授权人在授权书有效期内签署的所有文件不因授权的撤销而失效。</w:t>
      </w:r>
    </w:p>
    <w:p>
      <w:pPr>
        <w:snapToGrid w:val="0"/>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被授权人无转委托权，特此委托。</w:t>
      </w:r>
    </w:p>
    <w:p>
      <w:pPr>
        <w:wordWrap w:val="0"/>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被授权人签名：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法定代表人签名：</w:t>
      </w:r>
      <w:r>
        <w:rPr>
          <w:rFonts w:hint="eastAsia" w:ascii="仿宋" w:hAnsi="仿宋" w:eastAsia="仿宋" w:cs="仿宋"/>
          <w:color w:val="auto"/>
          <w:sz w:val="24"/>
          <w:highlight w:val="none"/>
          <w:u w:val="single"/>
        </w:rPr>
        <w:t xml:space="preserve">              </w:t>
      </w:r>
    </w:p>
    <w:p>
      <w:pPr>
        <w:wordWrap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所在部门职务：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职  务：</w:t>
      </w:r>
      <w:r>
        <w:rPr>
          <w:rFonts w:hint="eastAsia" w:ascii="仿宋" w:hAnsi="仿宋" w:eastAsia="仿宋" w:cs="仿宋"/>
          <w:color w:val="auto"/>
          <w:sz w:val="24"/>
          <w:highlight w:val="none"/>
          <w:u w:val="single"/>
        </w:rPr>
        <w:t xml:space="preserve">              </w:t>
      </w:r>
    </w:p>
    <w:p>
      <w:pPr>
        <w:wordWrap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被授权人身份证号码：</w:t>
      </w:r>
      <w:r>
        <w:rPr>
          <w:rFonts w:hint="eastAsia" w:ascii="仿宋" w:hAnsi="仿宋" w:eastAsia="仿宋" w:cs="仿宋"/>
          <w:color w:val="auto"/>
          <w:sz w:val="24"/>
          <w:highlight w:val="none"/>
          <w:u w:val="single"/>
        </w:rPr>
        <w:t xml:space="preserve">                              </w:t>
      </w:r>
    </w:p>
    <w:p>
      <w:pPr>
        <w:wordWrap w:val="0"/>
        <w:snapToGrid w:val="0"/>
        <w:spacing w:line="400" w:lineRule="exact"/>
        <w:ind w:firstLine="6720" w:firstLineChars="2800"/>
        <w:rPr>
          <w:rFonts w:ascii="仿宋" w:hAnsi="仿宋" w:eastAsia="仿宋" w:cs="仿宋"/>
          <w:color w:val="auto"/>
          <w:sz w:val="24"/>
          <w:highlight w:val="none"/>
        </w:rPr>
      </w:pPr>
      <w:r>
        <w:rPr>
          <w:rFonts w:hint="eastAsia" w:ascii="仿宋" w:hAnsi="仿宋" w:eastAsia="仿宋" w:cs="仿宋"/>
          <w:color w:val="auto"/>
          <w:sz w:val="24"/>
          <w:highlight w:val="none"/>
        </w:rPr>
        <w:t xml:space="preserve">                                                                                供应商公章：</w:t>
      </w:r>
      <w:r>
        <w:rPr>
          <w:rFonts w:hint="eastAsia" w:ascii="仿宋" w:hAnsi="仿宋" w:eastAsia="仿宋" w:cs="仿宋"/>
          <w:color w:val="auto"/>
          <w:sz w:val="24"/>
          <w:highlight w:val="none"/>
          <w:u w:val="single"/>
        </w:rPr>
        <w:t xml:space="preserve">            </w:t>
      </w:r>
    </w:p>
    <w:p>
      <w:pPr>
        <w:snapToGrid w:val="0"/>
        <w:spacing w:line="400" w:lineRule="exact"/>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（9）有效的委托代理人身份证正反面复印件（委托代理时提供，如委托代理人非中国国籍应提交护照复印件，要求证件有效并与法定代表人授权委托书中的授权人相符）</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10）2020年以来任意连续2个月的有效依法缴纳税费或依法免缴税费的证明（无纳税记录的，应提供由供应商所在地主管国税、地税部门出具的《依法纳税或依法免税证明》；2020年新成立的公司可不提供）（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（11）2020年以来任意连续2个月的有效依法缴纳社保费的缴费凭证（无缴费记录的，应提供由供应商所在地社保部门出具的《依法缴纳或依法免缴社保费证明》；2020年新成立的公司可不提供）（复印件）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（12）近三年有效的财务状况报告复印件或有效的第三方具备审计资质的机构出具的审计报告复印件（复印件）</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pStyle w:val="27"/>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（13）农民工工资保障金承诺书</w:t>
      </w:r>
    </w:p>
    <w:p>
      <w:pPr>
        <w:pStyle w:val="27"/>
        <w:spacing w:line="360" w:lineRule="auto"/>
        <w:rPr>
          <w:rFonts w:ascii="仿宋" w:hAnsi="仿宋" w:eastAsia="仿宋" w:cs="仿宋"/>
          <w:b/>
          <w:color w:val="auto"/>
          <w:sz w:val="24"/>
          <w:highlight w:val="none"/>
        </w:rPr>
      </w:pPr>
    </w:p>
    <w:p>
      <w:pPr>
        <w:pStyle w:val="27"/>
        <w:spacing w:line="360" w:lineRule="auto"/>
        <w:jc w:val="center"/>
        <w:rPr>
          <w:b/>
          <w:color w:val="auto"/>
          <w:sz w:val="32"/>
          <w:szCs w:val="32"/>
          <w:highlight w:val="none"/>
        </w:rPr>
      </w:pPr>
      <w:r>
        <w:rPr>
          <w:rFonts w:hint="eastAsia" w:hAnsi="宋体"/>
          <w:color w:val="auto"/>
          <w:highlight w:val="none"/>
        </w:rPr>
        <w:t>（由竞标人自行编写）</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（14）供应商的类似业绩证明文件（如有，请提供）</w:t>
      </w:r>
    </w:p>
    <w:p>
      <w:pPr>
        <w:pStyle w:val="20"/>
        <w:spacing w:before="5"/>
        <w:rPr>
          <w:rFonts w:ascii="黑体"/>
          <w:color w:val="auto"/>
          <w:sz w:val="14"/>
          <w:highlight w:val="none"/>
        </w:rPr>
      </w:pPr>
    </w:p>
    <w:tbl>
      <w:tblPr>
        <w:tblStyle w:val="60"/>
        <w:tblW w:w="8894" w:type="dxa"/>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71" w:hRule="atLeast"/>
        </w:trPr>
        <w:tc>
          <w:tcPr>
            <w:tcW w:w="2367" w:type="dxa"/>
          </w:tcPr>
          <w:p>
            <w:pPr>
              <w:pStyle w:val="254"/>
              <w:spacing w:before="1"/>
              <w:rPr>
                <w:rFonts w:ascii="黑体"/>
                <w:color w:val="auto"/>
                <w:sz w:val="20"/>
                <w:highlight w:val="none"/>
              </w:rPr>
            </w:pPr>
          </w:p>
          <w:p>
            <w:pPr>
              <w:pStyle w:val="254"/>
              <w:tabs>
                <w:tab w:val="left" w:pos="642"/>
              </w:tabs>
              <w:ind w:left="11"/>
              <w:jc w:val="center"/>
              <w:rPr>
                <w:color w:val="auto"/>
                <w:highlight w:val="none"/>
              </w:rPr>
            </w:pPr>
            <w:r>
              <w:rPr>
                <w:color w:val="auto"/>
                <w:highlight w:val="none"/>
              </w:rPr>
              <w:t>序</w:t>
            </w:r>
            <w:r>
              <w:rPr>
                <w:color w:val="auto"/>
                <w:highlight w:val="none"/>
              </w:rPr>
              <w:tab/>
            </w:r>
            <w:r>
              <w:rPr>
                <w:color w:val="auto"/>
                <w:highlight w:val="none"/>
              </w:rPr>
              <w:t>号</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69" w:hRule="atLeast"/>
        </w:trPr>
        <w:tc>
          <w:tcPr>
            <w:tcW w:w="2367" w:type="dxa"/>
          </w:tcPr>
          <w:p>
            <w:pPr>
              <w:pStyle w:val="254"/>
              <w:spacing w:before="11"/>
              <w:rPr>
                <w:rFonts w:ascii="黑体"/>
                <w:color w:val="auto"/>
                <w:sz w:val="20"/>
                <w:highlight w:val="none"/>
              </w:rPr>
            </w:pPr>
          </w:p>
          <w:p>
            <w:pPr>
              <w:pStyle w:val="254"/>
              <w:ind w:left="4"/>
              <w:jc w:val="center"/>
              <w:rPr>
                <w:color w:val="auto"/>
                <w:sz w:val="20"/>
                <w:highlight w:val="none"/>
              </w:rPr>
            </w:pPr>
            <w:r>
              <w:rPr>
                <w:color w:val="auto"/>
                <w:sz w:val="20"/>
                <w:highlight w:val="none"/>
              </w:rPr>
              <w:t>项目名称</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2367" w:type="dxa"/>
          </w:tcPr>
          <w:p>
            <w:pPr>
              <w:pStyle w:val="254"/>
              <w:spacing w:before="5"/>
              <w:rPr>
                <w:rFonts w:ascii="黑体"/>
                <w:color w:val="auto"/>
                <w:sz w:val="18"/>
                <w:highlight w:val="none"/>
              </w:rPr>
            </w:pPr>
          </w:p>
          <w:p>
            <w:pPr>
              <w:pStyle w:val="254"/>
              <w:spacing w:before="1"/>
              <w:ind w:left="3"/>
              <w:jc w:val="center"/>
              <w:rPr>
                <w:color w:val="auto"/>
                <w:sz w:val="20"/>
                <w:highlight w:val="none"/>
              </w:rPr>
            </w:pPr>
            <w:r>
              <w:rPr>
                <w:color w:val="auto"/>
                <w:sz w:val="20"/>
                <w:highlight w:val="none"/>
              </w:rPr>
              <w:t>项目所在地</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2367" w:type="dxa"/>
          </w:tcPr>
          <w:p>
            <w:pPr>
              <w:pStyle w:val="254"/>
              <w:spacing w:before="8"/>
              <w:rPr>
                <w:rFonts w:ascii="黑体"/>
                <w:color w:val="auto"/>
                <w:sz w:val="18"/>
                <w:highlight w:val="none"/>
              </w:rPr>
            </w:pPr>
          </w:p>
          <w:p>
            <w:pPr>
              <w:pStyle w:val="254"/>
              <w:spacing w:before="1"/>
              <w:ind w:left="3"/>
              <w:jc w:val="center"/>
              <w:rPr>
                <w:color w:val="auto"/>
                <w:sz w:val="20"/>
                <w:highlight w:val="none"/>
              </w:rPr>
            </w:pPr>
            <w:r>
              <w:rPr>
                <w:color w:val="auto"/>
                <w:sz w:val="20"/>
                <w:highlight w:val="none"/>
              </w:rPr>
              <w:t>发包人名称</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2367" w:type="dxa"/>
          </w:tcPr>
          <w:p>
            <w:pPr>
              <w:pStyle w:val="254"/>
              <w:spacing w:before="5"/>
              <w:rPr>
                <w:rFonts w:ascii="黑体"/>
                <w:color w:val="auto"/>
                <w:sz w:val="18"/>
                <w:highlight w:val="none"/>
              </w:rPr>
            </w:pPr>
          </w:p>
          <w:p>
            <w:pPr>
              <w:pStyle w:val="254"/>
              <w:spacing w:before="1"/>
              <w:ind w:left="3"/>
              <w:jc w:val="center"/>
              <w:rPr>
                <w:color w:val="auto"/>
                <w:sz w:val="20"/>
                <w:highlight w:val="none"/>
              </w:rPr>
            </w:pPr>
            <w:r>
              <w:rPr>
                <w:color w:val="auto"/>
                <w:sz w:val="20"/>
                <w:highlight w:val="none"/>
              </w:rPr>
              <w:t>发包人地址</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2367" w:type="dxa"/>
          </w:tcPr>
          <w:p>
            <w:pPr>
              <w:pStyle w:val="254"/>
              <w:spacing w:before="10"/>
              <w:rPr>
                <w:rFonts w:ascii="黑体"/>
                <w:color w:val="auto"/>
                <w:sz w:val="18"/>
                <w:highlight w:val="none"/>
              </w:rPr>
            </w:pPr>
          </w:p>
          <w:p>
            <w:pPr>
              <w:pStyle w:val="254"/>
              <w:ind w:left="3"/>
              <w:jc w:val="center"/>
              <w:rPr>
                <w:color w:val="auto"/>
                <w:sz w:val="20"/>
                <w:highlight w:val="none"/>
              </w:rPr>
            </w:pPr>
            <w:r>
              <w:rPr>
                <w:color w:val="auto"/>
                <w:sz w:val="20"/>
                <w:highlight w:val="none"/>
              </w:rPr>
              <w:t>发包人电话</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2367" w:type="dxa"/>
          </w:tcPr>
          <w:p>
            <w:pPr>
              <w:pStyle w:val="254"/>
              <w:spacing w:before="8"/>
              <w:rPr>
                <w:rFonts w:ascii="黑体"/>
                <w:color w:val="auto"/>
                <w:sz w:val="18"/>
                <w:highlight w:val="none"/>
              </w:rPr>
            </w:pPr>
          </w:p>
          <w:p>
            <w:pPr>
              <w:pStyle w:val="254"/>
              <w:ind w:left="4"/>
              <w:jc w:val="center"/>
              <w:rPr>
                <w:color w:val="auto"/>
                <w:sz w:val="20"/>
                <w:highlight w:val="none"/>
              </w:rPr>
            </w:pPr>
            <w:r>
              <w:rPr>
                <w:color w:val="auto"/>
                <w:sz w:val="20"/>
                <w:highlight w:val="none"/>
              </w:rPr>
              <w:t>合同价格</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4" w:hRule="atLeast"/>
        </w:trPr>
        <w:tc>
          <w:tcPr>
            <w:tcW w:w="2367" w:type="dxa"/>
          </w:tcPr>
          <w:p>
            <w:pPr>
              <w:pStyle w:val="254"/>
              <w:spacing w:before="5"/>
              <w:rPr>
                <w:rFonts w:ascii="黑体"/>
                <w:color w:val="auto"/>
                <w:sz w:val="18"/>
                <w:highlight w:val="none"/>
              </w:rPr>
            </w:pPr>
          </w:p>
          <w:p>
            <w:pPr>
              <w:pStyle w:val="254"/>
              <w:spacing w:before="1"/>
              <w:ind w:left="4"/>
              <w:jc w:val="center"/>
              <w:rPr>
                <w:color w:val="auto"/>
                <w:sz w:val="20"/>
                <w:highlight w:val="none"/>
              </w:rPr>
            </w:pPr>
            <w:r>
              <w:rPr>
                <w:color w:val="auto"/>
                <w:sz w:val="20"/>
                <w:highlight w:val="none"/>
              </w:rPr>
              <w:t>开工日期</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2367" w:type="dxa"/>
          </w:tcPr>
          <w:p>
            <w:pPr>
              <w:pStyle w:val="254"/>
              <w:spacing w:before="3"/>
              <w:rPr>
                <w:rFonts w:ascii="黑体"/>
                <w:color w:val="auto"/>
                <w:sz w:val="19"/>
                <w:highlight w:val="none"/>
              </w:rPr>
            </w:pPr>
          </w:p>
          <w:p>
            <w:pPr>
              <w:pStyle w:val="254"/>
              <w:ind w:left="4"/>
              <w:jc w:val="center"/>
              <w:rPr>
                <w:color w:val="auto"/>
                <w:sz w:val="20"/>
                <w:highlight w:val="none"/>
              </w:rPr>
            </w:pPr>
            <w:r>
              <w:rPr>
                <w:color w:val="auto"/>
                <w:sz w:val="20"/>
                <w:highlight w:val="none"/>
              </w:rPr>
              <w:t>交工日期</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2367" w:type="dxa"/>
          </w:tcPr>
          <w:p>
            <w:pPr>
              <w:pStyle w:val="254"/>
              <w:spacing w:before="5"/>
              <w:rPr>
                <w:rFonts w:ascii="黑体"/>
                <w:color w:val="auto"/>
                <w:sz w:val="18"/>
                <w:highlight w:val="none"/>
              </w:rPr>
            </w:pPr>
          </w:p>
          <w:p>
            <w:pPr>
              <w:pStyle w:val="254"/>
              <w:spacing w:before="1"/>
              <w:ind w:left="3"/>
              <w:jc w:val="center"/>
              <w:rPr>
                <w:color w:val="auto"/>
                <w:sz w:val="20"/>
                <w:highlight w:val="none"/>
              </w:rPr>
            </w:pPr>
            <w:r>
              <w:rPr>
                <w:color w:val="auto"/>
                <w:sz w:val="20"/>
                <w:highlight w:val="none"/>
              </w:rPr>
              <w:t>承担的工作</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2367" w:type="dxa"/>
          </w:tcPr>
          <w:p>
            <w:pPr>
              <w:pStyle w:val="254"/>
              <w:spacing w:before="8"/>
              <w:rPr>
                <w:rFonts w:ascii="黑体"/>
                <w:color w:val="auto"/>
                <w:sz w:val="18"/>
                <w:highlight w:val="none"/>
              </w:rPr>
            </w:pPr>
          </w:p>
          <w:p>
            <w:pPr>
              <w:pStyle w:val="254"/>
              <w:ind w:left="4"/>
              <w:jc w:val="center"/>
              <w:rPr>
                <w:color w:val="auto"/>
                <w:sz w:val="20"/>
                <w:highlight w:val="none"/>
              </w:rPr>
            </w:pPr>
            <w:r>
              <w:rPr>
                <w:color w:val="auto"/>
                <w:sz w:val="20"/>
                <w:highlight w:val="none"/>
              </w:rPr>
              <w:t>工程质量</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2367" w:type="dxa"/>
          </w:tcPr>
          <w:p>
            <w:pPr>
              <w:pStyle w:val="254"/>
              <w:spacing w:before="5"/>
              <w:rPr>
                <w:rFonts w:ascii="黑体"/>
                <w:color w:val="auto"/>
                <w:sz w:val="18"/>
                <w:highlight w:val="none"/>
              </w:rPr>
            </w:pPr>
          </w:p>
          <w:p>
            <w:pPr>
              <w:pStyle w:val="254"/>
              <w:spacing w:before="1"/>
              <w:ind w:left="4"/>
              <w:jc w:val="center"/>
              <w:rPr>
                <w:color w:val="auto"/>
                <w:sz w:val="20"/>
                <w:highlight w:val="none"/>
              </w:rPr>
            </w:pPr>
            <w:r>
              <w:rPr>
                <w:color w:val="auto"/>
                <w:sz w:val="20"/>
                <w:highlight w:val="none"/>
              </w:rPr>
              <w:t>项目经理</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2367" w:type="dxa"/>
          </w:tcPr>
          <w:p>
            <w:pPr>
              <w:pStyle w:val="254"/>
              <w:spacing w:before="10"/>
              <w:rPr>
                <w:rFonts w:ascii="黑体"/>
                <w:color w:val="auto"/>
                <w:sz w:val="18"/>
                <w:highlight w:val="none"/>
              </w:rPr>
            </w:pPr>
          </w:p>
          <w:p>
            <w:pPr>
              <w:pStyle w:val="254"/>
              <w:ind w:left="4"/>
              <w:jc w:val="center"/>
              <w:rPr>
                <w:color w:val="auto"/>
                <w:sz w:val="20"/>
                <w:highlight w:val="none"/>
              </w:rPr>
            </w:pPr>
            <w:r>
              <w:rPr>
                <w:color w:val="auto"/>
                <w:sz w:val="20"/>
                <w:highlight w:val="none"/>
              </w:rPr>
              <w:t>项目总工</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2367" w:type="dxa"/>
          </w:tcPr>
          <w:p>
            <w:pPr>
              <w:pStyle w:val="254"/>
              <w:spacing w:before="8"/>
              <w:rPr>
                <w:rFonts w:ascii="黑体"/>
                <w:color w:val="auto"/>
                <w:sz w:val="18"/>
                <w:highlight w:val="none"/>
              </w:rPr>
            </w:pPr>
          </w:p>
          <w:p>
            <w:pPr>
              <w:pStyle w:val="254"/>
              <w:spacing w:before="1"/>
              <w:ind w:left="6"/>
              <w:jc w:val="center"/>
              <w:rPr>
                <w:color w:val="auto"/>
                <w:sz w:val="20"/>
                <w:highlight w:val="none"/>
              </w:rPr>
            </w:pPr>
            <w:r>
              <w:rPr>
                <w:color w:val="auto"/>
                <w:sz w:val="20"/>
                <w:highlight w:val="none"/>
              </w:rPr>
              <w:t>总监理工程师及电话</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2367" w:type="dxa"/>
          </w:tcPr>
          <w:p>
            <w:pPr>
              <w:pStyle w:val="254"/>
              <w:rPr>
                <w:rFonts w:ascii="黑体"/>
                <w:color w:val="auto"/>
                <w:sz w:val="20"/>
                <w:highlight w:val="none"/>
              </w:rPr>
            </w:pPr>
          </w:p>
          <w:p>
            <w:pPr>
              <w:pStyle w:val="254"/>
              <w:spacing w:before="2"/>
              <w:rPr>
                <w:rFonts w:ascii="黑体"/>
                <w:color w:val="auto"/>
                <w:sz w:val="26"/>
                <w:highlight w:val="none"/>
              </w:rPr>
            </w:pPr>
          </w:p>
          <w:p>
            <w:pPr>
              <w:pStyle w:val="254"/>
              <w:ind w:left="4"/>
              <w:jc w:val="center"/>
              <w:rPr>
                <w:color w:val="auto"/>
                <w:sz w:val="20"/>
                <w:highlight w:val="none"/>
              </w:rPr>
            </w:pPr>
            <w:r>
              <w:rPr>
                <w:color w:val="auto"/>
                <w:sz w:val="20"/>
                <w:highlight w:val="none"/>
              </w:rPr>
              <w:t>项目描述</w:t>
            </w:r>
          </w:p>
        </w:tc>
        <w:tc>
          <w:tcPr>
            <w:tcW w:w="6527" w:type="dxa"/>
          </w:tcPr>
          <w:p>
            <w:pPr>
              <w:pStyle w:val="254"/>
              <w:rPr>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4" w:hRule="atLeast"/>
        </w:trPr>
        <w:tc>
          <w:tcPr>
            <w:tcW w:w="2367" w:type="dxa"/>
          </w:tcPr>
          <w:p>
            <w:pPr>
              <w:pStyle w:val="254"/>
              <w:spacing w:before="3"/>
              <w:rPr>
                <w:rFonts w:ascii="黑体"/>
                <w:color w:val="auto"/>
                <w:sz w:val="18"/>
                <w:highlight w:val="none"/>
              </w:rPr>
            </w:pPr>
          </w:p>
          <w:p>
            <w:pPr>
              <w:pStyle w:val="254"/>
              <w:ind w:left="4"/>
              <w:jc w:val="center"/>
              <w:rPr>
                <w:color w:val="auto"/>
                <w:sz w:val="20"/>
                <w:highlight w:val="none"/>
              </w:rPr>
            </w:pPr>
            <w:r>
              <w:rPr>
                <w:color w:val="auto"/>
                <w:sz w:val="20"/>
                <w:highlight w:val="none"/>
              </w:rPr>
              <w:t>备注</w:t>
            </w:r>
          </w:p>
        </w:tc>
        <w:tc>
          <w:tcPr>
            <w:tcW w:w="6527" w:type="dxa"/>
          </w:tcPr>
          <w:p>
            <w:pPr>
              <w:pStyle w:val="254"/>
              <w:rPr>
                <w:color w:val="auto"/>
                <w:sz w:val="20"/>
                <w:highlight w:val="none"/>
              </w:rPr>
            </w:pPr>
          </w:p>
        </w:tc>
      </w:tr>
    </w:tbl>
    <w:p>
      <w:pPr>
        <w:spacing w:before="130"/>
        <w:ind w:left="684"/>
        <w:rPr>
          <w:rFonts w:ascii="仿宋" w:hAnsi="仿宋" w:eastAsia="仿宋" w:cs="仿宋"/>
          <w:b/>
          <w:color w:val="auto"/>
          <w:sz w:val="24"/>
          <w:highlight w:val="none"/>
        </w:rPr>
      </w:pPr>
      <w:r>
        <w:rPr>
          <w:rFonts w:hint="eastAsia" w:ascii="仿宋" w:hAnsi="仿宋" w:eastAsia="仿宋" w:cs="仿宋"/>
          <w:b/>
          <w:color w:val="auto"/>
          <w:sz w:val="24"/>
          <w:highlight w:val="none"/>
        </w:rPr>
        <w:t>注：1.每张表格只填写一个项目，并标明序号。</w:t>
      </w:r>
    </w:p>
    <w:p>
      <w:pPr>
        <w:spacing w:before="130"/>
        <w:ind w:left="684"/>
        <w:rPr>
          <w:rFonts w:ascii="仿宋" w:hAnsi="仿宋" w:eastAsia="仿宋" w:cs="仿宋"/>
          <w:b/>
          <w:color w:val="auto"/>
          <w:sz w:val="24"/>
          <w:highlight w:val="none"/>
        </w:rPr>
      </w:pPr>
      <w:r>
        <w:rPr>
          <w:rFonts w:hint="eastAsia" w:ascii="仿宋" w:hAnsi="仿宋" w:eastAsia="仿宋" w:cs="仿宋"/>
          <w:b/>
          <w:color w:val="auto"/>
          <w:sz w:val="24"/>
          <w:highlight w:val="none"/>
        </w:rPr>
        <w:t>2.在建工程附中标（成交）通知书或合同协议书复印件；已完成工程附中标（成交）通知书或合同协议书或工程竣工验收证明材料复印件。</w:t>
      </w:r>
    </w:p>
    <w:p>
      <w:pPr>
        <w:spacing w:before="130"/>
        <w:ind w:left="684"/>
        <w:rPr>
          <w:rFonts w:ascii="仿宋" w:hAnsi="仿宋" w:eastAsia="仿宋" w:cs="仿宋"/>
          <w:b/>
          <w:color w:val="auto"/>
          <w:sz w:val="24"/>
          <w:highlight w:val="none"/>
        </w:rPr>
      </w:pPr>
      <w:r>
        <w:rPr>
          <w:rFonts w:hint="eastAsia" w:ascii="仿宋" w:hAnsi="仿宋" w:eastAsia="仿宋" w:cs="仿宋"/>
          <w:b/>
          <w:color w:val="auto"/>
          <w:sz w:val="24"/>
          <w:highlight w:val="none"/>
        </w:rPr>
        <w:t>3.如近年来，磋商供应商法人机构发生合法变更或重组或法人名称变更时，应提供相关部门的合法批件或其他相关证明材料来证明其所附业绩的继承性。</w:t>
      </w:r>
    </w:p>
    <w:p>
      <w:pPr>
        <w:spacing w:before="130"/>
        <w:ind w:left="684"/>
        <w:rPr>
          <w:rFonts w:ascii="仿宋" w:hAnsi="仿宋" w:eastAsia="仿宋" w:cs="仿宋"/>
          <w:b/>
          <w:color w:val="auto"/>
          <w:sz w:val="24"/>
          <w:highlight w:val="none"/>
        </w:rPr>
      </w:pPr>
      <w:r>
        <w:rPr>
          <w:rFonts w:hint="eastAsia" w:ascii="仿宋" w:hAnsi="仿宋" w:eastAsia="仿宋" w:cs="仿宋"/>
          <w:b/>
          <w:color w:val="auto"/>
          <w:sz w:val="24"/>
          <w:highlight w:val="none"/>
        </w:rPr>
        <w:t>4、无相关证明材料的工程，或所提供的材料模糊不清，在评审时将不予确认。</w:t>
      </w:r>
    </w:p>
    <w:p>
      <w:pPr>
        <w:spacing w:before="130"/>
        <w:ind w:left="684"/>
        <w:rPr>
          <w:rFonts w:ascii="仿宋" w:hAnsi="仿宋" w:eastAsia="仿宋" w:cs="仿宋"/>
          <w:b/>
          <w:color w:val="auto"/>
          <w:sz w:val="24"/>
          <w:highlight w:val="none"/>
        </w:rPr>
      </w:pPr>
      <w:r>
        <w:rPr>
          <w:rFonts w:hint="eastAsia" w:ascii="仿宋" w:hAnsi="仿宋" w:eastAsia="仿宋" w:cs="仿宋"/>
          <w:b/>
          <w:color w:val="auto"/>
          <w:sz w:val="24"/>
          <w:highlight w:val="none"/>
        </w:rPr>
        <w:t>5、考核期为2017年1月1日起至递交响应文件截止之日止。</w:t>
      </w:r>
    </w:p>
    <w:p>
      <w:pPr>
        <w:snapToGrid w:val="0"/>
        <w:spacing w:line="400" w:lineRule="exact"/>
        <w:jc w:val="left"/>
        <w:rPr>
          <w:rFonts w:ascii="仿宋" w:hAnsi="仿宋" w:eastAsia="仿宋" w:cs="仿宋"/>
          <w:b/>
          <w:color w:val="auto"/>
          <w:sz w:val="24"/>
          <w:highlight w:val="none"/>
        </w:rPr>
      </w:pPr>
    </w:p>
    <w:p>
      <w:pPr>
        <w:pStyle w:val="27"/>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24"/>
          <w:highlight w:val="none"/>
        </w:rPr>
        <w:t>（15）</w:t>
      </w:r>
      <w:bookmarkStart w:id="472" w:name="_Toc390094875"/>
      <w:r>
        <w:rPr>
          <w:rFonts w:hint="eastAsia" w:ascii="仿宋" w:hAnsi="仿宋" w:eastAsia="仿宋" w:cs="仿宋"/>
          <w:b/>
          <w:color w:val="auto"/>
          <w:sz w:val="32"/>
          <w:highlight w:val="none"/>
        </w:rPr>
        <w:t xml:space="preserve"> </w:t>
      </w:r>
      <w:r>
        <w:rPr>
          <w:rFonts w:hint="eastAsia" w:ascii="仿宋" w:hAnsi="仿宋" w:eastAsia="仿宋" w:cs="仿宋"/>
          <w:b/>
          <w:color w:val="auto"/>
          <w:sz w:val="24"/>
          <w:szCs w:val="24"/>
          <w:highlight w:val="none"/>
        </w:rPr>
        <w:t>建设工程项目管理承诺书</w:t>
      </w:r>
      <w:bookmarkEnd w:id="472"/>
    </w:p>
    <w:p>
      <w:pPr>
        <w:spacing w:line="480" w:lineRule="auto"/>
        <w:jc w:val="left"/>
        <w:rPr>
          <w:rFonts w:ascii="仿宋" w:hAnsi="仿宋" w:eastAsia="仿宋" w:cs="仿宋"/>
          <w:color w:val="auto"/>
          <w:highlight w:val="none"/>
        </w:rPr>
      </w:pPr>
    </w:p>
    <w:p>
      <w:pPr>
        <w:spacing w:line="480" w:lineRule="auto"/>
        <w:jc w:val="left"/>
        <w:rPr>
          <w:color w:val="auto"/>
          <w:highlight w:val="none"/>
        </w:rPr>
      </w:pPr>
      <w:r>
        <w:rPr>
          <w:rFonts w:hint="eastAsia" w:cs="宋体"/>
          <w:color w:val="auto"/>
          <w:highlight w:val="none"/>
        </w:rPr>
        <w:t>致</w:t>
      </w:r>
      <w:r>
        <w:rPr>
          <w:color w:val="auto"/>
          <w:highlight w:val="none"/>
          <w:u w:val="single"/>
        </w:rPr>
        <w:t xml:space="preserve">                        </w:t>
      </w:r>
      <w:r>
        <w:rPr>
          <w:rFonts w:hint="eastAsia" w:cs="宋体"/>
          <w:color w:val="auto"/>
          <w:highlight w:val="none"/>
        </w:rPr>
        <w:t>（招标人名称）：</w:t>
      </w:r>
    </w:p>
    <w:p>
      <w:pPr>
        <w:spacing w:line="520" w:lineRule="exact"/>
        <w:ind w:left="-10" w:firstLine="455" w:firstLineChars="217"/>
        <w:jc w:val="left"/>
        <w:rPr>
          <w:color w:val="auto"/>
          <w:highlight w:val="none"/>
        </w:rPr>
      </w:pPr>
      <w:r>
        <w:rPr>
          <w:rFonts w:hint="eastAsia" w:cs="宋体"/>
          <w:color w:val="auto"/>
          <w:highlight w:val="none"/>
        </w:rPr>
        <w:t>作为参与</w:t>
      </w:r>
      <w:r>
        <w:rPr>
          <w:color w:val="auto"/>
          <w:highlight w:val="none"/>
          <w:u w:val="single"/>
        </w:rPr>
        <w:t xml:space="preserve">                  </w:t>
      </w:r>
      <w:r>
        <w:rPr>
          <w:rFonts w:hint="eastAsia" w:cs="宋体"/>
          <w:color w:val="auto"/>
          <w:highlight w:val="none"/>
        </w:rPr>
        <w:t>（工程名称）项目的磋商方，根据国家、自治区相关文件规定，我方在此向招标人承诺：</w:t>
      </w:r>
    </w:p>
    <w:p>
      <w:pPr>
        <w:spacing w:line="520" w:lineRule="exact"/>
        <w:ind w:left="-10" w:firstLine="455" w:firstLineChars="217"/>
        <w:jc w:val="left"/>
        <w:rPr>
          <w:color w:val="auto"/>
          <w:highlight w:val="none"/>
        </w:rPr>
      </w:pPr>
      <w:r>
        <w:rPr>
          <w:color w:val="auto"/>
          <w:highlight w:val="none"/>
        </w:rPr>
        <w:t>1</w:t>
      </w:r>
      <w:r>
        <w:rPr>
          <w:rFonts w:hint="eastAsia" w:cs="宋体"/>
          <w:color w:val="auto"/>
          <w:highlight w:val="none"/>
        </w:rPr>
        <w:t>、一旦中标，我方保证按照政府相关部门的规定，在发出中标通知书之日起</w:t>
      </w:r>
      <w:r>
        <w:rPr>
          <w:color w:val="auto"/>
          <w:highlight w:val="none"/>
        </w:rPr>
        <w:t>7</w:t>
      </w:r>
      <w:r>
        <w:rPr>
          <w:rFonts w:hint="eastAsia" w:cs="宋体"/>
          <w:color w:val="auto"/>
          <w:highlight w:val="none"/>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rPr>
          <w:color w:val="auto"/>
          <w:highlight w:val="none"/>
        </w:rPr>
        <w:t>2009</w:t>
      </w:r>
      <w:r>
        <w:rPr>
          <w:rFonts w:hint="eastAsia" w:cs="宋体"/>
          <w:color w:val="auto"/>
          <w:highlight w:val="none"/>
        </w:rPr>
        <w:t>〕</w:t>
      </w:r>
      <w:r>
        <w:rPr>
          <w:color w:val="auto"/>
          <w:highlight w:val="none"/>
        </w:rPr>
        <w:t>50</w:t>
      </w:r>
      <w:r>
        <w:rPr>
          <w:rFonts w:hint="eastAsia" w:cs="宋体"/>
          <w:color w:val="auto"/>
          <w:highlight w:val="none"/>
        </w:rPr>
        <w:t>号）从我方农民工工资保障金中先予划支。</w:t>
      </w:r>
    </w:p>
    <w:p>
      <w:pPr>
        <w:spacing w:line="520" w:lineRule="exact"/>
        <w:ind w:left="-10" w:firstLine="455" w:firstLineChars="217"/>
        <w:jc w:val="left"/>
        <w:rPr>
          <w:color w:val="auto"/>
          <w:highlight w:val="none"/>
        </w:rPr>
      </w:pPr>
      <w:r>
        <w:rPr>
          <w:color w:val="auto"/>
          <w:highlight w:val="none"/>
        </w:rPr>
        <w:t>2</w:t>
      </w:r>
      <w:r>
        <w:rPr>
          <w:rFonts w:hint="eastAsia" w:cs="宋体"/>
          <w:color w:val="auto"/>
          <w:highlight w:val="none"/>
        </w:rPr>
        <w:t>、一旦中标，我方保证在施工过程中，严格执行《广西壮族自治区建筑工程安全文明施工费使用管理细则》（桂建质〔</w:t>
      </w:r>
      <w:r>
        <w:rPr>
          <w:color w:val="auto"/>
          <w:highlight w:val="none"/>
        </w:rPr>
        <w:t>2015</w:t>
      </w:r>
      <w:r>
        <w:rPr>
          <w:rFonts w:hint="eastAsia" w:cs="宋体"/>
          <w:color w:val="auto"/>
          <w:highlight w:val="none"/>
        </w:rPr>
        <w:t>〕</w:t>
      </w:r>
      <w:r>
        <w:rPr>
          <w:color w:val="auto"/>
          <w:highlight w:val="none"/>
        </w:rPr>
        <w:t>16</w:t>
      </w:r>
      <w:r>
        <w:rPr>
          <w:rFonts w:hint="eastAsia" w:cs="宋体"/>
          <w:color w:val="auto"/>
          <w:highlight w:val="none"/>
        </w:rPr>
        <w:t>号）的有关规定，确保建设工程各项安全防护、文明施工措施落实到位。如我方在该项目的承包中出现未按桂建质〔</w:t>
      </w:r>
      <w:r>
        <w:rPr>
          <w:color w:val="auto"/>
          <w:highlight w:val="none"/>
        </w:rPr>
        <w:t>2015</w:t>
      </w:r>
      <w:r>
        <w:rPr>
          <w:rFonts w:hint="eastAsia" w:cs="宋体"/>
          <w:color w:val="auto"/>
          <w:highlight w:val="none"/>
        </w:rPr>
        <w:t>〕</w:t>
      </w:r>
      <w:r>
        <w:rPr>
          <w:color w:val="auto"/>
          <w:highlight w:val="none"/>
        </w:rPr>
        <w:t>16</w:t>
      </w:r>
      <w:r>
        <w:rPr>
          <w:rFonts w:hint="eastAsia" w:cs="宋体"/>
          <w:color w:val="auto"/>
          <w:highlight w:val="none"/>
        </w:rPr>
        <w:t>号文附件一规定执行的情形，我方愿意按照相关规定接受建设单位及有关主管部门的处罚。</w:t>
      </w:r>
    </w:p>
    <w:p>
      <w:pPr>
        <w:spacing w:line="520" w:lineRule="exact"/>
        <w:ind w:left="-2" w:leftChars="-1" w:firstLine="449" w:firstLineChars="214"/>
        <w:jc w:val="left"/>
        <w:rPr>
          <w:color w:val="auto"/>
          <w:highlight w:val="none"/>
        </w:rPr>
      </w:pPr>
      <w:r>
        <w:rPr>
          <w:color w:val="auto"/>
          <w:highlight w:val="none"/>
        </w:rPr>
        <w:t>3</w:t>
      </w:r>
      <w:r>
        <w:rPr>
          <w:rFonts w:hint="eastAsia" w:cs="宋体"/>
          <w:color w:val="auto"/>
          <w:highlight w:val="none"/>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color w:val="auto"/>
          <w:highlight w:val="none"/>
        </w:rPr>
      </w:pPr>
      <w:r>
        <w:rPr>
          <w:color w:val="auto"/>
          <w:highlight w:val="none"/>
        </w:rPr>
        <w:t>4</w:t>
      </w:r>
      <w:r>
        <w:rPr>
          <w:rFonts w:hint="eastAsia" w:cs="宋体"/>
          <w:color w:val="auto"/>
          <w:highlight w:val="none"/>
        </w:rPr>
        <w:t>、一旦中标，我方保证严格执行</w:t>
      </w:r>
      <w:r>
        <w:rPr>
          <w:rFonts w:hint="eastAsia" w:ascii="宋体" w:hAnsi="宋体" w:cs="宋体"/>
          <w:color w:val="auto"/>
          <w:highlight w:val="none"/>
        </w:rPr>
        <w:t>《危险性较大的分部分项工程安全管理规定》</w:t>
      </w:r>
      <w:r>
        <w:rPr>
          <w:rFonts w:hint="eastAsia" w:cs="宋体"/>
          <w:color w:val="auto"/>
          <w:highlight w:val="none"/>
        </w:rPr>
        <w:t>（建办质〔</w:t>
      </w:r>
      <w:r>
        <w:rPr>
          <w:color w:val="auto"/>
          <w:highlight w:val="none"/>
        </w:rPr>
        <w:t>2018</w:t>
      </w:r>
      <w:r>
        <w:rPr>
          <w:rFonts w:hint="eastAsia" w:cs="宋体"/>
          <w:color w:val="auto"/>
          <w:highlight w:val="none"/>
        </w:rPr>
        <w:t>〕</w:t>
      </w:r>
      <w:r>
        <w:rPr>
          <w:color w:val="auto"/>
          <w:highlight w:val="none"/>
        </w:rPr>
        <w:t>31</w:t>
      </w:r>
      <w:r>
        <w:rPr>
          <w:rFonts w:hint="eastAsia" w:cs="宋体"/>
          <w:color w:val="auto"/>
          <w:highlight w:val="none"/>
        </w:rPr>
        <w:t>号）的规定，强化对深基坑、高切坡、高大模板、人工挖孔桩、起重吊装、临时活动板房等重大危险源的专项施工方案的编制、论证、审批、实施、检测的风险管理。</w:t>
      </w:r>
    </w:p>
    <w:p>
      <w:pPr>
        <w:spacing w:line="520" w:lineRule="exact"/>
        <w:jc w:val="left"/>
        <w:rPr>
          <w:color w:val="auto"/>
          <w:highlight w:val="none"/>
        </w:rPr>
      </w:pPr>
    </w:p>
    <w:p>
      <w:pPr>
        <w:spacing w:line="360" w:lineRule="auto"/>
        <w:ind w:firstLine="4410" w:firstLineChars="2100"/>
        <w:jc w:val="left"/>
        <w:rPr>
          <w:color w:val="auto"/>
          <w:highlight w:val="none"/>
          <w:u w:val="single"/>
        </w:rPr>
      </w:pPr>
      <w:r>
        <w:rPr>
          <w:rFonts w:hint="eastAsia" w:cs="宋体"/>
          <w:color w:val="auto"/>
          <w:highlight w:val="none"/>
        </w:rPr>
        <w:t>磋商人：</w:t>
      </w:r>
      <w:r>
        <w:rPr>
          <w:color w:val="auto"/>
          <w:highlight w:val="none"/>
          <w:u w:val="single"/>
        </w:rPr>
        <w:t xml:space="preserve">                     </w:t>
      </w:r>
      <w:r>
        <w:rPr>
          <w:rFonts w:hint="eastAsia" w:cs="宋体"/>
          <w:color w:val="auto"/>
          <w:highlight w:val="none"/>
          <w:u w:val="single"/>
        </w:rPr>
        <w:t>（盖单位章）</w:t>
      </w:r>
    </w:p>
    <w:p>
      <w:pPr>
        <w:spacing w:line="360" w:lineRule="auto"/>
        <w:ind w:firstLine="3465" w:firstLineChars="1650"/>
        <w:jc w:val="left"/>
        <w:rPr>
          <w:color w:val="auto"/>
          <w:highlight w:val="none"/>
          <w:u w:val="single"/>
        </w:rPr>
      </w:pPr>
      <w:r>
        <w:rPr>
          <w:rFonts w:hint="eastAsia" w:cs="宋体"/>
          <w:color w:val="auto"/>
          <w:highlight w:val="none"/>
        </w:rPr>
        <w:t>法定代表人或授权代理人：</w:t>
      </w:r>
      <w:r>
        <w:rPr>
          <w:color w:val="auto"/>
          <w:highlight w:val="none"/>
          <w:u w:val="single"/>
        </w:rPr>
        <w:t xml:space="preserve">              </w:t>
      </w:r>
      <w:r>
        <w:rPr>
          <w:rFonts w:hint="eastAsia" w:cs="宋体"/>
          <w:color w:val="auto"/>
          <w:highlight w:val="none"/>
          <w:u w:val="single"/>
        </w:rPr>
        <w:t>（签字或盖章）</w:t>
      </w:r>
    </w:p>
    <w:p>
      <w:pPr>
        <w:snapToGrid w:val="0"/>
        <w:spacing w:line="400" w:lineRule="exact"/>
        <w:ind w:firstLine="4410" w:firstLineChars="2100"/>
        <w:jc w:val="left"/>
        <w:rPr>
          <w:rFonts w:ascii="仿宋" w:hAnsi="仿宋" w:eastAsia="仿宋" w:cs="仿宋"/>
          <w:b/>
          <w:color w:val="auto"/>
          <w:sz w:val="24"/>
          <w:highlight w:val="none"/>
        </w:rPr>
      </w:pPr>
      <w:r>
        <w:rPr>
          <w:rFonts w:hint="eastAsia" w:cs="宋体"/>
          <w:color w:val="auto"/>
          <w:highlight w:val="none"/>
        </w:rPr>
        <w:t>日期：</w:t>
      </w:r>
      <w:r>
        <w:rPr>
          <w:color w:val="auto"/>
          <w:highlight w:val="none"/>
          <w:u w:val="single"/>
        </w:rPr>
        <w:t xml:space="preserve">         </w:t>
      </w:r>
      <w:r>
        <w:rPr>
          <w:rFonts w:hint="eastAsia" w:cs="宋体"/>
          <w:color w:val="auto"/>
          <w:highlight w:val="none"/>
        </w:rPr>
        <w:t>年</w:t>
      </w:r>
      <w:r>
        <w:rPr>
          <w:color w:val="auto"/>
          <w:highlight w:val="none"/>
          <w:u w:val="single"/>
        </w:rPr>
        <w:t xml:space="preserve">        </w:t>
      </w:r>
      <w:r>
        <w:rPr>
          <w:rFonts w:hint="eastAsia" w:cs="宋体"/>
          <w:color w:val="auto"/>
          <w:highlight w:val="none"/>
        </w:rPr>
        <w:t>月</w:t>
      </w:r>
      <w:r>
        <w:rPr>
          <w:color w:val="auto"/>
          <w:highlight w:val="none"/>
          <w:u w:val="single"/>
        </w:rPr>
        <w:t xml:space="preserve">        </w:t>
      </w:r>
      <w:r>
        <w:rPr>
          <w:rFonts w:hint="eastAsia" w:cs="宋体"/>
          <w:color w:val="auto"/>
          <w:highlight w:val="none"/>
        </w:rPr>
        <w:t>日</w:t>
      </w:r>
      <w:r>
        <w:rPr>
          <w:color w:val="auto"/>
          <w:highlight w:val="none"/>
        </w:rPr>
        <w:br w:type="page"/>
      </w: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color w:val="auto"/>
          <w:sz w:val="24"/>
          <w:highlight w:val="none"/>
        </w:rPr>
        <w:t>（16）</w:t>
      </w:r>
      <w:r>
        <w:rPr>
          <w:rFonts w:hint="eastAsia" w:ascii="仿宋" w:hAnsi="仿宋" w:eastAsia="仿宋" w:cs="仿宋"/>
          <w:b/>
          <w:color w:val="auto"/>
          <w:sz w:val="24"/>
          <w:highlight w:val="none"/>
        </w:rPr>
        <w:t>供应商认为与商务分评分有关的其他证明材料（格式自拟）</w:t>
      </w:r>
    </w:p>
    <w:p>
      <w:pPr>
        <w:snapToGrid w:val="0"/>
        <w:spacing w:line="400" w:lineRule="exact"/>
        <w:jc w:val="left"/>
        <w:rPr>
          <w:rFonts w:ascii="仿宋" w:hAnsi="仿宋" w:eastAsia="仿宋" w:cs="仿宋"/>
          <w:b/>
          <w:color w:val="auto"/>
          <w:sz w:val="24"/>
          <w:highlight w:val="none"/>
        </w:rPr>
        <w:sectPr>
          <w:footerReference r:id="rId7" w:type="first"/>
          <w:headerReference r:id="rId3" w:type="default"/>
          <w:footerReference r:id="rId5" w:type="default"/>
          <w:headerReference r:id="rId4" w:type="even"/>
          <w:footerReference r:id="rId6" w:type="even"/>
          <w:pgSz w:w="11906" w:h="16838"/>
          <w:pgMar w:top="1134" w:right="1134" w:bottom="1134" w:left="1134" w:header="851" w:footer="851" w:gutter="0"/>
          <w:pgNumType w:start="0"/>
          <w:cols w:space="720" w:num="1"/>
          <w:titlePg/>
          <w:docGrid w:linePitch="312" w:charSpace="0"/>
        </w:sectPr>
      </w:pPr>
    </w:p>
    <w:p>
      <w:pPr>
        <w:widowControl/>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三、技术文件格式</w:t>
      </w:r>
    </w:p>
    <w:p>
      <w:pPr>
        <w:snapToGrid w:val="0"/>
        <w:spacing w:before="120" w:beforeLines="50" w:after="50"/>
        <w:rPr>
          <w:rFonts w:ascii="仿宋" w:hAnsi="仿宋" w:eastAsia="仿宋" w:cs="仿宋"/>
          <w:b/>
          <w:color w:val="auto"/>
          <w:sz w:val="24"/>
          <w:highlight w:val="none"/>
        </w:rPr>
      </w:pPr>
    </w:p>
    <w:p>
      <w:pPr>
        <w:snapToGrid w:val="0"/>
        <w:spacing w:before="120" w:beforeLines="50" w:after="5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1、技术文件内封面格式（格式可自拟）： </w:t>
      </w:r>
    </w:p>
    <w:p>
      <w:pPr>
        <w:snapToGrid w:val="0"/>
        <w:spacing w:before="120" w:beforeLines="50" w:after="50"/>
        <w:jc w:val="center"/>
        <w:rPr>
          <w:rFonts w:ascii="仿宋" w:hAnsi="仿宋" w:eastAsia="仿宋" w:cs="仿宋"/>
          <w:b/>
          <w:bCs/>
          <w:color w:val="auto"/>
          <w:sz w:val="52"/>
          <w:szCs w:val="52"/>
          <w:highlight w:val="none"/>
        </w:rPr>
      </w:pPr>
    </w:p>
    <w:p>
      <w:pPr>
        <w:snapToGrid w:val="0"/>
        <w:spacing w:before="120" w:beforeLines="50" w:after="50"/>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技 术 文 件</w:t>
      </w:r>
    </w:p>
    <w:p>
      <w:pPr>
        <w:snapToGrid w:val="0"/>
        <w:spacing w:before="120" w:beforeLines="50" w:after="50"/>
        <w:rPr>
          <w:rFonts w:ascii="仿宋" w:hAnsi="仿宋" w:eastAsia="仿宋" w:cs="仿宋"/>
          <w:bCs/>
          <w:color w:val="auto"/>
          <w:sz w:val="24"/>
          <w:szCs w:val="20"/>
          <w:highlight w:val="none"/>
        </w:rPr>
      </w:pP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项目名称：</w:t>
      </w:r>
      <w:r>
        <w:rPr>
          <w:rFonts w:hint="eastAsia" w:ascii="仿宋" w:hAnsi="仿宋" w:eastAsia="仿宋" w:cs="仿宋"/>
          <w:bCs/>
          <w:color w:val="auto"/>
          <w:sz w:val="24"/>
          <w:szCs w:val="20"/>
          <w:highlight w:val="none"/>
        </w:rPr>
        <w:t xml:space="preserve"> </w:t>
      </w:r>
    </w:p>
    <w:p>
      <w:pPr>
        <w:snapToGrid w:val="0"/>
        <w:spacing w:line="400" w:lineRule="exact"/>
        <w:ind w:firstLine="943" w:firstLineChars="393"/>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 xml:space="preserve">项目编号： </w:t>
      </w:r>
    </w:p>
    <w:p>
      <w:pPr>
        <w:snapToGrid w:val="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供应商名称：盖章</w:t>
      </w:r>
    </w:p>
    <w:p>
      <w:pPr>
        <w:pStyle w:val="8"/>
        <w:snapToGrid w:val="0"/>
        <w:spacing w:line="400" w:lineRule="exact"/>
        <w:ind w:firstLine="998" w:firstLineChars="416"/>
        <w:rPr>
          <w:rFonts w:ascii="仿宋" w:hAnsi="仿宋" w:eastAsia="仿宋" w:cs="仿宋"/>
          <w:bCs/>
          <w:color w:val="auto"/>
          <w:sz w:val="24"/>
          <w:szCs w:val="24"/>
          <w:highlight w:val="none"/>
        </w:rPr>
      </w:pP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法定代表人或委托代理人签字：</w:t>
      </w:r>
    </w:p>
    <w:p>
      <w:pPr>
        <w:snapToGrid w:val="0"/>
        <w:spacing w:before="120" w:beforeLines="50" w:after="50"/>
        <w:ind w:firstLine="960" w:firstLineChars="400"/>
        <w:rPr>
          <w:rFonts w:ascii="仿宋" w:hAnsi="仿宋" w:eastAsia="仿宋" w:cs="仿宋"/>
          <w:bCs/>
          <w:color w:val="auto"/>
          <w:sz w:val="24"/>
          <w:szCs w:val="20"/>
          <w:highlight w:val="none"/>
        </w:rPr>
      </w:pPr>
    </w:p>
    <w:p>
      <w:pPr>
        <w:snapToGrid w:val="0"/>
        <w:spacing w:before="50" w:after="50" w:line="280" w:lineRule="exact"/>
        <w:rPr>
          <w:rFonts w:ascii="仿宋" w:hAnsi="仿宋" w:eastAsia="仿宋" w:cs="仿宋"/>
          <w:b/>
          <w:color w:val="auto"/>
          <w:szCs w:val="21"/>
          <w:highlight w:val="none"/>
        </w:rPr>
      </w:pP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bCs/>
          <w:color w:val="auto"/>
          <w:sz w:val="24"/>
          <w:highlight w:val="none"/>
        </w:rPr>
        <w:t>技术文件目录</w:t>
      </w:r>
    </w:p>
    <w:p>
      <w:pPr>
        <w:snapToGrid w:val="0"/>
        <w:spacing w:line="40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（1）施工组织设计方案</w:t>
      </w:r>
    </w:p>
    <w:p>
      <w:pPr>
        <w:snapToGrid w:val="0"/>
        <w:spacing w:line="40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（2）拟投入本项目实施人员一览表</w:t>
      </w:r>
    </w:p>
    <w:p>
      <w:pPr>
        <w:snapToGrid w:val="0"/>
        <w:spacing w:line="40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（3）供应商认为与技术分评分有关的其他证明材料</w:t>
      </w: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24"/>
          <w:highlight w:val="none"/>
        </w:rPr>
        <w:t>（1）施工组织设计方案</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磋商供应商编制施工组织设计的要求：编制时应采用文字并结合图表形式说明施工方法；拟投入本工程的主要施工设备情况、拟配备本工程的试验和检测仪器设备情况、劳动力和材料投入计划等；结合工程特点提出切实可行的工程质量、安全生产、文明施工、工程进度、技术组织措施，同时应对关键工序、复杂环节重点提出相应技术措施等。</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2、施工组织设计除采用文字表述外可附下列图表，图表及格式要求附后。</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附表一  拟投入本工程的主要施工设备表</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附表二  拟配备本工程的试验和检测仪器设备表</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附表三  劳动力计划表</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附表四  计划开、竣工日期和施工进度网络图</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附表五  施工总平面图</w:t>
      </w:r>
    </w:p>
    <w:p>
      <w:pPr>
        <w:snapToGri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附表六  临时用地表</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附表一：拟投入本工程的主要施工设备表</w:t>
      </w:r>
    </w:p>
    <w:tbl>
      <w:tblPr>
        <w:tblStyle w:val="60"/>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75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2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设备名称</w:t>
            </w:r>
          </w:p>
        </w:tc>
        <w:tc>
          <w:tcPr>
            <w:tcW w:w="851"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型号规格</w:t>
            </w:r>
          </w:p>
        </w:tc>
        <w:tc>
          <w:tcPr>
            <w:tcW w:w="70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709"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国别产地</w:t>
            </w:r>
          </w:p>
        </w:tc>
        <w:tc>
          <w:tcPr>
            <w:tcW w:w="851"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制造年份</w:t>
            </w:r>
          </w:p>
        </w:tc>
        <w:tc>
          <w:tcPr>
            <w:tcW w:w="1134"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额定功率（KW）</w:t>
            </w:r>
          </w:p>
        </w:tc>
        <w:tc>
          <w:tcPr>
            <w:tcW w:w="99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生产能力</w:t>
            </w:r>
          </w:p>
        </w:tc>
        <w:tc>
          <w:tcPr>
            <w:tcW w:w="1134"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用于施工部位</w:t>
            </w:r>
          </w:p>
        </w:tc>
        <w:tc>
          <w:tcPr>
            <w:tcW w:w="99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992" w:type="dxa"/>
            <w:vAlign w:val="center"/>
          </w:tcPr>
          <w:p>
            <w:pPr>
              <w:spacing w:line="400" w:lineRule="exact"/>
              <w:jc w:val="center"/>
              <w:rPr>
                <w:rFonts w:ascii="仿宋" w:hAnsi="仿宋" w:eastAsia="仿宋" w:cs="仿宋"/>
                <w:color w:val="auto"/>
                <w:sz w:val="24"/>
                <w:highlight w:val="none"/>
              </w:rPr>
            </w:pPr>
          </w:p>
        </w:tc>
      </w:tr>
    </w:tbl>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附表二：拟配备本工程的试验和检测仪器设备表</w:t>
      </w:r>
    </w:p>
    <w:tbl>
      <w:tblPr>
        <w:tblStyle w:val="60"/>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2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仪器设备名称</w:t>
            </w:r>
          </w:p>
        </w:tc>
        <w:tc>
          <w:tcPr>
            <w:tcW w:w="851"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型号规格</w:t>
            </w:r>
          </w:p>
        </w:tc>
        <w:tc>
          <w:tcPr>
            <w:tcW w:w="70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709"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国别产地</w:t>
            </w:r>
          </w:p>
        </w:tc>
        <w:tc>
          <w:tcPr>
            <w:tcW w:w="1134"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制造年份</w:t>
            </w:r>
          </w:p>
        </w:tc>
        <w:tc>
          <w:tcPr>
            <w:tcW w:w="127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已使用台时数</w:t>
            </w:r>
          </w:p>
        </w:tc>
        <w:tc>
          <w:tcPr>
            <w:tcW w:w="1134"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用途</w:t>
            </w:r>
          </w:p>
        </w:tc>
        <w:tc>
          <w:tcPr>
            <w:tcW w:w="1559"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559"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559"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559"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559"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8" w:type="dxa"/>
            <w:vAlign w:val="center"/>
          </w:tcPr>
          <w:p>
            <w:pPr>
              <w:spacing w:line="400" w:lineRule="exact"/>
              <w:jc w:val="center"/>
              <w:rPr>
                <w:rFonts w:ascii="仿宋" w:hAnsi="仿宋" w:eastAsia="仿宋" w:cs="仿宋"/>
                <w:color w:val="auto"/>
                <w:sz w:val="24"/>
                <w:highlight w:val="none"/>
              </w:rPr>
            </w:pPr>
          </w:p>
        </w:tc>
        <w:tc>
          <w:tcPr>
            <w:tcW w:w="1226" w:type="dxa"/>
            <w:vAlign w:val="center"/>
          </w:tcPr>
          <w:p>
            <w:pPr>
              <w:spacing w:line="400" w:lineRule="exact"/>
              <w:jc w:val="center"/>
              <w:rPr>
                <w:rFonts w:ascii="仿宋" w:hAnsi="仿宋" w:eastAsia="仿宋" w:cs="仿宋"/>
                <w:color w:val="auto"/>
                <w:sz w:val="24"/>
                <w:highlight w:val="none"/>
              </w:rPr>
            </w:pPr>
          </w:p>
        </w:tc>
        <w:tc>
          <w:tcPr>
            <w:tcW w:w="851" w:type="dxa"/>
            <w:vAlign w:val="center"/>
          </w:tcPr>
          <w:p>
            <w:pPr>
              <w:spacing w:line="400" w:lineRule="exact"/>
              <w:jc w:val="center"/>
              <w:rPr>
                <w:rFonts w:ascii="仿宋" w:hAnsi="仿宋" w:eastAsia="仿宋" w:cs="仿宋"/>
                <w:color w:val="auto"/>
                <w:sz w:val="24"/>
                <w:highlight w:val="none"/>
              </w:rPr>
            </w:pPr>
          </w:p>
        </w:tc>
        <w:tc>
          <w:tcPr>
            <w:tcW w:w="708" w:type="dxa"/>
            <w:vAlign w:val="center"/>
          </w:tcPr>
          <w:p>
            <w:pPr>
              <w:spacing w:line="400" w:lineRule="exact"/>
              <w:jc w:val="center"/>
              <w:rPr>
                <w:rFonts w:ascii="仿宋" w:hAnsi="仿宋" w:eastAsia="仿宋" w:cs="仿宋"/>
                <w:color w:val="auto"/>
                <w:sz w:val="24"/>
                <w:highlight w:val="none"/>
              </w:rPr>
            </w:pPr>
          </w:p>
        </w:tc>
        <w:tc>
          <w:tcPr>
            <w:tcW w:w="709"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c>
          <w:tcPr>
            <w:tcW w:w="1134" w:type="dxa"/>
            <w:vAlign w:val="center"/>
          </w:tcPr>
          <w:p>
            <w:pPr>
              <w:spacing w:line="400" w:lineRule="exact"/>
              <w:jc w:val="center"/>
              <w:rPr>
                <w:rFonts w:ascii="仿宋" w:hAnsi="仿宋" w:eastAsia="仿宋" w:cs="仿宋"/>
                <w:color w:val="auto"/>
                <w:sz w:val="24"/>
                <w:highlight w:val="none"/>
              </w:rPr>
            </w:pPr>
          </w:p>
        </w:tc>
        <w:tc>
          <w:tcPr>
            <w:tcW w:w="1559" w:type="dxa"/>
            <w:vAlign w:val="center"/>
          </w:tcPr>
          <w:p>
            <w:pPr>
              <w:spacing w:line="400" w:lineRule="exact"/>
              <w:jc w:val="center"/>
              <w:rPr>
                <w:rFonts w:ascii="仿宋" w:hAnsi="仿宋" w:eastAsia="仿宋" w:cs="仿宋"/>
                <w:color w:val="auto"/>
                <w:sz w:val="24"/>
                <w:highlight w:val="none"/>
              </w:rPr>
            </w:pPr>
          </w:p>
        </w:tc>
      </w:tr>
    </w:tbl>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附表三：劳动力计划表</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单位：人</w:t>
      </w:r>
    </w:p>
    <w:tbl>
      <w:tblPr>
        <w:tblStyle w:val="60"/>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工种</w:t>
            </w:r>
          </w:p>
        </w:tc>
        <w:tc>
          <w:tcPr>
            <w:tcW w:w="8506" w:type="dxa"/>
            <w:gridSpan w:val="7"/>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spacing w:line="400" w:lineRule="exact"/>
              <w:jc w:val="center"/>
              <w:rPr>
                <w:rFonts w:ascii="仿宋" w:hAnsi="仿宋" w:eastAsia="仿宋" w:cs="仿宋"/>
                <w:color w:val="auto"/>
                <w:sz w:val="24"/>
                <w:highlight w:val="none"/>
              </w:rPr>
            </w:pPr>
          </w:p>
        </w:tc>
        <w:tc>
          <w:tcPr>
            <w:tcW w:w="961"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c>
          <w:tcPr>
            <w:tcW w:w="1257" w:type="dxa"/>
            <w:vAlign w:val="center"/>
          </w:tcPr>
          <w:p>
            <w:pPr>
              <w:spacing w:line="400" w:lineRule="exact"/>
              <w:jc w:val="center"/>
              <w:rPr>
                <w:rFonts w:ascii="仿宋" w:hAnsi="仿宋" w:eastAsia="仿宋" w:cs="仿宋"/>
                <w:color w:val="auto"/>
                <w:sz w:val="24"/>
                <w:highlight w:val="none"/>
              </w:rPr>
            </w:pPr>
          </w:p>
        </w:tc>
        <w:tc>
          <w:tcPr>
            <w:tcW w:w="1258" w:type="dxa"/>
            <w:vAlign w:val="center"/>
          </w:tcPr>
          <w:p>
            <w:pPr>
              <w:spacing w:line="400" w:lineRule="exact"/>
              <w:jc w:val="center"/>
              <w:rPr>
                <w:rFonts w:ascii="仿宋" w:hAnsi="仿宋" w:eastAsia="仿宋" w:cs="仿宋"/>
                <w:color w:val="auto"/>
                <w:sz w:val="24"/>
                <w:highlight w:val="none"/>
              </w:rPr>
            </w:pPr>
          </w:p>
        </w:tc>
      </w:tr>
    </w:tbl>
    <w:p>
      <w:pPr>
        <w:spacing w:line="400" w:lineRule="exact"/>
        <w:ind w:firstLine="480" w:firstLineChars="200"/>
        <w:rPr>
          <w:rFonts w:ascii="仿宋" w:hAnsi="仿宋" w:eastAsia="仿宋" w:cs="仿宋"/>
          <w:color w:val="auto"/>
          <w:sz w:val="24"/>
          <w:highlight w:val="none"/>
        </w:rPr>
      </w:pPr>
    </w:p>
    <w:p>
      <w:pPr>
        <w:spacing w:line="400" w:lineRule="exact"/>
        <w:ind w:firstLine="482" w:firstLineChars="200"/>
        <w:rPr>
          <w:rFonts w:ascii="仿宋" w:hAnsi="仿宋" w:eastAsia="仿宋" w:cs="仿宋"/>
          <w:b/>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附表四：计划开、竣工日期和施工进度计划（网络图或横道图）</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1、供应商应提交施工进度计划，说明按招标文件要求的工期进行施工的各个关键日期。中标的磋商供应商还应按合同条件有关条款的要求提交详细的施工进度计划。</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2.、施工进度计划可采用网络图（或横道图）表示，说明计划开工日期和各分项工程各阶段的完工日期和分包合同签订的日期。</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3、施工进度计划应与施工组织设计相适应。</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附表五：施工总平面图</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磋商供应商应递交一份施工总平面图，绘出现场临时设施布置图表并附文字说明，说明临时设施、加工车间、现场办公、设备及仓储、供电、供水、卫生、生活、道路、消防等设施的情况和布置。</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附表六：临时用地表</w:t>
      </w:r>
    </w:p>
    <w:tbl>
      <w:tblPr>
        <w:tblStyle w:val="60"/>
        <w:tblW w:w="9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35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用途</w:t>
            </w:r>
          </w:p>
        </w:tc>
        <w:tc>
          <w:tcPr>
            <w:tcW w:w="2357"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面积（平方米）</w:t>
            </w:r>
          </w:p>
        </w:tc>
        <w:tc>
          <w:tcPr>
            <w:tcW w:w="235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位置</w:t>
            </w:r>
          </w:p>
        </w:tc>
        <w:tc>
          <w:tcPr>
            <w:tcW w:w="2357"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c>
          <w:tcPr>
            <w:tcW w:w="2356" w:type="dxa"/>
            <w:vAlign w:val="center"/>
          </w:tcPr>
          <w:p>
            <w:pPr>
              <w:spacing w:line="400" w:lineRule="exact"/>
              <w:ind w:firstLine="480" w:firstLineChars="200"/>
              <w:jc w:val="center"/>
              <w:rPr>
                <w:rFonts w:ascii="仿宋" w:hAnsi="仿宋" w:eastAsia="仿宋" w:cs="仿宋"/>
                <w:color w:val="auto"/>
                <w:sz w:val="24"/>
                <w:highlight w:val="none"/>
              </w:rPr>
            </w:pPr>
          </w:p>
        </w:tc>
        <w:tc>
          <w:tcPr>
            <w:tcW w:w="2357" w:type="dxa"/>
            <w:vAlign w:val="center"/>
          </w:tcPr>
          <w:p>
            <w:pPr>
              <w:spacing w:line="400" w:lineRule="exact"/>
              <w:ind w:firstLine="480" w:firstLineChars="200"/>
              <w:jc w:val="center"/>
              <w:rPr>
                <w:rFonts w:ascii="仿宋" w:hAnsi="仿宋" w:eastAsia="仿宋" w:cs="仿宋"/>
                <w:color w:val="auto"/>
                <w:sz w:val="24"/>
                <w:highlight w:val="none"/>
              </w:rPr>
            </w:pPr>
          </w:p>
        </w:tc>
      </w:tr>
    </w:tbl>
    <w:p>
      <w:pPr>
        <w:snapToGrid w:val="0"/>
        <w:spacing w:line="400" w:lineRule="exact"/>
        <w:ind w:firstLine="480" w:firstLineChars="200"/>
        <w:jc w:val="left"/>
        <w:rPr>
          <w:rFonts w:ascii="仿宋" w:hAnsi="仿宋" w:eastAsia="仿宋" w:cs="仿宋"/>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（2）拟投入本项目实施人员一览表</w:t>
      </w:r>
    </w:p>
    <w:p>
      <w:pPr>
        <w:pStyle w:val="198"/>
        <w:spacing w:line="400" w:lineRule="exact"/>
        <w:jc w:val="center"/>
        <w:rPr>
          <w:rFonts w:ascii="仿宋" w:hAnsi="仿宋" w:eastAsia="仿宋" w:cs="仿宋"/>
          <w:b/>
          <w:color w:val="auto"/>
          <w:sz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 1 \* GB3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①</w:t>
      </w:r>
      <w:r>
        <w:rPr>
          <w:rFonts w:hint="eastAsia" w:ascii="仿宋" w:hAnsi="仿宋" w:eastAsia="仿宋" w:cs="仿宋"/>
          <w:b/>
          <w:bCs/>
          <w:color w:val="auto"/>
          <w:sz w:val="24"/>
          <w:highlight w:val="none"/>
        </w:rPr>
        <w:fldChar w:fldCharType="end"/>
      </w:r>
      <w:r>
        <w:rPr>
          <w:rFonts w:hint="eastAsia" w:ascii="仿宋" w:hAnsi="仿宋" w:eastAsia="仿宋" w:cs="仿宋"/>
          <w:b/>
          <w:color w:val="auto"/>
          <w:sz w:val="24"/>
          <w:highlight w:val="none"/>
        </w:rPr>
        <w:t>拟投入本项目实施人员一览表</w:t>
      </w:r>
    </w:p>
    <w:p>
      <w:pPr>
        <w:pStyle w:val="198"/>
        <w:spacing w:line="400" w:lineRule="exact"/>
        <w:ind w:firstLine="480" w:firstLineChars="200"/>
        <w:rPr>
          <w:rFonts w:ascii="仿宋" w:hAnsi="仿宋" w:eastAsia="仿宋" w:cs="仿宋"/>
          <w:color w:val="auto"/>
          <w:sz w:val="24"/>
          <w:highlight w:val="none"/>
          <w:u w:val="single"/>
        </w:rPr>
      </w:pPr>
    </w:p>
    <w:p>
      <w:pPr>
        <w:pStyle w:val="198"/>
        <w:spacing w:line="400" w:lineRule="exact"/>
        <w:rPr>
          <w:rFonts w:ascii="仿宋" w:hAnsi="仿宋" w:eastAsia="仿宋" w:cs="仿宋"/>
          <w:color w:val="auto"/>
          <w:sz w:val="24"/>
          <w:highlight w:val="none"/>
        </w:rPr>
      </w:pPr>
      <w:bookmarkStart w:id="473" w:name="_Toc251052185"/>
      <w:r>
        <w:rPr>
          <w:rFonts w:hint="eastAsia" w:ascii="仿宋" w:hAnsi="仿宋" w:eastAsia="仿宋" w:cs="仿宋"/>
          <w:color w:val="auto"/>
          <w:sz w:val="24"/>
          <w:highlight w:val="none"/>
          <w:u w:val="single"/>
        </w:rPr>
        <w:t>国家税务总局贺州市税务局附属用房维修项目工程采购</w:t>
      </w:r>
      <w:r>
        <w:rPr>
          <w:rFonts w:hint="eastAsia" w:ascii="仿宋" w:hAnsi="仿宋" w:eastAsia="仿宋" w:cs="仿宋"/>
          <w:color w:val="auto"/>
          <w:sz w:val="24"/>
          <w:highlight w:val="none"/>
        </w:rPr>
        <w:t xml:space="preserve"> </w:t>
      </w:r>
      <w:bookmarkEnd w:id="473"/>
    </w:p>
    <w:tbl>
      <w:tblPr>
        <w:tblStyle w:val="60"/>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93" w:type="dxa"/>
            <w:vMerge w:val="restart"/>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岗位</w:t>
            </w:r>
          </w:p>
        </w:tc>
        <w:tc>
          <w:tcPr>
            <w:tcW w:w="829" w:type="dxa"/>
            <w:vMerge w:val="restart"/>
            <w:vAlign w:val="center"/>
          </w:tcPr>
          <w:p>
            <w:pPr>
              <w:spacing w:line="400" w:lineRule="exact"/>
              <w:jc w:val="center"/>
              <w:rPr>
                <w:rFonts w:ascii="仿宋" w:hAnsi="仿宋" w:eastAsia="仿宋" w:cs="仿宋"/>
                <w:color w:val="auto"/>
                <w:sz w:val="24"/>
                <w:highlight w:val="none"/>
              </w:rPr>
            </w:pPr>
            <w:bookmarkStart w:id="474" w:name="_Toc251052187"/>
            <w:r>
              <w:rPr>
                <w:rFonts w:hint="eastAsia" w:ascii="仿宋" w:hAnsi="仿宋" w:eastAsia="仿宋" w:cs="仿宋"/>
                <w:color w:val="auto"/>
                <w:sz w:val="24"/>
                <w:highlight w:val="none"/>
              </w:rPr>
              <w:t>姓名</w:t>
            </w:r>
            <w:bookmarkEnd w:id="474"/>
          </w:p>
        </w:tc>
        <w:tc>
          <w:tcPr>
            <w:tcW w:w="816" w:type="dxa"/>
            <w:vMerge w:val="restart"/>
            <w:vAlign w:val="center"/>
          </w:tcPr>
          <w:p>
            <w:pPr>
              <w:spacing w:line="400" w:lineRule="exact"/>
              <w:jc w:val="center"/>
              <w:rPr>
                <w:rFonts w:ascii="仿宋" w:hAnsi="仿宋" w:eastAsia="仿宋" w:cs="仿宋"/>
                <w:color w:val="auto"/>
                <w:sz w:val="24"/>
                <w:highlight w:val="none"/>
              </w:rPr>
            </w:pPr>
            <w:bookmarkStart w:id="475" w:name="_Toc251052188"/>
            <w:r>
              <w:rPr>
                <w:rFonts w:hint="eastAsia" w:ascii="仿宋" w:hAnsi="仿宋" w:eastAsia="仿宋" w:cs="仿宋"/>
                <w:color w:val="auto"/>
                <w:sz w:val="24"/>
                <w:highlight w:val="none"/>
              </w:rPr>
              <w:t>职称</w:t>
            </w:r>
            <w:bookmarkEnd w:id="475"/>
          </w:p>
        </w:tc>
        <w:tc>
          <w:tcPr>
            <w:tcW w:w="4592" w:type="dxa"/>
            <w:gridSpan w:val="4"/>
            <w:vAlign w:val="center"/>
          </w:tcPr>
          <w:p>
            <w:pPr>
              <w:spacing w:line="400" w:lineRule="exact"/>
              <w:jc w:val="center"/>
              <w:rPr>
                <w:rFonts w:ascii="仿宋" w:hAnsi="仿宋" w:eastAsia="仿宋" w:cs="仿宋"/>
                <w:color w:val="auto"/>
                <w:sz w:val="24"/>
                <w:highlight w:val="none"/>
              </w:rPr>
            </w:pPr>
            <w:bookmarkStart w:id="476" w:name="_Toc251052189"/>
            <w:r>
              <w:rPr>
                <w:rFonts w:hint="eastAsia" w:ascii="仿宋" w:hAnsi="仿宋" w:eastAsia="仿宋" w:cs="仿宋"/>
                <w:color w:val="auto"/>
                <w:sz w:val="24"/>
                <w:highlight w:val="none"/>
              </w:rPr>
              <w:t>执业或职业资格证明</w:t>
            </w:r>
            <w:bookmarkEnd w:id="476"/>
          </w:p>
        </w:tc>
        <w:tc>
          <w:tcPr>
            <w:tcW w:w="2126" w:type="dxa"/>
            <w:gridSpan w:val="2"/>
            <w:vAlign w:val="center"/>
          </w:tcPr>
          <w:p>
            <w:pPr>
              <w:spacing w:line="400" w:lineRule="exact"/>
              <w:jc w:val="center"/>
              <w:rPr>
                <w:rFonts w:ascii="仿宋" w:hAnsi="仿宋" w:eastAsia="仿宋" w:cs="仿宋"/>
                <w:color w:val="auto"/>
                <w:sz w:val="24"/>
                <w:highlight w:val="none"/>
              </w:rPr>
            </w:pPr>
            <w:bookmarkStart w:id="477" w:name="_Toc251052190"/>
            <w:r>
              <w:rPr>
                <w:rFonts w:hint="eastAsia" w:ascii="仿宋" w:hAnsi="仿宋" w:eastAsia="仿宋" w:cs="仿宋"/>
                <w:color w:val="auto"/>
                <w:sz w:val="24"/>
                <w:highlight w:val="none"/>
              </w:rPr>
              <w:t>承担完工</w:t>
            </w:r>
            <w:bookmarkEnd w:id="477"/>
            <w:bookmarkStart w:id="478" w:name="_Toc251052191"/>
            <w:r>
              <w:rPr>
                <w:rFonts w:hint="eastAsia" w:ascii="仿宋" w:hAnsi="仿宋" w:eastAsia="仿宋" w:cs="仿宋"/>
                <w:color w:val="auto"/>
                <w:sz w:val="24"/>
                <w:highlight w:val="none"/>
              </w:rPr>
              <w:t>工程情况</w:t>
            </w:r>
            <w:bookmarkEnd w:id="4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93" w:type="dxa"/>
            <w:vMerge w:val="continue"/>
            <w:vAlign w:val="center"/>
          </w:tcPr>
          <w:p>
            <w:pPr>
              <w:spacing w:line="400" w:lineRule="exact"/>
              <w:jc w:val="center"/>
              <w:rPr>
                <w:rFonts w:ascii="仿宋" w:hAnsi="仿宋" w:eastAsia="仿宋" w:cs="仿宋"/>
                <w:color w:val="auto"/>
                <w:sz w:val="24"/>
                <w:highlight w:val="none"/>
              </w:rPr>
            </w:pPr>
          </w:p>
        </w:tc>
        <w:tc>
          <w:tcPr>
            <w:tcW w:w="829" w:type="dxa"/>
            <w:vMerge w:val="continue"/>
            <w:vAlign w:val="center"/>
          </w:tcPr>
          <w:p>
            <w:pPr>
              <w:spacing w:line="400" w:lineRule="exact"/>
              <w:jc w:val="center"/>
              <w:rPr>
                <w:rFonts w:ascii="仿宋" w:hAnsi="仿宋" w:eastAsia="仿宋" w:cs="仿宋"/>
                <w:color w:val="auto"/>
                <w:sz w:val="24"/>
                <w:highlight w:val="none"/>
              </w:rPr>
            </w:pPr>
          </w:p>
        </w:tc>
        <w:tc>
          <w:tcPr>
            <w:tcW w:w="816" w:type="dxa"/>
            <w:vMerge w:val="continue"/>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bookmarkStart w:id="479" w:name="_Toc251052192"/>
            <w:r>
              <w:rPr>
                <w:rFonts w:hint="eastAsia" w:ascii="仿宋" w:hAnsi="仿宋" w:eastAsia="仿宋" w:cs="仿宋"/>
                <w:color w:val="auto"/>
                <w:sz w:val="24"/>
                <w:highlight w:val="none"/>
              </w:rPr>
              <w:t>证书名称</w:t>
            </w:r>
            <w:bookmarkEnd w:id="479"/>
          </w:p>
        </w:tc>
        <w:tc>
          <w:tcPr>
            <w:tcW w:w="1148" w:type="dxa"/>
            <w:vAlign w:val="center"/>
          </w:tcPr>
          <w:p>
            <w:pPr>
              <w:spacing w:line="400" w:lineRule="exact"/>
              <w:jc w:val="center"/>
              <w:rPr>
                <w:rFonts w:ascii="仿宋" w:hAnsi="仿宋" w:eastAsia="仿宋" w:cs="仿宋"/>
                <w:color w:val="auto"/>
                <w:sz w:val="24"/>
                <w:highlight w:val="none"/>
              </w:rPr>
            </w:pPr>
            <w:bookmarkStart w:id="480" w:name="_Toc251052193"/>
            <w:r>
              <w:rPr>
                <w:rFonts w:hint="eastAsia" w:ascii="仿宋" w:hAnsi="仿宋" w:eastAsia="仿宋" w:cs="仿宋"/>
                <w:color w:val="auto"/>
                <w:sz w:val="24"/>
                <w:highlight w:val="none"/>
              </w:rPr>
              <w:t>级别</w:t>
            </w:r>
            <w:bookmarkEnd w:id="480"/>
          </w:p>
        </w:tc>
        <w:tc>
          <w:tcPr>
            <w:tcW w:w="1148" w:type="dxa"/>
            <w:vAlign w:val="center"/>
          </w:tcPr>
          <w:p>
            <w:pPr>
              <w:spacing w:line="400" w:lineRule="exact"/>
              <w:jc w:val="center"/>
              <w:rPr>
                <w:rFonts w:ascii="仿宋" w:hAnsi="仿宋" w:eastAsia="仿宋" w:cs="仿宋"/>
                <w:color w:val="auto"/>
                <w:sz w:val="24"/>
                <w:highlight w:val="none"/>
              </w:rPr>
            </w:pPr>
            <w:bookmarkStart w:id="481" w:name="_Toc251052194"/>
            <w:r>
              <w:rPr>
                <w:rFonts w:hint="eastAsia" w:ascii="仿宋" w:hAnsi="仿宋" w:eastAsia="仿宋" w:cs="仿宋"/>
                <w:color w:val="auto"/>
                <w:sz w:val="24"/>
                <w:highlight w:val="none"/>
              </w:rPr>
              <w:t>证号</w:t>
            </w:r>
            <w:bookmarkEnd w:id="481"/>
          </w:p>
        </w:tc>
        <w:tc>
          <w:tcPr>
            <w:tcW w:w="1148" w:type="dxa"/>
            <w:vAlign w:val="center"/>
          </w:tcPr>
          <w:p>
            <w:pPr>
              <w:spacing w:line="400" w:lineRule="exact"/>
              <w:jc w:val="center"/>
              <w:rPr>
                <w:rFonts w:ascii="仿宋" w:hAnsi="仿宋" w:eastAsia="仿宋" w:cs="仿宋"/>
                <w:color w:val="auto"/>
                <w:sz w:val="24"/>
                <w:highlight w:val="none"/>
              </w:rPr>
            </w:pPr>
            <w:bookmarkStart w:id="482" w:name="_Toc251052195"/>
            <w:r>
              <w:rPr>
                <w:rFonts w:hint="eastAsia" w:ascii="仿宋" w:hAnsi="仿宋" w:eastAsia="仿宋" w:cs="仿宋"/>
                <w:color w:val="auto"/>
                <w:sz w:val="24"/>
                <w:highlight w:val="none"/>
              </w:rPr>
              <w:t>专业</w:t>
            </w:r>
            <w:bookmarkEnd w:id="482"/>
          </w:p>
        </w:tc>
        <w:tc>
          <w:tcPr>
            <w:tcW w:w="850" w:type="dxa"/>
            <w:vAlign w:val="center"/>
          </w:tcPr>
          <w:p>
            <w:pPr>
              <w:spacing w:line="400" w:lineRule="exact"/>
              <w:jc w:val="center"/>
              <w:rPr>
                <w:rFonts w:ascii="仿宋" w:hAnsi="仿宋" w:eastAsia="仿宋" w:cs="仿宋"/>
                <w:color w:val="auto"/>
                <w:sz w:val="24"/>
                <w:highlight w:val="none"/>
              </w:rPr>
            </w:pPr>
            <w:bookmarkStart w:id="483" w:name="_Toc251052197"/>
            <w:r>
              <w:rPr>
                <w:rFonts w:hint="eastAsia" w:ascii="仿宋" w:hAnsi="仿宋" w:eastAsia="仿宋" w:cs="仿宋"/>
                <w:color w:val="auto"/>
                <w:sz w:val="24"/>
                <w:highlight w:val="none"/>
              </w:rPr>
              <w:t>项目数</w:t>
            </w:r>
            <w:bookmarkEnd w:id="483"/>
          </w:p>
        </w:tc>
        <w:tc>
          <w:tcPr>
            <w:tcW w:w="1276" w:type="dxa"/>
            <w:vAlign w:val="center"/>
          </w:tcPr>
          <w:p>
            <w:pPr>
              <w:spacing w:line="400" w:lineRule="exact"/>
              <w:jc w:val="center"/>
              <w:rPr>
                <w:rFonts w:ascii="仿宋" w:hAnsi="仿宋" w:eastAsia="仿宋" w:cs="仿宋"/>
                <w:color w:val="auto"/>
                <w:sz w:val="24"/>
                <w:highlight w:val="none"/>
              </w:rPr>
            </w:pPr>
            <w:bookmarkStart w:id="484" w:name="_Toc251052198"/>
            <w:r>
              <w:rPr>
                <w:rFonts w:hint="eastAsia" w:ascii="仿宋" w:hAnsi="仿宋" w:eastAsia="仿宋" w:cs="仿宋"/>
                <w:color w:val="auto"/>
                <w:sz w:val="24"/>
                <w:highlight w:val="none"/>
              </w:rPr>
              <w:t>主要项目</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名称</w:t>
            </w:r>
            <w:bookmarkEnd w:id="4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施工员</w:t>
            </w: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质检员</w:t>
            </w: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Merge w:val="restart"/>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安全员</w:t>
            </w: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Merge w:val="continue"/>
            <w:vAlign w:val="center"/>
          </w:tcPr>
          <w:p>
            <w:pPr>
              <w:spacing w:line="400" w:lineRule="exact"/>
              <w:jc w:val="center"/>
              <w:rPr>
                <w:rFonts w:ascii="仿宋" w:hAnsi="仿宋" w:eastAsia="仿宋" w:cs="仿宋"/>
                <w:color w:val="auto"/>
                <w:sz w:val="24"/>
                <w:highlight w:val="none"/>
              </w:rPr>
            </w:pP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Merge w:val="continue"/>
            <w:vAlign w:val="center"/>
          </w:tcPr>
          <w:p>
            <w:pPr>
              <w:spacing w:line="400" w:lineRule="exact"/>
              <w:jc w:val="center"/>
              <w:rPr>
                <w:rFonts w:ascii="仿宋" w:hAnsi="仿宋" w:eastAsia="仿宋" w:cs="仿宋"/>
                <w:color w:val="auto"/>
                <w:sz w:val="24"/>
                <w:highlight w:val="none"/>
              </w:rPr>
            </w:pP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材料员</w:t>
            </w: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Align w:val="center"/>
          </w:tcPr>
          <w:p>
            <w:pPr>
              <w:spacing w:line="400" w:lineRule="exact"/>
              <w:jc w:val="center"/>
              <w:rPr>
                <w:rFonts w:ascii="仿宋" w:hAnsi="仿宋" w:eastAsia="仿宋" w:cs="仿宋"/>
                <w:color w:val="auto"/>
                <w:sz w:val="24"/>
                <w:highlight w:val="none"/>
              </w:rPr>
            </w:pP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829" w:type="dxa"/>
            <w:vAlign w:val="center"/>
          </w:tcPr>
          <w:p>
            <w:pPr>
              <w:spacing w:line="400" w:lineRule="exact"/>
              <w:jc w:val="center"/>
              <w:rPr>
                <w:rFonts w:ascii="仿宋" w:hAnsi="仿宋" w:eastAsia="仿宋" w:cs="仿宋"/>
                <w:color w:val="auto"/>
                <w:sz w:val="24"/>
                <w:highlight w:val="none"/>
              </w:rPr>
            </w:pPr>
          </w:p>
        </w:tc>
        <w:tc>
          <w:tcPr>
            <w:tcW w:w="816"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1148" w:type="dxa"/>
            <w:vAlign w:val="center"/>
          </w:tcPr>
          <w:p>
            <w:pPr>
              <w:spacing w:line="400" w:lineRule="exact"/>
              <w:jc w:val="center"/>
              <w:rPr>
                <w:rFonts w:ascii="仿宋" w:hAnsi="仿宋" w:eastAsia="仿宋" w:cs="仿宋"/>
                <w:color w:val="auto"/>
                <w:sz w:val="24"/>
                <w:highlight w:val="none"/>
              </w:rPr>
            </w:pPr>
          </w:p>
        </w:tc>
        <w:tc>
          <w:tcPr>
            <w:tcW w:w="850" w:type="dxa"/>
            <w:vAlign w:val="center"/>
          </w:tcPr>
          <w:p>
            <w:pPr>
              <w:spacing w:line="400" w:lineRule="exact"/>
              <w:jc w:val="center"/>
              <w:rPr>
                <w:rFonts w:ascii="仿宋" w:hAnsi="仿宋" w:eastAsia="仿宋" w:cs="仿宋"/>
                <w:color w:val="auto"/>
                <w:sz w:val="24"/>
                <w:highlight w:val="none"/>
              </w:rPr>
            </w:pP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400" w:lineRule="exact"/>
              <w:rPr>
                <w:rFonts w:ascii="仿宋" w:hAnsi="仿宋" w:eastAsia="仿宋" w:cs="仿宋"/>
                <w:color w:val="auto"/>
                <w:sz w:val="24"/>
                <w:highlight w:val="none"/>
              </w:rPr>
            </w:pPr>
            <w:bookmarkStart w:id="485" w:name="_Toc251052199"/>
            <w:r>
              <w:rPr>
                <w:rFonts w:hint="eastAsia" w:ascii="仿宋" w:hAnsi="仿宋" w:eastAsia="仿宋" w:cs="仿宋"/>
                <w:color w:val="auto"/>
                <w:sz w:val="24"/>
                <w:highlight w:val="none"/>
              </w:rPr>
              <w:t>一旦我单位中标，将实行项目经理负责制，我方保证并配备上述项目管理机构。上述填报内容真实，若不真实，愿按有关规定接受处理。项目管理班子机构设置、职责分工等情况另附资料说明</w:t>
            </w:r>
            <w:bookmarkEnd w:id="485"/>
            <w:r>
              <w:rPr>
                <w:rFonts w:hint="eastAsia" w:ascii="仿宋" w:hAnsi="仿宋" w:eastAsia="仿宋" w:cs="仿宋"/>
                <w:color w:val="auto"/>
                <w:sz w:val="24"/>
                <w:highlight w:val="none"/>
              </w:rPr>
              <w:t>。</w:t>
            </w:r>
          </w:p>
        </w:tc>
      </w:tr>
    </w:tbl>
    <w:p>
      <w:pPr>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备注：应提供施工员、质检员、安全员、材料员的有效身份证复印件、注册证书（上岗证书）复印件，以及供应商认为需要增加的其他证明材料复印件，以上复印件须加盖磋商供应商单位公章。</w:t>
      </w:r>
    </w:p>
    <w:p>
      <w:pPr>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pStyle w:val="198"/>
        <w:spacing w:line="400" w:lineRule="exact"/>
        <w:jc w:val="center"/>
        <w:outlineLvl w:val="0"/>
        <w:rPr>
          <w:rFonts w:ascii="仿宋" w:hAnsi="仿宋" w:eastAsia="仿宋" w:cs="仿宋"/>
          <w:color w:val="auto"/>
          <w:sz w:val="24"/>
          <w:highlight w:val="none"/>
          <w:u w:val="single"/>
        </w:rPr>
      </w:pPr>
      <w:r>
        <w:rPr>
          <w:rFonts w:hint="eastAsia" w:ascii="仿宋" w:hAnsi="仿宋" w:eastAsia="仿宋" w:cs="仿宋"/>
          <w:b/>
          <w:color w:val="auto"/>
          <w:sz w:val="24"/>
          <w:highlight w:val="none"/>
        </w:rPr>
        <w:br w:type="page"/>
      </w:r>
      <w:bookmarkStart w:id="486" w:name="_Toc11524"/>
      <w:bookmarkStart w:id="487" w:name="_Toc26620"/>
      <w:bookmarkStart w:id="488" w:name="_Toc25635"/>
      <w:bookmarkStart w:id="489" w:name="_Toc30996"/>
      <w:r>
        <w:rPr>
          <w:rFonts w:hint="eastAsia" w:ascii="仿宋" w:hAnsi="仿宋" w:eastAsia="仿宋" w:cs="仿宋"/>
          <w:b/>
          <w:color w:val="auto"/>
          <w:sz w:val="24"/>
          <w:highlight w:val="none"/>
        </w:rPr>
        <w:fldChar w:fldCharType="begin"/>
      </w:r>
      <w:r>
        <w:rPr>
          <w:rFonts w:hint="eastAsia" w:ascii="仿宋" w:hAnsi="仿宋" w:eastAsia="仿宋" w:cs="仿宋"/>
          <w:b/>
          <w:color w:val="auto"/>
          <w:sz w:val="24"/>
          <w:highlight w:val="none"/>
        </w:rPr>
        <w:instrText xml:space="preserve"> = 2 \* GB3 </w:instrText>
      </w:r>
      <w:r>
        <w:rPr>
          <w:rFonts w:hint="eastAsia" w:ascii="仿宋" w:hAnsi="仿宋" w:eastAsia="仿宋" w:cs="仿宋"/>
          <w:b/>
          <w:color w:val="auto"/>
          <w:sz w:val="24"/>
          <w:highlight w:val="none"/>
        </w:rPr>
        <w:fldChar w:fldCharType="separate"/>
      </w:r>
      <w:r>
        <w:rPr>
          <w:rFonts w:hint="eastAsia" w:ascii="仿宋" w:hAnsi="仿宋" w:eastAsia="仿宋" w:cs="仿宋"/>
          <w:b/>
          <w:color w:val="auto"/>
          <w:sz w:val="24"/>
          <w:highlight w:val="none"/>
        </w:rPr>
        <w:t>②</w:t>
      </w:r>
      <w:r>
        <w:rPr>
          <w:rFonts w:hint="eastAsia" w:ascii="仿宋" w:hAnsi="仿宋" w:eastAsia="仿宋" w:cs="仿宋"/>
          <w:b/>
          <w:color w:val="auto"/>
          <w:sz w:val="24"/>
          <w:highlight w:val="none"/>
        </w:rPr>
        <w:fldChar w:fldCharType="end"/>
      </w:r>
      <w:r>
        <w:rPr>
          <w:rFonts w:hint="eastAsia" w:ascii="仿宋" w:hAnsi="仿宋" w:eastAsia="仿宋" w:cs="仿宋"/>
          <w:b/>
          <w:color w:val="auto"/>
          <w:sz w:val="24"/>
          <w:highlight w:val="none"/>
        </w:rPr>
        <w:t>项目经理（注册建造师）简历表</w:t>
      </w:r>
      <w:bookmarkEnd w:id="486"/>
      <w:bookmarkEnd w:id="487"/>
      <w:bookmarkEnd w:id="488"/>
      <w:bookmarkEnd w:id="489"/>
    </w:p>
    <w:p>
      <w:pPr>
        <w:pStyle w:val="198"/>
        <w:spacing w:line="400" w:lineRule="exact"/>
        <w:ind w:firstLine="480" w:firstLineChars="200"/>
        <w:rPr>
          <w:rFonts w:ascii="仿宋" w:hAnsi="仿宋" w:eastAsia="仿宋" w:cs="仿宋"/>
          <w:color w:val="auto"/>
          <w:sz w:val="24"/>
          <w:highlight w:val="none"/>
          <w:u w:val="single"/>
        </w:rPr>
      </w:pPr>
    </w:p>
    <w:p>
      <w:pPr>
        <w:pStyle w:val="198"/>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u w:val="single"/>
        </w:rPr>
        <w:t>国家税务总局贺州市税务局附属用房维修项目工程采购</w:t>
      </w:r>
    </w:p>
    <w:tbl>
      <w:tblPr>
        <w:tblStyle w:val="60"/>
        <w:tblW w:w="9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8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2340" w:type="dxa"/>
            <w:gridSpan w:val="3"/>
            <w:vAlign w:val="center"/>
          </w:tcPr>
          <w:p>
            <w:pPr>
              <w:spacing w:line="400" w:lineRule="exact"/>
              <w:jc w:val="center"/>
              <w:rPr>
                <w:rFonts w:ascii="仿宋" w:hAnsi="仿宋" w:eastAsia="仿宋" w:cs="仿宋"/>
                <w:color w:val="auto"/>
                <w:sz w:val="24"/>
                <w:highlight w:val="none"/>
              </w:rPr>
            </w:pPr>
          </w:p>
        </w:tc>
        <w:tc>
          <w:tcPr>
            <w:tcW w:w="1893"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585" w:type="dxa"/>
            <w:gridSpan w:val="2"/>
            <w:vAlign w:val="center"/>
          </w:tcPr>
          <w:p>
            <w:pPr>
              <w:spacing w:line="400" w:lineRule="exact"/>
              <w:jc w:val="center"/>
              <w:rPr>
                <w:rFonts w:ascii="仿宋" w:hAnsi="仿宋" w:eastAsia="仿宋" w:cs="仿宋"/>
                <w:color w:val="auto"/>
                <w:sz w:val="24"/>
                <w:highlight w:val="none"/>
              </w:rPr>
            </w:pPr>
          </w:p>
        </w:tc>
        <w:tc>
          <w:tcPr>
            <w:tcW w:w="110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8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职务</w:t>
            </w:r>
          </w:p>
        </w:tc>
        <w:tc>
          <w:tcPr>
            <w:tcW w:w="2340" w:type="dxa"/>
            <w:gridSpan w:val="3"/>
            <w:vAlign w:val="center"/>
          </w:tcPr>
          <w:p>
            <w:pPr>
              <w:spacing w:line="400" w:lineRule="exact"/>
              <w:jc w:val="center"/>
              <w:rPr>
                <w:rFonts w:ascii="仿宋" w:hAnsi="仿宋" w:eastAsia="仿宋" w:cs="仿宋"/>
                <w:color w:val="auto"/>
                <w:sz w:val="24"/>
                <w:highlight w:val="none"/>
              </w:rPr>
            </w:pPr>
          </w:p>
        </w:tc>
        <w:tc>
          <w:tcPr>
            <w:tcW w:w="1893"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585" w:type="dxa"/>
            <w:gridSpan w:val="2"/>
            <w:vAlign w:val="center"/>
          </w:tcPr>
          <w:p>
            <w:pPr>
              <w:spacing w:line="400" w:lineRule="exact"/>
              <w:jc w:val="center"/>
              <w:rPr>
                <w:rFonts w:ascii="仿宋" w:hAnsi="仿宋" w:eastAsia="仿宋" w:cs="仿宋"/>
                <w:color w:val="auto"/>
                <w:sz w:val="24"/>
                <w:highlight w:val="none"/>
              </w:rPr>
            </w:pPr>
          </w:p>
        </w:tc>
        <w:tc>
          <w:tcPr>
            <w:tcW w:w="110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423" w:type="dxa"/>
            <w:gridSpan w:val="4"/>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参加工作时间</w:t>
            </w:r>
          </w:p>
        </w:tc>
        <w:tc>
          <w:tcPr>
            <w:tcW w:w="1893" w:type="dxa"/>
            <w:gridSpan w:val="2"/>
            <w:vAlign w:val="center"/>
          </w:tcPr>
          <w:p>
            <w:pPr>
              <w:spacing w:line="400" w:lineRule="exact"/>
              <w:jc w:val="center"/>
              <w:rPr>
                <w:rFonts w:ascii="仿宋" w:hAnsi="仿宋" w:eastAsia="仿宋" w:cs="仿宋"/>
                <w:color w:val="auto"/>
                <w:sz w:val="24"/>
                <w:highlight w:val="none"/>
              </w:rPr>
            </w:pPr>
          </w:p>
        </w:tc>
        <w:tc>
          <w:tcPr>
            <w:tcW w:w="2693" w:type="dxa"/>
            <w:gridSpan w:val="4"/>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担任项目经理年限</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3423" w:type="dxa"/>
            <w:gridSpan w:val="4"/>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建造师注册编号</w:t>
            </w:r>
          </w:p>
        </w:tc>
        <w:tc>
          <w:tcPr>
            <w:tcW w:w="5862" w:type="dxa"/>
            <w:gridSpan w:val="7"/>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285" w:type="dxa"/>
            <w:gridSpan w:val="11"/>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建设单位</w:t>
            </w:r>
          </w:p>
        </w:tc>
        <w:tc>
          <w:tcPr>
            <w:tcW w:w="154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建设规模</w:t>
            </w:r>
          </w:p>
        </w:tc>
        <w:tc>
          <w:tcPr>
            <w:tcW w:w="154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开、竣工日期</w:t>
            </w:r>
          </w:p>
        </w:tc>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在建或已完</w:t>
            </w:r>
          </w:p>
        </w:tc>
        <w:tc>
          <w:tcPr>
            <w:tcW w:w="154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bl>
    <w:p>
      <w:pPr>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备注：附项目经理已完工程中标通知书（如有）、工程合同协议书、工程竣工验收证明材料的复印件，以及供应商认为需要增加的其他证明材料复印件，以上复印件均须加盖供应商单位公章。</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tabs>
          <w:tab w:val="left" w:pos="0"/>
        </w:tabs>
        <w:spacing w:line="400" w:lineRule="exact"/>
        <w:ind w:firstLine="480" w:firstLineChars="200"/>
        <w:rPr>
          <w:rFonts w:ascii="仿宋" w:hAnsi="仿宋" w:eastAsia="仿宋" w:cs="仿宋"/>
          <w:color w:val="auto"/>
          <w:sz w:val="24"/>
          <w:highlight w:val="none"/>
        </w:rPr>
      </w:pPr>
    </w:p>
    <w:p>
      <w:pPr>
        <w:pStyle w:val="198"/>
        <w:spacing w:line="400" w:lineRule="exact"/>
        <w:jc w:val="center"/>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bookmarkStart w:id="490" w:name="_Toc2758"/>
      <w:bookmarkStart w:id="491" w:name="_Toc6673"/>
      <w:bookmarkStart w:id="492" w:name="_Toc19883"/>
      <w:bookmarkStart w:id="493" w:name="_Toc28689"/>
      <w:r>
        <w:rPr>
          <w:rFonts w:hint="eastAsia" w:ascii="仿宋" w:hAnsi="仿宋" w:eastAsia="仿宋" w:cs="仿宋"/>
          <w:b/>
          <w:color w:val="auto"/>
          <w:sz w:val="24"/>
          <w:highlight w:val="none"/>
        </w:rPr>
        <w:fldChar w:fldCharType="begin"/>
      </w:r>
      <w:r>
        <w:rPr>
          <w:rFonts w:hint="eastAsia" w:ascii="仿宋" w:hAnsi="仿宋" w:eastAsia="仿宋" w:cs="仿宋"/>
          <w:b/>
          <w:color w:val="auto"/>
          <w:sz w:val="24"/>
          <w:highlight w:val="none"/>
        </w:rPr>
        <w:instrText xml:space="preserve"> = 3 \* GB3 </w:instrText>
      </w:r>
      <w:r>
        <w:rPr>
          <w:rFonts w:hint="eastAsia" w:ascii="仿宋" w:hAnsi="仿宋" w:eastAsia="仿宋" w:cs="仿宋"/>
          <w:b/>
          <w:color w:val="auto"/>
          <w:sz w:val="24"/>
          <w:highlight w:val="none"/>
        </w:rPr>
        <w:fldChar w:fldCharType="separate"/>
      </w:r>
      <w:r>
        <w:rPr>
          <w:rFonts w:hint="eastAsia" w:ascii="仿宋" w:hAnsi="仿宋" w:eastAsia="仿宋" w:cs="仿宋"/>
          <w:b/>
          <w:color w:val="auto"/>
          <w:sz w:val="24"/>
          <w:highlight w:val="none"/>
        </w:rPr>
        <w:t>③</w:t>
      </w:r>
      <w:r>
        <w:rPr>
          <w:rFonts w:hint="eastAsia" w:ascii="仿宋" w:hAnsi="仿宋" w:eastAsia="仿宋" w:cs="仿宋"/>
          <w:b/>
          <w:color w:val="auto"/>
          <w:sz w:val="24"/>
          <w:highlight w:val="none"/>
        </w:rPr>
        <w:fldChar w:fldCharType="end"/>
      </w:r>
      <w:r>
        <w:rPr>
          <w:rFonts w:hint="eastAsia" w:ascii="仿宋" w:hAnsi="仿宋" w:eastAsia="仿宋" w:cs="仿宋"/>
          <w:b/>
          <w:color w:val="auto"/>
          <w:sz w:val="24"/>
          <w:highlight w:val="none"/>
        </w:rPr>
        <w:t>项目技术负责人简历表</w:t>
      </w:r>
      <w:bookmarkEnd w:id="490"/>
      <w:bookmarkEnd w:id="491"/>
      <w:bookmarkEnd w:id="492"/>
      <w:bookmarkEnd w:id="493"/>
    </w:p>
    <w:p>
      <w:pPr>
        <w:pStyle w:val="198"/>
        <w:spacing w:line="400" w:lineRule="exact"/>
        <w:ind w:firstLine="480" w:firstLineChars="200"/>
        <w:rPr>
          <w:rFonts w:ascii="仿宋" w:hAnsi="仿宋" w:eastAsia="仿宋" w:cs="仿宋"/>
          <w:color w:val="auto"/>
          <w:sz w:val="24"/>
          <w:highlight w:val="none"/>
          <w:u w:val="single"/>
        </w:rPr>
      </w:pPr>
    </w:p>
    <w:p>
      <w:pPr>
        <w:pStyle w:val="198"/>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u w:val="single"/>
        </w:rPr>
        <w:t>国家税务总局贺州市税务局附属用房维修项目工程采购</w:t>
      </w:r>
    </w:p>
    <w:tbl>
      <w:tblPr>
        <w:tblStyle w:val="60"/>
        <w:tblW w:w="9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8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2340" w:type="dxa"/>
            <w:gridSpan w:val="3"/>
            <w:vAlign w:val="center"/>
          </w:tcPr>
          <w:p>
            <w:pPr>
              <w:spacing w:line="400" w:lineRule="exact"/>
              <w:jc w:val="center"/>
              <w:rPr>
                <w:rFonts w:ascii="仿宋" w:hAnsi="仿宋" w:eastAsia="仿宋" w:cs="仿宋"/>
                <w:color w:val="auto"/>
                <w:sz w:val="24"/>
                <w:highlight w:val="none"/>
              </w:rPr>
            </w:pPr>
          </w:p>
        </w:tc>
        <w:tc>
          <w:tcPr>
            <w:tcW w:w="1893"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585" w:type="dxa"/>
            <w:gridSpan w:val="2"/>
            <w:vAlign w:val="center"/>
          </w:tcPr>
          <w:p>
            <w:pPr>
              <w:spacing w:line="400" w:lineRule="exact"/>
              <w:jc w:val="center"/>
              <w:rPr>
                <w:rFonts w:ascii="仿宋" w:hAnsi="仿宋" w:eastAsia="仿宋" w:cs="仿宋"/>
                <w:color w:val="auto"/>
                <w:sz w:val="24"/>
                <w:highlight w:val="none"/>
              </w:rPr>
            </w:pPr>
          </w:p>
        </w:tc>
        <w:tc>
          <w:tcPr>
            <w:tcW w:w="110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8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职务</w:t>
            </w:r>
          </w:p>
        </w:tc>
        <w:tc>
          <w:tcPr>
            <w:tcW w:w="2340" w:type="dxa"/>
            <w:gridSpan w:val="3"/>
            <w:vAlign w:val="center"/>
          </w:tcPr>
          <w:p>
            <w:pPr>
              <w:spacing w:line="400" w:lineRule="exact"/>
              <w:jc w:val="center"/>
              <w:rPr>
                <w:rFonts w:ascii="仿宋" w:hAnsi="仿宋" w:eastAsia="仿宋" w:cs="仿宋"/>
                <w:color w:val="auto"/>
                <w:sz w:val="24"/>
                <w:highlight w:val="none"/>
              </w:rPr>
            </w:pPr>
          </w:p>
        </w:tc>
        <w:tc>
          <w:tcPr>
            <w:tcW w:w="1893"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585" w:type="dxa"/>
            <w:gridSpan w:val="2"/>
            <w:vAlign w:val="center"/>
          </w:tcPr>
          <w:p>
            <w:pPr>
              <w:spacing w:line="400" w:lineRule="exact"/>
              <w:jc w:val="center"/>
              <w:rPr>
                <w:rFonts w:ascii="仿宋" w:hAnsi="仿宋" w:eastAsia="仿宋" w:cs="仿宋"/>
                <w:color w:val="auto"/>
                <w:sz w:val="24"/>
                <w:highlight w:val="none"/>
              </w:rPr>
            </w:pPr>
          </w:p>
        </w:tc>
        <w:tc>
          <w:tcPr>
            <w:tcW w:w="110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423" w:type="dxa"/>
            <w:gridSpan w:val="4"/>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参加工作时间</w:t>
            </w:r>
          </w:p>
        </w:tc>
        <w:tc>
          <w:tcPr>
            <w:tcW w:w="1893" w:type="dxa"/>
            <w:gridSpan w:val="2"/>
            <w:vAlign w:val="center"/>
          </w:tcPr>
          <w:p>
            <w:pPr>
              <w:spacing w:line="400" w:lineRule="exact"/>
              <w:jc w:val="center"/>
              <w:rPr>
                <w:rFonts w:ascii="仿宋" w:hAnsi="仿宋" w:eastAsia="仿宋" w:cs="仿宋"/>
                <w:color w:val="auto"/>
                <w:sz w:val="24"/>
                <w:highlight w:val="none"/>
              </w:rPr>
            </w:pPr>
          </w:p>
        </w:tc>
        <w:tc>
          <w:tcPr>
            <w:tcW w:w="2693" w:type="dxa"/>
            <w:gridSpan w:val="4"/>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担任技术负责人年限</w:t>
            </w:r>
          </w:p>
        </w:tc>
        <w:tc>
          <w:tcPr>
            <w:tcW w:w="1276" w:type="dxa"/>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285" w:type="dxa"/>
            <w:gridSpan w:val="11"/>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建设单位</w:t>
            </w:r>
          </w:p>
        </w:tc>
        <w:tc>
          <w:tcPr>
            <w:tcW w:w="1548"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建设规模</w:t>
            </w:r>
          </w:p>
        </w:tc>
        <w:tc>
          <w:tcPr>
            <w:tcW w:w="154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开、竣工日期</w:t>
            </w:r>
          </w:p>
        </w:tc>
        <w:tc>
          <w:tcPr>
            <w:tcW w:w="1547"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在建或已完</w:t>
            </w:r>
          </w:p>
        </w:tc>
        <w:tc>
          <w:tcPr>
            <w:tcW w:w="1548" w:type="dxa"/>
            <w:gridSpan w:val="2"/>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c>
          <w:tcPr>
            <w:tcW w:w="1547" w:type="dxa"/>
            <w:gridSpan w:val="2"/>
            <w:vAlign w:val="center"/>
          </w:tcPr>
          <w:p>
            <w:pPr>
              <w:spacing w:line="400" w:lineRule="exact"/>
              <w:jc w:val="center"/>
              <w:rPr>
                <w:rFonts w:ascii="仿宋" w:hAnsi="仿宋" w:eastAsia="仿宋" w:cs="仿宋"/>
                <w:color w:val="auto"/>
                <w:sz w:val="24"/>
                <w:highlight w:val="none"/>
              </w:rPr>
            </w:pPr>
          </w:p>
        </w:tc>
        <w:tc>
          <w:tcPr>
            <w:tcW w:w="1548" w:type="dxa"/>
            <w:gridSpan w:val="2"/>
            <w:vAlign w:val="center"/>
          </w:tcPr>
          <w:p>
            <w:pPr>
              <w:spacing w:line="400" w:lineRule="exact"/>
              <w:jc w:val="center"/>
              <w:rPr>
                <w:rFonts w:ascii="仿宋" w:hAnsi="仿宋" w:eastAsia="仿宋" w:cs="仿宋"/>
                <w:color w:val="auto"/>
                <w:sz w:val="24"/>
                <w:highlight w:val="none"/>
              </w:rPr>
            </w:pPr>
          </w:p>
        </w:tc>
      </w:tr>
    </w:tbl>
    <w:p>
      <w:pPr>
        <w:snapToGrid w:val="0"/>
        <w:spacing w:line="400" w:lineRule="exact"/>
        <w:ind w:firstLine="482" w:firstLineChars="200"/>
        <w:rPr>
          <w:rFonts w:ascii="仿宋" w:hAnsi="仿宋" w:eastAsia="仿宋" w:cs="仿宋"/>
          <w:b/>
          <w:color w:val="auto"/>
          <w:sz w:val="24"/>
          <w:highlight w:val="none"/>
        </w:rPr>
      </w:pPr>
    </w:p>
    <w:p>
      <w:pPr>
        <w:snapToGrid w:val="0"/>
        <w:spacing w:line="400" w:lineRule="exact"/>
        <w:ind w:firstLine="482" w:firstLineChars="200"/>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（3）供应商认为与技术分评分有关的其他证明材料（格式自拟）</w:t>
      </w: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snapToGrid w:val="0"/>
        <w:spacing w:line="400" w:lineRule="exact"/>
        <w:jc w:val="left"/>
        <w:rPr>
          <w:rFonts w:ascii="仿宋" w:hAnsi="仿宋" w:eastAsia="仿宋" w:cs="仿宋"/>
          <w:b/>
          <w:color w:val="auto"/>
          <w:sz w:val="24"/>
          <w:highlight w:val="none"/>
        </w:rPr>
      </w:pPr>
    </w:p>
    <w:p>
      <w:pPr>
        <w:pStyle w:val="27"/>
        <w:spacing w:before="240"/>
        <w:ind w:right="420"/>
        <w:rPr>
          <w:rFonts w:ascii="仿宋" w:hAnsi="仿宋" w:eastAsia="仿宋" w:cs="仿宋"/>
          <w:b/>
          <w:color w:val="auto"/>
          <w:sz w:val="24"/>
          <w:highlight w:val="none"/>
        </w:rPr>
      </w:pPr>
      <w:r>
        <w:rPr>
          <w:rFonts w:hint="eastAsia" w:ascii="仿宋" w:hAnsi="仿宋" w:eastAsia="仿宋" w:cs="仿宋"/>
          <w:b/>
          <w:bCs/>
          <w:color w:val="auto"/>
          <w:sz w:val="24"/>
          <w:highlight w:val="none"/>
        </w:rPr>
        <w:br w:type="page"/>
      </w:r>
      <w:r>
        <w:rPr>
          <w:rFonts w:hint="eastAsia" w:ascii="仿宋" w:hAnsi="仿宋" w:eastAsia="仿宋" w:cs="仿宋"/>
          <w:b/>
          <w:bCs/>
          <w:color w:val="auto"/>
          <w:sz w:val="24"/>
          <w:highlight w:val="none"/>
        </w:rPr>
        <w:t>四、报价文件格式</w:t>
      </w:r>
    </w:p>
    <w:p>
      <w:pPr>
        <w:widowControl/>
        <w:jc w:val="left"/>
        <w:rPr>
          <w:rFonts w:ascii="仿宋" w:hAnsi="仿宋" w:eastAsia="仿宋" w:cs="仿宋"/>
          <w:b/>
          <w:color w:val="auto"/>
          <w:sz w:val="24"/>
          <w:highlight w:val="none"/>
        </w:rPr>
      </w:pPr>
      <w:r>
        <w:rPr>
          <w:rFonts w:hint="eastAsia" w:ascii="仿宋" w:hAnsi="仿宋" w:eastAsia="仿宋" w:cs="仿宋"/>
          <w:b/>
          <w:color w:val="auto"/>
          <w:sz w:val="24"/>
          <w:highlight w:val="none"/>
        </w:rPr>
        <w:t>1、报价文件内封面格式（格式可自拟）：</w:t>
      </w:r>
    </w:p>
    <w:p>
      <w:pPr>
        <w:snapToGrid w:val="0"/>
        <w:spacing w:before="120" w:beforeLines="50" w:after="50" w:line="400" w:lineRule="exact"/>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报 价 文 件</w:t>
      </w: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项目名称：</w:t>
      </w:r>
      <w:r>
        <w:rPr>
          <w:rFonts w:hint="eastAsia" w:ascii="仿宋" w:hAnsi="仿宋" w:eastAsia="仿宋" w:cs="仿宋"/>
          <w:bCs/>
          <w:color w:val="auto"/>
          <w:sz w:val="24"/>
          <w:szCs w:val="20"/>
          <w:highlight w:val="none"/>
        </w:rPr>
        <w:t xml:space="preserve"> </w:t>
      </w:r>
    </w:p>
    <w:p>
      <w:pPr>
        <w:snapToGrid w:val="0"/>
        <w:spacing w:line="400" w:lineRule="exact"/>
        <w:ind w:firstLine="943" w:firstLineChars="393"/>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snapToGrid w:val="0"/>
        <w:spacing w:line="400" w:lineRule="exact"/>
        <w:ind w:firstLine="943" w:firstLineChars="393"/>
        <w:rPr>
          <w:rFonts w:ascii="仿宋" w:hAnsi="仿宋" w:eastAsia="仿宋" w:cs="仿宋"/>
          <w:bCs/>
          <w:color w:val="auto"/>
          <w:sz w:val="24"/>
          <w:szCs w:val="20"/>
          <w:highlight w:val="none"/>
        </w:rPr>
      </w:pPr>
      <w:r>
        <w:rPr>
          <w:rFonts w:hint="eastAsia" w:ascii="仿宋" w:hAnsi="仿宋" w:eastAsia="仿宋" w:cs="仿宋"/>
          <w:bCs/>
          <w:color w:val="auto"/>
          <w:sz w:val="24"/>
          <w:highlight w:val="none"/>
        </w:rPr>
        <w:t xml:space="preserve">项目编号： </w:t>
      </w:r>
    </w:p>
    <w:p>
      <w:pPr>
        <w:snapToGrid w:val="0"/>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供应商名称：盖章</w:t>
      </w:r>
    </w:p>
    <w:p>
      <w:pPr>
        <w:pStyle w:val="8"/>
        <w:snapToGrid w:val="0"/>
        <w:spacing w:line="400" w:lineRule="exact"/>
        <w:ind w:firstLine="998" w:firstLineChars="416"/>
        <w:rPr>
          <w:rFonts w:ascii="仿宋" w:hAnsi="仿宋" w:eastAsia="仿宋" w:cs="仿宋"/>
          <w:bCs/>
          <w:color w:val="auto"/>
          <w:sz w:val="24"/>
          <w:szCs w:val="24"/>
          <w:highlight w:val="none"/>
        </w:rPr>
      </w:pPr>
    </w:p>
    <w:p>
      <w:pPr>
        <w:pStyle w:val="8"/>
        <w:snapToGrid w:val="0"/>
        <w:spacing w:line="400" w:lineRule="exact"/>
        <w:ind w:firstLine="998" w:firstLineChars="416"/>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法定代表人或委托代理人签字：</w:t>
      </w: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ind w:firstLine="960" w:firstLineChars="400"/>
        <w:rPr>
          <w:rFonts w:ascii="仿宋" w:hAnsi="仿宋" w:eastAsia="仿宋" w:cs="仿宋"/>
          <w:bCs/>
          <w:color w:val="auto"/>
          <w:sz w:val="24"/>
          <w:szCs w:val="20"/>
          <w:highlight w:val="none"/>
        </w:rPr>
      </w:pP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2、磋商函格式：</w:t>
      </w:r>
    </w:p>
    <w:p>
      <w:pPr>
        <w:snapToGrid w:val="0"/>
        <w:spacing w:line="40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磋 商 函</w:t>
      </w:r>
    </w:p>
    <w:p>
      <w:pPr>
        <w:snapToGrid w:val="0"/>
        <w:spacing w:line="400" w:lineRule="exact"/>
        <w:jc w:val="center"/>
        <w:rPr>
          <w:rFonts w:ascii="仿宋" w:hAnsi="仿宋" w:eastAsia="仿宋" w:cs="仿宋"/>
          <w:b/>
          <w:color w:val="auto"/>
          <w:sz w:val="32"/>
          <w:szCs w:val="32"/>
          <w:highlight w:val="none"/>
        </w:rPr>
      </w:pP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国家税务总局贺州市税务局</w:t>
      </w:r>
      <w:r>
        <w:rPr>
          <w:rFonts w:hint="eastAsia" w:ascii="仿宋" w:hAnsi="仿宋" w:eastAsia="仿宋" w:cs="仿宋"/>
          <w:color w:val="auto"/>
          <w:sz w:val="24"/>
          <w:highlight w:val="none"/>
        </w:rPr>
        <w:t>（招标采购单位名称）：</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1、</w:t>
      </w:r>
      <w:r>
        <w:rPr>
          <w:rFonts w:hint="eastAsia" w:ascii="仿宋" w:hAnsi="仿宋" w:eastAsia="仿宋" w:cs="仿宋"/>
          <w:color w:val="auto"/>
          <w:kern w:val="0"/>
          <w:sz w:val="24"/>
          <w:highlight w:val="none"/>
        </w:rPr>
        <w:t>根据你方采购工程项目编号为</w:t>
      </w:r>
      <w:r>
        <w:rPr>
          <w:rFonts w:hint="eastAsia" w:ascii="仿宋" w:hAnsi="仿宋" w:eastAsia="仿宋" w:cs="仿宋"/>
          <w:color w:val="auto"/>
          <w:sz w:val="24"/>
          <w:highlight w:val="none"/>
          <w:u w:val="single"/>
        </w:rPr>
        <w:t>GS2020-Z2-C071</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u w:val="single"/>
        </w:rPr>
        <w:t>国家税务总局贺州市税务局附属用房维修项目工程采购</w:t>
      </w:r>
      <w:r>
        <w:rPr>
          <w:rFonts w:hint="eastAsia" w:ascii="仿宋" w:hAnsi="仿宋" w:eastAsia="仿宋" w:cs="仿宋"/>
          <w:color w:val="auto"/>
          <w:kern w:val="0"/>
          <w:sz w:val="24"/>
          <w:highlight w:val="none"/>
        </w:rPr>
        <w:t>采购文件，遵照采购磋商有关法律、法规和规章的规定，经踏勘项目现场和研究上述采购文件的供应商须知、合同条款、图纸、工程质量标准及其他有关文件后，我方愿以</w:t>
      </w:r>
      <w:r>
        <w:rPr>
          <w:rFonts w:hint="eastAsia" w:ascii="仿宋" w:hAnsi="仿宋" w:eastAsia="仿宋" w:cs="仿宋"/>
          <w:bCs/>
          <w:color w:val="auto"/>
          <w:kern w:val="0"/>
          <w:sz w:val="24"/>
          <w:highlight w:val="none"/>
        </w:rPr>
        <w:t>人民币</w:t>
      </w:r>
      <w:r>
        <w:rPr>
          <w:rFonts w:hint="eastAsia" w:ascii="仿宋" w:hAnsi="仿宋" w:eastAsia="仿宋" w:cs="仿宋"/>
          <w:color w:val="auto"/>
          <w:kern w:val="0"/>
          <w:sz w:val="24"/>
          <w:highlight w:val="none"/>
        </w:rPr>
        <w:t>（大写）：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）的磋商总价，并按上述图纸、合同条款、技术规范的条件要求承包上述工程的施工、竣工，并承担任何质量缺陷保修责任。</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2、我方已详细审核全部采购文件，包括采购补遗文件及有关附件。</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3、我方承认磋商函附录是我方磋商函的组成部分。</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4、</w:t>
      </w:r>
      <w:r>
        <w:rPr>
          <w:rFonts w:hint="eastAsia" w:ascii="仿宋" w:hAnsi="仿宋" w:eastAsia="仿宋" w:cs="仿宋"/>
          <w:color w:val="auto"/>
          <w:kern w:val="0"/>
          <w:sz w:val="24"/>
          <w:highlight w:val="none"/>
        </w:rPr>
        <w:t>一旦我方成交，我方保证按合同协议书中约定的工期</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日历天内完成并移交全部工程，并保证工程质量达到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等级。</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5、我方同意所提交的磋商文件在“供应商须知”规定的磋商有效期内有效，在此期间内如果成交，我方将受此约束。</w:t>
      </w:r>
    </w:p>
    <w:p>
      <w:pPr>
        <w:autoSpaceDE w:val="0"/>
        <w:autoSpaceDN w:val="0"/>
        <w:adjustRightIn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6、除非另外达成协议并生效，你方的成交通知书和本磋商文件将成为约束双方的合同文件的组成部分。</w:t>
      </w:r>
    </w:p>
    <w:p>
      <w:pPr>
        <w:snapToGrid w:val="0"/>
        <w:spacing w:line="400" w:lineRule="exact"/>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7、</w:t>
      </w:r>
      <w:r>
        <w:rPr>
          <w:rFonts w:hint="eastAsia" w:ascii="仿宋" w:hAnsi="仿宋" w:eastAsia="仿宋" w:cs="仿宋"/>
          <w:color w:val="auto"/>
          <w:kern w:val="0"/>
          <w:sz w:val="24"/>
          <w:highlight w:val="none"/>
        </w:rPr>
        <w:t>我方将与本磋商函一起，提交人民币（大写）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元的磋商保证金。</w:t>
      </w:r>
    </w:p>
    <w:p>
      <w:pPr>
        <w:wordWrap w:val="0"/>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电话：</w:t>
      </w:r>
      <w:r>
        <w:rPr>
          <w:rFonts w:hint="eastAsia" w:ascii="仿宋" w:hAnsi="仿宋" w:eastAsia="仿宋" w:cs="仿宋"/>
          <w:color w:val="auto"/>
          <w:sz w:val="24"/>
          <w:highlight w:val="none"/>
          <w:u w:val="single"/>
        </w:rPr>
        <w:t xml:space="preserve">                </w:t>
      </w:r>
    </w:p>
    <w:p>
      <w:pPr>
        <w:wordWrap w:val="0"/>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供应商代表姓名：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职务：</w:t>
      </w:r>
      <w:r>
        <w:rPr>
          <w:rFonts w:hint="eastAsia" w:ascii="仿宋" w:hAnsi="仿宋" w:eastAsia="仿宋" w:cs="仿宋"/>
          <w:color w:val="auto"/>
          <w:sz w:val="24"/>
          <w:highlight w:val="none"/>
          <w:u w:val="single"/>
        </w:rPr>
        <w:t xml:space="preserve">            </w:t>
      </w:r>
    </w:p>
    <w:p>
      <w:pPr>
        <w:wordWrap w:val="0"/>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供应商名称（公章）：</w:t>
      </w:r>
      <w:r>
        <w:rPr>
          <w:rFonts w:hint="eastAsia" w:ascii="仿宋" w:hAnsi="仿宋" w:eastAsia="仿宋" w:cs="仿宋"/>
          <w:color w:val="auto"/>
          <w:sz w:val="24"/>
          <w:highlight w:val="none"/>
          <w:u w:val="single"/>
        </w:rPr>
        <w:t xml:space="preserve">                                          </w:t>
      </w:r>
    </w:p>
    <w:p>
      <w:pPr>
        <w:wordWrap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银行帐号：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wordWrap w:val="0"/>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授权代表签字或盖章：</w:t>
      </w:r>
      <w:r>
        <w:rPr>
          <w:rFonts w:hint="eastAsia" w:ascii="仿宋" w:hAnsi="仿宋" w:eastAsia="仿宋" w:cs="仿宋"/>
          <w:color w:val="auto"/>
          <w:sz w:val="24"/>
          <w:highlight w:val="none"/>
          <w:u w:val="single"/>
        </w:rPr>
        <w:t xml:space="preserve">                                       </w:t>
      </w:r>
    </w:p>
    <w:p>
      <w:pPr>
        <w:snapToGrid w:val="0"/>
        <w:spacing w:line="400" w:lineRule="exact"/>
        <w:ind w:firstLine="7080" w:firstLineChars="2950"/>
        <w:rPr>
          <w:rFonts w:ascii="仿宋" w:hAnsi="仿宋" w:eastAsia="仿宋" w:cs="仿宋"/>
          <w:color w:val="auto"/>
          <w:sz w:val="24"/>
          <w:highlight w:val="none"/>
        </w:rPr>
      </w:pPr>
      <w:r>
        <w:rPr>
          <w:rFonts w:hint="eastAsia" w:ascii="仿宋" w:hAnsi="仿宋" w:eastAsia="仿宋" w:cs="仿宋"/>
          <w:color w:val="auto"/>
          <w:sz w:val="24"/>
          <w:highlight w:val="none"/>
        </w:rPr>
        <w:t>（公章）</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3、磋商函附录格式：</w:t>
      </w:r>
    </w:p>
    <w:p>
      <w:pPr>
        <w:snapToGrid w:val="0"/>
        <w:spacing w:line="40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磋商函附录</w:t>
      </w:r>
    </w:p>
    <w:p>
      <w:pPr>
        <w:snapToGrid w:val="0"/>
        <w:spacing w:line="400" w:lineRule="exact"/>
        <w:rPr>
          <w:rFonts w:ascii="仿宋" w:hAnsi="仿宋" w:eastAsia="仿宋" w:cs="仿宋"/>
          <w:color w:val="auto"/>
          <w:kern w:val="0"/>
          <w:sz w:val="24"/>
          <w:highlight w:val="none"/>
        </w:rPr>
      </w:pPr>
    </w:p>
    <w:p>
      <w:pPr>
        <w:rPr>
          <w:rFonts w:ascii="仿宋" w:hAnsi="仿宋" w:eastAsia="仿宋" w:cs="仿宋"/>
          <w:color w:val="auto"/>
          <w:highlight w:val="none"/>
        </w:rPr>
      </w:pPr>
    </w:p>
    <w:tbl>
      <w:tblPr>
        <w:tblStyle w:val="60"/>
        <w:tblW w:w="928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145"/>
        <w:gridCol w:w="2685"/>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项目内容</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合同条款号</w:t>
            </w:r>
          </w:p>
        </w:tc>
        <w:tc>
          <w:tcPr>
            <w:tcW w:w="3615" w:type="dxa"/>
            <w:vAlign w:val="center"/>
          </w:tcPr>
          <w:p>
            <w:pPr>
              <w:autoSpaceDE w:val="0"/>
              <w:autoSpaceDN w:val="0"/>
              <w:adjustRightInd w:val="0"/>
              <w:spacing w:line="400" w:lineRule="exact"/>
              <w:jc w:val="center"/>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磋商保证金</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磋商须知</w:t>
            </w:r>
          </w:p>
        </w:tc>
        <w:tc>
          <w:tcPr>
            <w:tcW w:w="3615" w:type="dxa"/>
            <w:vAlign w:val="center"/>
          </w:tcPr>
          <w:p>
            <w:pPr>
              <w:autoSpaceDE w:val="0"/>
              <w:autoSpaceDN w:val="0"/>
              <w:adjustRightInd w:val="0"/>
              <w:spacing w:line="400" w:lineRule="exact"/>
              <w:jc w:val="center"/>
              <w:rPr>
                <w:rFonts w:ascii="仿宋" w:hAnsi="仿宋" w:eastAsia="仿宋" w:cs="仿宋"/>
                <w:b/>
                <w:color w:val="auto"/>
                <w:sz w:val="24"/>
                <w:highlight w:val="none"/>
                <w:u w:val="single"/>
              </w:rPr>
            </w:pPr>
            <w:r>
              <w:rPr>
                <w:rFonts w:hint="eastAsia" w:ascii="仿宋" w:hAnsi="仿宋" w:eastAsia="仿宋" w:cs="仿宋"/>
                <w:color w:val="auto"/>
                <w:kern w:val="0"/>
                <w:sz w:val="24"/>
                <w:highlight w:val="none"/>
              </w:rPr>
              <w:t>人民币壹万伍仟元整（￥15,000.00）</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响应文件有效期</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磋商须知</w:t>
            </w: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磋商截止之后</w:t>
            </w:r>
            <w:r>
              <w:rPr>
                <w:rFonts w:hint="eastAsia" w:ascii="仿宋" w:hAnsi="仿宋" w:eastAsia="仿宋" w:cs="仿宋"/>
                <w:color w:val="auto"/>
                <w:kern w:val="0"/>
                <w:sz w:val="24"/>
                <w:highlight w:val="none"/>
                <w:u w:val="single"/>
              </w:rPr>
              <w:t xml:space="preserve">90 </w:t>
            </w:r>
            <w:r>
              <w:rPr>
                <w:rFonts w:hint="eastAsia" w:ascii="仿宋" w:hAnsi="仿宋" w:eastAsia="仿宋" w:cs="仿宋"/>
                <w:color w:val="auto"/>
                <w:kern w:val="0"/>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误期违约金</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spacing w:val="20"/>
                <w:kern w:val="0"/>
                <w:sz w:val="24"/>
                <w:highlight w:val="none"/>
              </w:rPr>
              <w:t>专用条款</w:t>
            </w:r>
            <w:r>
              <w:rPr>
                <w:rFonts w:hint="eastAsia" w:ascii="仿宋" w:hAnsi="仿宋" w:eastAsia="仿宋" w:cs="仿宋"/>
                <w:color w:val="auto"/>
                <w:kern w:val="0"/>
                <w:sz w:val="24"/>
                <w:highlight w:val="none"/>
              </w:rPr>
              <w:t>35.2</w:t>
            </w: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0.4‰合同价款/日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误期违约金限额</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spacing w:val="20"/>
                <w:kern w:val="0"/>
                <w:sz w:val="24"/>
                <w:highlight w:val="none"/>
              </w:rPr>
              <w:t>专用条款</w:t>
            </w:r>
            <w:r>
              <w:rPr>
                <w:rFonts w:hint="eastAsia" w:ascii="仿宋" w:hAnsi="仿宋" w:eastAsia="仿宋" w:cs="仿宋"/>
                <w:color w:val="auto"/>
                <w:kern w:val="0"/>
                <w:sz w:val="24"/>
                <w:highlight w:val="none"/>
              </w:rPr>
              <w:t>35.2</w:t>
            </w: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中标价的3％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质量保修期</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工程质量保修书</w:t>
            </w: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依据保修书约定的期限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质量保修金</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spacing w:val="20"/>
                <w:kern w:val="0"/>
                <w:sz w:val="24"/>
                <w:highlight w:val="none"/>
              </w:rPr>
              <w:t>专用条款</w:t>
            </w: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bCs/>
                <w:color w:val="auto"/>
                <w:sz w:val="24"/>
                <w:highlight w:val="none"/>
                <w:lang w:eastAsia="zh-CN"/>
              </w:rPr>
              <w:t>合同金</w:t>
            </w:r>
            <w:r>
              <w:rPr>
                <w:rFonts w:hint="eastAsia" w:ascii="仿宋" w:hAnsi="仿宋" w:eastAsia="仿宋" w:cs="仿宋"/>
                <w:bCs/>
                <w:color w:val="auto"/>
                <w:sz w:val="24"/>
                <w:highlight w:val="none"/>
              </w:rPr>
              <w:t>额</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u w:val="single"/>
              </w:rPr>
              <w:t xml:space="preserve"> 3</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tabs>
                <w:tab w:val="left" w:pos="0"/>
                <w:tab w:val="left" w:pos="540"/>
              </w:tabs>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工期</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 xml:space="preserve"> 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214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承诺工程质量</w:t>
            </w:r>
          </w:p>
        </w:tc>
        <w:tc>
          <w:tcPr>
            <w:tcW w:w="268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p>
        </w:tc>
        <w:tc>
          <w:tcPr>
            <w:tcW w:w="3615"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合格</w:t>
            </w:r>
          </w:p>
        </w:tc>
      </w:tr>
    </w:tbl>
    <w:p>
      <w:pPr>
        <w:autoSpaceDE w:val="0"/>
        <w:autoSpaceDN w:val="0"/>
        <w:adjustRightInd w:val="0"/>
        <w:spacing w:line="400" w:lineRule="exact"/>
        <w:jc w:val="left"/>
        <w:rPr>
          <w:rFonts w:ascii="仿宋" w:hAnsi="仿宋" w:eastAsia="仿宋" w:cs="仿宋"/>
          <w:color w:val="auto"/>
          <w:szCs w:val="21"/>
          <w:highlight w:val="none"/>
        </w:rPr>
      </w:pPr>
    </w:p>
    <w:p>
      <w:pPr>
        <w:autoSpaceDE w:val="0"/>
        <w:autoSpaceDN w:val="0"/>
        <w:adjustRightInd w:val="0"/>
        <w:spacing w:line="400" w:lineRule="exact"/>
        <w:jc w:val="left"/>
        <w:rPr>
          <w:rFonts w:ascii="仿宋" w:hAnsi="仿宋" w:eastAsia="仿宋" w:cs="仿宋"/>
          <w:color w:val="auto"/>
          <w:szCs w:val="21"/>
          <w:highlight w:val="none"/>
        </w:rPr>
      </w:pPr>
    </w:p>
    <w:p>
      <w:pPr>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u w:val="single"/>
        </w:rPr>
        <w:t xml:space="preserve">                     （盖单位章）</w:t>
      </w:r>
    </w:p>
    <w:p>
      <w:pPr>
        <w:spacing w:line="400" w:lineRule="exact"/>
        <w:ind w:firstLine="480" w:firstLineChars="200"/>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法定代表人或授权代理人：</w:t>
      </w:r>
      <w:r>
        <w:rPr>
          <w:rFonts w:hint="eastAsia" w:ascii="仿宋" w:hAnsi="仿宋" w:eastAsia="仿宋" w:cs="仿宋"/>
          <w:color w:val="auto"/>
          <w:sz w:val="24"/>
          <w:highlight w:val="none"/>
          <w:u w:val="single"/>
        </w:rPr>
        <w:t xml:space="preserve">              （签字）</w:t>
      </w:r>
    </w:p>
    <w:p>
      <w:pPr>
        <w:spacing w:line="400" w:lineRule="exact"/>
        <w:ind w:firstLine="480" w:firstLineChars="200"/>
        <w:rPr>
          <w:rFonts w:ascii="仿宋" w:hAnsi="仿宋" w:eastAsia="仿宋" w:cs="仿宋"/>
          <w:color w:val="auto"/>
          <w:sz w:val="24"/>
          <w:highlight w:val="none"/>
        </w:rPr>
      </w:pPr>
    </w:p>
    <w:p>
      <w:pPr>
        <w:autoSpaceDE w:val="0"/>
        <w:autoSpaceDN w:val="0"/>
        <w:adjustRightInd w:val="0"/>
        <w:spacing w:line="400" w:lineRule="exact"/>
        <w:jc w:val="left"/>
        <w:rPr>
          <w:rFonts w:ascii="仿宋" w:hAnsi="仿宋" w:eastAsia="仿宋" w:cs="仿宋"/>
          <w:color w:val="auto"/>
          <w:szCs w:val="21"/>
          <w:highlight w:val="none"/>
        </w:rPr>
      </w:pPr>
      <w:r>
        <w:rPr>
          <w:rFonts w:hint="eastAsia" w:ascii="仿宋" w:hAnsi="仿宋" w:eastAsia="仿宋" w:cs="仿宋"/>
          <w:color w:val="auto"/>
          <w:sz w:val="24"/>
          <w:highlight w:val="none"/>
        </w:rPr>
        <w:t>日期：         年        月        日</w:t>
      </w: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4、磋商报价汇总表格式：</w:t>
      </w:r>
    </w:p>
    <w:p>
      <w:pPr>
        <w:snapToGrid w:val="0"/>
        <w:spacing w:line="40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磋商报价汇总表</w:t>
      </w:r>
    </w:p>
    <w:p>
      <w:pPr>
        <w:rPr>
          <w:rFonts w:ascii="仿宋" w:hAnsi="仿宋" w:eastAsia="仿宋" w:cs="仿宋"/>
          <w:color w:val="auto"/>
          <w:highlight w:val="none"/>
        </w:rPr>
      </w:pPr>
    </w:p>
    <w:p>
      <w:pPr>
        <w:autoSpaceDE w:val="0"/>
        <w:autoSpaceDN w:val="0"/>
        <w:adjustRightInd w:val="0"/>
        <w:spacing w:line="40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国家税务总局贺州市税务局附属用房维修项目工程采购</w:t>
      </w:r>
      <w:r>
        <w:rPr>
          <w:rFonts w:hint="eastAsia" w:ascii="仿宋" w:hAnsi="仿宋" w:eastAsia="仿宋" w:cs="仿宋"/>
          <w:color w:val="auto"/>
          <w:sz w:val="24"/>
          <w:highlight w:val="none"/>
        </w:rPr>
        <w:t xml:space="preserve">项目          </w:t>
      </w:r>
    </w:p>
    <w:p>
      <w:pPr>
        <w:autoSpaceDE w:val="0"/>
        <w:autoSpaceDN w:val="0"/>
        <w:adjustRightInd w:val="0"/>
        <w:spacing w:line="40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币种：人民币</w:t>
      </w:r>
    </w:p>
    <w:tbl>
      <w:tblPr>
        <w:tblStyle w:val="60"/>
        <w:tblW w:w="942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067"/>
        <w:gridCol w:w="2194"/>
        <w:gridCol w:w="2492"/>
        <w:gridCol w:w="1986"/>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454" w:hRule="atLeast"/>
        </w:trPr>
        <w:tc>
          <w:tcPr>
            <w:tcW w:w="4923" w:type="dxa"/>
            <w:gridSpan w:val="3"/>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项目内容</w:t>
            </w:r>
          </w:p>
        </w:tc>
        <w:tc>
          <w:tcPr>
            <w:tcW w:w="2492"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金额</w:t>
            </w:r>
          </w:p>
        </w:tc>
        <w:tc>
          <w:tcPr>
            <w:tcW w:w="1986" w:type="dxa"/>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565" w:hRule="atLeast"/>
        </w:trPr>
        <w:tc>
          <w:tcPr>
            <w:tcW w:w="1662" w:type="dxa"/>
            <w:vMerge w:val="restart"/>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磋商报价</w:t>
            </w:r>
          </w:p>
        </w:tc>
        <w:tc>
          <w:tcPr>
            <w:tcW w:w="3261" w:type="dxa"/>
            <w:gridSpan w:val="2"/>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磋商总报价（大写）</w:t>
            </w:r>
          </w:p>
        </w:tc>
        <w:tc>
          <w:tcPr>
            <w:tcW w:w="2492" w:type="dxa"/>
          </w:tcPr>
          <w:p>
            <w:pPr>
              <w:autoSpaceDE w:val="0"/>
              <w:autoSpaceDN w:val="0"/>
              <w:adjustRightInd w:val="0"/>
              <w:spacing w:line="40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tc>
        <w:tc>
          <w:tcPr>
            <w:tcW w:w="1986" w:type="dxa"/>
          </w:tcPr>
          <w:p>
            <w:pPr>
              <w:autoSpaceDE w:val="0"/>
              <w:autoSpaceDN w:val="0"/>
              <w:adjustRightInd w:val="0"/>
              <w:spacing w:line="40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662" w:type="dxa"/>
            <w:vMerge w:val="continue"/>
            <w:vAlign w:val="center"/>
          </w:tcPr>
          <w:p>
            <w:pPr>
              <w:autoSpaceDE w:val="0"/>
              <w:autoSpaceDN w:val="0"/>
              <w:adjustRightInd w:val="0"/>
              <w:spacing w:line="400" w:lineRule="exact"/>
              <w:jc w:val="center"/>
              <w:rPr>
                <w:rFonts w:ascii="仿宋" w:hAnsi="仿宋" w:eastAsia="仿宋" w:cs="仿宋"/>
                <w:color w:val="auto"/>
                <w:kern w:val="0"/>
                <w:sz w:val="24"/>
                <w:highlight w:val="none"/>
              </w:rPr>
            </w:pPr>
          </w:p>
        </w:tc>
        <w:tc>
          <w:tcPr>
            <w:tcW w:w="3261" w:type="dxa"/>
            <w:gridSpan w:val="2"/>
            <w:vAlign w:val="center"/>
          </w:tcPr>
          <w:p>
            <w:pPr>
              <w:autoSpaceDE w:val="0"/>
              <w:autoSpaceDN w:val="0"/>
              <w:adjustRightInd w:val="0"/>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磋商总报价（小写）</w:t>
            </w:r>
          </w:p>
        </w:tc>
        <w:tc>
          <w:tcPr>
            <w:tcW w:w="2492" w:type="dxa"/>
            <w:vAlign w:val="center"/>
          </w:tcPr>
          <w:p>
            <w:pPr>
              <w:autoSpaceDE w:val="0"/>
              <w:autoSpaceDN w:val="0"/>
              <w:adjustRightInd w:val="0"/>
              <w:spacing w:line="400" w:lineRule="exact"/>
              <w:ind w:right="120"/>
              <w:jc w:val="righ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元</w:t>
            </w:r>
          </w:p>
        </w:tc>
        <w:tc>
          <w:tcPr>
            <w:tcW w:w="2011" w:type="dxa"/>
            <w:gridSpan w:val="2"/>
            <w:vAlign w:val="center"/>
          </w:tcPr>
          <w:p>
            <w:pPr>
              <w:autoSpaceDE w:val="0"/>
              <w:autoSpaceDN w:val="0"/>
              <w:adjustRightInd w:val="0"/>
              <w:spacing w:line="40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733" w:hRule="atLeast"/>
        </w:trPr>
        <w:tc>
          <w:tcPr>
            <w:tcW w:w="2729" w:type="dxa"/>
            <w:gridSpan w:val="2"/>
            <w:vAlign w:val="center"/>
          </w:tcPr>
          <w:p>
            <w:pPr>
              <w:autoSpaceDE w:val="0"/>
              <w:autoSpaceDN w:val="0"/>
              <w:spacing w:line="400" w:lineRule="exact"/>
              <w:ind w:left="108"/>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工期（日历天）</w:t>
            </w:r>
          </w:p>
        </w:tc>
        <w:tc>
          <w:tcPr>
            <w:tcW w:w="6672" w:type="dxa"/>
            <w:gridSpan w:val="3"/>
            <w:vAlign w:val="center"/>
          </w:tcPr>
          <w:p>
            <w:pPr>
              <w:autoSpaceDE w:val="0"/>
              <w:autoSpaceDN w:val="0"/>
              <w:spacing w:line="400" w:lineRule="exact"/>
              <w:ind w:left="108"/>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757" w:hRule="atLeast"/>
        </w:trPr>
        <w:tc>
          <w:tcPr>
            <w:tcW w:w="2729" w:type="dxa"/>
            <w:gridSpan w:val="2"/>
            <w:vAlign w:val="center"/>
          </w:tcPr>
          <w:p>
            <w:pPr>
              <w:autoSpaceDE w:val="0"/>
              <w:autoSpaceDN w:val="0"/>
              <w:spacing w:line="400" w:lineRule="exact"/>
              <w:ind w:left="108"/>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承诺工程质量</w:t>
            </w:r>
          </w:p>
        </w:tc>
        <w:tc>
          <w:tcPr>
            <w:tcW w:w="6672" w:type="dxa"/>
            <w:gridSpan w:val="3"/>
            <w:vAlign w:val="center"/>
          </w:tcPr>
          <w:p>
            <w:pPr>
              <w:autoSpaceDE w:val="0"/>
              <w:autoSpaceDN w:val="0"/>
              <w:spacing w:line="400" w:lineRule="exact"/>
              <w:ind w:left="108"/>
              <w:jc w:val="center"/>
              <w:rPr>
                <w:rFonts w:ascii="仿宋" w:hAnsi="仿宋" w:eastAsia="仿宋" w:cs="仿宋"/>
                <w:color w:val="auto"/>
                <w:kern w:val="0"/>
                <w:sz w:val="24"/>
                <w:highlight w:val="none"/>
              </w:rPr>
            </w:pPr>
          </w:p>
        </w:tc>
      </w:tr>
    </w:tbl>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u w:val="single"/>
        </w:rPr>
        <w:t xml:space="preserve">                     （盖单位章）</w:t>
      </w:r>
    </w:p>
    <w:p>
      <w:pPr>
        <w:spacing w:line="400" w:lineRule="exact"/>
        <w:ind w:firstLine="480" w:firstLineChars="200"/>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法定代表人或授权代理人：</w:t>
      </w:r>
      <w:r>
        <w:rPr>
          <w:rFonts w:hint="eastAsia" w:ascii="仿宋" w:hAnsi="仿宋" w:eastAsia="仿宋" w:cs="仿宋"/>
          <w:color w:val="auto"/>
          <w:sz w:val="24"/>
          <w:highlight w:val="none"/>
          <w:u w:val="single"/>
        </w:rPr>
        <w:t xml:space="preserve">              （签字）</w:t>
      </w:r>
    </w:p>
    <w:p>
      <w:pPr>
        <w:snapToGrid w:val="0"/>
        <w:spacing w:line="400" w:lineRule="exact"/>
        <w:ind w:right="240"/>
        <w:rPr>
          <w:rFonts w:ascii="仿宋" w:hAnsi="仿宋" w:eastAsia="仿宋" w:cs="仿宋"/>
          <w:color w:val="auto"/>
          <w:sz w:val="24"/>
          <w:highlight w:val="none"/>
        </w:rPr>
      </w:pPr>
    </w:p>
    <w:p>
      <w:pPr>
        <w:snapToGrid w:val="0"/>
        <w:spacing w:line="400" w:lineRule="exact"/>
        <w:ind w:right="24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napToGrid w:val="0"/>
        <w:spacing w:line="400" w:lineRule="exact"/>
        <w:rPr>
          <w:rFonts w:ascii="仿宋" w:hAnsi="仿宋" w:eastAsia="仿宋" w:cs="仿宋"/>
          <w:color w:val="auto"/>
          <w:sz w:val="24"/>
          <w:highlight w:val="none"/>
        </w:rPr>
      </w:pPr>
    </w:p>
    <w:p>
      <w:pPr>
        <w:snapToGrid w:val="0"/>
        <w:spacing w:line="400" w:lineRule="exact"/>
        <w:ind w:firstLine="465"/>
        <w:rPr>
          <w:rFonts w:ascii="仿宋" w:hAnsi="仿宋" w:eastAsia="仿宋" w:cs="仿宋"/>
          <w:color w:val="auto"/>
          <w:sz w:val="24"/>
          <w:highlight w:val="none"/>
        </w:rPr>
      </w:pPr>
    </w:p>
    <w:p>
      <w:pPr>
        <w:snapToGrid w:val="0"/>
        <w:spacing w:before="50" w:after="50"/>
        <w:rPr>
          <w:rFonts w:ascii="仿宋" w:hAnsi="仿宋" w:eastAsia="仿宋" w:cs="仿宋"/>
          <w:color w:val="auto"/>
          <w:szCs w:val="21"/>
          <w:highlight w:val="none"/>
        </w:rPr>
      </w:pPr>
    </w:p>
    <w:p>
      <w:pPr>
        <w:pStyle w:val="27"/>
        <w:snapToGrid w:val="0"/>
        <w:spacing w:before="295" w:after="295"/>
        <w:jc w:val="center"/>
        <w:rPr>
          <w:rFonts w:ascii="仿宋" w:hAnsi="仿宋" w:eastAsia="仿宋" w:cs="仿宋"/>
          <w:color w:val="auto"/>
          <w:highlight w:val="none"/>
        </w:rPr>
      </w:pPr>
    </w:p>
    <w:p>
      <w:pPr>
        <w:pStyle w:val="27"/>
        <w:jc w:val="center"/>
        <w:rPr>
          <w:rFonts w:ascii="仿宋" w:hAnsi="仿宋" w:eastAsia="仿宋" w:cs="仿宋"/>
          <w:color w:val="auto"/>
          <w:highlight w:val="none"/>
        </w:rPr>
      </w:pPr>
    </w:p>
    <w:p>
      <w:pPr>
        <w:rPr>
          <w:color w:val="auto"/>
          <w:highlight w:val="none"/>
        </w:rPr>
      </w:pPr>
    </w:p>
    <w:p>
      <w:pPr>
        <w:rPr>
          <w:bCs/>
          <w:color w:val="auto"/>
          <w:sz w:val="32"/>
          <w:highlight w:val="none"/>
        </w:rPr>
      </w:pPr>
      <w:bookmarkStart w:id="494" w:name="_Toc390094876"/>
      <w:bookmarkStart w:id="495" w:name="_Toc108835679"/>
      <w:bookmarkStart w:id="496" w:name="_Toc108836090"/>
      <w:r>
        <w:rPr>
          <w:rFonts w:hint="eastAsia"/>
          <w:bCs/>
          <w:color w:val="auto"/>
          <w:sz w:val="32"/>
          <w:highlight w:val="none"/>
        </w:rPr>
        <w:t xml:space="preserve"> </w:t>
      </w:r>
    </w:p>
    <w:p>
      <w:pPr>
        <w:pStyle w:val="27"/>
        <w:spacing w:line="36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r>
        <w:rPr>
          <w:rFonts w:hint="eastAsia" w:ascii="仿宋" w:hAnsi="仿宋" w:eastAsia="仿宋" w:cs="仿宋"/>
          <w:b/>
          <w:color w:val="auto"/>
          <w:sz w:val="24"/>
          <w:szCs w:val="24"/>
          <w:highlight w:val="none"/>
        </w:rPr>
        <w:t>五、已标价的工程量清单报价</w:t>
      </w:r>
      <w:bookmarkEnd w:id="494"/>
      <w:r>
        <w:rPr>
          <w:rFonts w:hint="eastAsia" w:ascii="仿宋" w:hAnsi="仿宋" w:eastAsia="仿宋" w:cs="仿宋"/>
          <w:b/>
          <w:color w:val="auto"/>
          <w:sz w:val="24"/>
          <w:szCs w:val="24"/>
          <w:highlight w:val="none"/>
        </w:rPr>
        <w:t>文件</w:t>
      </w:r>
    </w:p>
    <w:p>
      <w:pPr>
        <w:rPr>
          <w:rFonts w:ascii="仿宋" w:hAnsi="仿宋" w:eastAsia="仿宋" w:cs="仿宋"/>
          <w:bCs/>
          <w:color w:val="auto"/>
          <w:sz w:val="24"/>
          <w:highlight w:val="none"/>
        </w:rPr>
      </w:pPr>
    </w:p>
    <w:bookmarkEnd w:id="495"/>
    <w:bookmarkEnd w:id="496"/>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 已标价工程量清单应按第六章“工程量清单”中的相关表格及磋商报价说明填写。构成合同文件的已标价工程量清单包括第六章“工程量清单”有关工程量清单、磋商报价以及其他说明的内容。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 一般计税法建设工程已标价工程量清单表格按</w:t>
      </w:r>
      <w:r>
        <w:rPr>
          <w:rFonts w:hint="eastAsia" w:ascii="仿宋" w:hAnsi="仿宋" w:eastAsia="仿宋" w:cs="仿宋"/>
          <w:color w:val="auto"/>
          <w:kern w:val="0"/>
          <w:sz w:val="24"/>
          <w:highlight w:val="none"/>
        </w:rPr>
        <w:t>《关于建筑业实施营业税改征增值税后广西壮族自治区建设工程计价依据调整的通知》（桂建标〔2016〕17号）</w:t>
      </w:r>
      <w:r>
        <w:rPr>
          <w:rFonts w:hint="eastAsia" w:ascii="仿宋" w:hAnsi="仿宋" w:eastAsia="仿宋" w:cs="仿宋"/>
          <w:color w:val="auto"/>
          <w:sz w:val="24"/>
          <w:highlight w:val="none"/>
        </w:rPr>
        <w:t>附件“增值税一般计税方法工程计价表”要求提供，简易计税法表格按《&lt;建设工程工程量清单计价规范&gt;（GB5050-2013）广西壮族自治区实施细则》要求的表格提供，但规费和税费按照</w:t>
      </w:r>
      <w:r>
        <w:rPr>
          <w:rFonts w:hint="eastAsia" w:ascii="仿宋" w:hAnsi="仿宋" w:eastAsia="仿宋" w:cs="仿宋"/>
          <w:color w:val="auto"/>
          <w:kern w:val="0"/>
          <w:sz w:val="24"/>
          <w:highlight w:val="none"/>
        </w:rPr>
        <w:t>《关于建筑业实施营业税改征增值税后广西壮族自治区建设工程计价依据调整的通知》（桂建标〔2016〕17号）</w:t>
      </w:r>
      <w:r>
        <w:rPr>
          <w:rFonts w:hint="eastAsia" w:ascii="仿宋" w:hAnsi="仿宋" w:eastAsia="仿宋" w:cs="仿宋"/>
          <w:color w:val="auto"/>
          <w:sz w:val="24"/>
          <w:highlight w:val="none"/>
        </w:rPr>
        <w:t>调整，具体内容包括：</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 投标总价（封-3）</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1.2 投标总价（扉-3）</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1.3 总说明（表-01）</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1.4 建设项目投标报价汇总表（表-02）</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1.5 单项工程投标报价汇总表（表-03）</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1.6 单位工程投标报价汇总表（表-04）</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1.7 分部分项工程和单价措施项目清单与计价表（表-08）</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1.8 工程量清单综合单价分析表（表-09）</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1.9 主要清单项目工料机分析表（表-10）【备注：可按要求有选择的提供】</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1.10 总价措施项目清单与计价表（表-11）</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1.11 其他项目清单与计价汇总表（表-12）</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1.12 暂列金额明细表（表12-1）</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1.13 材料（工程设备）暂估单价及调整表（表12-2）</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1.14 专业工程暂估价表（表12-3）</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1.15计日工表（表12-4）</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1.16 总承包服务费计价表（表12-5）</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1.17 税前项目清单与计价表（表-14）</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1.18 规费、增值税计价表（表-15）</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1.19 发包人提供主要材料和工程设备一览表（表-21）</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1.20 承包人提供主要材料和工程设备一览表（适用于造价信息差额调整法）（表-22）</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1.21 承包人提供主要材料和工程设备一览表（适用于价格指数差额调整法）（表-23）</w:t>
      </w:r>
    </w:p>
    <w:p>
      <w:pPr>
        <w:spacing w:line="360" w:lineRule="auto"/>
        <w:ind w:firstLine="720" w:firstLineChars="300"/>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备注：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（1）1.8工程量清单综合单价分析表和1.9主要清单项目工料机分析表仅要求在商务标正本附上，副本可不附该部分内容</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①建设项目投标报价汇总表（表-02）</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②暂列金额明细表（表12-1）</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③材料（工程设备）暂估单位及调整表（表12-2）</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④专业工程暂估价表（表12-3）</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⑤计日工表（表12-4）</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⑥总承包服务费计价表（表12-5）</w:t>
      </w:r>
    </w:p>
    <w:p>
      <w:pPr>
        <w:spacing w:line="360" w:lineRule="auto"/>
        <w:ind w:firstLine="1080" w:firstLineChars="450"/>
        <w:rPr>
          <w:rFonts w:ascii="仿宋" w:hAnsi="仿宋" w:eastAsia="仿宋" w:cs="仿宋"/>
          <w:color w:val="auto"/>
          <w:sz w:val="24"/>
          <w:highlight w:val="none"/>
        </w:rPr>
      </w:pPr>
      <w:r>
        <w:rPr>
          <w:rFonts w:hint="eastAsia" w:ascii="仿宋" w:hAnsi="仿宋" w:eastAsia="仿宋" w:cs="仿宋"/>
          <w:color w:val="auto"/>
          <w:sz w:val="24"/>
          <w:highlight w:val="none"/>
        </w:rPr>
        <w:t>⑦税前项目清单与计价表（表-14）</w:t>
      </w:r>
    </w:p>
    <w:p>
      <w:pPr>
        <w:pStyle w:val="27"/>
        <w:spacing w:line="360" w:lineRule="auto"/>
        <w:jc w:val="center"/>
        <w:rPr>
          <w:b/>
          <w:color w:val="auto"/>
          <w:sz w:val="30"/>
          <w:szCs w:val="30"/>
          <w:highlight w:val="none"/>
        </w:rPr>
      </w:pPr>
    </w:p>
    <w:p>
      <w:pPr>
        <w:pStyle w:val="27"/>
        <w:spacing w:line="360" w:lineRule="auto"/>
        <w:jc w:val="center"/>
        <w:rPr>
          <w:b/>
          <w:color w:val="auto"/>
          <w:sz w:val="30"/>
          <w:szCs w:val="30"/>
          <w:highlight w:val="none"/>
        </w:rPr>
      </w:pPr>
    </w:p>
    <w:p>
      <w:pPr>
        <w:spacing w:line="360" w:lineRule="auto"/>
        <w:jc w:val="center"/>
        <w:outlineLvl w:val="0"/>
        <w:rPr>
          <w:rFonts w:ascii="仿宋" w:hAnsi="仿宋" w:eastAsia="仿宋" w:cs="仿宋"/>
          <w:color w:val="auto"/>
          <w:highlight w:val="none"/>
        </w:rPr>
      </w:pPr>
      <w:r>
        <w:rPr>
          <w:rFonts w:hint="eastAsia" w:ascii="仿宋" w:hAnsi="仿宋" w:eastAsia="仿宋" w:cs="仿宋"/>
          <w:b/>
          <w:color w:val="auto"/>
          <w:sz w:val="24"/>
          <w:highlight w:val="none"/>
        </w:rPr>
        <w:br w:type="page"/>
      </w:r>
      <w:bookmarkStart w:id="497" w:name="_Toc5704"/>
      <w:bookmarkStart w:id="498" w:name="_Toc5133"/>
      <w:bookmarkStart w:id="499" w:name="_Toc29698"/>
      <w:r>
        <w:rPr>
          <w:rFonts w:hint="eastAsia" w:ascii="仿宋" w:hAnsi="仿宋" w:eastAsia="仿宋" w:cs="仿宋"/>
          <w:b/>
          <w:color w:val="auto"/>
          <w:sz w:val="32"/>
          <w:szCs w:val="32"/>
          <w:highlight w:val="none"/>
        </w:rPr>
        <w:t>第七章  评审办法及评分标准</w:t>
      </w:r>
      <w:bookmarkEnd w:id="497"/>
      <w:bookmarkEnd w:id="498"/>
      <w:bookmarkEnd w:id="499"/>
    </w:p>
    <w:p>
      <w:pPr>
        <w:pStyle w:val="27"/>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一、评标原则</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（一）评委构成：本招标采购项目的评委分别由依法组成的评审专家、采购单位代表</w:t>
      </w:r>
    </w:p>
    <w:p>
      <w:pPr>
        <w:pStyle w:val="27"/>
        <w:spacing w:line="400" w:lineRule="exact"/>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其中专家人数不少于成员总数的三分之二。</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（二）评标依据：评委将以招响应文件为评标依据，对供应商的磋商报价、技术、商务等方面内容按百分制打分。</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（三）评标方式：以封闭方式进行。</w:t>
      </w:r>
    </w:p>
    <w:p>
      <w:pPr>
        <w:pStyle w:val="27"/>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二、评定方法：</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（一）对进入详评的，采用百分制综合评分法。</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（二）计分办法（按四舍五入取至百分位）：</w:t>
      </w:r>
    </w:p>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1、价格分………………………………………………………………………………………30分</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按照《政府采购促进中小企业发展暂行办法》（财库〔2011〕181号）的规定，磋商供应商认定为小型和微型企业的（必须提供中小企业声明函，否则不予以认定），对磋商报价给予6%的扣除，扣除后的价格为评标价，即评标价=磋商报价×（1-6%）；大中型企业与小型、微型企业组成联合体磋商，其中小型、微型企业的协议合同金额占到联合体协议合同总金额30%以上的，联合体磋商报价给予2%的扣除，扣除后的价格为评标价，即评标价=磋商报价×（1-2%）；除上述情况外，评标价=磋商报价。</w:t>
      </w:r>
      <w:r>
        <w:rPr>
          <w:rFonts w:hint="eastAsia" w:ascii="仿宋" w:hAnsi="仿宋" w:eastAsia="仿宋" w:cs="仿宋"/>
          <w:color w:val="auto"/>
          <w:kern w:val="2"/>
          <w:sz w:val="24"/>
          <w:szCs w:val="24"/>
          <w:highlight w:val="none"/>
        </w:rPr>
        <w:br w:type="textWrapping"/>
      </w:r>
      <w:r>
        <w:rPr>
          <w:rFonts w:hint="eastAsia" w:ascii="仿宋" w:hAnsi="仿宋" w:eastAsia="仿宋" w:cs="仿宋"/>
          <w:color w:val="auto"/>
          <w:kern w:val="2"/>
          <w:sz w:val="24"/>
          <w:szCs w:val="24"/>
          <w:highlight w:val="none"/>
        </w:rPr>
        <w:t xml:space="preserve">    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r>
        <w:rPr>
          <w:rFonts w:hint="eastAsia" w:ascii="仿宋" w:hAnsi="仿宋" w:eastAsia="仿宋" w:cs="仿宋"/>
          <w:color w:val="auto"/>
          <w:kern w:val="2"/>
          <w:sz w:val="24"/>
          <w:szCs w:val="24"/>
          <w:highlight w:val="none"/>
        </w:rPr>
        <w:br w:type="textWrapping"/>
      </w:r>
      <w:r>
        <w:rPr>
          <w:rFonts w:hint="eastAsia" w:ascii="仿宋" w:hAnsi="仿宋" w:eastAsia="仿宋" w:cs="仿宋"/>
          <w:color w:val="auto"/>
          <w:kern w:val="2"/>
          <w:sz w:val="24"/>
          <w:szCs w:val="24"/>
          <w:highlight w:val="none"/>
        </w:rPr>
        <w:t xml:space="preserve">    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（1）将所有供应商的有效磋商报价的算术平均值作为评审的合理低价。</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（2）评标时以合理低价为最高分，采用内插法计算，供应商报价每高于合理低价1％的扣2分，每低于合理低价1％的扣1分，得分精确到小数点后两位数。</w:t>
      </w:r>
    </w:p>
    <w:p>
      <w:pPr>
        <w:pStyle w:val="27"/>
        <w:spacing w:line="400" w:lineRule="exact"/>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注：磋商报价超出有效报价范围的作无效磋商处理。评标委员会在评标过程中发现供应商的总报价明显低于其他供应商的总报价或者明显低于招标控制价，有理由怀疑其总报价可能低于其成本的，应当要求该供应商做出书面说明并提供相关证明材料。供应商不能合理说明或者不能提供相关证明材料的，视作该供应商以低于成本报价参与磋商，其响应文件应作无效磋商处理。</w:t>
      </w:r>
    </w:p>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2、施工组织设计方案分………………………………………………………………………40分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（1）施工进度计划及各阶段进度的保证措施及违约责任承诺分（满分5分）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施工进度计划及各阶段进度的保证措施及违约责任承诺的关键线路、计划编制、关键节点的控制措施、进度违约责任承诺等内容的优劣情况，评定为“优”的得4.1</w:t>
      </w:r>
      <w:r>
        <w:rPr>
          <w:rFonts w:ascii="宋体" w:hAnsi="Courier New"/>
          <w:color w:val="auto"/>
          <w:kern w:val="0"/>
          <w:sz w:val="20"/>
          <w:szCs w:val="21"/>
          <w:highlight w:val="none"/>
        </w:rPr>
        <w:t>~</w:t>
      </w:r>
      <w:r>
        <w:rPr>
          <w:rFonts w:hint="eastAsia" w:ascii="仿宋" w:hAnsi="仿宋" w:eastAsia="仿宋" w:cs="仿宋"/>
          <w:color w:val="auto"/>
          <w:sz w:val="24"/>
          <w:highlight w:val="none"/>
        </w:rPr>
        <w:t>5分，评定为“良”的得3.1~4分，评定为“中”的得2.1~3分，评定为“差”的得1~2分。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（2）劳动力和材料投入计划分（满分5分）</w:t>
      </w:r>
    </w:p>
    <w:p>
      <w:pPr>
        <w:spacing w:line="39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劳动力和材料投入计划的投入计划与进度计划呼应、调配投入计划等内容的优劣情况，评定为“优”的得4.1</w:t>
      </w:r>
      <w:r>
        <w:rPr>
          <w:rFonts w:ascii="宋体" w:hAnsi="Courier New"/>
          <w:color w:val="auto"/>
          <w:kern w:val="0"/>
          <w:sz w:val="20"/>
          <w:szCs w:val="21"/>
          <w:highlight w:val="none"/>
        </w:rPr>
        <w:t>~</w:t>
      </w:r>
      <w:r>
        <w:rPr>
          <w:rFonts w:hint="eastAsia" w:ascii="仿宋" w:hAnsi="仿宋" w:eastAsia="仿宋" w:cs="仿宋"/>
          <w:color w:val="auto"/>
          <w:sz w:val="24"/>
          <w:highlight w:val="none"/>
        </w:rPr>
        <w:t>5分，评定为“良”的得3.1~4分，评定为“中”的得2.1~3分，评定为“差”的得1~2分。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（3）关键施工技术、工艺及工程项目实施的重点分析和解决方案分（满分10分）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关键施工技术、工艺及工程项目实施的重点分析和解决方案的对项目关键技术、工艺表述，对重点、难点施工措施及安全措施，解决方案，措施是否得力等内容的优劣情况，评定为“优”的得8.1</w:t>
      </w:r>
      <w:r>
        <w:rPr>
          <w:rFonts w:ascii="宋体" w:hAnsi="Courier New"/>
          <w:color w:val="auto"/>
          <w:kern w:val="0"/>
          <w:sz w:val="20"/>
          <w:szCs w:val="21"/>
          <w:highlight w:val="none"/>
        </w:rPr>
        <w:t>~</w:t>
      </w:r>
      <w:r>
        <w:rPr>
          <w:rFonts w:hint="eastAsia" w:ascii="仿宋" w:hAnsi="仿宋" w:eastAsia="仿宋" w:cs="仿宋"/>
          <w:color w:val="auto"/>
          <w:sz w:val="24"/>
          <w:highlight w:val="none"/>
        </w:rPr>
        <w:t>10分，评定为“良”的得6.1~8分，评定为“中”的得3.1~6分，评定为“差”的得1~3分。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（4）安全文明施工措施分（满分5分）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安全文明施工措施的针对项目实际情况的实施措施、采用规范等内容的优劣情况，评定为“优”的得4.1</w:t>
      </w:r>
      <w:r>
        <w:rPr>
          <w:rFonts w:ascii="宋体" w:hAnsi="Courier New"/>
          <w:color w:val="auto"/>
          <w:kern w:val="0"/>
          <w:sz w:val="20"/>
          <w:szCs w:val="21"/>
          <w:highlight w:val="none"/>
        </w:rPr>
        <w:t>~</w:t>
      </w:r>
      <w:r>
        <w:rPr>
          <w:rFonts w:hint="eastAsia" w:ascii="仿宋" w:hAnsi="仿宋" w:eastAsia="仿宋" w:cs="仿宋"/>
          <w:color w:val="auto"/>
          <w:sz w:val="24"/>
          <w:highlight w:val="none"/>
        </w:rPr>
        <w:t>5分，评定为“良”的得3.1~4分，评定为“中”的得2.1~3分，评定为“差”的得1~2分。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（5）质量保证措施分（满分5分）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质量保证措施的质量保证措施、对采购文件的质量要求及施工验收规范要求等内容的优劣情况，评定为“优”的得4.1</w:t>
      </w:r>
      <w:r>
        <w:rPr>
          <w:rFonts w:ascii="宋体" w:hAnsi="Courier New"/>
          <w:color w:val="auto"/>
          <w:kern w:val="0"/>
          <w:sz w:val="20"/>
          <w:szCs w:val="21"/>
          <w:highlight w:val="none"/>
        </w:rPr>
        <w:t>~</w:t>
      </w:r>
      <w:r>
        <w:rPr>
          <w:rFonts w:hint="eastAsia" w:ascii="仿宋" w:hAnsi="仿宋" w:eastAsia="仿宋" w:cs="仿宋"/>
          <w:color w:val="auto"/>
          <w:sz w:val="24"/>
          <w:highlight w:val="none"/>
        </w:rPr>
        <w:t>5分，评定为“良”的得3.1~4分，评定为“中”的得2.1~3分，评定为“差”的得1~2分。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（6）拟投入本项目实施人员分（满分10分）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施工组织设计方案中</w:t>
      </w:r>
      <w:r>
        <w:rPr>
          <w:rFonts w:hint="eastAsia" w:ascii="仿宋" w:hAnsi="仿宋" w:eastAsia="仿宋" w:cs="仿宋"/>
          <w:color w:val="auto"/>
          <w:sz w:val="24"/>
          <w:highlight w:val="none"/>
        </w:rPr>
        <w:t>拟投入本项目实施人员的优劣情况，评定为“优”的得8.1</w:t>
      </w:r>
      <w:r>
        <w:rPr>
          <w:rFonts w:ascii="宋体" w:hAnsi="Courier New"/>
          <w:color w:val="auto"/>
          <w:kern w:val="0"/>
          <w:sz w:val="20"/>
          <w:szCs w:val="21"/>
          <w:highlight w:val="none"/>
        </w:rPr>
        <w:t>~</w:t>
      </w:r>
      <w:r>
        <w:rPr>
          <w:rFonts w:hint="eastAsia" w:ascii="仿宋" w:hAnsi="仿宋" w:eastAsia="仿宋" w:cs="仿宋"/>
          <w:color w:val="auto"/>
          <w:sz w:val="24"/>
          <w:highlight w:val="none"/>
        </w:rPr>
        <w:t>10分，评定为“良”的得6.1~8分，评定为“中”的得3.1~6分，评定为“差”的得1~3分。</w:t>
      </w:r>
    </w:p>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3、效果图分… ……………………………………………………………10分</w:t>
      </w:r>
    </w:p>
    <w:p>
      <w:pPr>
        <w:spacing w:line="39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（1）效果图（满分10分）</w:t>
      </w:r>
    </w:p>
    <w:p>
      <w:pPr>
        <w:spacing w:line="39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由磋商小组综合对比比较供应商所提供的</w:t>
      </w:r>
      <w:r>
        <w:rPr>
          <w:rFonts w:hint="eastAsia" w:ascii="仿宋" w:hAnsi="仿宋" w:eastAsia="仿宋" w:cs="仿宋"/>
          <w:color w:val="auto"/>
          <w:kern w:val="0"/>
          <w:sz w:val="24"/>
          <w:szCs w:val="21"/>
          <w:highlight w:val="none"/>
        </w:rPr>
        <w:t>设计效果图的优劣情况（包括材料质感、结构体量、主次关系以及场景细节等元素），</w:t>
      </w:r>
      <w:r>
        <w:rPr>
          <w:rFonts w:hint="eastAsia" w:ascii="仿宋" w:hAnsi="仿宋" w:eastAsia="仿宋" w:cs="仿宋"/>
          <w:color w:val="auto"/>
          <w:sz w:val="24"/>
          <w:highlight w:val="none"/>
        </w:rPr>
        <w:t>评定为“优”的得8.1</w:t>
      </w:r>
      <w:r>
        <w:rPr>
          <w:rFonts w:ascii="宋体" w:hAnsi="Courier New"/>
          <w:color w:val="auto"/>
          <w:kern w:val="0"/>
          <w:sz w:val="20"/>
          <w:szCs w:val="21"/>
          <w:highlight w:val="none"/>
        </w:rPr>
        <w:t>~</w:t>
      </w:r>
      <w:r>
        <w:rPr>
          <w:rFonts w:hint="eastAsia" w:ascii="仿宋" w:hAnsi="仿宋" w:eastAsia="仿宋" w:cs="仿宋"/>
          <w:color w:val="auto"/>
          <w:sz w:val="24"/>
          <w:highlight w:val="none"/>
        </w:rPr>
        <w:t>10分，评定为“良”的得6.1~8分，评定为“中”的得3.1~6分，评定为“差”的得1~3分。</w:t>
      </w:r>
    </w:p>
    <w:p>
      <w:pPr>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4、业绩分 ………………………………………………………………………………………20分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（1）磋商供应商在2017年1月1日至磋商截止日完成过质量合格的且</w:t>
      </w:r>
      <w:r>
        <w:rPr>
          <w:rFonts w:hint="eastAsia" w:ascii="仿宋" w:hAnsi="仿宋" w:eastAsia="仿宋" w:cs="仿宋"/>
          <w:color w:val="auto"/>
          <w:sz w:val="24"/>
          <w:highlight w:val="none"/>
          <w:shd w:val="clear" w:color="FFFFFF" w:fill="D9D9D9"/>
        </w:rPr>
        <w:t>总建筑面积2000㎡以上（含2000㎡）</w:t>
      </w:r>
      <w:r>
        <w:rPr>
          <w:rFonts w:hint="eastAsia" w:ascii="仿宋" w:hAnsi="仿宋" w:eastAsia="仿宋" w:cs="仿宋"/>
          <w:color w:val="auto"/>
          <w:sz w:val="24"/>
          <w:highlight w:val="none"/>
        </w:rPr>
        <w:t>的装修工程（在建工程附中标（成交）通知书或合同协议书复印件；已完成工程附中标（成交）通知书或合同协议书或工程竣工验收证明材料复印件），每有一</w:t>
      </w:r>
      <w:r>
        <w:rPr>
          <w:rFonts w:hint="eastAsia" w:ascii="仿宋" w:hAnsi="仿宋" w:eastAsia="仿宋" w:cs="仿宋"/>
          <w:color w:val="auto"/>
          <w:sz w:val="24"/>
          <w:highlight w:val="none"/>
          <w:lang w:eastAsia="zh-CN"/>
        </w:rPr>
        <w:t>个</w:t>
      </w:r>
      <w:r>
        <w:rPr>
          <w:rFonts w:hint="eastAsia" w:ascii="仿宋" w:hAnsi="仿宋" w:eastAsia="仿宋" w:cs="仿宋"/>
          <w:color w:val="auto"/>
          <w:sz w:val="24"/>
          <w:highlight w:val="none"/>
        </w:rPr>
        <w:t>类似业绩得2分。(满分</w:t>
      </w:r>
      <w:r>
        <w:rPr>
          <w:rFonts w:hint="eastAsia" w:ascii="仿宋" w:hAnsi="仿宋" w:eastAsia="仿宋" w:cs="仿宋"/>
          <w:color w:val="auto"/>
          <w:sz w:val="24"/>
          <w:highlight w:val="none"/>
          <w:lang w:val="en-US" w:eastAsia="zh-CN"/>
        </w:rPr>
        <w:t>2</w:t>
      </w:r>
      <w:bookmarkStart w:id="500" w:name="_GoBack"/>
      <w:bookmarkEnd w:id="500"/>
      <w:r>
        <w:rPr>
          <w:rFonts w:hint="eastAsia" w:ascii="仿宋" w:hAnsi="仿宋" w:eastAsia="仿宋" w:cs="仿宋"/>
          <w:color w:val="auto"/>
          <w:sz w:val="24"/>
          <w:highlight w:val="none"/>
        </w:rPr>
        <w:t>0分)。</w:t>
      </w:r>
    </w:p>
    <w:p>
      <w:pPr>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（三）总得分=价格分+施工组织设计方案分+效果图分+业绩分</w:t>
      </w:r>
    </w:p>
    <w:p>
      <w:pPr>
        <w:spacing w:line="400" w:lineRule="exac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三、成交候选人推荐原则</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1、可计量计分的项目按计量计分，不可计量计分的项目或在评委意见不一致时，由磋商小组成员各自打分并进行算术平均后得出该供应商该项得分。</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2、磋商报价的偏差数（%）及评分分数按四舍五入的原则保留小数点后两位数。</w:t>
      </w:r>
    </w:p>
    <w:p>
      <w:pPr>
        <w:spacing w:line="39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磋商小组将根据得分由高到低排列次序（得分相同时，以磋商报价低的优先；磋商报价也相同时，以施工组织设计方案分高的优先；施工组织设计方案分也相同的，以供应商资质高的优先；供应商资质也相同的，由磋商小组采用记名投票方式确定）推荐综合排名前3名的供应商为成交候选供应商。招标采购单位应当确定磋商小组推荐排名第一的成交候选人为成交人。排名第一的成交候选人放弃成交、因不可抗力提出不能履行合同，或者采购文件规定应当提交履约保证金而在规定的期限内未能提交的，招标采购单位可以确定排名第二的成交候选人为成交人，以此类推。采购人也可以重新组织采购。</w:t>
      </w:r>
    </w:p>
    <w:p>
      <w:pPr>
        <w:spacing w:line="400" w:lineRule="exact"/>
        <w:rPr>
          <w:rFonts w:ascii="仿宋" w:hAnsi="仿宋" w:eastAsia="仿宋" w:cs="仿宋"/>
          <w:color w:val="auto"/>
          <w:sz w:val="24"/>
          <w:highlight w:val="none"/>
        </w:rPr>
      </w:pPr>
    </w:p>
    <w:sectPr>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9"/>
      </w:rPr>
    </w:pPr>
    <w:r>
      <w:fldChar w:fldCharType="begin"/>
    </w:r>
    <w:r>
      <w:rPr>
        <w:rStyle w:val="49"/>
      </w:rPr>
      <w:instrText xml:space="preserve">PAGE  </w:instrText>
    </w:r>
    <w:r>
      <w:fldChar w:fldCharType="separate"/>
    </w:r>
    <w:r>
      <w:rPr>
        <w:rStyle w:val="49"/>
      </w:rPr>
      <w:t>58</w:t>
    </w:r>
    <w:r>
      <w:fldChar w:fldCharType="end"/>
    </w:r>
  </w:p>
  <w:p>
    <w:pPr>
      <w:pStyle w:val="32"/>
      <w:jc w:val="center"/>
    </w:pP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9"/>
      </w:rPr>
    </w:pPr>
    <w:r>
      <w:fldChar w:fldCharType="begin"/>
    </w:r>
    <w:r>
      <w:rPr>
        <w:rStyle w:val="49"/>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49"/>
      </w:rPr>
    </w:pPr>
  </w:p>
  <w:p>
    <w:pPr>
      <w:pStyle w:val="32"/>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tabs>
        <w:tab w:val="left" w:pos="31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00000012"/>
    <w:multiLevelType w:val="singleLevel"/>
    <w:tmpl w:val="00000012"/>
    <w:lvl w:ilvl="0" w:tentative="0">
      <w:start w:val="34"/>
      <w:numFmt w:val="decimal"/>
      <w:suff w:val="nothing"/>
      <w:lvlText w:val="%1."/>
      <w:lvlJc w:val="left"/>
    </w:lvl>
  </w:abstractNum>
  <w:abstractNum w:abstractNumId="2">
    <w:nsid w:val="00000013"/>
    <w:multiLevelType w:val="multilevel"/>
    <w:tmpl w:val="00000013"/>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3">
    <w:nsid w:val="02621574"/>
    <w:multiLevelType w:val="multilevel"/>
    <w:tmpl w:val="02621574"/>
    <w:lvl w:ilvl="0" w:tentative="0">
      <w:start w:val="1"/>
      <w:numFmt w:val="bullet"/>
      <w:lvlText w:val=""/>
      <w:lvlJc w:val="left"/>
      <w:pPr>
        <w:ind w:left="1469" w:hanging="420"/>
      </w:pPr>
      <w:rPr>
        <w:rFonts w:hint="default" w:ascii="Wingdings" w:hAnsi="Wingdings"/>
      </w:rPr>
    </w:lvl>
    <w:lvl w:ilvl="1" w:tentative="0">
      <w:start w:val="1"/>
      <w:numFmt w:val="bullet"/>
      <w:lvlText w:val=""/>
      <w:lvlJc w:val="left"/>
      <w:pPr>
        <w:ind w:left="1889" w:hanging="420"/>
      </w:pPr>
      <w:rPr>
        <w:rFonts w:hint="default" w:ascii="Wingdings" w:hAnsi="Wingdings"/>
      </w:rPr>
    </w:lvl>
    <w:lvl w:ilvl="2" w:tentative="0">
      <w:start w:val="1"/>
      <w:numFmt w:val="bullet"/>
      <w:lvlText w:val=""/>
      <w:lvlJc w:val="left"/>
      <w:pPr>
        <w:ind w:left="2309" w:hanging="420"/>
      </w:pPr>
      <w:rPr>
        <w:rFonts w:hint="default" w:ascii="Wingdings" w:hAnsi="Wingdings"/>
      </w:rPr>
    </w:lvl>
    <w:lvl w:ilvl="3" w:tentative="0">
      <w:start w:val="1"/>
      <w:numFmt w:val="bullet"/>
      <w:lvlText w:val=""/>
      <w:lvlJc w:val="left"/>
      <w:pPr>
        <w:ind w:left="2729" w:hanging="420"/>
      </w:pPr>
      <w:rPr>
        <w:rFonts w:hint="default" w:ascii="Wingdings" w:hAnsi="Wingdings"/>
      </w:rPr>
    </w:lvl>
    <w:lvl w:ilvl="4" w:tentative="0">
      <w:start w:val="1"/>
      <w:numFmt w:val="bullet"/>
      <w:lvlText w:val=""/>
      <w:lvlJc w:val="left"/>
      <w:pPr>
        <w:ind w:left="3149" w:hanging="420"/>
      </w:pPr>
      <w:rPr>
        <w:rFonts w:hint="default" w:ascii="Wingdings" w:hAnsi="Wingdings"/>
      </w:rPr>
    </w:lvl>
    <w:lvl w:ilvl="5" w:tentative="0">
      <w:start w:val="1"/>
      <w:numFmt w:val="bullet"/>
      <w:lvlText w:val=""/>
      <w:lvlJc w:val="left"/>
      <w:pPr>
        <w:ind w:left="3569" w:hanging="420"/>
      </w:pPr>
      <w:rPr>
        <w:rFonts w:hint="default" w:ascii="Wingdings" w:hAnsi="Wingdings"/>
      </w:rPr>
    </w:lvl>
    <w:lvl w:ilvl="6" w:tentative="0">
      <w:start w:val="1"/>
      <w:numFmt w:val="bullet"/>
      <w:lvlText w:val=""/>
      <w:lvlJc w:val="left"/>
      <w:pPr>
        <w:ind w:left="3989" w:hanging="420"/>
      </w:pPr>
      <w:rPr>
        <w:rFonts w:hint="default" w:ascii="Wingdings" w:hAnsi="Wingdings"/>
      </w:rPr>
    </w:lvl>
    <w:lvl w:ilvl="7" w:tentative="0">
      <w:start w:val="1"/>
      <w:numFmt w:val="bullet"/>
      <w:lvlText w:val=""/>
      <w:lvlJc w:val="left"/>
      <w:pPr>
        <w:ind w:left="4409" w:hanging="420"/>
      </w:pPr>
      <w:rPr>
        <w:rFonts w:hint="default" w:ascii="Wingdings" w:hAnsi="Wingdings"/>
      </w:rPr>
    </w:lvl>
    <w:lvl w:ilvl="8" w:tentative="0">
      <w:start w:val="1"/>
      <w:numFmt w:val="bullet"/>
      <w:lvlText w:val=""/>
      <w:lvlJc w:val="left"/>
      <w:pPr>
        <w:ind w:left="4829" w:hanging="420"/>
      </w:pPr>
      <w:rPr>
        <w:rFonts w:hint="default" w:ascii="Wingdings" w:hAnsi="Wingdings"/>
      </w:rPr>
    </w:lvl>
  </w:abstractNum>
  <w:abstractNum w:abstractNumId="4">
    <w:nsid w:val="02AC3AAA"/>
    <w:multiLevelType w:val="multilevel"/>
    <w:tmpl w:val="02AC3AAA"/>
    <w:lvl w:ilvl="0" w:tentative="0">
      <w:start w:val="1"/>
      <w:numFmt w:val="bullet"/>
      <w:lvlText w:val=""/>
      <w:lvlJc w:val="left"/>
      <w:pPr>
        <w:ind w:left="1130"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04F25640"/>
    <w:multiLevelType w:val="multilevel"/>
    <w:tmpl w:val="04F25640"/>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6">
    <w:nsid w:val="132C44D4"/>
    <w:multiLevelType w:val="multilevel"/>
    <w:tmpl w:val="132C44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2714F5E"/>
    <w:multiLevelType w:val="multilevel"/>
    <w:tmpl w:val="32714F5E"/>
    <w:lvl w:ilvl="0" w:tentative="0">
      <w:start w:val="1"/>
      <w:numFmt w:val="chineseCountingThousand"/>
      <w:pStyle w:val="22"/>
      <w:suff w:val="nothing"/>
      <w:lvlText w:val="第%1章"/>
      <w:lvlJc w:val="left"/>
      <w:pPr>
        <w:ind w:left="0" w:firstLine="0"/>
      </w:pPr>
      <w:rPr>
        <w:rFonts w:hint="eastAsia" w:ascii="仿宋_GB2312" w:eastAsia="仿宋_GB2312"/>
        <w:sz w:val="44"/>
      </w:rPr>
    </w:lvl>
    <w:lvl w:ilvl="1" w:tentative="0">
      <w:start w:val="1"/>
      <w:numFmt w:val="none"/>
      <w:pStyle w:val="264"/>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174"/>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8">
    <w:nsid w:val="3AA514B1"/>
    <w:multiLevelType w:val="multilevel"/>
    <w:tmpl w:val="3AA514B1"/>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9">
    <w:nsid w:val="5F3B1B10"/>
    <w:multiLevelType w:val="multilevel"/>
    <w:tmpl w:val="5F3B1B10"/>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0">
    <w:nsid w:val="7B5F3589"/>
    <w:multiLevelType w:val="multilevel"/>
    <w:tmpl w:val="7B5F35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1"/>
  </w:num>
  <w:num w:numId="3">
    <w:abstractNumId w:val="0"/>
  </w:num>
  <w:num w:numId="4">
    <w:abstractNumId w:val="2"/>
  </w:num>
  <w:num w:numId="5">
    <w:abstractNumId w:val="4"/>
  </w:num>
  <w:num w:numId="6">
    <w:abstractNumId w:val="9"/>
  </w:num>
  <w:num w:numId="7">
    <w:abstractNumId w:val="10"/>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0B"/>
    <w:rsid w:val="00001103"/>
    <w:rsid w:val="00001CEF"/>
    <w:rsid w:val="00003BCC"/>
    <w:rsid w:val="000041CD"/>
    <w:rsid w:val="0000448D"/>
    <w:rsid w:val="00004FA0"/>
    <w:rsid w:val="000057D3"/>
    <w:rsid w:val="00007676"/>
    <w:rsid w:val="00007C14"/>
    <w:rsid w:val="0001159B"/>
    <w:rsid w:val="0001185E"/>
    <w:rsid w:val="00011D44"/>
    <w:rsid w:val="00011E4F"/>
    <w:rsid w:val="00012156"/>
    <w:rsid w:val="00012923"/>
    <w:rsid w:val="00012EDE"/>
    <w:rsid w:val="00013134"/>
    <w:rsid w:val="000137E3"/>
    <w:rsid w:val="00014D7A"/>
    <w:rsid w:val="000154A1"/>
    <w:rsid w:val="00015597"/>
    <w:rsid w:val="0001588C"/>
    <w:rsid w:val="000160FF"/>
    <w:rsid w:val="00016322"/>
    <w:rsid w:val="0001676A"/>
    <w:rsid w:val="0001744D"/>
    <w:rsid w:val="00020D9D"/>
    <w:rsid w:val="000217F1"/>
    <w:rsid w:val="00023D6B"/>
    <w:rsid w:val="0002485E"/>
    <w:rsid w:val="000251C7"/>
    <w:rsid w:val="00025E63"/>
    <w:rsid w:val="00025F76"/>
    <w:rsid w:val="000264E4"/>
    <w:rsid w:val="0002747C"/>
    <w:rsid w:val="0002781E"/>
    <w:rsid w:val="00027FDD"/>
    <w:rsid w:val="00030A37"/>
    <w:rsid w:val="00031E01"/>
    <w:rsid w:val="00031E2E"/>
    <w:rsid w:val="000320FD"/>
    <w:rsid w:val="000329AC"/>
    <w:rsid w:val="00032B5C"/>
    <w:rsid w:val="000338D9"/>
    <w:rsid w:val="00033F11"/>
    <w:rsid w:val="000342B0"/>
    <w:rsid w:val="00034569"/>
    <w:rsid w:val="00035623"/>
    <w:rsid w:val="00035BE4"/>
    <w:rsid w:val="00035F12"/>
    <w:rsid w:val="000360C7"/>
    <w:rsid w:val="000361BA"/>
    <w:rsid w:val="00036783"/>
    <w:rsid w:val="000369E4"/>
    <w:rsid w:val="000370C7"/>
    <w:rsid w:val="000373A8"/>
    <w:rsid w:val="000374C2"/>
    <w:rsid w:val="00040B0A"/>
    <w:rsid w:val="00041153"/>
    <w:rsid w:val="00041909"/>
    <w:rsid w:val="00041B92"/>
    <w:rsid w:val="00041EB1"/>
    <w:rsid w:val="0004259B"/>
    <w:rsid w:val="00043276"/>
    <w:rsid w:val="000434CA"/>
    <w:rsid w:val="00044236"/>
    <w:rsid w:val="00044A76"/>
    <w:rsid w:val="0004507C"/>
    <w:rsid w:val="0004514B"/>
    <w:rsid w:val="000453B4"/>
    <w:rsid w:val="00045B3F"/>
    <w:rsid w:val="00046637"/>
    <w:rsid w:val="000469A6"/>
    <w:rsid w:val="00046A72"/>
    <w:rsid w:val="00046DCC"/>
    <w:rsid w:val="00046F76"/>
    <w:rsid w:val="00047042"/>
    <w:rsid w:val="00050AA7"/>
    <w:rsid w:val="000510B4"/>
    <w:rsid w:val="00051893"/>
    <w:rsid w:val="00051A62"/>
    <w:rsid w:val="00051E15"/>
    <w:rsid w:val="00052C78"/>
    <w:rsid w:val="00052D24"/>
    <w:rsid w:val="00052E5A"/>
    <w:rsid w:val="00054518"/>
    <w:rsid w:val="0005457B"/>
    <w:rsid w:val="000557DF"/>
    <w:rsid w:val="00055909"/>
    <w:rsid w:val="0005612D"/>
    <w:rsid w:val="000562F9"/>
    <w:rsid w:val="0005780D"/>
    <w:rsid w:val="00060247"/>
    <w:rsid w:val="000603E4"/>
    <w:rsid w:val="0006064B"/>
    <w:rsid w:val="00061B4D"/>
    <w:rsid w:val="00062B7F"/>
    <w:rsid w:val="000635DB"/>
    <w:rsid w:val="00063A96"/>
    <w:rsid w:val="00064562"/>
    <w:rsid w:val="00064A01"/>
    <w:rsid w:val="00064AD0"/>
    <w:rsid w:val="00065F94"/>
    <w:rsid w:val="000669DA"/>
    <w:rsid w:val="00067417"/>
    <w:rsid w:val="0006744F"/>
    <w:rsid w:val="0007127D"/>
    <w:rsid w:val="00072094"/>
    <w:rsid w:val="00072844"/>
    <w:rsid w:val="00072A57"/>
    <w:rsid w:val="00072B2E"/>
    <w:rsid w:val="00073349"/>
    <w:rsid w:val="000735F0"/>
    <w:rsid w:val="0007376D"/>
    <w:rsid w:val="00073A22"/>
    <w:rsid w:val="00076513"/>
    <w:rsid w:val="00076A70"/>
    <w:rsid w:val="00076D71"/>
    <w:rsid w:val="00077B84"/>
    <w:rsid w:val="00080EFA"/>
    <w:rsid w:val="0008155F"/>
    <w:rsid w:val="00081910"/>
    <w:rsid w:val="00082DB6"/>
    <w:rsid w:val="0008325D"/>
    <w:rsid w:val="00083560"/>
    <w:rsid w:val="00083CF4"/>
    <w:rsid w:val="0008414D"/>
    <w:rsid w:val="00084798"/>
    <w:rsid w:val="00084A24"/>
    <w:rsid w:val="00084A40"/>
    <w:rsid w:val="00085223"/>
    <w:rsid w:val="00085946"/>
    <w:rsid w:val="00085C04"/>
    <w:rsid w:val="00085E50"/>
    <w:rsid w:val="00086D97"/>
    <w:rsid w:val="00087745"/>
    <w:rsid w:val="00087921"/>
    <w:rsid w:val="000879A9"/>
    <w:rsid w:val="0009034C"/>
    <w:rsid w:val="00090A0B"/>
    <w:rsid w:val="000911A8"/>
    <w:rsid w:val="0009143B"/>
    <w:rsid w:val="0009169C"/>
    <w:rsid w:val="00091D2D"/>
    <w:rsid w:val="00091ECE"/>
    <w:rsid w:val="00092EF4"/>
    <w:rsid w:val="0009314A"/>
    <w:rsid w:val="00093631"/>
    <w:rsid w:val="000945F5"/>
    <w:rsid w:val="00094CFE"/>
    <w:rsid w:val="00095451"/>
    <w:rsid w:val="0009559F"/>
    <w:rsid w:val="00095E9E"/>
    <w:rsid w:val="00096D2A"/>
    <w:rsid w:val="00096FD6"/>
    <w:rsid w:val="000A0835"/>
    <w:rsid w:val="000A184F"/>
    <w:rsid w:val="000A200E"/>
    <w:rsid w:val="000A2891"/>
    <w:rsid w:val="000A2E8F"/>
    <w:rsid w:val="000A2FE7"/>
    <w:rsid w:val="000A31F7"/>
    <w:rsid w:val="000A36C1"/>
    <w:rsid w:val="000A379F"/>
    <w:rsid w:val="000A4071"/>
    <w:rsid w:val="000A463B"/>
    <w:rsid w:val="000A5131"/>
    <w:rsid w:val="000A57FA"/>
    <w:rsid w:val="000A5AE5"/>
    <w:rsid w:val="000A6260"/>
    <w:rsid w:val="000A68B1"/>
    <w:rsid w:val="000A6FE0"/>
    <w:rsid w:val="000A7126"/>
    <w:rsid w:val="000A73B6"/>
    <w:rsid w:val="000A7846"/>
    <w:rsid w:val="000A799B"/>
    <w:rsid w:val="000A7FC9"/>
    <w:rsid w:val="000B2477"/>
    <w:rsid w:val="000B24E7"/>
    <w:rsid w:val="000B289E"/>
    <w:rsid w:val="000B29FA"/>
    <w:rsid w:val="000B2A1D"/>
    <w:rsid w:val="000B2D82"/>
    <w:rsid w:val="000B37FB"/>
    <w:rsid w:val="000B39AD"/>
    <w:rsid w:val="000B4528"/>
    <w:rsid w:val="000B46FF"/>
    <w:rsid w:val="000B588D"/>
    <w:rsid w:val="000B59FA"/>
    <w:rsid w:val="000B6B89"/>
    <w:rsid w:val="000B7631"/>
    <w:rsid w:val="000B791F"/>
    <w:rsid w:val="000B7C88"/>
    <w:rsid w:val="000C03BB"/>
    <w:rsid w:val="000C0432"/>
    <w:rsid w:val="000C1088"/>
    <w:rsid w:val="000C1DC2"/>
    <w:rsid w:val="000C1DE9"/>
    <w:rsid w:val="000C26A5"/>
    <w:rsid w:val="000C29F7"/>
    <w:rsid w:val="000C3480"/>
    <w:rsid w:val="000C34C8"/>
    <w:rsid w:val="000C3AE3"/>
    <w:rsid w:val="000C4CD4"/>
    <w:rsid w:val="000C53EF"/>
    <w:rsid w:val="000C5C3D"/>
    <w:rsid w:val="000C647A"/>
    <w:rsid w:val="000C7979"/>
    <w:rsid w:val="000C7E7E"/>
    <w:rsid w:val="000D08B7"/>
    <w:rsid w:val="000D15C5"/>
    <w:rsid w:val="000D25F1"/>
    <w:rsid w:val="000D2820"/>
    <w:rsid w:val="000D2F6B"/>
    <w:rsid w:val="000D6568"/>
    <w:rsid w:val="000D6CB4"/>
    <w:rsid w:val="000E0BC2"/>
    <w:rsid w:val="000E0D0B"/>
    <w:rsid w:val="000E0F4F"/>
    <w:rsid w:val="000E1439"/>
    <w:rsid w:val="000E1A55"/>
    <w:rsid w:val="000E25C5"/>
    <w:rsid w:val="000E2A3B"/>
    <w:rsid w:val="000E36C4"/>
    <w:rsid w:val="000E390A"/>
    <w:rsid w:val="000E48D7"/>
    <w:rsid w:val="000E4EC8"/>
    <w:rsid w:val="000E56F1"/>
    <w:rsid w:val="000E5A7E"/>
    <w:rsid w:val="000E65AD"/>
    <w:rsid w:val="000E661D"/>
    <w:rsid w:val="000F083F"/>
    <w:rsid w:val="000F159C"/>
    <w:rsid w:val="000F2D5E"/>
    <w:rsid w:val="000F2F92"/>
    <w:rsid w:val="000F3867"/>
    <w:rsid w:val="000F4857"/>
    <w:rsid w:val="000F4FB7"/>
    <w:rsid w:val="000F5FCE"/>
    <w:rsid w:val="000F6E48"/>
    <w:rsid w:val="000F7CF8"/>
    <w:rsid w:val="000F7EF1"/>
    <w:rsid w:val="0010061F"/>
    <w:rsid w:val="0010162B"/>
    <w:rsid w:val="00101871"/>
    <w:rsid w:val="001037A7"/>
    <w:rsid w:val="00103EF0"/>
    <w:rsid w:val="00104578"/>
    <w:rsid w:val="00104810"/>
    <w:rsid w:val="00104E6C"/>
    <w:rsid w:val="00105A65"/>
    <w:rsid w:val="00105E2B"/>
    <w:rsid w:val="00105FF7"/>
    <w:rsid w:val="00106136"/>
    <w:rsid w:val="001061CD"/>
    <w:rsid w:val="00106482"/>
    <w:rsid w:val="001069C4"/>
    <w:rsid w:val="001072C0"/>
    <w:rsid w:val="00107E41"/>
    <w:rsid w:val="00110648"/>
    <w:rsid w:val="00112A8E"/>
    <w:rsid w:val="00112ACB"/>
    <w:rsid w:val="0011327D"/>
    <w:rsid w:val="001139D7"/>
    <w:rsid w:val="00113A5A"/>
    <w:rsid w:val="00114448"/>
    <w:rsid w:val="00114551"/>
    <w:rsid w:val="00114B05"/>
    <w:rsid w:val="00114CC1"/>
    <w:rsid w:val="00115158"/>
    <w:rsid w:val="001161DE"/>
    <w:rsid w:val="001168A4"/>
    <w:rsid w:val="00116EAE"/>
    <w:rsid w:val="00121019"/>
    <w:rsid w:val="001210F5"/>
    <w:rsid w:val="001211AF"/>
    <w:rsid w:val="00121235"/>
    <w:rsid w:val="00122568"/>
    <w:rsid w:val="001228AE"/>
    <w:rsid w:val="00122AD9"/>
    <w:rsid w:val="00122B6B"/>
    <w:rsid w:val="00122DA0"/>
    <w:rsid w:val="00122DBF"/>
    <w:rsid w:val="00123DC8"/>
    <w:rsid w:val="001242CF"/>
    <w:rsid w:val="001244DD"/>
    <w:rsid w:val="00125DC2"/>
    <w:rsid w:val="00125DE5"/>
    <w:rsid w:val="0012607C"/>
    <w:rsid w:val="00126700"/>
    <w:rsid w:val="0012694E"/>
    <w:rsid w:val="00127F9F"/>
    <w:rsid w:val="00130AB1"/>
    <w:rsid w:val="00130E1F"/>
    <w:rsid w:val="00131CA7"/>
    <w:rsid w:val="001321D1"/>
    <w:rsid w:val="001330B8"/>
    <w:rsid w:val="001332F1"/>
    <w:rsid w:val="001333D3"/>
    <w:rsid w:val="00133740"/>
    <w:rsid w:val="001341AB"/>
    <w:rsid w:val="001344CB"/>
    <w:rsid w:val="001359F3"/>
    <w:rsid w:val="00135C89"/>
    <w:rsid w:val="00136BDF"/>
    <w:rsid w:val="00137768"/>
    <w:rsid w:val="00137A79"/>
    <w:rsid w:val="001408E6"/>
    <w:rsid w:val="001409BF"/>
    <w:rsid w:val="00140BB0"/>
    <w:rsid w:val="00140D68"/>
    <w:rsid w:val="00141F06"/>
    <w:rsid w:val="001425F4"/>
    <w:rsid w:val="001426AF"/>
    <w:rsid w:val="00142911"/>
    <w:rsid w:val="00142DC9"/>
    <w:rsid w:val="00142FC8"/>
    <w:rsid w:val="00143EEB"/>
    <w:rsid w:val="001444B5"/>
    <w:rsid w:val="00146CCD"/>
    <w:rsid w:val="00146D58"/>
    <w:rsid w:val="001472DF"/>
    <w:rsid w:val="00147B9D"/>
    <w:rsid w:val="00147CDA"/>
    <w:rsid w:val="00150A96"/>
    <w:rsid w:val="00150BCD"/>
    <w:rsid w:val="00150EF2"/>
    <w:rsid w:val="00151103"/>
    <w:rsid w:val="0015117F"/>
    <w:rsid w:val="00151E8A"/>
    <w:rsid w:val="001520B5"/>
    <w:rsid w:val="0015291B"/>
    <w:rsid w:val="00152AD5"/>
    <w:rsid w:val="0015361D"/>
    <w:rsid w:val="001546F6"/>
    <w:rsid w:val="0015580F"/>
    <w:rsid w:val="001565FC"/>
    <w:rsid w:val="00156C12"/>
    <w:rsid w:val="00156F0E"/>
    <w:rsid w:val="001579D3"/>
    <w:rsid w:val="001579E2"/>
    <w:rsid w:val="00157C52"/>
    <w:rsid w:val="00157C6A"/>
    <w:rsid w:val="0016006C"/>
    <w:rsid w:val="0016054D"/>
    <w:rsid w:val="00161119"/>
    <w:rsid w:val="00161137"/>
    <w:rsid w:val="001615D8"/>
    <w:rsid w:val="001618EE"/>
    <w:rsid w:val="00161E1B"/>
    <w:rsid w:val="00161EBC"/>
    <w:rsid w:val="00163463"/>
    <w:rsid w:val="00164C75"/>
    <w:rsid w:val="00165AA8"/>
    <w:rsid w:val="00165D31"/>
    <w:rsid w:val="00165D59"/>
    <w:rsid w:val="0016697D"/>
    <w:rsid w:val="00166C42"/>
    <w:rsid w:val="00166D6D"/>
    <w:rsid w:val="00167DC7"/>
    <w:rsid w:val="00167ED6"/>
    <w:rsid w:val="0017117B"/>
    <w:rsid w:val="0017137C"/>
    <w:rsid w:val="00171448"/>
    <w:rsid w:val="0017157B"/>
    <w:rsid w:val="00171640"/>
    <w:rsid w:val="0017184C"/>
    <w:rsid w:val="00172715"/>
    <w:rsid w:val="00172A27"/>
    <w:rsid w:val="00172C46"/>
    <w:rsid w:val="001739C9"/>
    <w:rsid w:val="00173B28"/>
    <w:rsid w:val="00174226"/>
    <w:rsid w:val="00174CBA"/>
    <w:rsid w:val="00174DEC"/>
    <w:rsid w:val="00175030"/>
    <w:rsid w:val="00175260"/>
    <w:rsid w:val="00175F15"/>
    <w:rsid w:val="00176496"/>
    <w:rsid w:val="00176A9A"/>
    <w:rsid w:val="0017732B"/>
    <w:rsid w:val="0017765A"/>
    <w:rsid w:val="001776B7"/>
    <w:rsid w:val="001776E2"/>
    <w:rsid w:val="001778B8"/>
    <w:rsid w:val="00177992"/>
    <w:rsid w:val="00180BCB"/>
    <w:rsid w:val="001810D3"/>
    <w:rsid w:val="0018168F"/>
    <w:rsid w:val="00182434"/>
    <w:rsid w:val="001824B7"/>
    <w:rsid w:val="0018387A"/>
    <w:rsid w:val="00185C56"/>
    <w:rsid w:val="00186116"/>
    <w:rsid w:val="00186CE7"/>
    <w:rsid w:val="00186EC6"/>
    <w:rsid w:val="001870AD"/>
    <w:rsid w:val="00187A52"/>
    <w:rsid w:val="001909A7"/>
    <w:rsid w:val="00190BD1"/>
    <w:rsid w:val="00190F6E"/>
    <w:rsid w:val="0019119F"/>
    <w:rsid w:val="00192E25"/>
    <w:rsid w:val="0019354D"/>
    <w:rsid w:val="0019394D"/>
    <w:rsid w:val="00193A79"/>
    <w:rsid w:val="00194AAC"/>
    <w:rsid w:val="001966FB"/>
    <w:rsid w:val="00196D59"/>
    <w:rsid w:val="00196E9F"/>
    <w:rsid w:val="001A02EE"/>
    <w:rsid w:val="001A0566"/>
    <w:rsid w:val="001A08CB"/>
    <w:rsid w:val="001A0E20"/>
    <w:rsid w:val="001A1571"/>
    <w:rsid w:val="001A1CB2"/>
    <w:rsid w:val="001A1DC6"/>
    <w:rsid w:val="001A3AA4"/>
    <w:rsid w:val="001A3C2E"/>
    <w:rsid w:val="001A3E3B"/>
    <w:rsid w:val="001A410B"/>
    <w:rsid w:val="001A4EFA"/>
    <w:rsid w:val="001A5738"/>
    <w:rsid w:val="001A607F"/>
    <w:rsid w:val="001A62B8"/>
    <w:rsid w:val="001A6340"/>
    <w:rsid w:val="001A6433"/>
    <w:rsid w:val="001A6A26"/>
    <w:rsid w:val="001A7335"/>
    <w:rsid w:val="001A7664"/>
    <w:rsid w:val="001B007C"/>
    <w:rsid w:val="001B02F9"/>
    <w:rsid w:val="001B0580"/>
    <w:rsid w:val="001B1D26"/>
    <w:rsid w:val="001B21A3"/>
    <w:rsid w:val="001B27C8"/>
    <w:rsid w:val="001B310C"/>
    <w:rsid w:val="001B374D"/>
    <w:rsid w:val="001B37CE"/>
    <w:rsid w:val="001B3A20"/>
    <w:rsid w:val="001B3CFD"/>
    <w:rsid w:val="001B42D5"/>
    <w:rsid w:val="001B4405"/>
    <w:rsid w:val="001B4CA6"/>
    <w:rsid w:val="001B6219"/>
    <w:rsid w:val="001B6612"/>
    <w:rsid w:val="001B664B"/>
    <w:rsid w:val="001B67C4"/>
    <w:rsid w:val="001B6973"/>
    <w:rsid w:val="001B6E1A"/>
    <w:rsid w:val="001C129E"/>
    <w:rsid w:val="001C1E67"/>
    <w:rsid w:val="001C20E5"/>
    <w:rsid w:val="001C2D70"/>
    <w:rsid w:val="001C304A"/>
    <w:rsid w:val="001C5433"/>
    <w:rsid w:val="001C5610"/>
    <w:rsid w:val="001C5D3E"/>
    <w:rsid w:val="001C6E8C"/>
    <w:rsid w:val="001C7FBE"/>
    <w:rsid w:val="001D03C3"/>
    <w:rsid w:val="001D0A56"/>
    <w:rsid w:val="001D0C2E"/>
    <w:rsid w:val="001D0F55"/>
    <w:rsid w:val="001D15D0"/>
    <w:rsid w:val="001D1770"/>
    <w:rsid w:val="001D1A44"/>
    <w:rsid w:val="001D1C83"/>
    <w:rsid w:val="001D1D09"/>
    <w:rsid w:val="001D2008"/>
    <w:rsid w:val="001D2473"/>
    <w:rsid w:val="001D27E7"/>
    <w:rsid w:val="001D2EFB"/>
    <w:rsid w:val="001D2F0F"/>
    <w:rsid w:val="001D31D4"/>
    <w:rsid w:val="001D49D8"/>
    <w:rsid w:val="001D4A15"/>
    <w:rsid w:val="001D4F81"/>
    <w:rsid w:val="001D59E5"/>
    <w:rsid w:val="001D612A"/>
    <w:rsid w:val="001D62B0"/>
    <w:rsid w:val="001D651A"/>
    <w:rsid w:val="001D7560"/>
    <w:rsid w:val="001D7D3A"/>
    <w:rsid w:val="001E03DC"/>
    <w:rsid w:val="001E0ACF"/>
    <w:rsid w:val="001E0D6B"/>
    <w:rsid w:val="001E116F"/>
    <w:rsid w:val="001E14F8"/>
    <w:rsid w:val="001E22AC"/>
    <w:rsid w:val="001E2811"/>
    <w:rsid w:val="001E3EC1"/>
    <w:rsid w:val="001E4259"/>
    <w:rsid w:val="001E42BA"/>
    <w:rsid w:val="001E4EFD"/>
    <w:rsid w:val="001E58B9"/>
    <w:rsid w:val="001E58C8"/>
    <w:rsid w:val="001E5CD2"/>
    <w:rsid w:val="001E6F74"/>
    <w:rsid w:val="001F075C"/>
    <w:rsid w:val="001F0ABA"/>
    <w:rsid w:val="001F168B"/>
    <w:rsid w:val="001F18F6"/>
    <w:rsid w:val="001F298C"/>
    <w:rsid w:val="001F2DCA"/>
    <w:rsid w:val="001F473B"/>
    <w:rsid w:val="001F4A2F"/>
    <w:rsid w:val="001F4A33"/>
    <w:rsid w:val="001F509D"/>
    <w:rsid w:val="001F5481"/>
    <w:rsid w:val="001F6490"/>
    <w:rsid w:val="001F6DF5"/>
    <w:rsid w:val="001F7407"/>
    <w:rsid w:val="002005AB"/>
    <w:rsid w:val="002011A3"/>
    <w:rsid w:val="002014EA"/>
    <w:rsid w:val="0020248B"/>
    <w:rsid w:val="00202588"/>
    <w:rsid w:val="00202C20"/>
    <w:rsid w:val="00203C56"/>
    <w:rsid w:val="00203ED0"/>
    <w:rsid w:val="0020495C"/>
    <w:rsid w:val="00204AE3"/>
    <w:rsid w:val="00204B5E"/>
    <w:rsid w:val="002050ED"/>
    <w:rsid w:val="0020560B"/>
    <w:rsid w:val="00206047"/>
    <w:rsid w:val="00206381"/>
    <w:rsid w:val="00207340"/>
    <w:rsid w:val="002076D4"/>
    <w:rsid w:val="00207D35"/>
    <w:rsid w:val="00207F02"/>
    <w:rsid w:val="00210179"/>
    <w:rsid w:val="00210494"/>
    <w:rsid w:val="0021069F"/>
    <w:rsid w:val="00210B87"/>
    <w:rsid w:val="00211066"/>
    <w:rsid w:val="00211350"/>
    <w:rsid w:val="00211630"/>
    <w:rsid w:val="00211809"/>
    <w:rsid w:val="00211DB7"/>
    <w:rsid w:val="0021374C"/>
    <w:rsid w:val="00214167"/>
    <w:rsid w:val="00214BCB"/>
    <w:rsid w:val="00216352"/>
    <w:rsid w:val="00216955"/>
    <w:rsid w:val="00217286"/>
    <w:rsid w:val="00217305"/>
    <w:rsid w:val="0022061F"/>
    <w:rsid w:val="0022070C"/>
    <w:rsid w:val="002209C1"/>
    <w:rsid w:val="00220A7D"/>
    <w:rsid w:val="002214AE"/>
    <w:rsid w:val="00221694"/>
    <w:rsid w:val="00222CD1"/>
    <w:rsid w:val="00222F16"/>
    <w:rsid w:val="00223142"/>
    <w:rsid w:val="00223217"/>
    <w:rsid w:val="002234EA"/>
    <w:rsid w:val="0022350F"/>
    <w:rsid w:val="00223519"/>
    <w:rsid w:val="00223B6A"/>
    <w:rsid w:val="00223CB1"/>
    <w:rsid w:val="00223FCF"/>
    <w:rsid w:val="002242A4"/>
    <w:rsid w:val="002247CE"/>
    <w:rsid w:val="0022590F"/>
    <w:rsid w:val="00227094"/>
    <w:rsid w:val="0022724C"/>
    <w:rsid w:val="002272C2"/>
    <w:rsid w:val="0022799F"/>
    <w:rsid w:val="0023007F"/>
    <w:rsid w:val="00230740"/>
    <w:rsid w:val="00230944"/>
    <w:rsid w:val="00230B52"/>
    <w:rsid w:val="00230E2A"/>
    <w:rsid w:val="002321D7"/>
    <w:rsid w:val="00232346"/>
    <w:rsid w:val="00232AF0"/>
    <w:rsid w:val="00233955"/>
    <w:rsid w:val="00234202"/>
    <w:rsid w:val="00234889"/>
    <w:rsid w:val="00234EF9"/>
    <w:rsid w:val="00234F61"/>
    <w:rsid w:val="00235F4B"/>
    <w:rsid w:val="00236858"/>
    <w:rsid w:val="00236B96"/>
    <w:rsid w:val="0023708C"/>
    <w:rsid w:val="0023716F"/>
    <w:rsid w:val="00237DB2"/>
    <w:rsid w:val="00237EDE"/>
    <w:rsid w:val="00237FE6"/>
    <w:rsid w:val="002407D5"/>
    <w:rsid w:val="00241142"/>
    <w:rsid w:val="0024193D"/>
    <w:rsid w:val="00241C60"/>
    <w:rsid w:val="0024307A"/>
    <w:rsid w:val="002440A8"/>
    <w:rsid w:val="00245065"/>
    <w:rsid w:val="002456FC"/>
    <w:rsid w:val="002459D4"/>
    <w:rsid w:val="00245EBC"/>
    <w:rsid w:val="002462EF"/>
    <w:rsid w:val="0024664A"/>
    <w:rsid w:val="00246911"/>
    <w:rsid w:val="00247F5E"/>
    <w:rsid w:val="002509A7"/>
    <w:rsid w:val="00250EBF"/>
    <w:rsid w:val="00252183"/>
    <w:rsid w:val="00252548"/>
    <w:rsid w:val="00252722"/>
    <w:rsid w:val="00252A6F"/>
    <w:rsid w:val="00252B2B"/>
    <w:rsid w:val="002532AE"/>
    <w:rsid w:val="002532F3"/>
    <w:rsid w:val="00253E7D"/>
    <w:rsid w:val="00254048"/>
    <w:rsid w:val="002546F0"/>
    <w:rsid w:val="0025475A"/>
    <w:rsid w:val="00254843"/>
    <w:rsid w:val="0025489F"/>
    <w:rsid w:val="00254A14"/>
    <w:rsid w:val="00254EC5"/>
    <w:rsid w:val="0025527A"/>
    <w:rsid w:val="00256FE8"/>
    <w:rsid w:val="002603E3"/>
    <w:rsid w:val="002608AB"/>
    <w:rsid w:val="00260E14"/>
    <w:rsid w:val="00261231"/>
    <w:rsid w:val="002615E0"/>
    <w:rsid w:val="00261DE6"/>
    <w:rsid w:val="00261E95"/>
    <w:rsid w:val="00262069"/>
    <w:rsid w:val="00262186"/>
    <w:rsid w:val="00262697"/>
    <w:rsid w:val="0026300B"/>
    <w:rsid w:val="002643E3"/>
    <w:rsid w:val="002647AA"/>
    <w:rsid w:val="00264C13"/>
    <w:rsid w:val="0026521F"/>
    <w:rsid w:val="00265677"/>
    <w:rsid w:val="00265CD6"/>
    <w:rsid w:val="00266382"/>
    <w:rsid w:val="00266F3D"/>
    <w:rsid w:val="002679B9"/>
    <w:rsid w:val="00270B0F"/>
    <w:rsid w:val="00270CAF"/>
    <w:rsid w:val="00270F21"/>
    <w:rsid w:val="00272D20"/>
    <w:rsid w:val="00273A8A"/>
    <w:rsid w:val="00273DC6"/>
    <w:rsid w:val="00273F8F"/>
    <w:rsid w:val="00274256"/>
    <w:rsid w:val="002744F4"/>
    <w:rsid w:val="0027467C"/>
    <w:rsid w:val="00274CDE"/>
    <w:rsid w:val="002759A7"/>
    <w:rsid w:val="00276A2B"/>
    <w:rsid w:val="00276FC0"/>
    <w:rsid w:val="00277484"/>
    <w:rsid w:val="00277668"/>
    <w:rsid w:val="0027785F"/>
    <w:rsid w:val="0028054B"/>
    <w:rsid w:val="00280A1D"/>
    <w:rsid w:val="00280FAD"/>
    <w:rsid w:val="002813AF"/>
    <w:rsid w:val="002814B7"/>
    <w:rsid w:val="00281519"/>
    <w:rsid w:val="00281648"/>
    <w:rsid w:val="002819D9"/>
    <w:rsid w:val="00281F74"/>
    <w:rsid w:val="00282597"/>
    <w:rsid w:val="00282F58"/>
    <w:rsid w:val="0028309B"/>
    <w:rsid w:val="0028432B"/>
    <w:rsid w:val="00284D88"/>
    <w:rsid w:val="00284F0F"/>
    <w:rsid w:val="00286289"/>
    <w:rsid w:val="002863D6"/>
    <w:rsid w:val="0028697B"/>
    <w:rsid w:val="002876CD"/>
    <w:rsid w:val="00287A02"/>
    <w:rsid w:val="00290AC0"/>
    <w:rsid w:val="00290D4C"/>
    <w:rsid w:val="00291BCD"/>
    <w:rsid w:val="00291D50"/>
    <w:rsid w:val="00291F9F"/>
    <w:rsid w:val="00292328"/>
    <w:rsid w:val="002928B5"/>
    <w:rsid w:val="002933F7"/>
    <w:rsid w:val="002934E7"/>
    <w:rsid w:val="0029362A"/>
    <w:rsid w:val="002938C1"/>
    <w:rsid w:val="002939E7"/>
    <w:rsid w:val="0029424D"/>
    <w:rsid w:val="002943C5"/>
    <w:rsid w:val="0029463C"/>
    <w:rsid w:val="00294C1E"/>
    <w:rsid w:val="00294F53"/>
    <w:rsid w:val="002954AA"/>
    <w:rsid w:val="00295999"/>
    <w:rsid w:val="00295A1F"/>
    <w:rsid w:val="00295C56"/>
    <w:rsid w:val="00295CE1"/>
    <w:rsid w:val="00295FAF"/>
    <w:rsid w:val="00296E87"/>
    <w:rsid w:val="0029703A"/>
    <w:rsid w:val="00297A91"/>
    <w:rsid w:val="00297D4E"/>
    <w:rsid w:val="002A0F09"/>
    <w:rsid w:val="002A1C11"/>
    <w:rsid w:val="002A1D28"/>
    <w:rsid w:val="002A1DB5"/>
    <w:rsid w:val="002A22FE"/>
    <w:rsid w:val="002A26FE"/>
    <w:rsid w:val="002A279A"/>
    <w:rsid w:val="002A3991"/>
    <w:rsid w:val="002A3F22"/>
    <w:rsid w:val="002A41BA"/>
    <w:rsid w:val="002A41DE"/>
    <w:rsid w:val="002A4361"/>
    <w:rsid w:val="002A46D5"/>
    <w:rsid w:val="002A4B4F"/>
    <w:rsid w:val="002A4D61"/>
    <w:rsid w:val="002A4DBF"/>
    <w:rsid w:val="002A4FBD"/>
    <w:rsid w:val="002A5CE0"/>
    <w:rsid w:val="002A5D66"/>
    <w:rsid w:val="002A69ED"/>
    <w:rsid w:val="002A7506"/>
    <w:rsid w:val="002A7AE1"/>
    <w:rsid w:val="002B080B"/>
    <w:rsid w:val="002B0B0C"/>
    <w:rsid w:val="002B0EDE"/>
    <w:rsid w:val="002B17F9"/>
    <w:rsid w:val="002B1952"/>
    <w:rsid w:val="002B1ACF"/>
    <w:rsid w:val="002B23C8"/>
    <w:rsid w:val="002B258F"/>
    <w:rsid w:val="002B263B"/>
    <w:rsid w:val="002B29EE"/>
    <w:rsid w:val="002B2AD5"/>
    <w:rsid w:val="002B3CEE"/>
    <w:rsid w:val="002B43AF"/>
    <w:rsid w:val="002B4C3E"/>
    <w:rsid w:val="002B5803"/>
    <w:rsid w:val="002B5852"/>
    <w:rsid w:val="002B5875"/>
    <w:rsid w:val="002B5E80"/>
    <w:rsid w:val="002B5EA1"/>
    <w:rsid w:val="002B5F1B"/>
    <w:rsid w:val="002B60AE"/>
    <w:rsid w:val="002B60B3"/>
    <w:rsid w:val="002B7118"/>
    <w:rsid w:val="002C0443"/>
    <w:rsid w:val="002C198D"/>
    <w:rsid w:val="002C1DB2"/>
    <w:rsid w:val="002C1FFE"/>
    <w:rsid w:val="002C2749"/>
    <w:rsid w:val="002C3136"/>
    <w:rsid w:val="002C31A9"/>
    <w:rsid w:val="002C37DD"/>
    <w:rsid w:val="002C431E"/>
    <w:rsid w:val="002C43A6"/>
    <w:rsid w:val="002C4D89"/>
    <w:rsid w:val="002C6C14"/>
    <w:rsid w:val="002C77D2"/>
    <w:rsid w:val="002D12A3"/>
    <w:rsid w:val="002D1D54"/>
    <w:rsid w:val="002D2287"/>
    <w:rsid w:val="002D2E72"/>
    <w:rsid w:val="002D423B"/>
    <w:rsid w:val="002D4D3B"/>
    <w:rsid w:val="002D510A"/>
    <w:rsid w:val="002D6089"/>
    <w:rsid w:val="002D60F8"/>
    <w:rsid w:val="002D68EC"/>
    <w:rsid w:val="002D6B82"/>
    <w:rsid w:val="002D6BF2"/>
    <w:rsid w:val="002D7200"/>
    <w:rsid w:val="002D7A6A"/>
    <w:rsid w:val="002E038E"/>
    <w:rsid w:val="002E0DA8"/>
    <w:rsid w:val="002E0FF5"/>
    <w:rsid w:val="002E164C"/>
    <w:rsid w:val="002E1B2F"/>
    <w:rsid w:val="002E1BF4"/>
    <w:rsid w:val="002E1E78"/>
    <w:rsid w:val="002E20A7"/>
    <w:rsid w:val="002E230C"/>
    <w:rsid w:val="002E2376"/>
    <w:rsid w:val="002E2938"/>
    <w:rsid w:val="002E2CE3"/>
    <w:rsid w:val="002E2F9C"/>
    <w:rsid w:val="002E30E7"/>
    <w:rsid w:val="002E32FF"/>
    <w:rsid w:val="002E33F9"/>
    <w:rsid w:val="002E3B32"/>
    <w:rsid w:val="002E458D"/>
    <w:rsid w:val="002E46FA"/>
    <w:rsid w:val="002E4AA0"/>
    <w:rsid w:val="002E5C7D"/>
    <w:rsid w:val="002E6DDC"/>
    <w:rsid w:val="002E79A7"/>
    <w:rsid w:val="002F0348"/>
    <w:rsid w:val="002F0785"/>
    <w:rsid w:val="002F1038"/>
    <w:rsid w:val="002F128D"/>
    <w:rsid w:val="002F18DE"/>
    <w:rsid w:val="002F1AFA"/>
    <w:rsid w:val="002F22E8"/>
    <w:rsid w:val="002F3E8B"/>
    <w:rsid w:val="002F41F9"/>
    <w:rsid w:val="002F4760"/>
    <w:rsid w:val="002F4995"/>
    <w:rsid w:val="002F4AAF"/>
    <w:rsid w:val="002F5370"/>
    <w:rsid w:val="002F5E30"/>
    <w:rsid w:val="002F65F5"/>
    <w:rsid w:val="002F6801"/>
    <w:rsid w:val="002F68AA"/>
    <w:rsid w:val="00301728"/>
    <w:rsid w:val="00301BC3"/>
    <w:rsid w:val="003021D9"/>
    <w:rsid w:val="00302EAA"/>
    <w:rsid w:val="00303713"/>
    <w:rsid w:val="003045D7"/>
    <w:rsid w:val="00304BF7"/>
    <w:rsid w:val="003055F5"/>
    <w:rsid w:val="00306957"/>
    <w:rsid w:val="00306A44"/>
    <w:rsid w:val="00306C7A"/>
    <w:rsid w:val="00306ED3"/>
    <w:rsid w:val="0030735F"/>
    <w:rsid w:val="00307B4D"/>
    <w:rsid w:val="00307D0E"/>
    <w:rsid w:val="00311884"/>
    <w:rsid w:val="00313BE4"/>
    <w:rsid w:val="0031438B"/>
    <w:rsid w:val="00315356"/>
    <w:rsid w:val="00315C20"/>
    <w:rsid w:val="003161F2"/>
    <w:rsid w:val="00316EE8"/>
    <w:rsid w:val="00317024"/>
    <w:rsid w:val="00317127"/>
    <w:rsid w:val="00317B75"/>
    <w:rsid w:val="00317E4C"/>
    <w:rsid w:val="003201F8"/>
    <w:rsid w:val="003206DE"/>
    <w:rsid w:val="003209A2"/>
    <w:rsid w:val="003209B7"/>
    <w:rsid w:val="00320A11"/>
    <w:rsid w:val="003233DC"/>
    <w:rsid w:val="00323BC1"/>
    <w:rsid w:val="00323F94"/>
    <w:rsid w:val="00325958"/>
    <w:rsid w:val="00326983"/>
    <w:rsid w:val="00326CF8"/>
    <w:rsid w:val="0032763C"/>
    <w:rsid w:val="00327D65"/>
    <w:rsid w:val="00330820"/>
    <w:rsid w:val="003310BA"/>
    <w:rsid w:val="00331202"/>
    <w:rsid w:val="00332541"/>
    <w:rsid w:val="00332A2C"/>
    <w:rsid w:val="003331E8"/>
    <w:rsid w:val="00333532"/>
    <w:rsid w:val="003343B1"/>
    <w:rsid w:val="00334867"/>
    <w:rsid w:val="003355B9"/>
    <w:rsid w:val="00336780"/>
    <w:rsid w:val="00336CC4"/>
    <w:rsid w:val="00336E94"/>
    <w:rsid w:val="00337A5E"/>
    <w:rsid w:val="0034044A"/>
    <w:rsid w:val="003411F0"/>
    <w:rsid w:val="00341435"/>
    <w:rsid w:val="003422CF"/>
    <w:rsid w:val="003425AC"/>
    <w:rsid w:val="00342E85"/>
    <w:rsid w:val="0034327C"/>
    <w:rsid w:val="00343D1D"/>
    <w:rsid w:val="003445B1"/>
    <w:rsid w:val="00344A19"/>
    <w:rsid w:val="0034505F"/>
    <w:rsid w:val="00345F80"/>
    <w:rsid w:val="0034673D"/>
    <w:rsid w:val="00346A85"/>
    <w:rsid w:val="00346E8A"/>
    <w:rsid w:val="0034710F"/>
    <w:rsid w:val="00347139"/>
    <w:rsid w:val="003473A8"/>
    <w:rsid w:val="0034755B"/>
    <w:rsid w:val="00347CEB"/>
    <w:rsid w:val="00350625"/>
    <w:rsid w:val="00350AE3"/>
    <w:rsid w:val="00351164"/>
    <w:rsid w:val="0035128D"/>
    <w:rsid w:val="00351528"/>
    <w:rsid w:val="0035152A"/>
    <w:rsid w:val="0035159B"/>
    <w:rsid w:val="003523FF"/>
    <w:rsid w:val="00352434"/>
    <w:rsid w:val="003526EB"/>
    <w:rsid w:val="00352D69"/>
    <w:rsid w:val="00353350"/>
    <w:rsid w:val="00353F96"/>
    <w:rsid w:val="003542BC"/>
    <w:rsid w:val="0035460F"/>
    <w:rsid w:val="0035546A"/>
    <w:rsid w:val="0035581F"/>
    <w:rsid w:val="0035583E"/>
    <w:rsid w:val="00355DA5"/>
    <w:rsid w:val="00356020"/>
    <w:rsid w:val="00356A86"/>
    <w:rsid w:val="00356D1D"/>
    <w:rsid w:val="00356F53"/>
    <w:rsid w:val="0035723B"/>
    <w:rsid w:val="00357A58"/>
    <w:rsid w:val="00357CB5"/>
    <w:rsid w:val="0036025D"/>
    <w:rsid w:val="00361560"/>
    <w:rsid w:val="00361796"/>
    <w:rsid w:val="00361EFC"/>
    <w:rsid w:val="00361F1B"/>
    <w:rsid w:val="00363E2F"/>
    <w:rsid w:val="0036498F"/>
    <w:rsid w:val="00366156"/>
    <w:rsid w:val="00366197"/>
    <w:rsid w:val="00370BA3"/>
    <w:rsid w:val="00370E4F"/>
    <w:rsid w:val="003710F8"/>
    <w:rsid w:val="00371704"/>
    <w:rsid w:val="00371BD2"/>
    <w:rsid w:val="00371CFA"/>
    <w:rsid w:val="00372074"/>
    <w:rsid w:val="00372CFE"/>
    <w:rsid w:val="00372DBE"/>
    <w:rsid w:val="003740DA"/>
    <w:rsid w:val="003747BE"/>
    <w:rsid w:val="00374889"/>
    <w:rsid w:val="00374A4B"/>
    <w:rsid w:val="00374C25"/>
    <w:rsid w:val="00375315"/>
    <w:rsid w:val="00375F65"/>
    <w:rsid w:val="0037634E"/>
    <w:rsid w:val="003764E8"/>
    <w:rsid w:val="003769C4"/>
    <w:rsid w:val="00376D73"/>
    <w:rsid w:val="003774C8"/>
    <w:rsid w:val="00377535"/>
    <w:rsid w:val="003809CD"/>
    <w:rsid w:val="003810FD"/>
    <w:rsid w:val="00381B6D"/>
    <w:rsid w:val="00381D60"/>
    <w:rsid w:val="00382134"/>
    <w:rsid w:val="00382AFE"/>
    <w:rsid w:val="00382CE7"/>
    <w:rsid w:val="00382E53"/>
    <w:rsid w:val="0038334B"/>
    <w:rsid w:val="00385190"/>
    <w:rsid w:val="003852E7"/>
    <w:rsid w:val="003854DF"/>
    <w:rsid w:val="003855C3"/>
    <w:rsid w:val="00385612"/>
    <w:rsid w:val="00386F35"/>
    <w:rsid w:val="0039014D"/>
    <w:rsid w:val="003904A8"/>
    <w:rsid w:val="00390570"/>
    <w:rsid w:val="00390AAE"/>
    <w:rsid w:val="00391D80"/>
    <w:rsid w:val="00392393"/>
    <w:rsid w:val="00392861"/>
    <w:rsid w:val="003935ED"/>
    <w:rsid w:val="0039379F"/>
    <w:rsid w:val="00393DCA"/>
    <w:rsid w:val="00393F21"/>
    <w:rsid w:val="00393FBE"/>
    <w:rsid w:val="003944A1"/>
    <w:rsid w:val="0039455B"/>
    <w:rsid w:val="00394E0F"/>
    <w:rsid w:val="00394EA5"/>
    <w:rsid w:val="00394FA6"/>
    <w:rsid w:val="00395A34"/>
    <w:rsid w:val="00395D53"/>
    <w:rsid w:val="00395EBE"/>
    <w:rsid w:val="003965CB"/>
    <w:rsid w:val="00397083"/>
    <w:rsid w:val="00397205"/>
    <w:rsid w:val="003A00D0"/>
    <w:rsid w:val="003A0D63"/>
    <w:rsid w:val="003A12AD"/>
    <w:rsid w:val="003A18B9"/>
    <w:rsid w:val="003A1A71"/>
    <w:rsid w:val="003A246B"/>
    <w:rsid w:val="003A2E4E"/>
    <w:rsid w:val="003A345B"/>
    <w:rsid w:val="003A36EE"/>
    <w:rsid w:val="003A42E6"/>
    <w:rsid w:val="003A54A4"/>
    <w:rsid w:val="003A59D7"/>
    <w:rsid w:val="003A6BE5"/>
    <w:rsid w:val="003A724E"/>
    <w:rsid w:val="003A7E75"/>
    <w:rsid w:val="003A7ED8"/>
    <w:rsid w:val="003B01D8"/>
    <w:rsid w:val="003B0ACD"/>
    <w:rsid w:val="003B16CE"/>
    <w:rsid w:val="003B1B30"/>
    <w:rsid w:val="003B2BE3"/>
    <w:rsid w:val="003B33CE"/>
    <w:rsid w:val="003B3E91"/>
    <w:rsid w:val="003B3FA6"/>
    <w:rsid w:val="003B4AFE"/>
    <w:rsid w:val="003B4E37"/>
    <w:rsid w:val="003B4EEA"/>
    <w:rsid w:val="003B60A4"/>
    <w:rsid w:val="003B6314"/>
    <w:rsid w:val="003B692F"/>
    <w:rsid w:val="003B71B9"/>
    <w:rsid w:val="003B7A48"/>
    <w:rsid w:val="003C0A9C"/>
    <w:rsid w:val="003C17F7"/>
    <w:rsid w:val="003C319A"/>
    <w:rsid w:val="003C31CB"/>
    <w:rsid w:val="003C3F4E"/>
    <w:rsid w:val="003C514A"/>
    <w:rsid w:val="003C5172"/>
    <w:rsid w:val="003C53AE"/>
    <w:rsid w:val="003C5780"/>
    <w:rsid w:val="003C66E3"/>
    <w:rsid w:val="003C705A"/>
    <w:rsid w:val="003C7504"/>
    <w:rsid w:val="003C76F5"/>
    <w:rsid w:val="003C77E3"/>
    <w:rsid w:val="003C7EF3"/>
    <w:rsid w:val="003D00A0"/>
    <w:rsid w:val="003D0568"/>
    <w:rsid w:val="003D0A9C"/>
    <w:rsid w:val="003D0CAA"/>
    <w:rsid w:val="003D19A0"/>
    <w:rsid w:val="003D21F9"/>
    <w:rsid w:val="003D2C5D"/>
    <w:rsid w:val="003D2DAE"/>
    <w:rsid w:val="003D374D"/>
    <w:rsid w:val="003D377B"/>
    <w:rsid w:val="003D37F9"/>
    <w:rsid w:val="003D3C0F"/>
    <w:rsid w:val="003D3C4C"/>
    <w:rsid w:val="003D48A9"/>
    <w:rsid w:val="003D504A"/>
    <w:rsid w:val="003D58BA"/>
    <w:rsid w:val="003D63C0"/>
    <w:rsid w:val="003D6B91"/>
    <w:rsid w:val="003D6C78"/>
    <w:rsid w:val="003D6CD7"/>
    <w:rsid w:val="003D6F99"/>
    <w:rsid w:val="003E057E"/>
    <w:rsid w:val="003E0990"/>
    <w:rsid w:val="003E0FB1"/>
    <w:rsid w:val="003E1591"/>
    <w:rsid w:val="003E1760"/>
    <w:rsid w:val="003E1F1A"/>
    <w:rsid w:val="003E2583"/>
    <w:rsid w:val="003E260B"/>
    <w:rsid w:val="003E33A4"/>
    <w:rsid w:val="003E4246"/>
    <w:rsid w:val="003E4C82"/>
    <w:rsid w:val="003E53FD"/>
    <w:rsid w:val="003E54A3"/>
    <w:rsid w:val="003E72EF"/>
    <w:rsid w:val="003E7969"/>
    <w:rsid w:val="003E7F17"/>
    <w:rsid w:val="003F051B"/>
    <w:rsid w:val="003F0CDB"/>
    <w:rsid w:val="003F1948"/>
    <w:rsid w:val="003F2676"/>
    <w:rsid w:val="003F2B34"/>
    <w:rsid w:val="003F3A74"/>
    <w:rsid w:val="003F488B"/>
    <w:rsid w:val="003F4D12"/>
    <w:rsid w:val="003F52CC"/>
    <w:rsid w:val="003F5903"/>
    <w:rsid w:val="003F5EA3"/>
    <w:rsid w:val="003F6B27"/>
    <w:rsid w:val="003F75A2"/>
    <w:rsid w:val="004000C9"/>
    <w:rsid w:val="00400E99"/>
    <w:rsid w:val="0040128A"/>
    <w:rsid w:val="0040140C"/>
    <w:rsid w:val="00401E0B"/>
    <w:rsid w:val="0040204E"/>
    <w:rsid w:val="0040319B"/>
    <w:rsid w:val="00404125"/>
    <w:rsid w:val="00404333"/>
    <w:rsid w:val="004049AA"/>
    <w:rsid w:val="00405108"/>
    <w:rsid w:val="00405275"/>
    <w:rsid w:val="00406115"/>
    <w:rsid w:val="0040659E"/>
    <w:rsid w:val="00406B68"/>
    <w:rsid w:val="00406E03"/>
    <w:rsid w:val="00406E4E"/>
    <w:rsid w:val="004074D5"/>
    <w:rsid w:val="00407565"/>
    <w:rsid w:val="00407A95"/>
    <w:rsid w:val="00407A9D"/>
    <w:rsid w:val="00411061"/>
    <w:rsid w:val="00411655"/>
    <w:rsid w:val="00411A02"/>
    <w:rsid w:val="004126D1"/>
    <w:rsid w:val="00412B14"/>
    <w:rsid w:val="00412FA0"/>
    <w:rsid w:val="004130B4"/>
    <w:rsid w:val="00413AB0"/>
    <w:rsid w:val="00414165"/>
    <w:rsid w:val="004143BD"/>
    <w:rsid w:val="0041497A"/>
    <w:rsid w:val="004162D6"/>
    <w:rsid w:val="0041633A"/>
    <w:rsid w:val="00416922"/>
    <w:rsid w:val="0041701D"/>
    <w:rsid w:val="0042002C"/>
    <w:rsid w:val="00422D18"/>
    <w:rsid w:val="0042321F"/>
    <w:rsid w:val="00423F85"/>
    <w:rsid w:val="004245E0"/>
    <w:rsid w:val="00424749"/>
    <w:rsid w:val="0042518B"/>
    <w:rsid w:val="0042527A"/>
    <w:rsid w:val="00425C33"/>
    <w:rsid w:val="0042611C"/>
    <w:rsid w:val="0042794B"/>
    <w:rsid w:val="00427C9A"/>
    <w:rsid w:val="00430499"/>
    <w:rsid w:val="004310AE"/>
    <w:rsid w:val="0043129F"/>
    <w:rsid w:val="0043139D"/>
    <w:rsid w:val="00431A61"/>
    <w:rsid w:val="00431DE3"/>
    <w:rsid w:val="00431F12"/>
    <w:rsid w:val="00433818"/>
    <w:rsid w:val="00433BBB"/>
    <w:rsid w:val="00434EB4"/>
    <w:rsid w:val="00436570"/>
    <w:rsid w:val="00436916"/>
    <w:rsid w:val="00436A0E"/>
    <w:rsid w:val="00437D4F"/>
    <w:rsid w:val="00437DBC"/>
    <w:rsid w:val="00437EA7"/>
    <w:rsid w:val="00437EF0"/>
    <w:rsid w:val="004401A3"/>
    <w:rsid w:val="00440784"/>
    <w:rsid w:val="00440A6D"/>
    <w:rsid w:val="00441AA4"/>
    <w:rsid w:val="0044215E"/>
    <w:rsid w:val="00442692"/>
    <w:rsid w:val="00444093"/>
    <w:rsid w:val="00444ECB"/>
    <w:rsid w:val="00445A16"/>
    <w:rsid w:val="00445BD2"/>
    <w:rsid w:val="004462C6"/>
    <w:rsid w:val="004468C5"/>
    <w:rsid w:val="00447615"/>
    <w:rsid w:val="00447CA1"/>
    <w:rsid w:val="00447D3A"/>
    <w:rsid w:val="0045082F"/>
    <w:rsid w:val="00450DB8"/>
    <w:rsid w:val="004510AF"/>
    <w:rsid w:val="0045131B"/>
    <w:rsid w:val="00451868"/>
    <w:rsid w:val="00451CAA"/>
    <w:rsid w:val="0045260C"/>
    <w:rsid w:val="0045295E"/>
    <w:rsid w:val="0045333D"/>
    <w:rsid w:val="00453D5C"/>
    <w:rsid w:val="00454260"/>
    <w:rsid w:val="00454508"/>
    <w:rsid w:val="00455251"/>
    <w:rsid w:val="004557F8"/>
    <w:rsid w:val="00455D9C"/>
    <w:rsid w:val="00455FB1"/>
    <w:rsid w:val="004564F4"/>
    <w:rsid w:val="00456F17"/>
    <w:rsid w:val="00456FDC"/>
    <w:rsid w:val="00457242"/>
    <w:rsid w:val="00457552"/>
    <w:rsid w:val="00457B52"/>
    <w:rsid w:val="0046044A"/>
    <w:rsid w:val="004604F2"/>
    <w:rsid w:val="004605A2"/>
    <w:rsid w:val="00460AA3"/>
    <w:rsid w:val="00460BCD"/>
    <w:rsid w:val="00460CB2"/>
    <w:rsid w:val="00461267"/>
    <w:rsid w:val="004621C7"/>
    <w:rsid w:val="004622F7"/>
    <w:rsid w:val="00463E7E"/>
    <w:rsid w:val="00464559"/>
    <w:rsid w:val="004650A5"/>
    <w:rsid w:val="00465469"/>
    <w:rsid w:val="00465782"/>
    <w:rsid w:val="00465873"/>
    <w:rsid w:val="00465D1E"/>
    <w:rsid w:val="00465F44"/>
    <w:rsid w:val="00466627"/>
    <w:rsid w:val="0046698E"/>
    <w:rsid w:val="00470289"/>
    <w:rsid w:val="00470D93"/>
    <w:rsid w:val="00471132"/>
    <w:rsid w:val="00471DDE"/>
    <w:rsid w:val="00472337"/>
    <w:rsid w:val="0047267A"/>
    <w:rsid w:val="00472728"/>
    <w:rsid w:val="00472EF0"/>
    <w:rsid w:val="00473759"/>
    <w:rsid w:val="00473BD8"/>
    <w:rsid w:val="004741E1"/>
    <w:rsid w:val="0047454E"/>
    <w:rsid w:val="0047470E"/>
    <w:rsid w:val="00474853"/>
    <w:rsid w:val="00474D6A"/>
    <w:rsid w:val="00475D0F"/>
    <w:rsid w:val="00476636"/>
    <w:rsid w:val="00476909"/>
    <w:rsid w:val="00476CA5"/>
    <w:rsid w:val="0047733C"/>
    <w:rsid w:val="00480C63"/>
    <w:rsid w:val="00480F23"/>
    <w:rsid w:val="0048121E"/>
    <w:rsid w:val="004814EC"/>
    <w:rsid w:val="00481543"/>
    <w:rsid w:val="004815DA"/>
    <w:rsid w:val="0048195F"/>
    <w:rsid w:val="00482289"/>
    <w:rsid w:val="004832B2"/>
    <w:rsid w:val="00483307"/>
    <w:rsid w:val="0048359C"/>
    <w:rsid w:val="00483921"/>
    <w:rsid w:val="00483A15"/>
    <w:rsid w:val="004850FB"/>
    <w:rsid w:val="004851E5"/>
    <w:rsid w:val="004874DE"/>
    <w:rsid w:val="004875F9"/>
    <w:rsid w:val="00487EE8"/>
    <w:rsid w:val="00487FC7"/>
    <w:rsid w:val="00490820"/>
    <w:rsid w:val="00491599"/>
    <w:rsid w:val="00491DFB"/>
    <w:rsid w:val="00491E20"/>
    <w:rsid w:val="0049236A"/>
    <w:rsid w:val="0049261F"/>
    <w:rsid w:val="00492B28"/>
    <w:rsid w:val="00492F9D"/>
    <w:rsid w:val="00493123"/>
    <w:rsid w:val="004938FE"/>
    <w:rsid w:val="004944BE"/>
    <w:rsid w:val="0049457F"/>
    <w:rsid w:val="004949CF"/>
    <w:rsid w:val="004950B4"/>
    <w:rsid w:val="0049546F"/>
    <w:rsid w:val="004954D7"/>
    <w:rsid w:val="00495703"/>
    <w:rsid w:val="00495944"/>
    <w:rsid w:val="00495A56"/>
    <w:rsid w:val="00495A74"/>
    <w:rsid w:val="00495BFD"/>
    <w:rsid w:val="00495D5A"/>
    <w:rsid w:val="004969C6"/>
    <w:rsid w:val="004969D7"/>
    <w:rsid w:val="00497DCE"/>
    <w:rsid w:val="004A0006"/>
    <w:rsid w:val="004A098A"/>
    <w:rsid w:val="004A109C"/>
    <w:rsid w:val="004A10BE"/>
    <w:rsid w:val="004A11DB"/>
    <w:rsid w:val="004A1328"/>
    <w:rsid w:val="004A1E5A"/>
    <w:rsid w:val="004A20BC"/>
    <w:rsid w:val="004A239B"/>
    <w:rsid w:val="004A2784"/>
    <w:rsid w:val="004A3829"/>
    <w:rsid w:val="004A38CA"/>
    <w:rsid w:val="004A4451"/>
    <w:rsid w:val="004A4DF6"/>
    <w:rsid w:val="004A4FBC"/>
    <w:rsid w:val="004A500D"/>
    <w:rsid w:val="004A5955"/>
    <w:rsid w:val="004A5E82"/>
    <w:rsid w:val="004A732E"/>
    <w:rsid w:val="004A73D5"/>
    <w:rsid w:val="004A7811"/>
    <w:rsid w:val="004A79D1"/>
    <w:rsid w:val="004A7BFA"/>
    <w:rsid w:val="004B009A"/>
    <w:rsid w:val="004B0B90"/>
    <w:rsid w:val="004B0FC0"/>
    <w:rsid w:val="004B1074"/>
    <w:rsid w:val="004B1859"/>
    <w:rsid w:val="004B2453"/>
    <w:rsid w:val="004B295E"/>
    <w:rsid w:val="004B4464"/>
    <w:rsid w:val="004B4FC9"/>
    <w:rsid w:val="004B53CF"/>
    <w:rsid w:val="004B53EA"/>
    <w:rsid w:val="004B54E1"/>
    <w:rsid w:val="004B61F0"/>
    <w:rsid w:val="004B6F6E"/>
    <w:rsid w:val="004B7A14"/>
    <w:rsid w:val="004B7D10"/>
    <w:rsid w:val="004B7E9E"/>
    <w:rsid w:val="004C01C6"/>
    <w:rsid w:val="004C0228"/>
    <w:rsid w:val="004C0A2C"/>
    <w:rsid w:val="004C0EF1"/>
    <w:rsid w:val="004C159B"/>
    <w:rsid w:val="004C16B8"/>
    <w:rsid w:val="004C212D"/>
    <w:rsid w:val="004C2AD9"/>
    <w:rsid w:val="004C376D"/>
    <w:rsid w:val="004C3954"/>
    <w:rsid w:val="004C3E01"/>
    <w:rsid w:val="004C41F5"/>
    <w:rsid w:val="004C4B6A"/>
    <w:rsid w:val="004C52C9"/>
    <w:rsid w:val="004C5794"/>
    <w:rsid w:val="004C5945"/>
    <w:rsid w:val="004C68C0"/>
    <w:rsid w:val="004C7187"/>
    <w:rsid w:val="004C7837"/>
    <w:rsid w:val="004C7D4F"/>
    <w:rsid w:val="004C7D59"/>
    <w:rsid w:val="004D06D5"/>
    <w:rsid w:val="004D0BDF"/>
    <w:rsid w:val="004D28AA"/>
    <w:rsid w:val="004D28FF"/>
    <w:rsid w:val="004D4CF3"/>
    <w:rsid w:val="004D57C4"/>
    <w:rsid w:val="004D6024"/>
    <w:rsid w:val="004D6AE8"/>
    <w:rsid w:val="004D79E9"/>
    <w:rsid w:val="004D7CCE"/>
    <w:rsid w:val="004E0F20"/>
    <w:rsid w:val="004E1134"/>
    <w:rsid w:val="004E1785"/>
    <w:rsid w:val="004E20FA"/>
    <w:rsid w:val="004E2134"/>
    <w:rsid w:val="004E243A"/>
    <w:rsid w:val="004E29DA"/>
    <w:rsid w:val="004E2BB9"/>
    <w:rsid w:val="004E311D"/>
    <w:rsid w:val="004E37AF"/>
    <w:rsid w:val="004E3CB5"/>
    <w:rsid w:val="004E4B39"/>
    <w:rsid w:val="004E518B"/>
    <w:rsid w:val="004E55FD"/>
    <w:rsid w:val="004E610A"/>
    <w:rsid w:val="004E644C"/>
    <w:rsid w:val="004E6718"/>
    <w:rsid w:val="004E69F8"/>
    <w:rsid w:val="004E7089"/>
    <w:rsid w:val="004E781B"/>
    <w:rsid w:val="004E7F50"/>
    <w:rsid w:val="004F01E2"/>
    <w:rsid w:val="004F0742"/>
    <w:rsid w:val="004F0A93"/>
    <w:rsid w:val="004F1153"/>
    <w:rsid w:val="004F1171"/>
    <w:rsid w:val="004F190C"/>
    <w:rsid w:val="004F1F05"/>
    <w:rsid w:val="004F2925"/>
    <w:rsid w:val="004F2988"/>
    <w:rsid w:val="004F2A2A"/>
    <w:rsid w:val="004F2A2E"/>
    <w:rsid w:val="004F2AEF"/>
    <w:rsid w:val="004F2AFB"/>
    <w:rsid w:val="004F2D47"/>
    <w:rsid w:val="004F3903"/>
    <w:rsid w:val="004F3993"/>
    <w:rsid w:val="004F3A5E"/>
    <w:rsid w:val="004F3FF1"/>
    <w:rsid w:val="004F55FE"/>
    <w:rsid w:val="004F59E5"/>
    <w:rsid w:val="004F5BB4"/>
    <w:rsid w:val="004F5F92"/>
    <w:rsid w:val="004F62CC"/>
    <w:rsid w:val="004F6A47"/>
    <w:rsid w:val="004F7FE9"/>
    <w:rsid w:val="005000B5"/>
    <w:rsid w:val="005001D3"/>
    <w:rsid w:val="005002C5"/>
    <w:rsid w:val="005005C4"/>
    <w:rsid w:val="00500F9D"/>
    <w:rsid w:val="00501776"/>
    <w:rsid w:val="0050199E"/>
    <w:rsid w:val="0050266B"/>
    <w:rsid w:val="00502854"/>
    <w:rsid w:val="00502EC6"/>
    <w:rsid w:val="00503648"/>
    <w:rsid w:val="0050399C"/>
    <w:rsid w:val="0050453B"/>
    <w:rsid w:val="005048D8"/>
    <w:rsid w:val="00504C06"/>
    <w:rsid w:val="00504C28"/>
    <w:rsid w:val="00504DA9"/>
    <w:rsid w:val="0050549F"/>
    <w:rsid w:val="005054F5"/>
    <w:rsid w:val="00506B8D"/>
    <w:rsid w:val="00506C12"/>
    <w:rsid w:val="00506C9D"/>
    <w:rsid w:val="005071BB"/>
    <w:rsid w:val="005118A3"/>
    <w:rsid w:val="00511BFD"/>
    <w:rsid w:val="00511E74"/>
    <w:rsid w:val="005121A0"/>
    <w:rsid w:val="00512336"/>
    <w:rsid w:val="00512349"/>
    <w:rsid w:val="005169DC"/>
    <w:rsid w:val="005171DE"/>
    <w:rsid w:val="00517B54"/>
    <w:rsid w:val="0052000F"/>
    <w:rsid w:val="00520FA4"/>
    <w:rsid w:val="00521AC3"/>
    <w:rsid w:val="0052216A"/>
    <w:rsid w:val="005227A2"/>
    <w:rsid w:val="0052306B"/>
    <w:rsid w:val="005230E0"/>
    <w:rsid w:val="00524214"/>
    <w:rsid w:val="00524D99"/>
    <w:rsid w:val="0052524A"/>
    <w:rsid w:val="00525EFF"/>
    <w:rsid w:val="0052786E"/>
    <w:rsid w:val="00527976"/>
    <w:rsid w:val="0053034D"/>
    <w:rsid w:val="00530F70"/>
    <w:rsid w:val="00531362"/>
    <w:rsid w:val="00531443"/>
    <w:rsid w:val="005327F3"/>
    <w:rsid w:val="00532973"/>
    <w:rsid w:val="00532E16"/>
    <w:rsid w:val="0053339F"/>
    <w:rsid w:val="00533A9D"/>
    <w:rsid w:val="00533B00"/>
    <w:rsid w:val="00533C99"/>
    <w:rsid w:val="00533F09"/>
    <w:rsid w:val="00534487"/>
    <w:rsid w:val="00534A1B"/>
    <w:rsid w:val="00535774"/>
    <w:rsid w:val="0053662D"/>
    <w:rsid w:val="00537547"/>
    <w:rsid w:val="005377C9"/>
    <w:rsid w:val="005402CE"/>
    <w:rsid w:val="00540673"/>
    <w:rsid w:val="00540EE2"/>
    <w:rsid w:val="0054250D"/>
    <w:rsid w:val="00542773"/>
    <w:rsid w:val="00544221"/>
    <w:rsid w:val="00544E30"/>
    <w:rsid w:val="005450FA"/>
    <w:rsid w:val="005457EF"/>
    <w:rsid w:val="00545FFB"/>
    <w:rsid w:val="005462A0"/>
    <w:rsid w:val="00546844"/>
    <w:rsid w:val="00546C31"/>
    <w:rsid w:val="00547262"/>
    <w:rsid w:val="00547595"/>
    <w:rsid w:val="005475AF"/>
    <w:rsid w:val="00547C2C"/>
    <w:rsid w:val="005515C6"/>
    <w:rsid w:val="00552524"/>
    <w:rsid w:val="005533C9"/>
    <w:rsid w:val="00553F7A"/>
    <w:rsid w:val="00554171"/>
    <w:rsid w:val="005550B4"/>
    <w:rsid w:val="005557F8"/>
    <w:rsid w:val="00556209"/>
    <w:rsid w:val="00557318"/>
    <w:rsid w:val="00561CB3"/>
    <w:rsid w:val="005624D1"/>
    <w:rsid w:val="00562966"/>
    <w:rsid w:val="00563344"/>
    <w:rsid w:val="0056337C"/>
    <w:rsid w:val="00563481"/>
    <w:rsid w:val="0056399B"/>
    <w:rsid w:val="005658B0"/>
    <w:rsid w:val="00566AB9"/>
    <w:rsid w:val="00566E35"/>
    <w:rsid w:val="005670BF"/>
    <w:rsid w:val="00567258"/>
    <w:rsid w:val="00567F3A"/>
    <w:rsid w:val="00570780"/>
    <w:rsid w:val="00570FF3"/>
    <w:rsid w:val="005710C5"/>
    <w:rsid w:val="00572791"/>
    <w:rsid w:val="0057358C"/>
    <w:rsid w:val="005741E1"/>
    <w:rsid w:val="0057421B"/>
    <w:rsid w:val="00574323"/>
    <w:rsid w:val="00574A31"/>
    <w:rsid w:val="00575176"/>
    <w:rsid w:val="005759FF"/>
    <w:rsid w:val="00575F60"/>
    <w:rsid w:val="005765DE"/>
    <w:rsid w:val="0057683E"/>
    <w:rsid w:val="00576A79"/>
    <w:rsid w:val="00576F4C"/>
    <w:rsid w:val="00576FE4"/>
    <w:rsid w:val="00577396"/>
    <w:rsid w:val="00577454"/>
    <w:rsid w:val="00577B36"/>
    <w:rsid w:val="00580B69"/>
    <w:rsid w:val="00580F99"/>
    <w:rsid w:val="00581765"/>
    <w:rsid w:val="00581CA1"/>
    <w:rsid w:val="00581FEA"/>
    <w:rsid w:val="005824A2"/>
    <w:rsid w:val="00582DF3"/>
    <w:rsid w:val="00583CF4"/>
    <w:rsid w:val="0058426F"/>
    <w:rsid w:val="0058441A"/>
    <w:rsid w:val="005849DA"/>
    <w:rsid w:val="00585228"/>
    <w:rsid w:val="00585728"/>
    <w:rsid w:val="00585974"/>
    <w:rsid w:val="0058659B"/>
    <w:rsid w:val="0058715B"/>
    <w:rsid w:val="005878E4"/>
    <w:rsid w:val="00587A24"/>
    <w:rsid w:val="005906D2"/>
    <w:rsid w:val="00590C2E"/>
    <w:rsid w:val="00591468"/>
    <w:rsid w:val="005914C0"/>
    <w:rsid w:val="00591841"/>
    <w:rsid w:val="00591B0D"/>
    <w:rsid w:val="0059248A"/>
    <w:rsid w:val="005925FF"/>
    <w:rsid w:val="00592AEB"/>
    <w:rsid w:val="00592E23"/>
    <w:rsid w:val="005936B5"/>
    <w:rsid w:val="00593791"/>
    <w:rsid w:val="00593A10"/>
    <w:rsid w:val="00593F86"/>
    <w:rsid w:val="00595C4C"/>
    <w:rsid w:val="00595EC4"/>
    <w:rsid w:val="00595FC2"/>
    <w:rsid w:val="00596976"/>
    <w:rsid w:val="00596E79"/>
    <w:rsid w:val="005A09CA"/>
    <w:rsid w:val="005A106A"/>
    <w:rsid w:val="005A164F"/>
    <w:rsid w:val="005A185C"/>
    <w:rsid w:val="005A1E33"/>
    <w:rsid w:val="005A21D9"/>
    <w:rsid w:val="005A2333"/>
    <w:rsid w:val="005A23CF"/>
    <w:rsid w:val="005A25D6"/>
    <w:rsid w:val="005A264C"/>
    <w:rsid w:val="005A3294"/>
    <w:rsid w:val="005A3C71"/>
    <w:rsid w:val="005A3F9A"/>
    <w:rsid w:val="005A40AF"/>
    <w:rsid w:val="005A40D9"/>
    <w:rsid w:val="005A55D7"/>
    <w:rsid w:val="005A57E8"/>
    <w:rsid w:val="005A625A"/>
    <w:rsid w:val="005A6BBC"/>
    <w:rsid w:val="005A7199"/>
    <w:rsid w:val="005B09D2"/>
    <w:rsid w:val="005B1620"/>
    <w:rsid w:val="005B1D51"/>
    <w:rsid w:val="005B222C"/>
    <w:rsid w:val="005B2288"/>
    <w:rsid w:val="005B30F7"/>
    <w:rsid w:val="005B3554"/>
    <w:rsid w:val="005B3568"/>
    <w:rsid w:val="005B3FFF"/>
    <w:rsid w:val="005B4152"/>
    <w:rsid w:val="005B4C3F"/>
    <w:rsid w:val="005B5934"/>
    <w:rsid w:val="005B5B32"/>
    <w:rsid w:val="005B5BEE"/>
    <w:rsid w:val="005B6623"/>
    <w:rsid w:val="005B6EC2"/>
    <w:rsid w:val="005B6FAE"/>
    <w:rsid w:val="005B7717"/>
    <w:rsid w:val="005B7E82"/>
    <w:rsid w:val="005C03CE"/>
    <w:rsid w:val="005C0DD5"/>
    <w:rsid w:val="005C0EE1"/>
    <w:rsid w:val="005C1440"/>
    <w:rsid w:val="005C2662"/>
    <w:rsid w:val="005C2C75"/>
    <w:rsid w:val="005C2F29"/>
    <w:rsid w:val="005C560E"/>
    <w:rsid w:val="005C5B3F"/>
    <w:rsid w:val="005C5BA3"/>
    <w:rsid w:val="005C5C6D"/>
    <w:rsid w:val="005C635A"/>
    <w:rsid w:val="005C6C97"/>
    <w:rsid w:val="005C6F00"/>
    <w:rsid w:val="005C7BBF"/>
    <w:rsid w:val="005C7C7B"/>
    <w:rsid w:val="005C7F52"/>
    <w:rsid w:val="005D06BA"/>
    <w:rsid w:val="005D0E79"/>
    <w:rsid w:val="005D177B"/>
    <w:rsid w:val="005D18DD"/>
    <w:rsid w:val="005D1E91"/>
    <w:rsid w:val="005D39F2"/>
    <w:rsid w:val="005D4651"/>
    <w:rsid w:val="005D4B57"/>
    <w:rsid w:val="005D537C"/>
    <w:rsid w:val="005D5918"/>
    <w:rsid w:val="005D5B6E"/>
    <w:rsid w:val="005D5EAA"/>
    <w:rsid w:val="005D68C1"/>
    <w:rsid w:val="005D69D4"/>
    <w:rsid w:val="005D6FC7"/>
    <w:rsid w:val="005D786B"/>
    <w:rsid w:val="005E0A05"/>
    <w:rsid w:val="005E143B"/>
    <w:rsid w:val="005E1D14"/>
    <w:rsid w:val="005E22AB"/>
    <w:rsid w:val="005E2CB2"/>
    <w:rsid w:val="005E2FF6"/>
    <w:rsid w:val="005E35C0"/>
    <w:rsid w:val="005E3E12"/>
    <w:rsid w:val="005E3F43"/>
    <w:rsid w:val="005E3FEB"/>
    <w:rsid w:val="005E4091"/>
    <w:rsid w:val="005E426A"/>
    <w:rsid w:val="005E48EC"/>
    <w:rsid w:val="005E573B"/>
    <w:rsid w:val="005E6FC9"/>
    <w:rsid w:val="005E7129"/>
    <w:rsid w:val="005E7767"/>
    <w:rsid w:val="005E7785"/>
    <w:rsid w:val="005F066B"/>
    <w:rsid w:val="005F0EFB"/>
    <w:rsid w:val="005F278D"/>
    <w:rsid w:val="005F3042"/>
    <w:rsid w:val="005F4ED6"/>
    <w:rsid w:val="005F5241"/>
    <w:rsid w:val="005F52CA"/>
    <w:rsid w:val="005F582E"/>
    <w:rsid w:val="005F5CD4"/>
    <w:rsid w:val="005F63EF"/>
    <w:rsid w:val="005F6415"/>
    <w:rsid w:val="00600867"/>
    <w:rsid w:val="00600FD7"/>
    <w:rsid w:val="0060109C"/>
    <w:rsid w:val="00601896"/>
    <w:rsid w:val="00601E83"/>
    <w:rsid w:val="00602875"/>
    <w:rsid w:val="006030E9"/>
    <w:rsid w:val="0060397C"/>
    <w:rsid w:val="00604787"/>
    <w:rsid w:val="006050D3"/>
    <w:rsid w:val="006053B4"/>
    <w:rsid w:val="006053D3"/>
    <w:rsid w:val="00605463"/>
    <w:rsid w:val="00605B2E"/>
    <w:rsid w:val="00605EBB"/>
    <w:rsid w:val="006061E1"/>
    <w:rsid w:val="006061FD"/>
    <w:rsid w:val="0060651A"/>
    <w:rsid w:val="00606AE2"/>
    <w:rsid w:val="00606CB0"/>
    <w:rsid w:val="00606D4E"/>
    <w:rsid w:val="0060784B"/>
    <w:rsid w:val="0060786C"/>
    <w:rsid w:val="00610430"/>
    <w:rsid w:val="0061078D"/>
    <w:rsid w:val="006110B3"/>
    <w:rsid w:val="00611C50"/>
    <w:rsid w:val="00611E9B"/>
    <w:rsid w:val="00612641"/>
    <w:rsid w:val="0061265B"/>
    <w:rsid w:val="00612C28"/>
    <w:rsid w:val="00613ADA"/>
    <w:rsid w:val="00613D2B"/>
    <w:rsid w:val="00613EB6"/>
    <w:rsid w:val="00614047"/>
    <w:rsid w:val="006148CD"/>
    <w:rsid w:val="00614936"/>
    <w:rsid w:val="00614C01"/>
    <w:rsid w:val="00614D79"/>
    <w:rsid w:val="006156E4"/>
    <w:rsid w:val="00615B54"/>
    <w:rsid w:val="00616998"/>
    <w:rsid w:val="00616BBA"/>
    <w:rsid w:val="006174D4"/>
    <w:rsid w:val="00617820"/>
    <w:rsid w:val="00620F1D"/>
    <w:rsid w:val="006218FB"/>
    <w:rsid w:val="0062344D"/>
    <w:rsid w:val="006236E0"/>
    <w:rsid w:val="00623A26"/>
    <w:rsid w:val="00623B94"/>
    <w:rsid w:val="00623D8F"/>
    <w:rsid w:val="00624226"/>
    <w:rsid w:val="00625683"/>
    <w:rsid w:val="00625726"/>
    <w:rsid w:val="00625983"/>
    <w:rsid w:val="00625BBD"/>
    <w:rsid w:val="00626491"/>
    <w:rsid w:val="00626B18"/>
    <w:rsid w:val="00627BE0"/>
    <w:rsid w:val="00630058"/>
    <w:rsid w:val="0063030A"/>
    <w:rsid w:val="006311D5"/>
    <w:rsid w:val="00631DC8"/>
    <w:rsid w:val="00632A07"/>
    <w:rsid w:val="00633121"/>
    <w:rsid w:val="0063354C"/>
    <w:rsid w:val="006336EB"/>
    <w:rsid w:val="00633C5F"/>
    <w:rsid w:val="00634592"/>
    <w:rsid w:val="00635C41"/>
    <w:rsid w:val="00635F4B"/>
    <w:rsid w:val="0063611D"/>
    <w:rsid w:val="006368CA"/>
    <w:rsid w:val="00637751"/>
    <w:rsid w:val="00637FEB"/>
    <w:rsid w:val="006408E6"/>
    <w:rsid w:val="00640AD6"/>
    <w:rsid w:val="00640E9D"/>
    <w:rsid w:val="0064116E"/>
    <w:rsid w:val="006411A0"/>
    <w:rsid w:val="00641605"/>
    <w:rsid w:val="006418A9"/>
    <w:rsid w:val="00641EAE"/>
    <w:rsid w:val="00641FCD"/>
    <w:rsid w:val="00642706"/>
    <w:rsid w:val="00642B55"/>
    <w:rsid w:val="00642E11"/>
    <w:rsid w:val="00643468"/>
    <w:rsid w:val="006434A0"/>
    <w:rsid w:val="006434DB"/>
    <w:rsid w:val="00643800"/>
    <w:rsid w:val="00643EC8"/>
    <w:rsid w:val="00645201"/>
    <w:rsid w:val="006454EA"/>
    <w:rsid w:val="0064613B"/>
    <w:rsid w:val="00646FDA"/>
    <w:rsid w:val="00647100"/>
    <w:rsid w:val="006475D3"/>
    <w:rsid w:val="006510EA"/>
    <w:rsid w:val="00652083"/>
    <w:rsid w:val="006520B1"/>
    <w:rsid w:val="00652237"/>
    <w:rsid w:val="006523AB"/>
    <w:rsid w:val="00653618"/>
    <w:rsid w:val="0065372D"/>
    <w:rsid w:val="006537F8"/>
    <w:rsid w:val="00653BEE"/>
    <w:rsid w:val="00654117"/>
    <w:rsid w:val="00654328"/>
    <w:rsid w:val="006547FB"/>
    <w:rsid w:val="006548DF"/>
    <w:rsid w:val="00654D52"/>
    <w:rsid w:val="00655231"/>
    <w:rsid w:val="00655240"/>
    <w:rsid w:val="0065538D"/>
    <w:rsid w:val="00655B69"/>
    <w:rsid w:val="006568CC"/>
    <w:rsid w:val="00656D80"/>
    <w:rsid w:val="00656E83"/>
    <w:rsid w:val="00657317"/>
    <w:rsid w:val="00657AC0"/>
    <w:rsid w:val="00657EE4"/>
    <w:rsid w:val="00660BDC"/>
    <w:rsid w:val="00661AC5"/>
    <w:rsid w:val="00662671"/>
    <w:rsid w:val="00662B68"/>
    <w:rsid w:val="00663043"/>
    <w:rsid w:val="006631E2"/>
    <w:rsid w:val="00663219"/>
    <w:rsid w:val="0066349D"/>
    <w:rsid w:val="00663819"/>
    <w:rsid w:val="00663DEF"/>
    <w:rsid w:val="006642B6"/>
    <w:rsid w:val="006643F3"/>
    <w:rsid w:val="006651B0"/>
    <w:rsid w:val="0066530A"/>
    <w:rsid w:val="006658EF"/>
    <w:rsid w:val="00665D98"/>
    <w:rsid w:val="00665EEC"/>
    <w:rsid w:val="00665FAB"/>
    <w:rsid w:val="00666A2C"/>
    <w:rsid w:val="006670B0"/>
    <w:rsid w:val="0067103F"/>
    <w:rsid w:val="0067104C"/>
    <w:rsid w:val="006715B2"/>
    <w:rsid w:val="00671AB7"/>
    <w:rsid w:val="00671DB8"/>
    <w:rsid w:val="00672C51"/>
    <w:rsid w:val="006731F5"/>
    <w:rsid w:val="00673490"/>
    <w:rsid w:val="006734A2"/>
    <w:rsid w:val="00673911"/>
    <w:rsid w:val="00673BFB"/>
    <w:rsid w:val="00675640"/>
    <w:rsid w:val="00675B58"/>
    <w:rsid w:val="00675C63"/>
    <w:rsid w:val="006765A2"/>
    <w:rsid w:val="00676A97"/>
    <w:rsid w:val="006773ED"/>
    <w:rsid w:val="00680211"/>
    <w:rsid w:val="00680E2C"/>
    <w:rsid w:val="00681CF0"/>
    <w:rsid w:val="00682890"/>
    <w:rsid w:val="00682B53"/>
    <w:rsid w:val="00682BD8"/>
    <w:rsid w:val="0068322F"/>
    <w:rsid w:val="00683994"/>
    <w:rsid w:val="006844CC"/>
    <w:rsid w:val="006856CC"/>
    <w:rsid w:val="0068664E"/>
    <w:rsid w:val="00686B89"/>
    <w:rsid w:val="00687447"/>
    <w:rsid w:val="006904D2"/>
    <w:rsid w:val="0069077B"/>
    <w:rsid w:val="00690785"/>
    <w:rsid w:val="00691623"/>
    <w:rsid w:val="00691628"/>
    <w:rsid w:val="00691672"/>
    <w:rsid w:val="00691EFB"/>
    <w:rsid w:val="00692183"/>
    <w:rsid w:val="0069232D"/>
    <w:rsid w:val="0069364A"/>
    <w:rsid w:val="00693888"/>
    <w:rsid w:val="0069424D"/>
    <w:rsid w:val="00694577"/>
    <w:rsid w:val="00694606"/>
    <w:rsid w:val="006946EF"/>
    <w:rsid w:val="00694E8B"/>
    <w:rsid w:val="00695735"/>
    <w:rsid w:val="00695CB5"/>
    <w:rsid w:val="00696A04"/>
    <w:rsid w:val="0069725E"/>
    <w:rsid w:val="00697380"/>
    <w:rsid w:val="00697D6C"/>
    <w:rsid w:val="00697FC6"/>
    <w:rsid w:val="006A054F"/>
    <w:rsid w:val="006A0678"/>
    <w:rsid w:val="006A0881"/>
    <w:rsid w:val="006A0DE4"/>
    <w:rsid w:val="006A1D4C"/>
    <w:rsid w:val="006A2DAD"/>
    <w:rsid w:val="006A3837"/>
    <w:rsid w:val="006A3EC1"/>
    <w:rsid w:val="006A4B8E"/>
    <w:rsid w:val="006A4D07"/>
    <w:rsid w:val="006A5494"/>
    <w:rsid w:val="006A54A7"/>
    <w:rsid w:val="006A5B17"/>
    <w:rsid w:val="006A632E"/>
    <w:rsid w:val="006A64B5"/>
    <w:rsid w:val="006A659B"/>
    <w:rsid w:val="006A6775"/>
    <w:rsid w:val="006A7F67"/>
    <w:rsid w:val="006B0828"/>
    <w:rsid w:val="006B0C88"/>
    <w:rsid w:val="006B0E73"/>
    <w:rsid w:val="006B1604"/>
    <w:rsid w:val="006B1AC4"/>
    <w:rsid w:val="006B2042"/>
    <w:rsid w:val="006B206C"/>
    <w:rsid w:val="006B26CD"/>
    <w:rsid w:val="006B3135"/>
    <w:rsid w:val="006B31DB"/>
    <w:rsid w:val="006B4BC2"/>
    <w:rsid w:val="006B57D5"/>
    <w:rsid w:val="006B601F"/>
    <w:rsid w:val="006B70BC"/>
    <w:rsid w:val="006B7C57"/>
    <w:rsid w:val="006C0B26"/>
    <w:rsid w:val="006C1293"/>
    <w:rsid w:val="006C1A4F"/>
    <w:rsid w:val="006C27AF"/>
    <w:rsid w:val="006C4913"/>
    <w:rsid w:val="006C4F2D"/>
    <w:rsid w:val="006C5822"/>
    <w:rsid w:val="006C5DE4"/>
    <w:rsid w:val="006C5E6D"/>
    <w:rsid w:val="006C61CF"/>
    <w:rsid w:val="006C67F6"/>
    <w:rsid w:val="006C6A02"/>
    <w:rsid w:val="006C7884"/>
    <w:rsid w:val="006C7C7C"/>
    <w:rsid w:val="006D0072"/>
    <w:rsid w:val="006D08A2"/>
    <w:rsid w:val="006D16BF"/>
    <w:rsid w:val="006D29B8"/>
    <w:rsid w:val="006D344A"/>
    <w:rsid w:val="006D3BE8"/>
    <w:rsid w:val="006D4B37"/>
    <w:rsid w:val="006D5CE5"/>
    <w:rsid w:val="006D67DE"/>
    <w:rsid w:val="006D697F"/>
    <w:rsid w:val="006D79A2"/>
    <w:rsid w:val="006D7AC3"/>
    <w:rsid w:val="006D7DE1"/>
    <w:rsid w:val="006E0B49"/>
    <w:rsid w:val="006E29DE"/>
    <w:rsid w:val="006E2EFE"/>
    <w:rsid w:val="006E3313"/>
    <w:rsid w:val="006E405E"/>
    <w:rsid w:val="006E4493"/>
    <w:rsid w:val="006E4A47"/>
    <w:rsid w:val="006E4B6C"/>
    <w:rsid w:val="006E4BF8"/>
    <w:rsid w:val="006E4F8F"/>
    <w:rsid w:val="006E594D"/>
    <w:rsid w:val="006E5D0B"/>
    <w:rsid w:val="006E5D45"/>
    <w:rsid w:val="006E5FEC"/>
    <w:rsid w:val="006E6073"/>
    <w:rsid w:val="006E6638"/>
    <w:rsid w:val="006E6A37"/>
    <w:rsid w:val="006E78FF"/>
    <w:rsid w:val="006F1947"/>
    <w:rsid w:val="006F2ED3"/>
    <w:rsid w:val="006F4502"/>
    <w:rsid w:val="006F4DE4"/>
    <w:rsid w:val="006F52C5"/>
    <w:rsid w:val="006F5447"/>
    <w:rsid w:val="006F6918"/>
    <w:rsid w:val="006F6FDC"/>
    <w:rsid w:val="006F6FEB"/>
    <w:rsid w:val="006F7128"/>
    <w:rsid w:val="006F71DA"/>
    <w:rsid w:val="006F771F"/>
    <w:rsid w:val="006F7E6F"/>
    <w:rsid w:val="007002BA"/>
    <w:rsid w:val="007015DD"/>
    <w:rsid w:val="007029C9"/>
    <w:rsid w:val="007030BC"/>
    <w:rsid w:val="00703109"/>
    <w:rsid w:val="00704DBD"/>
    <w:rsid w:val="00705E96"/>
    <w:rsid w:val="00705EC2"/>
    <w:rsid w:val="00706CD7"/>
    <w:rsid w:val="00707962"/>
    <w:rsid w:val="00707C81"/>
    <w:rsid w:val="00707FCD"/>
    <w:rsid w:val="007104EF"/>
    <w:rsid w:val="007105EC"/>
    <w:rsid w:val="00710AAF"/>
    <w:rsid w:val="00710F8F"/>
    <w:rsid w:val="00711F1C"/>
    <w:rsid w:val="007120C6"/>
    <w:rsid w:val="007123A6"/>
    <w:rsid w:val="007124B9"/>
    <w:rsid w:val="007127B5"/>
    <w:rsid w:val="0071341E"/>
    <w:rsid w:val="00714183"/>
    <w:rsid w:val="00715726"/>
    <w:rsid w:val="0071589A"/>
    <w:rsid w:val="00715CA7"/>
    <w:rsid w:val="007169E2"/>
    <w:rsid w:val="007170CF"/>
    <w:rsid w:val="007177B9"/>
    <w:rsid w:val="00717899"/>
    <w:rsid w:val="00717B2F"/>
    <w:rsid w:val="0072105C"/>
    <w:rsid w:val="00721328"/>
    <w:rsid w:val="00721BC6"/>
    <w:rsid w:val="00721C46"/>
    <w:rsid w:val="00722517"/>
    <w:rsid w:val="00722BA2"/>
    <w:rsid w:val="00722C78"/>
    <w:rsid w:val="00722D63"/>
    <w:rsid w:val="0072358E"/>
    <w:rsid w:val="00723BAB"/>
    <w:rsid w:val="00723F48"/>
    <w:rsid w:val="0072416B"/>
    <w:rsid w:val="00725673"/>
    <w:rsid w:val="00725F7A"/>
    <w:rsid w:val="00726C4F"/>
    <w:rsid w:val="00726CFD"/>
    <w:rsid w:val="007272E9"/>
    <w:rsid w:val="0072765A"/>
    <w:rsid w:val="0072797D"/>
    <w:rsid w:val="00727D01"/>
    <w:rsid w:val="00727FC4"/>
    <w:rsid w:val="00730F88"/>
    <w:rsid w:val="00731101"/>
    <w:rsid w:val="0073132D"/>
    <w:rsid w:val="00731E97"/>
    <w:rsid w:val="00732239"/>
    <w:rsid w:val="007323BC"/>
    <w:rsid w:val="0073355C"/>
    <w:rsid w:val="00733CB7"/>
    <w:rsid w:val="00733D6E"/>
    <w:rsid w:val="007350C5"/>
    <w:rsid w:val="0073521D"/>
    <w:rsid w:val="00736E3D"/>
    <w:rsid w:val="007370B9"/>
    <w:rsid w:val="00740499"/>
    <w:rsid w:val="00740728"/>
    <w:rsid w:val="007409AC"/>
    <w:rsid w:val="00740D49"/>
    <w:rsid w:val="00740D74"/>
    <w:rsid w:val="007413FF"/>
    <w:rsid w:val="007415A0"/>
    <w:rsid w:val="007415D8"/>
    <w:rsid w:val="00741601"/>
    <w:rsid w:val="007422FD"/>
    <w:rsid w:val="00742A94"/>
    <w:rsid w:val="00742AC2"/>
    <w:rsid w:val="00743031"/>
    <w:rsid w:val="0074303D"/>
    <w:rsid w:val="00743A4C"/>
    <w:rsid w:val="00744332"/>
    <w:rsid w:val="00744B01"/>
    <w:rsid w:val="00745880"/>
    <w:rsid w:val="007458B2"/>
    <w:rsid w:val="007459BF"/>
    <w:rsid w:val="00746388"/>
    <w:rsid w:val="007472D6"/>
    <w:rsid w:val="00750438"/>
    <w:rsid w:val="00751D5B"/>
    <w:rsid w:val="007521EB"/>
    <w:rsid w:val="00752338"/>
    <w:rsid w:val="00752932"/>
    <w:rsid w:val="00752E31"/>
    <w:rsid w:val="00753295"/>
    <w:rsid w:val="007537F2"/>
    <w:rsid w:val="00754BB4"/>
    <w:rsid w:val="00754D11"/>
    <w:rsid w:val="007561FC"/>
    <w:rsid w:val="0075620A"/>
    <w:rsid w:val="0075626F"/>
    <w:rsid w:val="00756E5F"/>
    <w:rsid w:val="007571BA"/>
    <w:rsid w:val="0075734C"/>
    <w:rsid w:val="0076016E"/>
    <w:rsid w:val="00761139"/>
    <w:rsid w:val="00761A7E"/>
    <w:rsid w:val="00761B40"/>
    <w:rsid w:val="00761F75"/>
    <w:rsid w:val="00762073"/>
    <w:rsid w:val="007644B5"/>
    <w:rsid w:val="007644CF"/>
    <w:rsid w:val="00764BB7"/>
    <w:rsid w:val="007658D9"/>
    <w:rsid w:val="0076592A"/>
    <w:rsid w:val="007666F0"/>
    <w:rsid w:val="00766E7B"/>
    <w:rsid w:val="0076766D"/>
    <w:rsid w:val="00770252"/>
    <w:rsid w:val="00770811"/>
    <w:rsid w:val="007713C2"/>
    <w:rsid w:val="0077175C"/>
    <w:rsid w:val="0077183F"/>
    <w:rsid w:val="0077218B"/>
    <w:rsid w:val="007723EB"/>
    <w:rsid w:val="00772852"/>
    <w:rsid w:val="007730E1"/>
    <w:rsid w:val="0077535D"/>
    <w:rsid w:val="00775961"/>
    <w:rsid w:val="00775E9D"/>
    <w:rsid w:val="007760D8"/>
    <w:rsid w:val="007760DC"/>
    <w:rsid w:val="00776384"/>
    <w:rsid w:val="007768C6"/>
    <w:rsid w:val="00776C1A"/>
    <w:rsid w:val="0078039C"/>
    <w:rsid w:val="00780579"/>
    <w:rsid w:val="0078120F"/>
    <w:rsid w:val="00781775"/>
    <w:rsid w:val="00781C28"/>
    <w:rsid w:val="00781C4D"/>
    <w:rsid w:val="00782089"/>
    <w:rsid w:val="00782327"/>
    <w:rsid w:val="00782737"/>
    <w:rsid w:val="00782867"/>
    <w:rsid w:val="00782B21"/>
    <w:rsid w:val="00782EAB"/>
    <w:rsid w:val="007834B4"/>
    <w:rsid w:val="00784708"/>
    <w:rsid w:val="007851C3"/>
    <w:rsid w:val="00785A85"/>
    <w:rsid w:val="00785C69"/>
    <w:rsid w:val="00785DB4"/>
    <w:rsid w:val="00786632"/>
    <w:rsid w:val="00786AB3"/>
    <w:rsid w:val="007874DE"/>
    <w:rsid w:val="007879BD"/>
    <w:rsid w:val="00790120"/>
    <w:rsid w:val="007906AF"/>
    <w:rsid w:val="00790C14"/>
    <w:rsid w:val="00790E28"/>
    <w:rsid w:val="00791340"/>
    <w:rsid w:val="007919E2"/>
    <w:rsid w:val="00791B4E"/>
    <w:rsid w:val="00792633"/>
    <w:rsid w:val="00793239"/>
    <w:rsid w:val="00794579"/>
    <w:rsid w:val="007945BC"/>
    <w:rsid w:val="007949BE"/>
    <w:rsid w:val="00794D5A"/>
    <w:rsid w:val="00795B23"/>
    <w:rsid w:val="00795B88"/>
    <w:rsid w:val="0079662C"/>
    <w:rsid w:val="007968F0"/>
    <w:rsid w:val="00796D56"/>
    <w:rsid w:val="00796F6A"/>
    <w:rsid w:val="00797A2A"/>
    <w:rsid w:val="00797D5B"/>
    <w:rsid w:val="007A08D2"/>
    <w:rsid w:val="007A08E4"/>
    <w:rsid w:val="007A2192"/>
    <w:rsid w:val="007A29BF"/>
    <w:rsid w:val="007A30E6"/>
    <w:rsid w:val="007A3D7A"/>
    <w:rsid w:val="007A4261"/>
    <w:rsid w:val="007A4522"/>
    <w:rsid w:val="007A45CA"/>
    <w:rsid w:val="007A47FF"/>
    <w:rsid w:val="007A4E91"/>
    <w:rsid w:val="007A520C"/>
    <w:rsid w:val="007A52B8"/>
    <w:rsid w:val="007A5431"/>
    <w:rsid w:val="007A5A92"/>
    <w:rsid w:val="007A5D30"/>
    <w:rsid w:val="007A5D78"/>
    <w:rsid w:val="007A5F0A"/>
    <w:rsid w:val="007A6519"/>
    <w:rsid w:val="007A6B2C"/>
    <w:rsid w:val="007A6E68"/>
    <w:rsid w:val="007A7256"/>
    <w:rsid w:val="007B0833"/>
    <w:rsid w:val="007B0875"/>
    <w:rsid w:val="007B0CFB"/>
    <w:rsid w:val="007B1053"/>
    <w:rsid w:val="007B1448"/>
    <w:rsid w:val="007B1528"/>
    <w:rsid w:val="007B1C19"/>
    <w:rsid w:val="007B29E3"/>
    <w:rsid w:val="007B2BDB"/>
    <w:rsid w:val="007B2D3A"/>
    <w:rsid w:val="007B2DAB"/>
    <w:rsid w:val="007B423A"/>
    <w:rsid w:val="007B43CC"/>
    <w:rsid w:val="007B489E"/>
    <w:rsid w:val="007B5213"/>
    <w:rsid w:val="007B54F2"/>
    <w:rsid w:val="007B6575"/>
    <w:rsid w:val="007B6639"/>
    <w:rsid w:val="007B6C9C"/>
    <w:rsid w:val="007B6E24"/>
    <w:rsid w:val="007B7D4D"/>
    <w:rsid w:val="007C0469"/>
    <w:rsid w:val="007C0DCF"/>
    <w:rsid w:val="007C1134"/>
    <w:rsid w:val="007C14A6"/>
    <w:rsid w:val="007C1EF2"/>
    <w:rsid w:val="007C2196"/>
    <w:rsid w:val="007C2910"/>
    <w:rsid w:val="007C2A4C"/>
    <w:rsid w:val="007C3412"/>
    <w:rsid w:val="007C462E"/>
    <w:rsid w:val="007C48B9"/>
    <w:rsid w:val="007C5218"/>
    <w:rsid w:val="007C5349"/>
    <w:rsid w:val="007C546E"/>
    <w:rsid w:val="007C54B4"/>
    <w:rsid w:val="007C58E7"/>
    <w:rsid w:val="007C5B3F"/>
    <w:rsid w:val="007C60EA"/>
    <w:rsid w:val="007C642D"/>
    <w:rsid w:val="007C74DF"/>
    <w:rsid w:val="007C77F1"/>
    <w:rsid w:val="007C7A6E"/>
    <w:rsid w:val="007D0410"/>
    <w:rsid w:val="007D2771"/>
    <w:rsid w:val="007D310F"/>
    <w:rsid w:val="007D3296"/>
    <w:rsid w:val="007D40B6"/>
    <w:rsid w:val="007D439B"/>
    <w:rsid w:val="007D4449"/>
    <w:rsid w:val="007D4626"/>
    <w:rsid w:val="007D4C43"/>
    <w:rsid w:val="007D4C4F"/>
    <w:rsid w:val="007D596D"/>
    <w:rsid w:val="007D5AD7"/>
    <w:rsid w:val="007D5EA9"/>
    <w:rsid w:val="007D614A"/>
    <w:rsid w:val="007D6218"/>
    <w:rsid w:val="007D6ACD"/>
    <w:rsid w:val="007D6CB1"/>
    <w:rsid w:val="007D6F9A"/>
    <w:rsid w:val="007D7081"/>
    <w:rsid w:val="007D7128"/>
    <w:rsid w:val="007D7B30"/>
    <w:rsid w:val="007E06DC"/>
    <w:rsid w:val="007E0D2E"/>
    <w:rsid w:val="007E14D7"/>
    <w:rsid w:val="007E2223"/>
    <w:rsid w:val="007E2AFE"/>
    <w:rsid w:val="007E40DC"/>
    <w:rsid w:val="007E412F"/>
    <w:rsid w:val="007E42C2"/>
    <w:rsid w:val="007E4B86"/>
    <w:rsid w:val="007E5AD5"/>
    <w:rsid w:val="007E71F8"/>
    <w:rsid w:val="007E764B"/>
    <w:rsid w:val="007E77E9"/>
    <w:rsid w:val="007F0C8B"/>
    <w:rsid w:val="007F0D48"/>
    <w:rsid w:val="007F1AD5"/>
    <w:rsid w:val="007F1EAE"/>
    <w:rsid w:val="007F3166"/>
    <w:rsid w:val="007F31BF"/>
    <w:rsid w:val="007F454F"/>
    <w:rsid w:val="007F46FF"/>
    <w:rsid w:val="007F5CE0"/>
    <w:rsid w:val="007F62DE"/>
    <w:rsid w:val="007F6C88"/>
    <w:rsid w:val="007F6CE4"/>
    <w:rsid w:val="007F6FD5"/>
    <w:rsid w:val="007F74C5"/>
    <w:rsid w:val="007F7817"/>
    <w:rsid w:val="007F7B09"/>
    <w:rsid w:val="007F7BF3"/>
    <w:rsid w:val="007F7E9D"/>
    <w:rsid w:val="008004C3"/>
    <w:rsid w:val="00800893"/>
    <w:rsid w:val="00800CDD"/>
    <w:rsid w:val="00801863"/>
    <w:rsid w:val="00802335"/>
    <w:rsid w:val="00802AB8"/>
    <w:rsid w:val="0080380B"/>
    <w:rsid w:val="0080427C"/>
    <w:rsid w:val="008056D0"/>
    <w:rsid w:val="008063A1"/>
    <w:rsid w:val="00806C6F"/>
    <w:rsid w:val="008071EC"/>
    <w:rsid w:val="00807405"/>
    <w:rsid w:val="00807F79"/>
    <w:rsid w:val="008100FA"/>
    <w:rsid w:val="00810672"/>
    <w:rsid w:val="008110E8"/>
    <w:rsid w:val="0081125C"/>
    <w:rsid w:val="0081148C"/>
    <w:rsid w:val="00812610"/>
    <w:rsid w:val="008130B0"/>
    <w:rsid w:val="00813A94"/>
    <w:rsid w:val="00813D0F"/>
    <w:rsid w:val="00813F8A"/>
    <w:rsid w:val="00814CC8"/>
    <w:rsid w:val="00814D95"/>
    <w:rsid w:val="008150B6"/>
    <w:rsid w:val="00816851"/>
    <w:rsid w:val="00820576"/>
    <w:rsid w:val="00820816"/>
    <w:rsid w:val="0082083C"/>
    <w:rsid w:val="00820CBD"/>
    <w:rsid w:val="00821B32"/>
    <w:rsid w:val="00821DFF"/>
    <w:rsid w:val="0082235C"/>
    <w:rsid w:val="00823052"/>
    <w:rsid w:val="00823237"/>
    <w:rsid w:val="008235F1"/>
    <w:rsid w:val="00823620"/>
    <w:rsid w:val="0082433D"/>
    <w:rsid w:val="008244F1"/>
    <w:rsid w:val="0082477B"/>
    <w:rsid w:val="00824F1E"/>
    <w:rsid w:val="0082534B"/>
    <w:rsid w:val="0082587A"/>
    <w:rsid w:val="00825C82"/>
    <w:rsid w:val="00826333"/>
    <w:rsid w:val="0082783A"/>
    <w:rsid w:val="00832333"/>
    <w:rsid w:val="008325B9"/>
    <w:rsid w:val="00832C26"/>
    <w:rsid w:val="008330E1"/>
    <w:rsid w:val="0083329D"/>
    <w:rsid w:val="008333FE"/>
    <w:rsid w:val="00833CC1"/>
    <w:rsid w:val="00833F37"/>
    <w:rsid w:val="0083417A"/>
    <w:rsid w:val="0083419D"/>
    <w:rsid w:val="008342EC"/>
    <w:rsid w:val="00834BAB"/>
    <w:rsid w:val="00834DB9"/>
    <w:rsid w:val="00835E3D"/>
    <w:rsid w:val="008362C3"/>
    <w:rsid w:val="0083637E"/>
    <w:rsid w:val="008364CF"/>
    <w:rsid w:val="008367BE"/>
    <w:rsid w:val="00836A16"/>
    <w:rsid w:val="00836F3E"/>
    <w:rsid w:val="00837150"/>
    <w:rsid w:val="00837381"/>
    <w:rsid w:val="0083789B"/>
    <w:rsid w:val="00840506"/>
    <w:rsid w:val="00840FD6"/>
    <w:rsid w:val="00841416"/>
    <w:rsid w:val="008417D1"/>
    <w:rsid w:val="0084182E"/>
    <w:rsid w:val="00841846"/>
    <w:rsid w:val="00841D95"/>
    <w:rsid w:val="00843364"/>
    <w:rsid w:val="00843A56"/>
    <w:rsid w:val="00843E9E"/>
    <w:rsid w:val="00844FBE"/>
    <w:rsid w:val="008454FC"/>
    <w:rsid w:val="00845659"/>
    <w:rsid w:val="008456CF"/>
    <w:rsid w:val="00850386"/>
    <w:rsid w:val="00850A70"/>
    <w:rsid w:val="00851191"/>
    <w:rsid w:val="0085125B"/>
    <w:rsid w:val="00851E38"/>
    <w:rsid w:val="008541EF"/>
    <w:rsid w:val="00854525"/>
    <w:rsid w:val="00854621"/>
    <w:rsid w:val="008559C3"/>
    <w:rsid w:val="00855E06"/>
    <w:rsid w:val="008562FE"/>
    <w:rsid w:val="00856BC8"/>
    <w:rsid w:val="00856C4C"/>
    <w:rsid w:val="00857A18"/>
    <w:rsid w:val="0086003E"/>
    <w:rsid w:val="0086006D"/>
    <w:rsid w:val="0086008E"/>
    <w:rsid w:val="008608C9"/>
    <w:rsid w:val="00861115"/>
    <w:rsid w:val="0086337F"/>
    <w:rsid w:val="0086338C"/>
    <w:rsid w:val="008633A2"/>
    <w:rsid w:val="008634DB"/>
    <w:rsid w:val="008638CB"/>
    <w:rsid w:val="0086437F"/>
    <w:rsid w:val="00864517"/>
    <w:rsid w:val="008651F6"/>
    <w:rsid w:val="00865860"/>
    <w:rsid w:val="008659DC"/>
    <w:rsid w:val="008665F5"/>
    <w:rsid w:val="00866967"/>
    <w:rsid w:val="008669F8"/>
    <w:rsid w:val="00866C81"/>
    <w:rsid w:val="0087025A"/>
    <w:rsid w:val="0087092D"/>
    <w:rsid w:val="00871138"/>
    <w:rsid w:val="0087152A"/>
    <w:rsid w:val="0087197F"/>
    <w:rsid w:val="00871EDE"/>
    <w:rsid w:val="00872741"/>
    <w:rsid w:val="008733DC"/>
    <w:rsid w:val="0087340E"/>
    <w:rsid w:val="00874519"/>
    <w:rsid w:val="00874C9D"/>
    <w:rsid w:val="00874E8E"/>
    <w:rsid w:val="00875240"/>
    <w:rsid w:val="008756BD"/>
    <w:rsid w:val="00875754"/>
    <w:rsid w:val="008757EF"/>
    <w:rsid w:val="00876200"/>
    <w:rsid w:val="00876383"/>
    <w:rsid w:val="00876CC8"/>
    <w:rsid w:val="00876F25"/>
    <w:rsid w:val="008802DC"/>
    <w:rsid w:val="008803CC"/>
    <w:rsid w:val="00881526"/>
    <w:rsid w:val="00881B93"/>
    <w:rsid w:val="008827C8"/>
    <w:rsid w:val="008828BD"/>
    <w:rsid w:val="00883969"/>
    <w:rsid w:val="00884F75"/>
    <w:rsid w:val="0088503C"/>
    <w:rsid w:val="0088512E"/>
    <w:rsid w:val="008854CA"/>
    <w:rsid w:val="00885CE8"/>
    <w:rsid w:val="00886150"/>
    <w:rsid w:val="008864B7"/>
    <w:rsid w:val="00887695"/>
    <w:rsid w:val="008879F7"/>
    <w:rsid w:val="00887C4B"/>
    <w:rsid w:val="00887FA5"/>
    <w:rsid w:val="00890AB9"/>
    <w:rsid w:val="00891727"/>
    <w:rsid w:val="00892AD0"/>
    <w:rsid w:val="00892D35"/>
    <w:rsid w:val="00893191"/>
    <w:rsid w:val="00893501"/>
    <w:rsid w:val="00893DB7"/>
    <w:rsid w:val="00894364"/>
    <w:rsid w:val="008945E7"/>
    <w:rsid w:val="00896178"/>
    <w:rsid w:val="00896282"/>
    <w:rsid w:val="008964E2"/>
    <w:rsid w:val="00896535"/>
    <w:rsid w:val="00897F47"/>
    <w:rsid w:val="008A0079"/>
    <w:rsid w:val="008A01F4"/>
    <w:rsid w:val="008A027C"/>
    <w:rsid w:val="008A0402"/>
    <w:rsid w:val="008A172F"/>
    <w:rsid w:val="008A1E1D"/>
    <w:rsid w:val="008A1FC0"/>
    <w:rsid w:val="008A2322"/>
    <w:rsid w:val="008A251B"/>
    <w:rsid w:val="008A258D"/>
    <w:rsid w:val="008A26D7"/>
    <w:rsid w:val="008A3391"/>
    <w:rsid w:val="008A40A3"/>
    <w:rsid w:val="008A4192"/>
    <w:rsid w:val="008A41B6"/>
    <w:rsid w:val="008A4D06"/>
    <w:rsid w:val="008A5707"/>
    <w:rsid w:val="008A5AD4"/>
    <w:rsid w:val="008A5BE2"/>
    <w:rsid w:val="008A652F"/>
    <w:rsid w:val="008A6960"/>
    <w:rsid w:val="008A711B"/>
    <w:rsid w:val="008B03A7"/>
    <w:rsid w:val="008B10EA"/>
    <w:rsid w:val="008B1626"/>
    <w:rsid w:val="008B1AD1"/>
    <w:rsid w:val="008B27CA"/>
    <w:rsid w:val="008B3D57"/>
    <w:rsid w:val="008B3F33"/>
    <w:rsid w:val="008B44E5"/>
    <w:rsid w:val="008B480B"/>
    <w:rsid w:val="008B49C0"/>
    <w:rsid w:val="008B4A47"/>
    <w:rsid w:val="008B4E6F"/>
    <w:rsid w:val="008B666A"/>
    <w:rsid w:val="008B6690"/>
    <w:rsid w:val="008B69BE"/>
    <w:rsid w:val="008B6A57"/>
    <w:rsid w:val="008B6BEF"/>
    <w:rsid w:val="008C08EF"/>
    <w:rsid w:val="008C0D58"/>
    <w:rsid w:val="008C1536"/>
    <w:rsid w:val="008C1CF9"/>
    <w:rsid w:val="008C2B47"/>
    <w:rsid w:val="008C348E"/>
    <w:rsid w:val="008C4073"/>
    <w:rsid w:val="008C40C1"/>
    <w:rsid w:val="008C434C"/>
    <w:rsid w:val="008C4658"/>
    <w:rsid w:val="008C4DE9"/>
    <w:rsid w:val="008C6089"/>
    <w:rsid w:val="008C67A6"/>
    <w:rsid w:val="008C6A36"/>
    <w:rsid w:val="008C6DF8"/>
    <w:rsid w:val="008C7736"/>
    <w:rsid w:val="008C7D0E"/>
    <w:rsid w:val="008C7E86"/>
    <w:rsid w:val="008D01D6"/>
    <w:rsid w:val="008D05C5"/>
    <w:rsid w:val="008D08CF"/>
    <w:rsid w:val="008D14AD"/>
    <w:rsid w:val="008D1AB7"/>
    <w:rsid w:val="008D1B88"/>
    <w:rsid w:val="008D20BD"/>
    <w:rsid w:val="008D2851"/>
    <w:rsid w:val="008D2B4C"/>
    <w:rsid w:val="008D2E8E"/>
    <w:rsid w:val="008D3B48"/>
    <w:rsid w:val="008D3BAB"/>
    <w:rsid w:val="008D41E2"/>
    <w:rsid w:val="008D49E0"/>
    <w:rsid w:val="008D4C2D"/>
    <w:rsid w:val="008D5718"/>
    <w:rsid w:val="008D5DE7"/>
    <w:rsid w:val="008D6135"/>
    <w:rsid w:val="008D7735"/>
    <w:rsid w:val="008E10CF"/>
    <w:rsid w:val="008E1A27"/>
    <w:rsid w:val="008E23BF"/>
    <w:rsid w:val="008E318B"/>
    <w:rsid w:val="008E399D"/>
    <w:rsid w:val="008E4257"/>
    <w:rsid w:val="008E4D03"/>
    <w:rsid w:val="008E4EB3"/>
    <w:rsid w:val="008E5041"/>
    <w:rsid w:val="008E5391"/>
    <w:rsid w:val="008E57D7"/>
    <w:rsid w:val="008E6D00"/>
    <w:rsid w:val="008E7279"/>
    <w:rsid w:val="008E732E"/>
    <w:rsid w:val="008E74B1"/>
    <w:rsid w:val="008E7DC1"/>
    <w:rsid w:val="008F03BD"/>
    <w:rsid w:val="008F2126"/>
    <w:rsid w:val="008F2C34"/>
    <w:rsid w:val="008F30AA"/>
    <w:rsid w:val="008F3174"/>
    <w:rsid w:val="008F41C0"/>
    <w:rsid w:val="008F496A"/>
    <w:rsid w:val="008F4A0A"/>
    <w:rsid w:val="008F52B7"/>
    <w:rsid w:val="008F5F96"/>
    <w:rsid w:val="008F6AD7"/>
    <w:rsid w:val="008F710F"/>
    <w:rsid w:val="008F74F0"/>
    <w:rsid w:val="008F7A6E"/>
    <w:rsid w:val="008F7BEB"/>
    <w:rsid w:val="009003F0"/>
    <w:rsid w:val="0090057E"/>
    <w:rsid w:val="00900E38"/>
    <w:rsid w:val="00900E6C"/>
    <w:rsid w:val="00901ACA"/>
    <w:rsid w:val="00901ED1"/>
    <w:rsid w:val="00901F22"/>
    <w:rsid w:val="00901F5D"/>
    <w:rsid w:val="0090243B"/>
    <w:rsid w:val="00902F78"/>
    <w:rsid w:val="00903D04"/>
    <w:rsid w:val="00903DA1"/>
    <w:rsid w:val="00904003"/>
    <w:rsid w:val="00905BC7"/>
    <w:rsid w:val="00906882"/>
    <w:rsid w:val="009071BB"/>
    <w:rsid w:val="0090799A"/>
    <w:rsid w:val="00911057"/>
    <w:rsid w:val="009112B6"/>
    <w:rsid w:val="0091174F"/>
    <w:rsid w:val="00912E2F"/>
    <w:rsid w:val="00913214"/>
    <w:rsid w:val="00913742"/>
    <w:rsid w:val="00915673"/>
    <w:rsid w:val="00916424"/>
    <w:rsid w:val="00916BD1"/>
    <w:rsid w:val="00917226"/>
    <w:rsid w:val="009173F4"/>
    <w:rsid w:val="00920103"/>
    <w:rsid w:val="0092063C"/>
    <w:rsid w:val="00921407"/>
    <w:rsid w:val="00922E1A"/>
    <w:rsid w:val="00923602"/>
    <w:rsid w:val="009236B4"/>
    <w:rsid w:val="00923721"/>
    <w:rsid w:val="0092387D"/>
    <w:rsid w:val="00923F68"/>
    <w:rsid w:val="009240BF"/>
    <w:rsid w:val="009242E8"/>
    <w:rsid w:val="009257F6"/>
    <w:rsid w:val="00925842"/>
    <w:rsid w:val="00925B89"/>
    <w:rsid w:val="0092647F"/>
    <w:rsid w:val="009268D0"/>
    <w:rsid w:val="00926B36"/>
    <w:rsid w:val="00926E45"/>
    <w:rsid w:val="00927892"/>
    <w:rsid w:val="00927984"/>
    <w:rsid w:val="00927AD6"/>
    <w:rsid w:val="00927B1F"/>
    <w:rsid w:val="00927F44"/>
    <w:rsid w:val="00930E7C"/>
    <w:rsid w:val="009318DC"/>
    <w:rsid w:val="00931C89"/>
    <w:rsid w:val="00931F4A"/>
    <w:rsid w:val="009325FF"/>
    <w:rsid w:val="0093284F"/>
    <w:rsid w:val="0093300E"/>
    <w:rsid w:val="00933917"/>
    <w:rsid w:val="009344D8"/>
    <w:rsid w:val="00934F28"/>
    <w:rsid w:val="0093725F"/>
    <w:rsid w:val="00937D7A"/>
    <w:rsid w:val="00937E04"/>
    <w:rsid w:val="009410A1"/>
    <w:rsid w:val="00941954"/>
    <w:rsid w:val="009424C6"/>
    <w:rsid w:val="00942A52"/>
    <w:rsid w:val="0094361C"/>
    <w:rsid w:val="00945C2F"/>
    <w:rsid w:val="00945E2E"/>
    <w:rsid w:val="009461E0"/>
    <w:rsid w:val="00947659"/>
    <w:rsid w:val="009517B7"/>
    <w:rsid w:val="00951DAF"/>
    <w:rsid w:val="00952192"/>
    <w:rsid w:val="009527B4"/>
    <w:rsid w:val="00952900"/>
    <w:rsid w:val="00952F76"/>
    <w:rsid w:val="0095319F"/>
    <w:rsid w:val="00953819"/>
    <w:rsid w:val="00953DF0"/>
    <w:rsid w:val="00954A45"/>
    <w:rsid w:val="009554FF"/>
    <w:rsid w:val="00955E2D"/>
    <w:rsid w:val="00955FE7"/>
    <w:rsid w:val="00956EC2"/>
    <w:rsid w:val="00956FCD"/>
    <w:rsid w:val="00957D7E"/>
    <w:rsid w:val="00957E9B"/>
    <w:rsid w:val="0096062C"/>
    <w:rsid w:val="00961F65"/>
    <w:rsid w:val="00962941"/>
    <w:rsid w:val="00963113"/>
    <w:rsid w:val="00963458"/>
    <w:rsid w:val="00963545"/>
    <w:rsid w:val="00963771"/>
    <w:rsid w:val="00964A0B"/>
    <w:rsid w:val="00964ED4"/>
    <w:rsid w:val="0096545A"/>
    <w:rsid w:val="009655BE"/>
    <w:rsid w:val="00965977"/>
    <w:rsid w:val="009659EB"/>
    <w:rsid w:val="00965A92"/>
    <w:rsid w:val="00965B05"/>
    <w:rsid w:val="00967118"/>
    <w:rsid w:val="009717AF"/>
    <w:rsid w:val="00971908"/>
    <w:rsid w:val="00971F0A"/>
    <w:rsid w:val="0097253D"/>
    <w:rsid w:val="0097300C"/>
    <w:rsid w:val="0097313E"/>
    <w:rsid w:val="00973499"/>
    <w:rsid w:val="009735DB"/>
    <w:rsid w:val="00973986"/>
    <w:rsid w:val="0097403D"/>
    <w:rsid w:val="00974DF3"/>
    <w:rsid w:val="0097553F"/>
    <w:rsid w:val="00976863"/>
    <w:rsid w:val="00977737"/>
    <w:rsid w:val="00977C1F"/>
    <w:rsid w:val="00980460"/>
    <w:rsid w:val="00980721"/>
    <w:rsid w:val="00980B10"/>
    <w:rsid w:val="00980B9B"/>
    <w:rsid w:val="00980D6C"/>
    <w:rsid w:val="0098114D"/>
    <w:rsid w:val="009818DE"/>
    <w:rsid w:val="00981E96"/>
    <w:rsid w:val="00982377"/>
    <w:rsid w:val="00982383"/>
    <w:rsid w:val="009823EB"/>
    <w:rsid w:val="00982E71"/>
    <w:rsid w:val="00983CF0"/>
    <w:rsid w:val="00983D82"/>
    <w:rsid w:val="00983F7C"/>
    <w:rsid w:val="00984333"/>
    <w:rsid w:val="00985242"/>
    <w:rsid w:val="009852B0"/>
    <w:rsid w:val="00985DCB"/>
    <w:rsid w:val="00985E4B"/>
    <w:rsid w:val="00986180"/>
    <w:rsid w:val="009864CE"/>
    <w:rsid w:val="00986724"/>
    <w:rsid w:val="00987272"/>
    <w:rsid w:val="00987288"/>
    <w:rsid w:val="0098736E"/>
    <w:rsid w:val="009873E6"/>
    <w:rsid w:val="00987B7A"/>
    <w:rsid w:val="0099039E"/>
    <w:rsid w:val="0099057D"/>
    <w:rsid w:val="009905FA"/>
    <w:rsid w:val="00990A7F"/>
    <w:rsid w:val="009910BD"/>
    <w:rsid w:val="009919A8"/>
    <w:rsid w:val="00991B70"/>
    <w:rsid w:val="00991C4A"/>
    <w:rsid w:val="00992B59"/>
    <w:rsid w:val="00992FF7"/>
    <w:rsid w:val="0099330F"/>
    <w:rsid w:val="00993A2D"/>
    <w:rsid w:val="0099413F"/>
    <w:rsid w:val="0099438D"/>
    <w:rsid w:val="0099458A"/>
    <w:rsid w:val="00994B79"/>
    <w:rsid w:val="00994FA6"/>
    <w:rsid w:val="00995119"/>
    <w:rsid w:val="009952C2"/>
    <w:rsid w:val="0099615E"/>
    <w:rsid w:val="00996C35"/>
    <w:rsid w:val="00996E24"/>
    <w:rsid w:val="00997431"/>
    <w:rsid w:val="00997777"/>
    <w:rsid w:val="00997D9B"/>
    <w:rsid w:val="009A144F"/>
    <w:rsid w:val="009A261E"/>
    <w:rsid w:val="009A2F77"/>
    <w:rsid w:val="009A32E1"/>
    <w:rsid w:val="009A4855"/>
    <w:rsid w:val="009A49D9"/>
    <w:rsid w:val="009A55E0"/>
    <w:rsid w:val="009A55F9"/>
    <w:rsid w:val="009A5E91"/>
    <w:rsid w:val="009A625D"/>
    <w:rsid w:val="009A6494"/>
    <w:rsid w:val="009A64F2"/>
    <w:rsid w:val="009A6523"/>
    <w:rsid w:val="009A6571"/>
    <w:rsid w:val="009A6EEE"/>
    <w:rsid w:val="009A744D"/>
    <w:rsid w:val="009A76AF"/>
    <w:rsid w:val="009A77E6"/>
    <w:rsid w:val="009B01C6"/>
    <w:rsid w:val="009B072E"/>
    <w:rsid w:val="009B0BA1"/>
    <w:rsid w:val="009B0EBB"/>
    <w:rsid w:val="009B1B77"/>
    <w:rsid w:val="009B200C"/>
    <w:rsid w:val="009B2276"/>
    <w:rsid w:val="009B2349"/>
    <w:rsid w:val="009B2477"/>
    <w:rsid w:val="009B24B4"/>
    <w:rsid w:val="009B252E"/>
    <w:rsid w:val="009B2BD6"/>
    <w:rsid w:val="009B2CE6"/>
    <w:rsid w:val="009B3A64"/>
    <w:rsid w:val="009B4209"/>
    <w:rsid w:val="009B4C42"/>
    <w:rsid w:val="009B4D75"/>
    <w:rsid w:val="009B599F"/>
    <w:rsid w:val="009B65DE"/>
    <w:rsid w:val="009B65F7"/>
    <w:rsid w:val="009B6A22"/>
    <w:rsid w:val="009B6BA7"/>
    <w:rsid w:val="009B7810"/>
    <w:rsid w:val="009C07A5"/>
    <w:rsid w:val="009C115D"/>
    <w:rsid w:val="009C11A2"/>
    <w:rsid w:val="009C16B1"/>
    <w:rsid w:val="009C1AE0"/>
    <w:rsid w:val="009C1DF8"/>
    <w:rsid w:val="009C312E"/>
    <w:rsid w:val="009C3F6A"/>
    <w:rsid w:val="009C46BC"/>
    <w:rsid w:val="009C4E08"/>
    <w:rsid w:val="009C51AF"/>
    <w:rsid w:val="009C5559"/>
    <w:rsid w:val="009C5603"/>
    <w:rsid w:val="009C651E"/>
    <w:rsid w:val="009C6DEF"/>
    <w:rsid w:val="009C761F"/>
    <w:rsid w:val="009D084F"/>
    <w:rsid w:val="009D090D"/>
    <w:rsid w:val="009D0BD6"/>
    <w:rsid w:val="009D17A7"/>
    <w:rsid w:val="009D1EE8"/>
    <w:rsid w:val="009D24F3"/>
    <w:rsid w:val="009D2713"/>
    <w:rsid w:val="009D3678"/>
    <w:rsid w:val="009D3850"/>
    <w:rsid w:val="009D4DB9"/>
    <w:rsid w:val="009D5555"/>
    <w:rsid w:val="009D6444"/>
    <w:rsid w:val="009D653A"/>
    <w:rsid w:val="009D6A4D"/>
    <w:rsid w:val="009D7457"/>
    <w:rsid w:val="009D746B"/>
    <w:rsid w:val="009D7C95"/>
    <w:rsid w:val="009E0655"/>
    <w:rsid w:val="009E08B7"/>
    <w:rsid w:val="009E18C6"/>
    <w:rsid w:val="009E1E83"/>
    <w:rsid w:val="009E1F4D"/>
    <w:rsid w:val="009E23E4"/>
    <w:rsid w:val="009E3119"/>
    <w:rsid w:val="009E4789"/>
    <w:rsid w:val="009E4821"/>
    <w:rsid w:val="009E5581"/>
    <w:rsid w:val="009E5CDA"/>
    <w:rsid w:val="009E65F6"/>
    <w:rsid w:val="009E6947"/>
    <w:rsid w:val="009E6BDE"/>
    <w:rsid w:val="009E75F0"/>
    <w:rsid w:val="009E7ACF"/>
    <w:rsid w:val="009E7D2C"/>
    <w:rsid w:val="009F0498"/>
    <w:rsid w:val="009F04C4"/>
    <w:rsid w:val="009F092B"/>
    <w:rsid w:val="009F202A"/>
    <w:rsid w:val="009F2152"/>
    <w:rsid w:val="009F2B80"/>
    <w:rsid w:val="009F2BB4"/>
    <w:rsid w:val="009F2F44"/>
    <w:rsid w:val="009F368C"/>
    <w:rsid w:val="009F4216"/>
    <w:rsid w:val="009F5950"/>
    <w:rsid w:val="009F61AB"/>
    <w:rsid w:val="009F62A2"/>
    <w:rsid w:val="009F6502"/>
    <w:rsid w:val="009F6BC5"/>
    <w:rsid w:val="009F7814"/>
    <w:rsid w:val="009F7A8A"/>
    <w:rsid w:val="009F7AAE"/>
    <w:rsid w:val="00A00D3B"/>
    <w:rsid w:val="00A0195E"/>
    <w:rsid w:val="00A0341D"/>
    <w:rsid w:val="00A03FF9"/>
    <w:rsid w:val="00A042DD"/>
    <w:rsid w:val="00A04BB4"/>
    <w:rsid w:val="00A04F9A"/>
    <w:rsid w:val="00A052BE"/>
    <w:rsid w:val="00A0566D"/>
    <w:rsid w:val="00A05746"/>
    <w:rsid w:val="00A070AF"/>
    <w:rsid w:val="00A07705"/>
    <w:rsid w:val="00A07989"/>
    <w:rsid w:val="00A07A37"/>
    <w:rsid w:val="00A10218"/>
    <w:rsid w:val="00A1031C"/>
    <w:rsid w:val="00A10975"/>
    <w:rsid w:val="00A10AB4"/>
    <w:rsid w:val="00A115C1"/>
    <w:rsid w:val="00A11791"/>
    <w:rsid w:val="00A11AB9"/>
    <w:rsid w:val="00A12411"/>
    <w:rsid w:val="00A12740"/>
    <w:rsid w:val="00A12A40"/>
    <w:rsid w:val="00A12F5A"/>
    <w:rsid w:val="00A13423"/>
    <w:rsid w:val="00A13C58"/>
    <w:rsid w:val="00A146BA"/>
    <w:rsid w:val="00A14D14"/>
    <w:rsid w:val="00A14D6E"/>
    <w:rsid w:val="00A15EBC"/>
    <w:rsid w:val="00A17273"/>
    <w:rsid w:val="00A216FA"/>
    <w:rsid w:val="00A21CAC"/>
    <w:rsid w:val="00A2296A"/>
    <w:rsid w:val="00A23671"/>
    <w:rsid w:val="00A23E32"/>
    <w:rsid w:val="00A240F0"/>
    <w:rsid w:val="00A24D15"/>
    <w:rsid w:val="00A24EB5"/>
    <w:rsid w:val="00A25365"/>
    <w:rsid w:val="00A254A8"/>
    <w:rsid w:val="00A25CBF"/>
    <w:rsid w:val="00A2626B"/>
    <w:rsid w:val="00A26502"/>
    <w:rsid w:val="00A26957"/>
    <w:rsid w:val="00A27258"/>
    <w:rsid w:val="00A30035"/>
    <w:rsid w:val="00A300B8"/>
    <w:rsid w:val="00A30252"/>
    <w:rsid w:val="00A30604"/>
    <w:rsid w:val="00A31CDB"/>
    <w:rsid w:val="00A32E49"/>
    <w:rsid w:val="00A3333F"/>
    <w:rsid w:val="00A3338E"/>
    <w:rsid w:val="00A3371B"/>
    <w:rsid w:val="00A342D4"/>
    <w:rsid w:val="00A356AD"/>
    <w:rsid w:val="00A35AD1"/>
    <w:rsid w:val="00A36552"/>
    <w:rsid w:val="00A367EC"/>
    <w:rsid w:val="00A36C31"/>
    <w:rsid w:val="00A36C4F"/>
    <w:rsid w:val="00A377DC"/>
    <w:rsid w:val="00A37A8E"/>
    <w:rsid w:val="00A40205"/>
    <w:rsid w:val="00A40220"/>
    <w:rsid w:val="00A40255"/>
    <w:rsid w:val="00A40ACA"/>
    <w:rsid w:val="00A40DD7"/>
    <w:rsid w:val="00A412A3"/>
    <w:rsid w:val="00A428DB"/>
    <w:rsid w:val="00A431CF"/>
    <w:rsid w:val="00A43472"/>
    <w:rsid w:val="00A437E4"/>
    <w:rsid w:val="00A438A4"/>
    <w:rsid w:val="00A444E4"/>
    <w:rsid w:val="00A4457B"/>
    <w:rsid w:val="00A46172"/>
    <w:rsid w:val="00A4640F"/>
    <w:rsid w:val="00A46769"/>
    <w:rsid w:val="00A47F71"/>
    <w:rsid w:val="00A502B7"/>
    <w:rsid w:val="00A502E3"/>
    <w:rsid w:val="00A503BB"/>
    <w:rsid w:val="00A519BA"/>
    <w:rsid w:val="00A526C7"/>
    <w:rsid w:val="00A52DB5"/>
    <w:rsid w:val="00A53440"/>
    <w:rsid w:val="00A53E2E"/>
    <w:rsid w:val="00A54093"/>
    <w:rsid w:val="00A54882"/>
    <w:rsid w:val="00A54A70"/>
    <w:rsid w:val="00A559B6"/>
    <w:rsid w:val="00A55DEC"/>
    <w:rsid w:val="00A56167"/>
    <w:rsid w:val="00A56ACB"/>
    <w:rsid w:val="00A572EF"/>
    <w:rsid w:val="00A60784"/>
    <w:rsid w:val="00A60C91"/>
    <w:rsid w:val="00A60E91"/>
    <w:rsid w:val="00A618CA"/>
    <w:rsid w:val="00A61E73"/>
    <w:rsid w:val="00A6255A"/>
    <w:rsid w:val="00A6326A"/>
    <w:rsid w:val="00A6360C"/>
    <w:rsid w:val="00A64DBF"/>
    <w:rsid w:val="00A65564"/>
    <w:rsid w:val="00A65842"/>
    <w:rsid w:val="00A65E89"/>
    <w:rsid w:val="00A65EF8"/>
    <w:rsid w:val="00A661F9"/>
    <w:rsid w:val="00A666A1"/>
    <w:rsid w:val="00A66E34"/>
    <w:rsid w:val="00A676F1"/>
    <w:rsid w:val="00A67AC4"/>
    <w:rsid w:val="00A67B57"/>
    <w:rsid w:val="00A67B6C"/>
    <w:rsid w:val="00A67BCE"/>
    <w:rsid w:val="00A711BC"/>
    <w:rsid w:val="00A717AA"/>
    <w:rsid w:val="00A71C2C"/>
    <w:rsid w:val="00A72440"/>
    <w:rsid w:val="00A72A0E"/>
    <w:rsid w:val="00A73593"/>
    <w:rsid w:val="00A73DC6"/>
    <w:rsid w:val="00A746CB"/>
    <w:rsid w:val="00A749E7"/>
    <w:rsid w:val="00A74A03"/>
    <w:rsid w:val="00A7523E"/>
    <w:rsid w:val="00A75590"/>
    <w:rsid w:val="00A75DEE"/>
    <w:rsid w:val="00A76059"/>
    <w:rsid w:val="00A760A2"/>
    <w:rsid w:val="00A767FF"/>
    <w:rsid w:val="00A76F64"/>
    <w:rsid w:val="00A7724B"/>
    <w:rsid w:val="00A77548"/>
    <w:rsid w:val="00A77CBF"/>
    <w:rsid w:val="00A80096"/>
    <w:rsid w:val="00A80A8F"/>
    <w:rsid w:val="00A810FA"/>
    <w:rsid w:val="00A8135D"/>
    <w:rsid w:val="00A81462"/>
    <w:rsid w:val="00A817DF"/>
    <w:rsid w:val="00A817E1"/>
    <w:rsid w:val="00A81AFE"/>
    <w:rsid w:val="00A82836"/>
    <w:rsid w:val="00A82D47"/>
    <w:rsid w:val="00A84675"/>
    <w:rsid w:val="00A85021"/>
    <w:rsid w:val="00A852A5"/>
    <w:rsid w:val="00A85CDE"/>
    <w:rsid w:val="00A85F14"/>
    <w:rsid w:val="00A86361"/>
    <w:rsid w:val="00A8778F"/>
    <w:rsid w:val="00A87E08"/>
    <w:rsid w:val="00A9066B"/>
    <w:rsid w:val="00A90698"/>
    <w:rsid w:val="00A9140D"/>
    <w:rsid w:val="00A9149A"/>
    <w:rsid w:val="00A91A57"/>
    <w:rsid w:val="00A9231B"/>
    <w:rsid w:val="00A92697"/>
    <w:rsid w:val="00A926A7"/>
    <w:rsid w:val="00A92FB0"/>
    <w:rsid w:val="00A9353A"/>
    <w:rsid w:val="00A935CE"/>
    <w:rsid w:val="00A93D68"/>
    <w:rsid w:val="00A94CBA"/>
    <w:rsid w:val="00A95DBD"/>
    <w:rsid w:val="00A95EE6"/>
    <w:rsid w:val="00A95FBA"/>
    <w:rsid w:val="00A96151"/>
    <w:rsid w:val="00A96A63"/>
    <w:rsid w:val="00AA0390"/>
    <w:rsid w:val="00AA0447"/>
    <w:rsid w:val="00AA0931"/>
    <w:rsid w:val="00AA13F9"/>
    <w:rsid w:val="00AA14CC"/>
    <w:rsid w:val="00AA166B"/>
    <w:rsid w:val="00AA178C"/>
    <w:rsid w:val="00AA17C6"/>
    <w:rsid w:val="00AA191D"/>
    <w:rsid w:val="00AA2D6B"/>
    <w:rsid w:val="00AA35A7"/>
    <w:rsid w:val="00AA46AC"/>
    <w:rsid w:val="00AA4FF7"/>
    <w:rsid w:val="00AA530C"/>
    <w:rsid w:val="00AA5E20"/>
    <w:rsid w:val="00AA6269"/>
    <w:rsid w:val="00AA627E"/>
    <w:rsid w:val="00AA6D53"/>
    <w:rsid w:val="00AA741F"/>
    <w:rsid w:val="00AA7D83"/>
    <w:rsid w:val="00AB08CA"/>
    <w:rsid w:val="00AB0CC8"/>
    <w:rsid w:val="00AB0EF2"/>
    <w:rsid w:val="00AB0F04"/>
    <w:rsid w:val="00AB157C"/>
    <w:rsid w:val="00AB19C5"/>
    <w:rsid w:val="00AB1A65"/>
    <w:rsid w:val="00AB1DB0"/>
    <w:rsid w:val="00AB29F4"/>
    <w:rsid w:val="00AB2AA3"/>
    <w:rsid w:val="00AB2CA9"/>
    <w:rsid w:val="00AB2FED"/>
    <w:rsid w:val="00AB60F2"/>
    <w:rsid w:val="00AB66F6"/>
    <w:rsid w:val="00AB6B44"/>
    <w:rsid w:val="00AB6F3E"/>
    <w:rsid w:val="00AB731E"/>
    <w:rsid w:val="00AB76C5"/>
    <w:rsid w:val="00AC0010"/>
    <w:rsid w:val="00AC2268"/>
    <w:rsid w:val="00AC2760"/>
    <w:rsid w:val="00AC28E9"/>
    <w:rsid w:val="00AC2945"/>
    <w:rsid w:val="00AC2E90"/>
    <w:rsid w:val="00AC302A"/>
    <w:rsid w:val="00AC3340"/>
    <w:rsid w:val="00AC3606"/>
    <w:rsid w:val="00AC39E5"/>
    <w:rsid w:val="00AC3C40"/>
    <w:rsid w:val="00AC48E3"/>
    <w:rsid w:val="00AC4D5C"/>
    <w:rsid w:val="00AC53D9"/>
    <w:rsid w:val="00AC58A0"/>
    <w:rsid w:val="00AC5B26"/>
    <w:rsid w:val="00AC62C1"/>
    <w:rsid w:val="00AC692E"/>
    <w:rsid w:val="00AC6AFE"/>
    <w:rsid w:val="00AC73C0"/>
    <w:rsid w:val="00AC74C0"/>
    <w:rsid w:val="00AC7983"/>
    <w:rsid w:val="00AC7EBB"/>
    <w:rsid w:val="00AC7F8E"/>
    <w:rsid w:val="00AD0901"/>
    <w:rsid w:val="00AD1B4F"/>
    <w:rsid w:val="00AD1C9F"/>
    <w:rsid w:val="00AD20FA"/>
    <w:rsid w:val="00AD27A8"/>
    <w:rsid w:val="00AD2DF8"/>
    <w:rsid w:val="00AD30EB"/>
    <w:rsid w:val="00AD470D"/>
    <w:rsid w:val="00AD5D5D"/>
    <w:rsid w:val="00AD71C4"/>
    <w:rsid w:val="00AD7226"/>
    <w:rsid w:val="00AD72EC"/>
    <w:rsid w:val="00AD76DB"/>
    <w:rsid w:val="00AD7924"/>
    <w:rsid w:val="00AE0D2D"/>
    <w:rsid w:val="00AE115E"/>
    <w:rsid w:val="00AE1349"/>
    <w:rsid w:val="00AE16D3"/>
    <w:rsid w:val="00AE19EA"/>
    <w:rsid w:val="00AE3B02"/>
    <w:rsid w:val="00AE4047"/>
    <w:rsid w:val="00AE416C"/>
    <w:rsid w:val="00AE4363"/>
    <w:rsid w:val="00AE439C"/>
    <w:rsid w:val="00AE502C"/>
    <w:rsid w:val="00AE5167"/>
    <w:rsid w:val="00AE5650"/>
    <w:rsid w:val="00AE5812"/>
    <w:rsid w:val="00AE65B2"/>
    <w:rsid w:val="00AE756D"/>
    <w:rsid w:val="00AE7B06"/>
    <w:rsid w:val="00AE7DB5"/>
    <w:rsid w:val="00AE7DD8"/>
    <w:rsid w:val="00AE7DEB"/>
    <w:rsid w:val="00AE7EE6"/>
    <w:rsid w:val="00AF0923"/>
    <w:rsid w:val="00AF2A97"/>
    <w:rsid w:val="00AF3128"/>
    <w:rsid w:val="00AF33A2"/>
    <w:rsid w:val="00AF34AF"/>
    <w:rsid w:val="00AF5564"/>
    <w:rsid w:val="00AF574C"/>
    <w:rsid w:val="00AF5AB2"/>
    <w:rsid w:val="00AF5C3B"/>
    <w:rsid w:val="00AF6244"/>
    <w:rsid w:val="00AF6804"/>
    <w:rsid w:val="00AF76FF"/>
    <w:rsid w:val="00AF7D88"/>
    <w:rsid w:val="00B01181"/>
    <w:rsid w:val="00B01188"/>
    <w:rsid w:val="00B0127C"/>
    <w:rsid w:val="00B025D0"/>
    <w:rsid w:val="00B03769"/>
    <w:rsid w:val="00B044CB"/>
    <w:rsid w:val="00B04B1D"/>
    <w:rsid w:val="00B04D21"/>
    <w:rsid w:val="00B0501E"/>
    <w:rsid w:val="00B0543A"/>
    <w:rsid w:val="00B069DA"/>
    <w:rsid w:val="00B077DD"/>
    <w:rsid w:val="00B1053E"/>
    <w:rsid w:val="00B10AA5"/>
    <w:rsid w:val="00B10B70"/>
    <w:rsid w:val="00B11069"/>
    <w:rsid w:val="00B1163C"/>
    <w:rsid w:val="00B119C3"/>
    <w:rsid w:val="00B11FC1"/>
    <w:rsid w:val="00B12680"/>
    <w:rsid w:val="00B142ED"/>
    <w:rsid w:val="00B1432B"/>
    <w:rsid w:val="00B1532A"/>
    <w:rsid w:val="00B159EB"/>
    <w:rsid w:val="00B15E45"/>
    <w:rsid w:val="00B1624F"/>
    <w:rsid w:val="00B1653A"/>
    <w:rsid w:val="00B166CD"/>
    <w:rsid w:val="00B16A58"/>
    <w:rsid w:val="00B16CC8"/>
    <w:rsid w:val="00B16ED4"/>
    <w:rsid w:val="00B17B52"/>
    <w:rsid w:val="00B17DE0"/>
    <w:rsid w:val="00B17ECF"/>
    <w:rsid w:val="00B201EB"/>
    <w:rsid w:val="00B20396"/>
    <w:rsid w:val="00B20B9A"/>
    <w:rsid w:val="00B20BA3"/>
    <w:rsid w:val="00B20D39"/>
    <w:rsid w:val="00B2161E"/>
    <w:rsid w:val="00B219C9"/>
    <w:rsid w:val="00B22BDB"/>
    <w:rsid w:val="00B23496"/>
    <w:rsid w:val="00B234C3"/>
    <w:rsid w:val="00B23FA3"/>
    <w:rsid w:val="00B247FC"/>
    <w:rsid w:val="00B24CC7"/>
    <w:rsid w:val="00B25A81"/>
    <w:rsid w:val="00B25CAC"/>
    <w:rsid w:val="00B26624"/>
    <w:rsid w:val="00B271EB"/>
    <w:rsid w:val="00B273C8"/>
    <w:rsid w:val="00B273F7"/>
    <w:rsid w:val="00B276EE"/>
    <w:rsid w:val="00B30C00"/>
    <w:rsid w:val="00B30D0E"/>
    <w:rsid w:val="00B30F2C"/>
    <w:rsid w:val="00B310A0"/>
    <w:rsid w:val="00B3155B"/>
    <w:rsid w:val="00B32541"/>
    <w:rsid w:val="00B32F44"/>
    <w:rsid w:val="00B338A2"/>
    <w:rsid w:val="00B33999"/>
    <w:rsid w:val="00B3426D"/>
    <w:rsid w:val="00B3435D"/>
    <w:rsid w:val="00B348FC"/>
    <w:rsid w:val="00B34923"/>
    <w:rsid w:val="00B34C86"/>
    <w:rsid w:val="00B3581C"/>
    <w:rsid w:val="00B359F0"/>
    <w:rsid w:val="00B35D35"/>
    <w:rsid w:val="00B367B8"/>
    <w:rsid w:val="00B368CE"/>
    <w:rsid w:val="00B36D52"/>
    <w:rsid w:val="00B374EC"/>
    <w:rsid w:val="00B40709"/>
    <w:rsid w:val="00B40A85"/>
    <w:rsid w:val="00B40E93"/>
    <w:rsid w:val="00B42033"/>
    <w:rsid w:val="00B42522"/>
    <w:rsid w:val="00B4310B"/>
    <w:rsid w:val="00B45324"/>
    <w:rsid w:val="00B45BEB"/>
    <w:rsid w:val="00B46C7C"/>
    <w:rsid w:val="00B479E6"/>
    <w:rsid w:val="00B50A17"/>
    <w:rsid w:val="00B50C89"/>
    <w:rsid w:val="00B51082"/>
    <w:rsid w:val="00B51237"/>
    <w:rsid w:val="00B513FC"/>
    <w:rsid w:val="00B51D88"/>
    <w:rsid w:val="00B525E9"/>
    <w:rsid w:val="00B52982"/>
    <w:rsid w:val="00B52EB6"/>
    <w:rsid w:val="00B538BF"/>
    <w:rsid w:val="00B54131"/>
    <w:rsid w:val="00B5421D"/>
    <w:rsid w:val="00B55E8A"/>
    <w:rsid w:val="00B560FB"/>
    <w:rsid w:val="00B57AEC"/>
    <w:rsid w:val="00B60267"/>
    <w:rsid w:val="00B60D9C"/>
    <w:rsid w:val="00B6130E"/>
    <w:rsid w:val="00B61A9C"/>
    <w:rsid w:val="00B6259F"/>
    <w:rsid w:val="00B6277C"/>
    <w:rsid w:val="00B62AD9"/>
    <w:rsid w:val="00B62EA5"/>
    <w:rsid w:val="00B640E9"/>
    <w:rsid w:val="00B64265"/>
    <w:rsid w:val="00B645C2"/>
    <w:rsid w:val="00B6469F"/>
    <w:rsid w:val="00B65703"/>
    <w:rsid w:val="00B65CBF"/>
    <w:rsid w:val="00B65D0B"/>
    <w:rsid w:val="00B6651C"/>
    <w:rsid w:val="00B66873"/>
    <w:rsid w:val="00B67CC1"/>
    <w:rsid w:val="00B70314"/>
    <w:rsid w:val="00B710CF"/>
    <w:rsid w:val="00B72631"/>
    <w:rsid w:val="00B7337B"/>
    <w:rsid w:val="00B73491"/>
    <w:rsid w:val="00B73F28"/>
    <w:rsid w:val="00B73F43"/>
    <w:rsid w:val="00B74195"/>
    <w:rsid w:val="00B7457F"/>
    <w:rsid w:val="00B75D0F"/>
    <w:rsid w:val="00B769A9"/>
    <w:rsid w:val="00B80CF5"/>
    <w:rsid w:val="00B811BF"/>
    <w:rsid w:val="00B815DB"/>
    <w:rsid w:val="00B81BE9"/>
    <w:rsid w:val="00B81D4B"/>
    <w:rsid w:val="00B81DD9"/>
    <w:rsid w:val="00B82AC0"/>
    <w:rsid w:val="00B835F9"/>
    <w:rsid w:val="00B839D6"/>
    <w:rsid w:val="00B84419"/>
    <w:rsid w:val="00B8467B"/>
    <w:rsid w:val="00B8472D"/>
    <w:rsid w:val="00B84A02"/>
    <w:rsid w:val="00B852DE"/>
    <w:rsid w:val="00B8539A"/>
    <w:rsid w:val="00B85B17"/>
    <w:rsid w:val="00B8638F"/>
    <w:rsid w:val="00B87240"/>
    <w:rsid w:val="00B87869"/>
    <w:rsid w:val="00B87EB5"/>
    <w:rsid w:val="00B900C7"/>
    <w:rsid w:val="00B92287"/>
    <w:rsid w:val="00B92693"/>
    <w:rsid w:val="00B929E9"/>
    <w:rsid w:val="00B92D03"/>
    <w:rsid w:val="00B92F3C"/>
    <w:rsid w:val="00B9347D"/>
    <w:rsid w:val="00B9438E"/>
    <w:rsid w:val="00B9469E"/>
    <w:rsid w:val="00B95377"/>
    <w:rsid w:val="00B95955"/>
    <w:rsid w:val="00B96F8A"/>
    <w:rsid w:val="00B9771B"/>
    <w:rsid w:val="00B977A3"/>
    <w:rsid w:val="00BA0676"/>
    <w:rsid w:val="00BA0849"/>
    <w:rsid w:val="00BA0CEF"/>
    <w:rsid w:val="00BA0D8C"/>
    <w:rsid w:val="00BA1042"/>
    <w:rsid w:val="00BA113B"/>
    <w:rsid w:val="00BA1279"/>
    <w:rsid w:val="00BA1654"/>
    <w:rsid w:val="00BA29A9"/>
    <w:rsid w:val="00BA3499"/>
    <w:rsid w:val="00BA39C7"/>
    <w:rsid w:val="00BA3A5C"/>
    <w:rsid w:val="00BA3C55"/>
    <w:rsid w:val="00BA3CAF"/>
    <w:rsid w:val="00BA492A"/>
    <w:rsid w:val="00BA4A2A"/>
    <w:rsid w:val="00BA5003"/>
    <w:rsid w:val="00BA589D"/>
    <w:rsid w:val="00BA593D"/>
    <w:rsid w:val="00BA6201"/>
    <w:rsid w:val="00BA6596"/>
    <w:rsid w:val="00BA74D2"/>
    <w:rsid w:val="00BA793E"/>
    <w:rsid w:val="00BB00E3"/>
    <w:rsid w:val="00BB03F9"/>
    <w:rsid w:val="00BB0704"/>
    <w:rsid w:val="00BB08DD"/>
    <w:rsid w:val="00BB1F27"/>
    <w:rsid w:val="00BB2379"/>
    <w:rsid w:val="00BB3311"/>
    <w:rsid w:val="00BB3369"/>
    <w:rsid w:val="00BB38CF"/>
    <w:rsid w:val="00BB4408"/>
    <w:rsid w:val="00BB4E12"/>
    <w:rsid w:val="00BB5646"/>
    <w:rsid w:val="00BB5E5D"/>
    <w:rsid w:val="00BB6127"/>
    <w:rsid w:val="00BB6E12"/>
    <w:rsid w:val="00BB7A43"/>
    <w:rsid w:val="00BB7A4E"/>
    <w:rsid w:val="00BC05E5"/>
    <w:rsid w:val="00BC0A87"/>
    <w:rsid w:val="00BC0E24"/>
    <w:rsid w:val="00BC1221"/>
    <w:rsid w:val="00BC1C23"/>
    <w:rsid w:val="00BC2A14"/>
    <w:rsid w:val="00BC2EBB"/>
    <w:rsid w:val="00BC306F"/>
    <w:rsid w:val="00BC42FD"/>
    <w:rsid w:val="00BC48C0"/>
    <w:rsid w:val="00BC4DEA"/>
    <w:rsid w:val="00BC5CA9"/>
    <w:rsid w:val="00BC5EB8"/>
    <w:rsid w:val="00BD0181"/>
    <w:rsid w:val="00BD0FBE"/>
    <w:rsid w:val="00BD1CFC"/>
    <w:rsid w:val="00BD1DFF"/>
    <w:rsid w:val="00BD22B7"/>
    <w:rsid w:val="00BD2735"/>
    <w:rsid w:val="00BD2E15"/>
    <w:rsid w:val="00BD402D"/>
    <w:rsid w:val="00BD451C"/>
    <w:rsid w:val="00BD46F7"/>
    <w:rsid w:val="00BD49D1"/>
    <w:rsid w:val="00BD5D69"/>
    <w:rsid w:val="00BD5E30"/>
    <w:rsid w:val="00BD6085"/>
    <w:rsid w:val="00BD6170"/>
    <w:rsid w:val="00BD628E"/>
    <w:rsid w:val="00BD6329"/>
    <w:rsid w:val="00BD6A38"/>
    <w:rsid w:val="00BD7757"/>
    <w:rsid w:val="00BD7A05"/>
    <w:rsid w:val="00BE01EF"/>
    <w:rsid w:val="00BE05F4"/>
    <w:rsid w:val="00BE0639"/>
    <w:rsid w:val="00BE0EE8"/>
    <w:rsid w:val="00BE0F49"/>
    <w:rsid w:val="00BE1601"/>
    <w:rsid w:val="00BE1828"/>
    <w:rsid w:val="00BE27EE"/>
    <w:rsid w:val="00BE2BB4"/>
    <w:rsid w:val="00BE32FD"/>
    <w:rsid w:val="00BE337C"/>
    <w:rsid w:val="00BE3584"/>
    <w:rsid w:val="00BE378B"/>
    <w:rsid w:val="00BE44C0"/>
    <w:rsid w:val="00BE4743"/>
    <w:rsid w:val="00BE478C"/>
    <w:rsid w:val="00BE4DD6"/>
    <w:rsid w:val="00BE5252"/>
    <w:rsid w:val="00BE52F7"/>
    <w:rsid w:val="00BE5672"/>
    <w:rsid w:val="00BE57C6"/>
    <w:rsid w:val="00BE631F"/>
    <w:rsid w:val="00BE765D"/>
    <w:rsid w:val="00BE7C18"/>
    <w:rsid w:val="00BF04CA"/>
    <w:rsid w:val="00BF0A61"/>
    <w:rsid w:val="00BF13C1"/>
    <w:rsid w:val="00BF3C26"/>
    <w:rsid w:val="00BF3EEA"/>
    <w:rsid w:val="00BF45A8"/>
    <w:rsid w:val="00BF517D"/>
    <w:rsid w:val="00BF533B"/>
    <w:rsid w:val="00BF58D5"/>
    <w:rsid w:val="00BF64DB"/>
    <w:rsid w:val="00BF770D"/>
    <w:rsid w:val="00BF7E80"/>
    <w:rsid w:val="00C007E4"/>
    <w:rsid w:val="00C00915"/>
    <w:rsid w:val="00C00997"/>
    <w:rsid w:val="00C01879"/>
    <w:rsid w:val="00C01A95"/>
    <w:rsid w:val="00C02F0B"/>
    <w:rsid w:val="00C032EE"/>
    <w:rsid w:val="00C03695"/>
    <w:rsid w:val="00C037CA"/>
    <w:rsid w:val="00C03836"/>
    <w:rsid w:val="00C03AD1"/>
    <w:rsid w:val="00C04398"/>
    <w:rsid w:val="00C04497"/>
    <w:rsid w:val="00C05FD2"/>
    <w:rsid w:val="00C0715A"/>
    <w:rsid w:val="00C07E99"/>
    <w:rsid w:val="00C07F2B"/>
    <w:rsid w:val="00C11A03"/>
    <w:rsid w:val="00C131A5"/>
    <w:rsid w:val="00C136CD"/>
    <w:rsid w:val="00C13BA2"/>
    <w:rsid w:val="00C14165"/>
    <w:rsid w:val="00C143D8"/>
    <w:rsid w:val="00C147AD"/>
    <w:rsid w:val="00C14BE3"/>
    <w:rsid w:val="00C14F5A"/>
    <w:rsid w:val="00C15055"/>
    <w:rsid w:val="00C156EF"/>
    <w:rsid w:val="00C15731"/>
    <w:rsid w:val="00C157DB"/>
    <w:rsid w:val="00C16628"/>
    <w:rsid w:val="00C16BA4"/>
    <w:rsid w:val="00C1718C"/>
    <w:rsid w:val="00C17799"/>
    <w:rsid w:val="00C17AAF"/>
    <w:rsid w:val="00C17EE2"/>
    <w:rsid w:val="00C20EDC"/>
    <w:rsid w:val="00C20F3E"/>
    <w:rsid w:val="00C21E39"/>
    <w:rsid w:val="00C2227C"/>
    <w:rsid w:val="00C22311"/>
    <w:rsid w:val="00C2435E"/>
    <w:rsid w:val="00C24C54"/>
    <w:rsid w:val="00C24CCB"/>
    <w:rsid w:val="00C24DC9"/>
    <w:rsid w:val="00C251BC"/>
    <w:rsid w:val="00C252BF"/>
    <w:rsid w:val="00C26B68"/>
    <w:rsid w:val="00C26BC7"/>
    <w:rsid w:val="00C27D0D"/>
    <w:rsid w:val="00C30B91"/>
    <w:rsid w:val="00C30E3E"/>
    <w:rsid w:val="00C321F0"/>
    <w:rsid w:val="00C32BF8"/>
    <w:rsid w:val="00C32EA7"/>
    <w:rsid w:val="00C33202"/>
    <w:rsid w:val="00C33689"/>
    <w:rsid w:val="00C33865"/>
    <w:rsid w:val="00C33F58"/>
    <w:rsid w:val="00C346D2"/>
    <w:rsid w:val="00C34725"/>
    <w:rsid w:val="00C349E4"/>
    <w:rsid w:val="00C34D5A"/>
    <w:rsid w:val="00C34E74"/>
    <w:rsid w:val="00C351AB"/>
    <w:rsid w:val="00C3537B"/>
    <w:rsid w:val="00C359AE"/>
    <w:rsid w:val="00C36176"/>
    <w:rsid w:val="00C36B67"/>
    <w:rsid w:val="00C37328"/>
    <w:rsid w:val="00C377FA"/>
    <w:rsid w:val="00C4027F"/>
    <w:rsid w:val="00C40E9F"/>
    <w:rsid w:val="00C4121A"/>
    <w:rsid w:val="00C415DB"/>
    <w:rsid w:val="00C417A9"/>
    <w:rsid w:val="00C41B22"/>
    <w:rsid w:val="00C41E28"/>
    <w:rsid w:val="00C41F11"/>
    <w:rsid w:val="00C4221E"/>
    <w:rsid w:val="00C4258A"/>
    <w:rsid w:val="00C429A0"/>
    <w:rsid w:val="00C433F2"/>
    <w:rsid w:val="00C4439B"/>
    <w:rsid w:val="00C44412"/>
    <w:rsid w:val="00C44CCE"/>
    <w:rsid w:val="00C45094"/>
    <w:rsid w:val="00C462B2"/>
    <w:rsid w:val="00C46C4B"/>
    <w:rsid w:val="00C5056A"/>
    <w:rsid w:val="00C51473"/>
    <w:rsid w:val="00C515C4"/>
    <w:rsid w:val="00C515EE"/>
    <w:rsid w:val="00C51697"/>
    <w:rsid w:val="00C520FA"/>
    <w:rsid w:val="00C522F9"/>
    <w:rsid w:val="00C52349"/>
    <w:rsid w:val="00C52F5F"/>
    <w:rsid w:val="00C54410"/>
    <w:rsid w:val="00C548AB"/>
    <w:rsid w:val="00C55CB2"/>
    <w:rsid w:val="00C56079"/>
    <w:rsid w:val="00C568DD"/>
    <w:rsid w:val="00C56D41"/>
    <w:rsid w:val="00C60BAD"/>
    <w:rsid w:val="00C61BB2"/>
    <w:rsid w:val="00C61CD1"/>
    <w:rsid w:val="00C623B2"/>
    <w:rsid w:val="00C626D8"/>
    <w:rsid w:val="00C63668"/>
    <w:rsid w:val="00C637FC"/>
    <w:rsid w:val="00C646AD"/>
    <w:rsid w:val="00C64B5A"/>
    <w:rsid w:val="00C660A9"/>
    <w:rsid w:val="00C66712"/>
    <w:rsid w:val="00C66EB6"/>
    <w:rsid w:val="00C6762A"/>
    <w:rsid w:val="00C702AA"/>
    <w:rsid w:val="00C70369"/>
    <w:rsid w:val="00C704B6"/>
    <w:rsid w:val="00C70810"/>
    <w:rsid w:val="00C70D94"/>
    <w:rsid w:val="00C720F0"/>
    <w:rsid w:val="00C72BFA"/>
    <w:rsid w:val="00C731A4"/>
    <w:rsid w:val="00C731A6"/>
    <w:rsid w:val="00C7397B"/>
    <w:rsid w:val="00C73D85"/>
    <w:rsid w:val="00C743D3"/>
    <w:rsid w:val="00C74487"/>
    <w:rsid w:val="00C7518B"/>
    <w:rsid w:val="00C75889"/>
    <w:rsid w:val="00C763F8"/>
    <w:rsid w:val="00C76685"/>
    <w:rsid w:val="00C766EC"/>
    <w:rsid w:val="00C77F3D"/>
    <w:rsid w:val="00C80B82"/>
    <w:rsid w:val="00C8125E"/>
    <w:rsid w:val="00C81DD5"/>
    <w:rsid w:val="00C824E4"/>
    <w:rsid w:val="00C845CF"/>
    <w:rsid w:val="00C84B49"/>
    <w:rsid w:val="00C85263"/>
    <w:rsid w:val="00C85D23"/>
    <w:rsid w:val="00C86994"/>
    <w:rsid w:val="00C90205"/>
    <w:rsid w:val="00C90381"/>
    <w:rsid w:val="00C912FA"/>
    <w:rsid w:val="00C91629"/>
    <w:rsid w:val="00C928BA"/>
    <w:rsid w:val="00C93CB8"/>
    <w:rsid w:val="00C943CE"/>
    <w:rsid w:val="00C949FA"/>
    <w:rsid w:val="00C954E0"/>
    <w:rsid w:val="00C95D36"/>
    <w:rsid w:val="00C96AB4"/>
    <w:rsid w:val="00C970D1"/>
    <w:rsid w:val="00C9718B"/>
    <w:rsid w:val="00C9743E"/>
    <w:rsid w:val="00C97D5C"/>
    <w:rsid w:val="00CA0461"/>
    <w:rsid w:val="00CA07D8"/>
    <w:rsid w:val="00CA0C81"/>
    <w:rsid w:val="00CA18C6"/>
    <w:rsid w:val="00CA1BC5"/>
    <w:rsid w:val="00CA1FC7"/>
    <w:rsid w:val="00CA2764"/>
    <w:rsid w:val="00CA3BBB"/>
    <w:rsid w:val="00CA3E76"/>
    <w:rsid w:val="00CA4328"/>
    <w:rsid w:val="00CA4629"/>
    <w:rsid w:val="00CA4A3A"/>
    <w:rsid w:val="00CA4E2C"/>
    <w:rsid w:val="00CA580C"/>
    <w:rsid w:val="00CA5C16"/>
    <w:rsid w:val="00CA5EE8"/>
    <w:rsid w:val="00CA63D4"/>
    <w:rsid w:val="00CA670B"/>
    <w:rsid w:val="00CA689F"/>
    <w:rsid w:val="00CA6BF0"/>
    <w:rsid w:val="00CA7263"/>
    <w:rsid w:val="00CA7ECB"/>
    <w:rsid w:val="00CB00E2"/>
    <w:rsid w:val="00CB0933"/>
    <w:rsid w:val="00CB0F92"/>
    <w:rsid w:val="00CB1502"/>
    <w:rsid w:val="00CB151F"/>
    <w:rsid w:val="00CB1A77"/>
    <w:rsid w:val="00CB1B9E"/>
    <w:rsid w:val="00CB1D3F"/>
    <w:rsid w:val="00CB1E9F"/>
    <w:rsid w:val="00CB3A5B"/>
    <w:rsid w:val="00CB3B62"/>
    <w:rsid w:val="00CB3E11"/>
    <w:rsid w:val="00CB4E9E"/>
    <w:rsid w:val="00CB4F7B"/>
    <w:rsid w:val="00CB5959"/>
    <w:rsid w:val="00CB60B0"/>
    <w:rsid w:val="00CB6F2D"/>
    <w:rsid w:val="00CB6FD4"/>
    <w:rsid w:val="00CB7301"/>
    <w:rsid w:val="00CC040C"/>
    <w:rsid w:val="00CC0A05"/>
    <w:rsid w:val="00CC1386"/>
    <w:rsid w:val="00CC1C07"/>
    <w:rsid w:val="00CC1C84"/>
    <w:rsid w:val="00CC240F"/>
    <w:rsid w:val="00CC273E"/>
    <w:rsid w:val="00CC3576"/>
    <w:rsid w:val="00CC4B11"/>
    <w:rsid w:val="00CC5C9F"/>
    <w:rsid w:val="00CC5DA9"/>
    <w:rsid w:val="00CC67B9"/>
    <w:rsid w:val="00CC67C1"/>
    <w:rsid w:val="00CC72DE"/>
    <w:rsid w:val="00CD0232"/>
    <w:rsid w:val="00CD048D"/>
    <w:rsid w:val="00CD12C4"/>
    <w:rsid w:val="00CD1882"/>
    <w:rsid w:val="00CD1DA7"/>
    <w:rsid w:val="00CD349E"/>
    <w:rsid w:val="00CD3693"/>
    <w:rsid w:val="00CD3F6F"/>
    <w:rsid w:val="00CD445F"/>
    <w:rsid w:val="00CD5976"/>
    <w:rsid w:val="00CD5D7C"/>
    <w:rsid w:val="00CD6235"/>
    <w:rsid w:val="00CD64B6"/>
    <w:rsid w:val="00CD6C09"/>
    <w:rsid w:val="00CD72FB"/>
    <w:rsid w:val="00CD7526"/>
    <w:rsid w:val="00CE083D"/>
    <w:rsid w:val="00CE12FF"/>
    <w:rsid w:val="00CE2115"/>
    <w:rsid w:val="00CE2BA7"/>
    <w:rsid w:val="00CE3681"/>
    <w:rsid w:val="00CE4B2E"/>
    <w:rsid w:val="00CE62AB"/>
    <w:rsid w:val="00CE66F8"/>
    <w:rsid w:val="00CE6B11"/>
    <w:rsid w:val="00CE6FC9"/>
    <w:rsid w:val="00CE747A"/>
    <w:rsid w:val="00CE7B7B"/>
    <w:rsid w:val="00CF0687"/>
    <w:rsid w:val="00CF1637"/>
    <w:rsid w:val="00CF1A8A"/>
    <w:rsid w:val="00CF2113"/>
    <w:rsid w:val="00CF33B7"/>
    <w:rsid w:val="00CF345A"/>
    <w:rsid w:val="00CF3495"/>
    <w:rsid w:val="00CF3A09"/>
    <w:rsid w:val="00CF3EFE"/>
    <w:rsid w:val="00CF425D"/>
    <w:rsid w:val="00CF4E61"/>
    <w:rsid w:val="00CF6347"/>
    <w:rsid w:val="00CF6440"/>
    <w:rsid w:val="00CF7909"/>
    <w:rsid w:val="00CF7CD8"/>
    <w:rsid w:val="00D00814"/>
    <w:rsid w:val="00D00DA9"/>
    <w:rsid w:val="00D01924"/>
    <w:rsid w:val="00D01D93"/>
    <w:rsid w:val="00D0200A"/>
    <w:rsid w:val="00D020A6"/>
    <w:rsid w:val="00D0211A"/>
    <w:rsid w:val="00D02779"/>
    <w:rsid w:val="00D0292C"/>
    <w:rsid w:val="00D02E44"/>
    <w:rsid w:val="00D03D2C"/>
    <w:rsid w:val="00D044D2"/>
    <w:rsid w:val="00D05B00"/>
    <w:rsid w:val="00D05FE2"/>
    <w:rsid w:val="00D06AF1"/>
    <w:rsid w:val="00D07546"/>
    <w:rsid w:val="00D076D8"/>
    <w:rsid w:val="00D07858"/>
    <w:rsid w:val="00D07F44"/>
    <w:rsid w:val="00D10478"/>
    <w:rsid w:val="00D1049A"/>
    <w:rsid w:val="00D107EB"/>
    <w:rsid w:val="00D10B09"/>
    <w:rsid w:val="00D11A5C"/>
    <w:rsid w:val="00D12121"/>
    <w:rsid w:val="00D1460C"/>
    <w:rsid w:val="00D14D9E"/>
    <w:rsid w:val="00D15598"/>
    <w:rsid w:val="00D158A8"/>
    <w:rsid w:val="00D15D33"/>
    <w:rsid w:val="00D15FF8"/>
    <w:rsid w:val="00D160AC"/>
    <w:rsid w:val="00D162AB"/>
    <w:rsid w:val="00D1664D"/>
    <w:rsid w:val="00D16C3D"/>
    <w:rsid w:val="00D17721"/>
    <w:rsid w:val="00D17B7E"/>
    <w:rsid w:val="00D17FB5"/>
    <w:rsid w:val="00D205FA"/>
    <w:rsid w:val="00D20AA2"/>
    <w:rsid w:val="00D21366"/>
    <w:rsid w:val="00D217CA"/>
    <w:rsid w:val="00D21E3E"/>
    <w:rsid w:val="00D227B5"/>
    <w:rsid w:val="00D2280B"/>
    <w:rsid w:val="00D228F3"/>
    <w:rsid w:val="00D22CF4"/>
    <w:rsid w:val="00D23275"/>
    <w:rsid w:val="00D2427C"/>
    <w:rsid w:val="00D25050"/>
    <w:rsid w:val="00D252F2"/>
    <w:rsid w:val="00D256E4"/>
    <w:rsid w:val="00D26A6E"/>
    <w:rsid w:val="00D26E8B"/>
    <w:rsid w:val="00D2725B"/>
    <w:rsid w:val="00D27283"/>
    <w:rsid w:val="00D274F5"/>
    <w:rsid w:val="00D27A1A"/>
    <w:rsid w:val="00D27EAF"/>
    <w:rsid w:val="00D30C8A"/>
    <w:rsid w:val="00D30D3F"/>
    <w:rsid w:val="00D3104A"/>
    <w:rsid w:val="00D314B8"/>
    <w:rsid w:val="00D31736"/>
    <w:rsid w:val="00D327B6"/>
    <w:rsid w:val="00D33367"/>
    <w:rsid w:val="00D33778"/>
    <w:rsid w:val="00D341D7"/>
    <w:rsid w:val="00D348BF"/>
    <w:rsid w:val="00D35EBF"/>
    <w:rsid w:val="00D36008"/>
    <w:rsid w:val="00D366A4"/>
    <w:rsid w:val="00D369A8"/>
    <w:rsid w:val="00D376EA"/>
    <w:rsid w:val="00D41A4B"/>
    <w:rsid w:val="00D42FE2"/>
    <w:rsid w:val="00D43D93"/>
    <w:rsid w:val="00D459B1"/>
    <w:rsid w:val="00D459C3"/>
    <w:rsid w:val="00D45AC9"/>
    <w:rsid w:val="00D460A0"/>
    <w:rsid w:val="00D466CF"/>
    <w:rsid w:val="00D46A86"/>
    <w:rsid w:val="00D46DEC"/>
    <w:rsid w:val="00D46ED8"/>
    <w:rsid w:val="00D470D1"/>
    <w:rsid w:val="00D47B8B"/>
    <w:rsid w:val="00D50783"/>
    <w:rsid w:val="00D50EA5"/>
    <w:rsid w:val="00D50F72"/>
    <w:rsid w:val="00D51135"/>
    <w:rsid w:val="00D51E3E"/>
    <w:rsid w:val="00D52AC2"/>
    <w:rsid w:val="00D52CA2"/>
    <w:rsid w:val="00D53062"/>
    <w:rsid w:val="00D54184"/>
    <w:rsid w:val="00D54ACA"/>
    <w:rsid w:val="00D556D9"/>
    <w:rsid w:val="00D5573D"/>
    <w:rsid w:val="00D55A1B"/>
    <w:rsid w:val="00D55E78"/>
    <w:rsid w:val="00D56C3E"/>
    <w:rsid w:val="00D56DCB"/>
    <w:rsid w:val="00D57AC2"/>
    <w:rsid w:val="00D57B37"/>
    <w:rsid w:val="00D60172"/>
    <w:rsid w:val="00D6029B"/>
    <w:rsid w:val="00D6085F"/>
    <w:rsid w:val="00D60B1B"/>
    <w:rsid w:val="00D619AC"/>
    <w:rsid w:val="00D61E2B"/>
    <w:rsid w:val="00D624C4"/>
    <w:rsid w:val="00D6284F"/>
    <w:rsid w:val="00D62BA1"/>
    <w:rsid w:val="00D63E50"/>
    <w:rsid w:val="00D64CE3"/>
    <w:rsid w:val="00D64DB0"/>
    <w:rsid w:val="00D65D84"/>
    <w:rsid w:val="00D66143"/>
    <w:rsid w:val="00D66727"/>
    <w:rsid w:val="00D669B3"/>
    <w:rsid w:val="00D67048"/>
    <w:rsid w:val="00D67BE0"/>
    <w:rsid w:val="00D70346"/>
    <w:rsid w:val="00D70A18"/>
    <w:rsid w:val="00D71498"/>
    <w:rsid w:val="00D71BA0"/>
    <w:rsid w:val="00D71F54"/>
    <w:rsid w:val="00D71FF9"/>
    <w:rsid w:val="00D720C8"/>
    <w:rsid w:val="00D7269C"/>
    <w:rsid w:val="00D72ACC"/>
    <w:rsid w:val="00D73104"/>
    <w:rsid w:val="00D745B1"/>
    <w:rsid w:val="00D74D39"/>
    <w:rsid w:val="00D75200"/>
    <w:rsid w:val="00D7524B"/>
    <w:rsid w:val="00D757DF"/>
    <w:rsid w:val="00D76102"/>
    <w:rsid w:val="00D766AF"/>
    <w:rsid w:val="00D7695C"/>
    <w:rsid w:val="00D77003"/>
    <w:rsid w:val="00D773C1"/>
    <w:rsid w:val="00D778B6"/>
    <w:rsid w:val="00D77D36"/>
    <w:rsid w:val="00D80074"/>
    <w:rsid w:val="00D80512"/>
    <w:rsid w:val="00D806E6"/>
    <w:rsid w:val="00D807AF"/>
    <w:rsid w:val="00D80938"/>
    <w:rsid w:val="00D80CB4"/>
    <w:rsid w:val="00D819C5"/>
    <w:rsid w:val="00D81E0F"/>
    <w:rsid w:val="00D824C0"/>
    <w:rsid w:val="00D834DB"/>
    <w:rsid w:val="00D847EF"/>
    <w:rsid w:val="00D84B45"/>
    <w:rsid w:val="00D84DF8"/>
    <w:rsid w:val="00D85217"/>
    <w:rsid w:val="00D857A1"/>
    <w:rsid w:val="00D862EF"/>
    <w:rsid w:val="00D86327"/>
    <w:rsid w:val="00D86FAF"/>
    <w:rsid w:val="00D87051"/>
    <w:rsid w:val="00D877B3"/>
    <w:rsid w:val="00D87F95"/>
    <w:rsid w:val="00D87FDB"/>
    <w:rsid w:val="00D912AC"/>
    <w:rsid w:val="00D915B7"/>
    <w:rsid w:val="00D92AD7"/>
    <w:rsid w:val="00D94337"/>
    <w:rsid w:val="00D94A39"/>
    <w:rsid w:val="00D95491"/>
    <w:rsid w:val="00D95B5E"/>
    <w:rsid w:val="00D968C5"/>
    <w:rsid w:val="00D96C65"/>
    <w:rsid w:val="00D96DEE"/>
    <w:rsid w:val="00D96FDD"/>
    <w:rsid w:val="00DA06F1"/>
    <w:rsid w:val="00DA0B2C"/>
    <w:rsid w:val="00DA0E79"/>
    <w:rsid w:val="00DA11C5"/>
    <w:rsid w:val="00DA15A7"/>
    <w:rsid w:val="00DA1677"/>
    <w:rsid w:val="00DA1B90"/>
    <w:rsid w:val="00DA229E"/>
    <w:rsid w:val="00DA3387"/>
    <w:rsid w:val="00DA4119"/>
    <w:rsid w:val="00DA477C"/>
    <w:rsid w:val="00DA48DE"/>
    <w:rsid w:val="00DA4DAB"/>
    <w:rsid w:val="00DA4DBE"/>
    <w:rsid w:val="00DA5403"/>
    <w:rsid w:val="00DA660C"/>
    <w:rsid w:val="00DA6EE1"/>
    <w:rsid w:val="00DA6F5E"/>
    <w:rsid w:val="00DA734C"/>
    <w:rsid w:val="00DA780E"/>
    <w:rsid w:val="00DA784A"/>
    <w:rsid w:val="00DA7893"/>
    <w:rsid w:val="00DA7A9C"/>
    <w:rsid w:val="00DA7AD7"/>
    <w:rsid w:val="00DB1751"/>
    <w:rsid w:val="00DB24BE"/>
    <w:rsid w:val="00DB2B10"/>
    <w:rsid w:val="00DB2FD7"/>
    <w:rsid w:val="00DB333A"/>
    <w:rsid w:val="00DB3FC4"/>
    <w:rsid w:val="00DB4C77"/>
    <w:rsid w:val="00DB54EF"/>
    <w:rsid w:val="00DB55FF"/>
    <w:rsid w:val="00DB59AF"/>
    <w:rsid w:val="00DB6F61"/>
    <w:rsid w:val="00DB79CD"/>
    <w:rsid w:val="00DC0AD5"/>
    <w:rsid w:val="00DC104B"/>
    <w:rsid w:val="00DC1A35"/>
    <w:rsid w:val="00DC1C38"/>
    <w:rsid w:val="00DC1EC1"/>
    <w:rsid w:val="00DC21E0"/>
    <w:rsid w:val="00DC251E"/>
    <w:rsid w:val="00DC304C"/>
    <w:rsid w:val="00DC383B"/>
    <w:rsid w:val="00DC38CB"/>
    <w:rsid w:val="00DC39C9"/>
    <w:rsid w:val="00DC3E47"/>
    <w:rsid w:val="00DC463E"/>
    <w:rsid w:val="00DC4BBC"/>
    <w:rsid w:val="00DC4C8F"/>
    <w:rsid w:val="00DC4F5C"/>
    <w:rsid w:val="00DC5932"/>
    <w:rsid w:val="00DC5A74"/>
    <w:rsid w:val="00DC5D88"/>
    <w:rsid w:val="00DC5F1C"/>
    <w:rsid w:val="00DC60DE"/>
    <w:rsid w:val="00DC6551"/>
    <w:rsid w:val="00DC68FB"/>
    <w:rsid w:val="00DC6A75"/>
    <w:rsid w:val="00DC7BC7"/>
    <w:rsid w:val="00DD0540"/>
    <w:rsid w:val="00DD0782"/>
    <w:rsid w:val="00DD0AE6"/>
    <w:rsid w:val="00DD0B2C"/>
    <w:rsid w:val="00DD0E8A"/>
    <w:rsid w:val="00DD1163"/>
    <w:rsid w:val="00DD18FE"/>
    <w:rsid w:val="00DD1E19"/>
    <w:rsid w:val="00DD2568"/>
    <w:rsid w:val="00DD2853"/>
    <w:rsid w:val="00DD2D1D"/>
    <w:rsid w:val="00DD3002"/>
    <w:rsid w:val="00DD35A8"/>
    <w:rsid w:val="00DD3D22"/>
    <w:rsid w:val="00DD5925"/>
    <w:rsid w:val="00DD5B9E"/>
    <w:rsid w:val="00DD5BD4"/>
    <w:rsid w:val="00DD7347"/>
    <w:rsid w:val="00DD7537"/>
    <w:rsid w:val="00DD7C26"/>
    <w:rsid w:val="00DE075F"/>
    <w:rsid w:val="00DE07A9"/>
    <w:rsid w:val="00DE0CCC"/>
    <w:rsid w:val="00DE1AF7"/>
    <w:rsid w:val="00DE231C"/>
    <w:rsid w:val="00DE2658"/>
    <w:rsid w:val="00DE2E22"/>
    <w:rsid w:val="00DE4096"/>
    <w:rsid w:val="00DE434B"/>
    <w:rsid w:val="00DE543B"/>
    <w:rsid w:val="00DE56DE"/>
    <w:rsid w:val="00DE582C"/>
    <w:rsid w:val="00DE5D68"/>
    <w:rsid w:val="00DE66D5"/>
    <w:rsid w:val="00DE6E64"/>
    <w:rsid w:val="00DE781B"/>
    <w:rsid w:val="00DE7E63"/>
    <w:rsid w:val="00DF1105"/>
    <w:rsid w:val="00DF20D9"/>
    <w:rsid w:val="00DF20DD"/>
    <w:rsid w:val="00DF20EC"/>
    <w:rsid w:val="00DF2EC6"/>
    <w:rsid w:val="00DF3D3F"/>
    <w:rsid w:val="00DF3E28"/>
    <w:rsid w:val="00DF4311"/>
    <w:rsid w:val="00DF4583"/>
    <w:rsid w:val="00DF5772"/>
    <w:rsid w:val="00DF6E4F"/>
    <w:rsid w:val="00DF7729"/>
    <w:rsid w:val="00E00395"/>
    <w:rsid w:val="00E00493"/>
    <w:rsid w:val="00E01C52"/>
    <w:rsid w:val="00E024F8"/>
    <w:rsid w:val="00E03043"/>
    <w:rsid w:val="00E0342F"/>
    <w:rsid w:val="00E03587"/>
    <w:rsid w:val="00E03AE0"/>
    <w:rsid w:val="00E03CAA"/>
    <w:rsid w:val="00E0458F"/>
    <w:rsid w:val="00E0477B"/>
    <w:rsid w:val="00E049E4"/>
    <w:rsid w:val="00E05344"/>
    <w:rsid w:val="00E05888"/>
    <w:rsid w:val="00E05C76"/>
    <w:rsid w:val="00E06B6E"/>
    <w:rsid w:val="00E06F1B"/>
    <w:rsid w:val="00E0778A"/>
    <w:rsid w:val="00E07AB8"/>
    <w:rsid w:val="00E114CA"/>
    <w:rsid w:val="00E1240B"/>
    <w:rsid w:val="00E12B18"/>
    <w:rsid w:val="00E1422C"/>
    <w:rsid w:val="00E1450E"/>
    <w:rsid w:val="00E14638"/>
    <w:rsid w:val="00E15067"/>
    <w:rsid w:val="00E154D8"/>
    <w:rsid w:val="00E158CB"/>
    <w:rsid w:val="00E1591A"/>
    <w:rsid w:val="00E202C6"/>
    <w:rsid w:val="00E2030C"/>
    <w:rsid w:val="00E204E2"/>
    <w:rsid w:val="00E20B09"/>
    <w:rsid w:val="00E212ED"/>
    <w:rsid w:val="00E21E1E"/>
    <w:rsid w:val="00E21E80"/>
    <w:rsid w:val="00E21F75"/>
    <w:rsid w:val="00E2367C"/>
    <w:rsid w:val="00E2390C"/>
    <w:rsid w:val="00E245C3"/>
    <w:rsid w:val="00E25958"/>
    <w:rsid w:val="00E25B20"/>
    <w:rsid w:val="00E25FC9"/>
    <w:rsid w:val="00E265A9"/>
    <w:rsid w:val="00E26DC3"/>
    <w:rsid w:val="00E26FAF"/>
    <w:rsid w:val="00E2714C"/>
    <w:rsid w:val="00E276A5"/>
    <w:rsid w:val="00E27DD7"/>
    <w:rsid w:val="00E30DFC"/>
    <w:rsid w:val="00E31190"/>
    <w:rsid w:val="00E3128A"/>
    <w:rsid w:val="00E31612"/>
    <w:rsid w:val="00E31C04"/>
    <w:rsid w:val="00E31F17"/>
    <w:rsid w:val="00E340DB"/>
    <w:rsid w:val="00E34729"/>
    <w:rsid w:val="00E34DBC"/>
    <w:rsid w:val="00E355FE"/>
    <w:rsid w:val="00E361ED"/>
    <w:rsid w:val="00E36579"/>
    <w:rsid w:val="00E374C6"/>
    <w:rsid w:val="00E375B3"/>
    <w:rsid w:val="00E37DA3"/>
    <w:rsid w:val="00E37ED6"/>
    <w:rsid w:val="00E4067E"/>
    <w:rsid w:val="00E4159A"/>
    <w:rsid w:val="00E417DC"/>
    <w:rsid w:val="00E431AC"/>
    <w:rsid w:val="00E4346A"/>
    <w:rsid w:val="00E4363C"/>
    <w:rsid w:val="00E4391B"/>
    <w:rsid w:val="00E443FA"/>
    <w:rsid w:val="00E44496"/>
    <w:rsid w:val="00E4481D"/>
    <w:rsid w:val="00E4708F"/>
    <w:rsid w:val="00E5029F"/>
    <w:rsid w:val="00E509D1"/>
    <w:rsid w:val="00E50AA9"/>
    <w:rsid w:val="00E512C4"/>
    <w:rsid w:val="00E517C2"/>
    <w:rsid w:val="00E5187E"/>
    <w:rsid w:val="00E521DB"/>
    <w:rsid w:val="00E53142"/>
    <w:rsid w:val="00E53464"/>
    <w:rsid w:val="00E5354B"/>
    <w:rsid w:val="00E53AAC"/>
    <w:rsid w:val="00E53CC7"/>
    <w:rsid w:val="00E54352"/>
    <w:rsid w:val="00E54556"/>
    <w:rsid w:val="00E54CF9"/>
    <w:rsid w:val="00E5584C"/>
    <w:rsid w:val="00E5598A"/>
    <w:rsid w:val="00E564DD"/>
    <w:rsid w:val="00E57618"/>
    <w:rsid w:val="00E578DA"/>
    <w:rsid w:val="00E57911"/>
    <w:rsid w:val="00E57FA8"/>
    <w:rsid w:val="00E60A11"/>
    <w:rsid w:val="00E60F6A"/>
    <w:rsid w:val="00E6151D"/>
    <w:rsid w:val="00E61975"/>
    <w:rsid w:val="00E61CAE"/>
    <w:rsid w:val="00E628FA"/>
    <w:rsid w:val="00E631AA"/>
    <w:rsid w:val="00E6342B"/>
    <w:rsid w:val="00E63A14"/>
    <w:rsid w:val="00E65CB6"/>
    <w:rsid w:val="00E65DFC"/>
    <w:rsid w:val="00E66827"/>
    <w:rsid w:val="00E66DA0"/>
    <w:rsid w:val="00E6746E"/>
    <w:rsid w:val="00E6776D"/>
    <w:rsid w:val="00E67B7A"/>
    <w:rsid w:val="00E700DC"/>
    <w:rsid w:val="00E70B5D"/>
    <w:rsid w:val="00E71D67"/>
    <w:rsid w:val="00E72094"/>
    <w:rsid w:val="00E72276"/>
    <w:rsid w:val="00E72932"/>
    <w:rsid w:val="00E73510"/>
    <w:rsid w:val="00E73CE9"/>
    <w:rsid w:val="00E74CB8"/>
    <w:rsid w:val="00E754D0"/>
    <w:rsid w:val="00E756E6"/>
    <w:rsid w:val="00E75DB3"/>
    <w:rsid w:val="00E7692C"/>
    <w:rsid w:val="00E76A17"/>
    <w:rsid w:val="00E77D75"/>
    <w:rsid w:val="00E8067E"/>
    <w:rsid w:val="00E80806"/>
    <w:rsid w:val="00E80C34"/>
    <w:rsid w:val="00E81191"/>
    <w:rsid w:val="00E81FC8"/>
    <w:rsid w:val="00E82D80"/>
    <w:rsid w:val="00E83F05"/>
    <w:rsid w:val="00E8431D"/>
    <w:rsid w:val="00E84580"/>
    <w:rsid w:val="00E84A7C"/>
    <w:rsid w:val="00E84BD8"/>
    <w:rsid w:val="00E85F3A"/>
    <w:rsid w:val="00E861EF"/>
    <w:rsid w:val="00E8685D"/>
    <w:rsid w:val="00E86BE6"/>
    <w:rsid w:val="00E879F6"/>
    <w:rsid w:val="00E87EBD"/>
    <w:rsid w:val="00E87F1E"/>
    <w:rsid w:val="00E90145"/>
    <w:rsid w:val="00E9044E"/>
    <w:rsid w:val="00E90654"/>
    <w:rsid w:val="00E90B09"/>
    <w:rsid w:val="00E90EEF"/>
    <w:rsid w:val="00E91A80"/>
    <w:rsid w:val="00E91DD7"/>
    <w:rsid w:val="00E9241D"/>
    <w:rsid w:val="00E92D77"/>
    <w:rsid w:val="00E934D3"/>
    <w:rsid w:val="00E939AE"/>
    <w:rsid w:val="00E93E33"/>
    <w:rsid w:val="00E95517"/>
    <w:rsid w:val="00E9629E"/>
    <w:rsid w:val="00E96CEA"/>
    <w:rsid w:val="00E96F78"/>
    <w:rsid w:val="00E9728C"/>
    <w:rsid w:val="00EA03BA"/>
    <w:rsid w:val="00EA109F"/>
    <w:rsid w:val="00EA11A7"/>
    <w:rsid w:val="00EA1C8E"/>
    <w:rsid w:val="00EA218B"/>
    <w:rsid w:val="00EA24B9"/>
    <w:rsid w:val="00EA2E55"/>
    <w:rsid w:val="00EA338C"/>
    <w:rsid w:val="00EA4225"/>
    <w:rsid w:val="00EA52B9"/>
    <w:rsid w:val="00EA54A5"/>
    <w:rsid w:val="00EA67E8"/>
    <w:rsid w:val="00EA6A82"/>
    <w:rsid w:val="00EA6ACE"/>
    <w:rsid w:val="00EB0060"/>
    <w:rsid w:val="00EB01A6"/>
    <w:rsid w:val="00EB09CE"/>
    <w:rsid w:val="00EB0E7F"/>
    <w:rsid w:val="00EB1A4F"/>
    <w:rsid w:val="00EB1C4F"/>
    <w:rsid w:val="00EB1D21"/>
    <w:rsid w:val="00EB1F0E"/>
    <w:rsid w:val="00EB2243"/>
    <w:rsid w:val="00EB310D"/>
    <w:rsid w:val="00EB3742"/>
    <w:rsid w:val="00EB42F9"/>
    <w:rsid w:val="00EB526A"/>
    <w:rsid w:val="00EB5BF2"/>
    <w:rsid w:val="00EB6427"/>
    <w:rsid w:val="00EB7C73"/>
    <w:rsid w:val="00EC005A"/>
    <w:rsid w:val="00EC1A7D"/>
    <w:rsid w:val="00EC1B37"/>
    <w:rsid w:val="00EC1DD2"/>
    <w:rsid w:val="00EC1F45"/>
    <w:rsid w:val="00EC35AC"/>
    <w:rsid w:val="00EC4A64"/>
    <w:rsid w:val="00EC4BEC"/>
    <w:rsid w:val="00EC6317"/>
    <w:rsid w:val="00EC65A8"/>
    <w:rsid w:val="00EC65B9"/>
    <w:rsid w:val="00EC6674"/>
    <w:rsid w:val="00EC6F0B"/>
    <w:rsid w:val="00EC728A"/>
    <w:rsid w:val="00ED12F2"/>
    <w:rsid w:val="00ED1E4D"/>
    <w:rsid w:val="00ED24A2"/>
    <w:rsid w:val="00ED2C6C"/>
    <w:rsid w:val="00ED2F14"/>
    <w:rsid w:val="00ED403C"/>
    <w:rsid w:val="00ED4D3D"/>
    <w:rsid w:val="00ED52FB"/>
    <w:rsid w:val="00ED5BEB"/>
    <w:rsid w:val="00ED5FAD"/>
    <w:rsid w:val="00ED6130"/>
    <w:rsid w:val="00ED649E"/>
    <w:rsid w:val="00ED6844"/>
    <w:rsid w:val="00ED6A06"/>
    <w:rsid w:val="00ED74AA"/>
    <w:rsid w:val="00ED76A5"/>
    <w:rsid w:val="00ED78F2"/>
    <w:rsid w:val="00ED7BE6"/>
    <w:rsid w:val="00ED7CAA"/>
    <w:rsid w:val="00ED7E6C"/>
    <w:rsid w:val="00EE0F83"/>
    <w:rsid w:val="00EE1C46"/>
    <w:rsid w:val="00EE1C80"/>
    <w:rsid w:val="00EE1F2F"/>
    <w:rsid w:val="00EE218B"/>
    <w:rsid w:val="00EE24FC"/>
    <w:rsid w:val="00EE292F"/>
    <w:rsid w:val="00EE3314"/>
    <w:rsid w:val="00EE35E2"/>
    <w:rsid w:val="00EE3B39"/>
    <w:rsid w:val="00EE5093"/>
    <w:rsid w:val="00EE5619"/>
    <w:rsid w:val="00EE598C"/>
    <w:rsid w:val="00EE5A76"/>
    <w:rsid w:val="00EE68F0"/>
    <w:rsid w:val="00EE6A6F"/>
    <w:rsid w:val="00EE6B58"/>
    <w:rsid w:val="00EE6D54"/>
    <w:rsid w:val="00EE7952"/>
    <w:rsid w:val="00EF01E2"/>
    <w:rsid w:val="00EF05C4"/>
    <w:rsid w:val="00EF088B"/>
    <w:rsid w:val="00EF27B0"/>
    <w:rsid w:val="00EF4DA8"/>
    <w:rsid w:val="00EF5A38"/>
    <w:rsid w:val="00EF6B12"/>
    <w:rsid w:val="00EF72B0"/>
    <w:rsid w:val="00EF73D4"/>
    <w:rsid w:val="00F01108"/>
    <w:rsid w:val="00F01126"/>
    <w:rsid w:val="00F02063"/>
    <w:rsid w:val="00F023FB"/>
    <w:rsid w:val="00F02990"/>
    <w:rsid w:val="00F030BE"/>
    <w:rsid w:val="00F03179"/>
    <w:rsid w:val="00F03FDF"/>
    <w:rsid w:val="00F0509D"/>
    <w:rsid w:val="00F05784"/>
    <w:rsid w:val="00F05ADE"/>
    <w:rsid w:val="00F07451"/>
    <w:rsid w:val="00F109D5"/>
    <w:rsid w:val="00F110B6"/>
    <w:rsid w:val="00F1276F"/>
    <w:rsid w:val="00F12B0C"/>
    <w:rsid w:val="00F12E71"/>
    <w:rsid w:val="00F13887"/>
    <w:rsid w:val="00F13FF7"/>
    <w:rsid w:val="00F14B68"/>
    <w:rsid w:val="00F14DF3"/>
    <w:rsid w:val="00F15320"/>
    <w:rsid w:val="00F15E3C"/>
    <w:rsid w:val="00F168D7"/>
    <w:rsid w:val="00F16A83"/>
    <w:rsid w:val="00F16AD2"/>
    <w:rsid w:val="00F17259"/>
    <w:rsid w:val="00F2125C"/>
    <w:rsid w:val="00F214C2"/>
    <w:rsid w:val="00F22709"/>
    <w:rsid w:val="00F2340A"/>
    <w:rsid w:val="00F234B9"/>
    <w:rsid w:val="00F236F5"/>
    <w:rsid w:val="00F23B5E"/>
    <w:rsid w:val="00F257D4"/>
    <w:rsid w:val="00F25F01"/>
    <w:rsid w:val="00F26B39"/>
    <w:rsid w:val="00F27798"/>
    <w:rsid w:val="00F27AA6"/>
    <w:rsid w:val="00F30857"/>
    <w:rsid w:val="00F309D6"/>
    <w:rsid w:val="00F30D64"/>
    <w:rsid w:val="00F31066"/>
    <w:rsid w:val="00F311C1"/>
    <w:rsid w:val="00F329B7"/>
    <w:rsid w:val="00F32CA9"/>
    <w:rsid w:val="00F32FC1"/>
    <w:rsid w:val="00F33F0D"/>
    <w:rsid w:val="00F34202"/>
    <w:rsid w:val="00F3427F"/>
    <w:rsid w:val="00F34E8D"/>
    <w:rsid w:val="00F35FF5"/>
    <w:rsid w:val="00F36723"/>
    <w:rsid w:val="00F37290"/>
    <w:rsid w:val="00F3743F"/>
    <w:rsid w:val="00F401D1"/>
    <w:rsid w:val="00F40C05"/>
    <w:rsid w:val="00F418F2"/>
    <w:rsid w:val="00F4192A"/>
    <w:rsid w:val="00F4301B"/>
    <w:rsid w:val="00F43489"/>
    <w:rsid w:val="00F434EC"/>
    <w:rsid w:val="00F436B2"/>
    <w:rsid w:val="00F4381B"/>
    <w:rsid w:val="00F44DDC"/>
    <w:rsid w:val="00F46E82"/>
    <w:rsid w:val="00F47312"/>
    <w:rsid w:val="00F47C47"/>
    <w:rsid w:val="00F47DB1"/>
    <w:rsid w:val="00F47F94"/>
    <w:rsid w:val="00F505FA"/>
    <w:rsid w:val="00F5112A"/>
    <w:rsid w:val="00F52235"/>
    <w:rsid w:val="00F534AF"/>
    <w:rsid w:val="00F53D65"/>
    <w:rsid w:val="00F545A6"/>
    <w:rsid w:val="00F54B73"/>
    <w:rsid w:val="00F5507F"/>
    <w:rsid w:val="00F569CE"/>
    <w:rsid w:val="00F56E93"/>
    <w:rsid w:val="00F56F60"/>
    <w:rsid w:val="00F57972"/>
    <w:rsid w:val="00F57B85"/>
    <w:rsid w:val="00F57BC6"/>
    <w:rsid w:val="00F57F1E"/>
    <w:rsid w:val="00F6062A"/>
    <w:rsid w:val="00F6063A"/>
    <w:rsid w:val="00F60EFF"/>
    <w:rsid w:val="00F61307"/>
    <w:rsid w:val="00F638AF"/>
    <w:rsid w:val="00F63DA2"/>
    <w:rsid w:val="00F648B3"/>
    <w:rsid w:val="00F64B17"/>
    <w:rsid w:val="00F64F10"/>
    <w:rsid w:val="00F653C6"/>
    <w:rsid w:val="00F665D9"/>
    <w:rsid w:val="00F67585"/>
    <w:rsid w:val="00F67DEA"/>
    <w:rsid w:val="00F70BF6"/>
    <w:rsid w:val="00F70D85"/>
    <w:rsid w:val="00F70D98"/>
    <w:rsid w:val="00F70FE5"/>
    <w:rsid w:val="00F716D8"/>
    <w:rsid w:val="00F71B8B"/>
    <w:rsid w:val="00F734F0"/>
    <w:rsid w:val="00F7406D"/>
    <w:rsid w:val="00F74436"/>
    <w:rsid w:val="00F767BF"/>
    <w:rsid w:val="00F767F6"/>
    <w:rsid w:val="00F7768C"/>
    <w:rsid w:val="00F776D1"/>
    <w:rsid w:val="00F805D2"/>
    <w:rsid w:val="00F806D1"/>
    <w:rsid w:val="00F8086C"/>
    <w:rsid w:val="00F808E4"/>
    <w:rsid w:val="00F81080"/>
    <w:rsid w:val="00F81C0E"/>
    <w:rsid w:val="00F81C91"/>
    <w:rsid w:val="00F831F8"/>
    <w:rsid w:val="00F838A3"/>
    <w:rsid w:val="00F849AB"/>
    <w:rsid w:val="00F84EF6"/>
    <w:rsid w:val="00F867C1"/>
    <w:rsid w:val="00F86BA2"/>
    <w:rsid w:val="00F86FBC"/>
    <w:rsid w:val="00F873D2"/>
    <w:rsid w:val="00F875D4"/>
    <w:rsid w:val="00F901E1"/>
    <w:rsid w:val="00F90DB0"/>
    <w:rsid w:val="00F91290"/>
    <w:rsid w:val="00F9145E"/>
    <w:rsid w:val="00F91575"/>
    <w:rsid w:val="00F91666"/>
    <w:rsid w:val="00F91BC6"/>
    <w:rsid w:val="00F92393"/>
    <w:rsid w:val="00F9257D"/>
    <w:rsid w:val="00F92CCF"/>
    <w:rsid w:val="00F92E40"/>
    <w:rsid w:val="00F93E89"/>
    <w:rsid w:val="00F940D6"/>
    <w:rsid w:val="00F94D69"/>
    <w:rsid w:val="00F95C0E"/>
    <w:rsid w:val="00F96FF9"/>
    <w:rsid w:val="00FA01FB"/>
    <w:rsid w:val="00FA020F"/>
    <w:rsid w:val="00FA05BF"/>
    <w:rsid w:val="00FA0BA1"/>
    <w:rsid w:val="00FA0FA4"/>
    <w:rsid w:val="00FA19C4"/>
    <w:rsid w:val="00FA22EA"/>
    <w:rsid w:val="00FA2302"/>
    <w:rsid w:val="00FA2326"/>
    <w:rsid w:val="00FA2A14"/>
    <w:rsid w:val="00FA3810"/>
    <w:rsid w:val="00FA393B"/>
    <w:rsid w:val="00FA44E8"/>
    <w:rsid w:val="00FA44FC"/>
    <w:rsid w:val="00FA5332"/>
    <w:rsid w:val="00FA55F2"/>
    <w:rsid w:val="00FA5DB7"/>
    <w:rsid w:val="00FA644D"/>
    <w:rsid w:val="00FA6A74"/>
    <w:rsid w:val="00FA7126"/>
    <w:rsid w:val="00FA798B"/>
    <w:rsid w:val="00FA7D4E"/>
    <w:rsid w:val="00FB0A86"/>
    <w:rsid w:val="00FB0E8F"/>
    <w:rsid w:val="00FB1254"/>
    <w:rsid w:val="00FB2D94"/>
    <w:rsid w:val="00FB3C94"/>
    <w:rsid w:val="00FB3D44"/>
    <w:rsid w:val="00FB3EE4"/>
    <w:rsid w:val="00FB3F6C"/>
    <w:rsid w:val="00FB4CBB"/>
    <w:rsid w:val="00FB4E57"/>
    <w:rsid w:val="00FB5B7E"/>
    <w:rsid w:val="00FB6068"/>
    <w:rsid w:val="00FB6121"/>
    <w:rsid w:val="00FB638D"/>
    <w:rsid w:val="00FB671C"/>
    <w:rsid w:val="00FB679E"/>
    <w:rsid w:val="00FB7B7A"/>
    <w:rsid w:val="00FB7E40"/>
    <w:rsid w:val="00FC00F1"/>
    <w:rsid w:val="00FC00FE"/>
    <w:rsid w:val="00FC01DE"/>
    <w:rsid w:val="00FC1805"/>
    <w:rsid w:val="00FC1842"/>
    <w:rsid w:val="00FC2C3C"/>
    <w:rsid w:val="00FC351F"/>
    <w:rsid w:val="00FC362E"/>
    <w:rsid w:val="00FC370C"/>
    <w:rsid w:val="00FC3FBF"/>
    <w:rsid w:val="00FC408F"/>
    <w:rsid w:val="00FC43E5"/>
    <w:rsid w:val="00FC4E7B"/>
    <w:rsid w:val="00FC5165"/>
    <w:rsid w:val="00FC52C6"/>
    <w:rsid w:val="00FC59DC"/>
    <w:rsid w:val="00FC5A0F"/>
    <w:rsid w:val="00FC6B97"/>
    <w:rsid w:val="00FC7A0E"/>
    <w:rsid w:val="00FD09BF"/>
    <w:rsid w:val="00FD0BF1"/>
    <w:rsid w:val="00FD14A6"/>
    <w:rsid w:val="00FD1635"/>
    <w:rsid w:val="00FD237E"/>
    <w:rsid w:val="00FD344F"/>
    <w:rsid w:val="00FD3CA7"/>
    <w:rsid w:val="00FD3DEC"/>
    <w:rsid w:val="00FD5171"/>
    <w:rsid w:val="00FD5430"/>
    <w:rsid w:val="00FD5941"/>
    <w:rsid w:val="00FD5BEF"/>
    <w:rsid w:val="00FD5DD5"/>
    <w:rsid w:val="00FD6668"/>
    <w:rsid w:val="00FD7403"/>
    <w:rsid w:val="00FE0666"/>
    <w:rsid w:val="00FE152E"/>
    <w:rsid w:val="00FE2331"/>
    <w:rsid w:val="00FE261E"/>
    <w:rsid w:val="00FE2751"/>
    <w:rsid w:val="00FE2A56"/>
    <w:rsid w:val="00FE2D4D"/>
    <w:rsid w:val="00FE3FFE"/>
    <w:rsid w:val="00FE42F5"/>
    <w:rsid w:val="00FE5551"/>
    <w:rsid w:val="00FE55A2"/>
    <w:rsid w:val="00FE573D"/>
    <w:rsid w:val="00FE5BEA"/>
    <w:rsid w:val="00FE6EF3"/>
    <w:rsid w:val="00FE726C"/>
    <w:rsid w:val="00FF06B0"/>
    <w:rsid w:val="00FF0784"/>
    <w:rsid w:val="00FF085B"/>
    <w:rsid w:val="00FF127F"/>
    <w:rsid w:val="00FF1625"/>
    <w:rsid w:val="00FF23B8"/>
    <w:rsid w:val="00FF272F"/>
    <w:rsid w:val="00FF3A9C"/>
    <w:rsid w:val="00FF3C41"/>
    <w:rsid w:val="00FF3D98"/>
    <w:rsid w:val="00FF5273"/>
    <w:rsid w:val="00FF5F62"/>
    <w:rsid w:val="00FF645E"/>
    <w:rsid w:val="00FF78AE"/>
    <w:rsid w:val="014D4F9C"/>
    <w:rsid w:val="01BD58F1"/>
    <w:rsid w:val="02850099"/>
    <w:rsid w:val="02FE4417"/>
    <w:rsid w:val="0390504B"/>
    <w:rsid w:val="04587CAC"/>
    <w:rsid w:val="048D5F88"/>
    <w:rsid w:val="05527F1F"/>
    <w:rsid w:val="05650B44"/>
    <w:rsid w:val="05AE6053"/>
    <w:rsid w:val="05EA0F11"/>
    <w:rsid w:val="05F10992"/>
    <w:rsid w:val="078F6E57"/>
    <w:rsid w:val="07E2057E"/>
    <w:rsid w:val="08467A4B"/>
    <w:rsid w:val="08842797"/>
    <w:rsid w:val="098E1A33"/>
    <w:rsid w:val="09C47CB2"/>
    <w:rsid w:val="0A4557E9"/>
    <w:rsid w:val="0A8C1EDC"/>
    <w:rsid w:val="0B2C2C98"/>
    <w:rsid w:val="0C6723FD"/>
    <w:rsid w:val="0C8B2C65"/>
    <w:rsid w:val="0D683CEF"/>
    <w:rsid w:val="0DEB3061"/>
    <w:rsid w:val="0DFA4828"/>
    <w:rsid w:val="0E1D7628"/>
    <w:rsid w:val="0E6F021B"/>
    <w:rsid w:val="102C4895"/>
    <w:rsid w:val="10473B86"/>
    <w:rsid w:val="105174DA"/>
    <w:rsid w:val="108E2693"/>
    <w:rsid w:val="10E27C86"/>
    <w:rsid w:val="12CE7F17"/>
    <w:rsid w:val="12F970BE"/>
    <w:rsid w:val="13867477"/>
    <w:rsid w:val="139B0D39"/>
    <w:rsid w:val="13A670CA"/>
    <w:rsid w:val="13A84C87"/>
    <w:rsid w:val="14147BA4"/>
    <w:rsid w:val="1426053E"/>
    <w:rsid w:val="14406836"/>
    <w:rsid w:val="15452C47"/>
    <w:rsid w:val="155C2F18"/>
    <w:rsid w:val="159436F2"/>
    <w:rsid w:val="15C402A4"/>
    <w:rsid w:val="15D93064"/>
    <w:rsid w:val="167D1264"/>
    <w:rsid w:val="170C20DC"/>
    <w:rsid w:val="18383E49"/>
    <w:rsid w:val="187D3DBA"/>
    <w:rsid w:val="190C4D1E"/>
    <w:rsid w:val="19877AF0"/>
    <w:rsid w:val="19DB1C02"/>
    <w:rsid w:val="1AC7181D"/>
    <w:rsid w:val="1B74433D"/>
    <w:rsid w:val="1C9E2280"/>
    <w:rsid w:val="1CA25BE0"/>
    <w:rsid w:val="1CDE048A"/>
    <w:rsid w:val="1E0E568F"/>
    <w:rsid w:val="1E53745D"/>
    <w:rsid w:val="1F533D0F"/>
    <w:rsid w:val="21715BB1"/>
    <w:rsid w:val="226008F9"/>
    <w:rsid w:val="22655A8C"/>
    <w:rsid w:val="22F15D7C"/>
    <w:rsid w:val="230479C7"/>
    <w:rsid w:val="23474C6D"/>
    <w:rsid w:val="23B6579A"/>
    <w:rsid w:val="25780405"/>
    <w:rsid w:val="26671392"/>
    <w:rsid w:val="266B4515"/>
    <w:rsid w:val="266D6428"/>
    <w:rsid w:val="26BE4279"/>
    <w:rsid w:val="26DD0E60"/>
    <w:rsid w:val="27330953"/>
    <w:rsid w:val="281B425C"/>
    <w:rsid w:val="295C4868"/>
    <w:rsid w:val="2A7716A8"/>
    <w:rsid w:val="2AC552CC"/>
    <w:rsid w:val="2AE634F2"/>
    <w:rsid w:val="2B327252"/>
    <w:rsid w:val="2B7164D1"/>
    <w:rsid w:val="2BB205C0"/>
    <w:rsid w:val="2BE70082"/>
    <w:rsid w:val="2C5A7428"/>
    <w:rsid w:val="2C6922ED"/>
    <w:rsid w:val="2CC43EAC"/>
    <w:rsid w:val="2CD043DF"/>
    <w:rsid w:val="2CD33F1A"/>
    <w:rsid w:val="2CDB3525"/>
    <w:rsid w:val="2CE14CF5"/>
    <w:rsid w:val="2D0A3CA1"/>
    <w:rsid w:val="2D5034E4"/>
    <w:rsid w:val="2D627E49"/>
    <w:rsid w:val="2DE53753"/>
    <w:rsid w:val="2EE5314C"/>
    <w:rsid w:val="2F0C123B"/>
    <w:rsid w:val="2FFF4FD1"/>
    <w:rsid w:val="30AB0CE7"/>
    <w:rsid w:val="32261582"/>
    <w:rsid w:val="32FB683D"/>
    <w:rsid w:val="33BC623A"/>
    <w:rsid w:val="34681EAD"/>
    <w:rsid w:val="35DD5BB0"/>
    <w:rsid w:val="36457786"/>
    <w:rsid w:val="36910C39"/>
    <w:rsid w:val="37825990"/>
    <w:rsid w:val="37A01CB6"/>
    <w:rsid w:val="384261F9"/>
    <w:rsid w:val="39291FD6"/>
    <w:rsid w:val="3981556C"/>
    <w:rsid w:val="39CF1461"/>
    <w:rsid w:val="3A5735D6"/>
    <w:rsid w:val="3AAD6893"/>
    <w:rsid w:val="3C084351"/>
    <w:rsid w:val="3C6935B1"/>
    <w:rsid w:val="3DB05C42"/>
    <w:rsid w:val="3E5D4E61"/>
    <w:rsid w:val="3E6B6375"/>
    <w:rsid w:val="3E90139E"/>
    <w:rsid w:val="3F103746"/>
    <w:rsid w:val="3FE24047"/>
    <w:rsid w:val="40524798"/>
    <w:rsid w:val="406A5E3B"/>
    <w:rsid w:val="4076529A"/>
    <w:rsid w:val="40DD79F9"/>
    <w:rsid w:val="410427B6"/>
    <w:rsid w:val="4127477B"/>
    <w:rsid w:val="431459AC"/>
    <w:rsid w:val="43365054"/>
    <w:rsid w:val="4369657E"/>
    <w:rsid w:val="452440A9"/>
    <w:rsid w:val="47262A3B"/>
    <w:rsid w:val="48066B36"/>
    <w:rsid w:val="485B34FC"/>
    <w:rsid w:val="487061E5"/>
    <w:rsid w:val="498D437A"/>
    <w:rsid w:val="49C350B7"/>
    <w:rsid w:val="49F10C84"/>
    <w:rsid w:val="4A1558DD"/>
    <w:rsid w:val="4C486AE7"/>
    <w:rsid w:val="4D642C84"/>
    <w:rsid w:val="4DE174B4"/>
    <w:rsid w:val="4E4A720E"/>
    <w:rsid w:val="4E547FA4"/>
    <w:rsid w:val="50BC2EE2"/>
    <w:rsid w:val="512A58F1"/>
    <w:rsid w:val="534051E8"/>
    <w:rsid w:val="53983CF7"/>
    <w:rsid w:val="53CA190A"/>
    <w:rsid w:val="54156379"/>
    <w:rsid w:val="54752BD1"/>
    <w:rsid w:val="54FD0714"/>
    <w:rsid w:val="56881D03"/>
    <w:rsid w:val="56B2417C"/>
    <w:rsid w:val="56B518CE"/>
    <w:rsid w:val="56BD475C"/>
    <w:rsid w:val="577E261B"/>
    <w:rsid w:val="57B662AD"/>
    <w:rsid w:val="58466386"/>
    <w:rsid w:val="59331322"/>
    <w:rsid w:val="5A2100CF"/>
    <w:rsid w:val="5B16765E"/>
    <w:rsid w:val="5B486C55"/>
    <w:rsid w:val="5C515A99"/>
    <w:rsid w:val="5C784F41"/>
    <w:rsid w:val="5C8210D4"/>
    <w:rsid w:val="5D066DD0"/>
    <w:rsid w:val="5DC666ED"/>
    <w:rsid w:val="5E1924D1"/>
    <w:rsid w:val="5E342568"/>
    <w:rsid w:val="5EF10836"/>
    <w:rsid w:val="5F1B72AA"/>
    <w:rsid w:val="5F245E25"/>
    <w:rsid w:val="5F3909E8"/>
    <w:rsid w:val="5F5520C4"/>
    <w:rsid w:val="5F68711E"/>
    <w:rsid w:val="5F775C2F"/>
    <w:rsid w:val="608A69F1"/>
    <w:rsid w:val="60B54A4A"/>
    <w:rsid w:val="60F86573"/>
    <w:rsid w:val="616323E7"/>
    <w:rsid w:val="61844894"/>
    <w:rsid w:val="61E66CAD"/>
    <w:rsid w:val="62AD11C6"/>
    <w:rsid w:val="62CA712B"/>
    <w:rsid w:val="63785259"/>
    <w:rsid w:val="647A1FFE"/>
    <w:rsid w:val="649618E4"/>
    <w:rsid w:val="65491234"/>
    <w:rsid w:val="65B56420"/>
    <w:rsid w:val="66464688"/>
    <w:rsid w:val="66B90671"/>
    <w:rsid w:val="66EE0BCA"/>
    <w:rsid w:val="66F67DDC"/>
    <w:rsid w:val="67576863"/>
    <w:rsid w:val="678A2959"/>
    <w:rsid w:val="67DF3CBB"/>
    <w:rsid w:val="680A39BB"/>
    <w:rsid w:val="683642FC"/>
    <w:rsid w:val="68662327"/>
    <w:rsid w:val="68691D8E"/>
    <w:rsid w:val="68957BE6"/>
    <w:rsid w:val="6AE9216F"/>
    <w:rsid w:val="6B3501CF"/>
    <w:rsid w:val="6B78428F"/>
    <w:rsid w:val="6C254CB6"/>
    <w:rsid w:val="6CD43218"/>
    <w:rsid w:val="6DC71F2F"/>
    <w:rsid w:val="6DD65083"/>
    <w:rsid w:val="6DFC6094"/>
    <w:rsid w:val="6E596897"/>
    <w:rsid w:val="6EFE198E"/>
    <w:rsid w:val="6F0D763F"/>
    <w:rsid w:val="70C301D1"/>
    <w:rsid w:val="70CD1B9F"/>
    <w:rsid w:val="70CF7ECF"/>
    <w:rsid w:val="712B1173"/>
    <w:rsid w:val="71EE0AD5"/>
    <w:rsid w:val="71F33B7F"/>
    <w:rsid w:val="728C0012"/>
    <w:rsid w:val="72F44F66"/>
    <w:rsid w:val="734C3B51"/>
    <w:rsid w:val="7368143F"/>
    <w:rsid w:val="7375581E"/>
    <w:rsid w:val="741216B9"/>
    <w:rsid w:val="74EA6477"/>
    <w:rsid w:val="762659AA"/>
    <w:rsid w:val="76880CCE"/>
    <w:rsid w:val="768A0AA5"/>
    <w:rsid w:val="76C47F2F"/>
    <w:rsid w:val="774C65D3"/>
    <w:rsid w:val="7780294E"/>
    <w:rsid w:val="792433A3"/>
    <w:rsid w:val="7997550A"/>
    <w:rsid w:val="79A037E1"/>
    <w:rsid w:val="79A14776"/>
    <w:rsid w:val="7A216B93"/>
    <w:rsid w:val="7A4E4531"/>
    <w:rsid w:val="7A9E718E"/>
    <w:rsid w:val="7B4F519C"/>
    <w:rsid w:val="7B6F758A"/>
    <w:rsid w:val="7B7420F3"/>
    <w:rsid w:val="7BE2184C"/>
    <w:rsid w:val="7CD50D3A"/>
    <w:rsid w:val="7D3A0DD2"/>
    <w:rsid w:val="7D585F36"/>
    <w:rsid w:val="7DE65970"/>
    <w:rsid w:val="7E4D79FF"/>
    <w:rsid w:val="7E790DF1"/>
    <w:rsid w:val="7E965B1A"/>
    <w:rsid w:val="7F633A0C"/>
    <w:rsid w:val="7FDD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semiHidden="0" w:name="HTML Code"/>
    <w:lsdException w:uiPriority="99" w:semiHidden="0" w:name="HTML Definition"/>
    <w:lsdException w:uiPriority="99" w:semiHidden="0" w:name="HTML Keyboard"/>
    <w:lsdException w:unhideWhenUsed="0" w:uiPriority="0" w:semiHidden="0" w:name="HTML Preformatted"/>
    <w:lsdException w:qFormat="1" w:uiPriority="99" w:semiHidden="0" w:name="HTML Sample"/>
    <w:lsdException w:uiPriority="99" w:name="HTML Typewriter"/>
    <w:lsdException w:uiPriority="99"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4"/>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155"/>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146"/>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1"/>
    <w:link w:val="101"/>
    <w:qFormat/>
    <w:uiPriority w:val="0"/>
    <w:pPr>
      <w:keepNext/>
      <w:keepLines/>
      <w:numPr>
        <w:ilvl w:val="4"/>
        <w:numId w:val="1"/>
      </w:numPr>
      <w:spacing w:before="280" w:after="290" w:line="376" w:lineRule="auto"/>
      <w:outlineLvl w:val="4"/>
    </w:pPr>
    <w:rPr>
      <w:b/>
      <w:sz w:val="28"/>
    </w:rPr>
  </w:style>
  <w:style w:type="paragraph" w:styleId="7">
    <w:name w:val="heading 6"/>
    <w:basedOn w:val="1"/>
    <w:next w:val="8"/>
    <w:link w:val="168"/>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8"/>
    <w:link w:val="140"/>
    <w:qFormat/>
    <w:uiPriority w:val="0"/>
    <w:pPr>
      <w:keepNext/>
      <w:keepLines/>
      <w:numPr>
        <w:ilvl w:val="6"/>
        <w:numId w:val="1"/>
      </w:numPr>
      <w:spacing w:before="240" w:after="64" w:line="320" w:lineRule="auto"/>
      <w:outlineLvl w:val="6"/>
    </w:pPr>
    <w:rPr>
      <w:b/>
      <w:sz w:val="24"/>
    </w:rPr>
  </w:style>
  <w:style w:type="paragraph" w:styleId="10">
    <w:name w:val="heading 8"/>
    <w:basedOn w:val="1"/>
    <w:next w:val="8"/>
    <w:link w:val="108"/>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8"/>
    <w:link w:val="171"/>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153"/>
    <w:qFormat/>
    <w:uiPriority w:val="0"/>
    <w:pPr>
      <w:ind w:firstLine="420"/>
    </w:pPr>
    <w:rPr>
      <w:szCs w:val="20"/>
    </w:rPr>
  </w:style>
  <w:style w:type="paragraph" w:styleId="12">
    <w:name w:val="annotation subject"/>
    <w:basedOn w:val="13"/>
    <w:next w:val="13"/>
    <w:semiHidden/>
    <w:qFormat/>
    <w:uiPriority w:val="0"/>
    <w:pPr>
      <w:adjustRightInd/>
      <w:spacing w:line="240" w:lineRule="auto"/>
      <w:textAlignment w:val="auto"/>
    </w:pPr>
    <w:rPr>
      <w:b/>
      <w:bCs/>
      <w:kern w:val="2"/>
      <w:sz w:val="21"/>
      <w:szCs w:val="24"/>
    </w:rPr>
  </w:style>
  <w:style w:type="paragraph" w:styleId="13">
    <w:name w:val="annotation text"/>
    <w:basedOn w:val="1"/>
    <w:link w:val="69"/>
    <w:uiPriority w:val="0"/>
    <w:pPr>
      <w:adjustRightInd w:val="0"/>
      <w:spacing w:line="360" w:lineRule="atLeast"/>
      <w:jc w:val="left"/>
      <w:textAlignment w:val="baseline"/>
    </w:pPr>
    <w:rPr>
      <w:kern w:val="0"/>
      <w:sz w:val="24"/>
      <w:szCs w:val="20"/>
    </w:r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29"/>
    <w:uiPriority w:val="0"/>
    <w:pPr>
      <w:shd w:val="clear" w:color="auto" w:fill="000080"/>
      <w:adjustRightInd w:val="0"/>
      <w:spacing w:line="312" w:lineRule="atLeast"/>
      <w:textAlignment w:val="baseline"/>
    </w:pPr>
    <w:rPr>
      <w:kern w:val="0"/>
      <w:sz w:val="20"/>
      <w:szCs w:val="20"/>
    </w:rPr>
  </w:style>
  <w:style w:type="paragraph" w:styleId="18">
    <w:name w:val="index 6"/>
    <w:next w:val="1"/>
    <w:qFormat/>
    <w:uiPriority w:val="0"/>
    <w:pPr>
      <w:jc w:val="both"/>
    </w:pPr>
    <w:rPr>
      <w:rFonts w:ascii="Times New Roman" w:hAnsi="Times New Roman" w:eastAsia="宋体" w:cs="Times New Roman"/>
      <w:sz w:val="21"/>
      <w:szCs w:val="24"/>
      <w:lang w:val="en-US" w:eastAsia="zh-CN" w:bidi="ar-SA"/>
    </w:rPr>
  </w:style>
  <w:style w:type="paragraph" w:styleId="19">
    <w:name w:val="Body Text 3"/>
    <w:basedOn w:val="1"/>
    <w:link w:val="72"/>
    <w:qFormat/>
    <w:uiPriority w:val="0"/>
    <w:pPr>
      <w:spacing w:line="500" w:lineRule="exact"/>
    </w:pPr>
    <w:rPr>
      <w:b/>
      <w:bCs/>
      <w:kern w:val="0"/>
      <w:sz w:val="24"/>
    </w:rPr>
  </w:style>
  <w:style w:type="paragraph" w:styleId="20">
    <w:name w:val="Body Text"/>
    <w:basedOn w:val="1"/>
    <w:link w:val="79"/>
    <w:qFormat/>
    <w:uiPriority w:val="0"/>
    <w:pPr>
      <w:spacing w:line="380" w:lineRule="exact"/>
    </w:pPr>
    <w:rPr>
      <w:kern w:val="0"/>
      <w:sz w:val="24"/>
    </w:rPr>
  </w:style>
  <w:style w:type="paragraph" w:styleId="21">
    <w:name w:val="Body Text Indent"/>
    <w:basedOn w:val="1"/>
    <w:link w:val="137"/>
    <w:qFormat/>
    <w:uiPriority w:val="0"/>
    <w:pPr>
      <w:ind w:firstLine="830" w:firstLineChars="352"/>
    </w:pPr>
    <w:rPr>
      <w:rFonts w:ascii="仿宋_GB2312" w:eastAsia="仿宋_GB2312"/>
      <w:kern w:val="0"/>
      <w:sz w:val="32"/>
      <w:szCs w:val="20"/>
    </w:rPr>
  </w:style>
  <w:style w:type="paragraph" w:styleId="22">
    <w:name w:val="List Number 3"/>
    <w:basedOn w:val="1"/>
    <w:qFormat/>
    <w:uiPriority w:val="0"/>
    <w:pPr>
      <w:numPr>
        <w:ilvl w:val="0"/>
        <w:numId w:val="1"/>
      </w:numPr>
      <w:tabs>
        <w:tab w:val="left" w:pos="1200"/>
      </w:tabs>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6">
    <w:name w:val="toc 3"/>
    <w:basedOn w:val="1"/>
    <w:next w:val="1"/>
    <w:qFormat/>
    <w:uiPriority w:val="39"/>
    <w:pPr>
      <w:ind w:left="840" w:leftChars="400"/>
    </w:pPr>
  </w:style>
  <w:style w:type="paragraph" w:styleId="27">
    <w:name w:val="Plain Text"/>
    <w:basedOn w:val="1"/>
    <w:link w:val="109"/>
    <w:qFormat/>
    <w:uiPriority w:val="0"/>
    <w:rPr>
      <w:rFonts w:ascii="宋体" w:hAnsi="Courier New"/>
      <w:kern w:val="0"/>
      <w:sz w:val="20"/>
      <w:szCs w:val="21"/>
    </w:rPr>
  </w:style>
  <w:style w:type="paragraph" w:styleId="28">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9">
    <w:name w:val="Date"/>
    <w:basedOn w:val="1"/>
    <w:next w:val="1"/>
    <w:link w:val="150"/>
    <w:qFormat/>
    <w:uiPriority w:val="0"/>
    <w:pPr>
      <w:ind w:left="100" w:leftChars="2500"/>
    </w:pPr>
    <w:rPr>
      <w:rFonts w:ascii="宋体" w:hAnsi="Courier New"/>
      <w:kern w:val="0"/>
      <w:sz w:val="20"/>
      <w:szCs w:val="21"/>
    </w:rPr>
  </w:style>
  <w:style w:type="paragraph" w:styleId="30">
    <w:name w:val="Body Text Indent 2"/>
    <w:basedOn w:val="1"/>
    <w:link w:val="105"/>
    <w:qFormat/>
    <w:uiPriority w:val="0"/>
    <w:pPr>
      <w:ind w:firstLine="630"/>
    </w:pPr>
    <w:rPr>
      <w:kern w:val="0"/>
      <w:sz w:val="32"/>
      <w:szCs w:val="20"/>
    </w:rPr>
  </w:style>
  <w:style w:type="paragraph" w:styleId="31">
    <w:name w:val="Balloon Text"/>
    <w:basedOn w:val="1"/>
    <w:link w:val="131"/>
    <w:semiHidden/>
    <w:qFormat/>
    <w:uiPriority w:val="0"/>
    <w:rPr>
      <w:kern w:val="0"/>
      <w:sz w:val="18"/>
      <w:szCs w:val="18"/>
    </w:rPr>
  </w:style>
  <w:style w:type="paragraph" w:styleId="32">
    <w:name w:val="footer"/>
    <w:basedOn w:val="1"/>
    <w:link w:val="160"/>
    <w:uiPriority w:val="99"/>
    <w:pPr>
      <w:tabs>
        <w:tab w:val="center" w:pos="4153"/>
        <w:tab w:val="right" w:pos="8306"/>
      </w:tabs>
      <w:snapToGrid w:val="0"/>
      <w:jc w:val="left"/>
    </w:pPr>
    <w:rPr>
      <w:kern w:val="0"/>
      <w:sz w:val="18"/>
      <w:szCs w:val="18"/>
    </w:rPr>
  </w:style>
  <w:style w:type="paragraph" w:styleId="33">
    <w:name w:val="header"/>
    <w:basedOn w:val="1"/>
    <w:link w:val="128"/>
    <w:qFormat/>
    <w:uiPriority w:val="0"/>
    <w:pPr>
      <w:pBdr>
        <w:bottom w:val="single" w:color="auto" w:sz="6" w:space="1"/>
      </w:pBdr>
      <w:tabs>
        <w:tab w:val="center" w:pos="4153"/>
        <w:tab w:val="right" w:pos="8306"/>
      </w:tabs>
      <w:snapToGrid w:val="0"/>
      <w:jc w:val="center"/>
    </w:pPr>
    <w:rPr>
      <w:kern w:val="0"/>
      <w:sz w:val="18"/>
      <w:szCs w:val="18"/>
    </w:rPr>
  </w:style>
  <w:style w:type="paragraph" w:styleId="34">
    <w:name w:val="toc 1"/>
    <w:basedOn w:val="1"/>
    <w:next w:val="1"/>
    <w:qFormat/>
    <w:uiPriority w:val="39"/>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paragraph" w:styleId="35">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link w:val="98"/>
    <w:qFormat/>
    <w:uiPriority w:val="0"/>
    <w:pPr>
      <w:spacing w:after="120"/>
      <w:ind w:left="420" w:leftChars="200"/>
    </w:pPr>
    <w:rPr>
      <w:kern w:val="0"/>
      <w:sz w:val="16"/>
      <w:szCs w:val="16"/>
    </w:rPr>
  </w:style>
  <w:style w:type="paragraph" w:styleId="40">
    <w:name w:val="toc 2"/>
    <w:basedOn w:val="1"/>
    <w:next w:val="1"/>
    <w:qFormat/>
    <w:uiPriority w:val="39"/>
    <w:pPr>
      <w:ind w:left="420" w:leftChars="200"/>
    </w:pPr>
  </w:style>
  <w:style w:type="paragraph" w:styleId="41">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2">
    <w:name w:val="Body Text 2"/>
    <w:basedOn w:val="1"/>
    <w:link w:val="116"/>
    <w:uiPriority w:val="0"/>
    <w:pPr>
      <w:spacing w:after="120" w:line="480" w:lineRule="auto"/>
    </w:pPr>
    <w:rPr>
      <w:kern w:val="0"/>
      <w:sz w:val="20"/>
    </w:rPr>
  </w:style>
  <w:style w:type="paragraph" w:styleId="4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4">
    <w:name w:val="Normal (Web)"/>
    <w:basedOn w:val="1"/>
    <w:qFormat/>
    <w:uiPriority w:val="99"/>
    <w:pPr>
      <w:widowControl/>
      <w:spacing w:before="100" w:beforeAutospacing="1" w:after="100" w:afterAutospacing="1"/>
      <w:jc w:val="left"/>
    </w:pPr>
    <w:rPr>
      <w:rFonts w:ascii="宋体" w:hAnsi="宋体"/>
      <w:kern w:val="0"/>
      <w:sz w:val="24"/>
    </w:rPr>
  </w:style>
  <w:style w:type="paragraph" w:styleId="45">
    <w:name w:val="index 1"/>
    <w:basedOn w:val="1"/>
    <w:next w:val="1"/>
    <w:semiHidden/>
    <w:qFormat/>
    <w:uiPriority w:val="0"/>
    <w:pPr>
      <w:spacing w:line="400" w:lineRule="exact"/>
      <w:ind w:firstLine="420" w:firstLineChars="200"/>
    </w:pPr>
    <w:rPr>
      <w:rFonts w:ascii="宋体" w:hAnsi="Courier New"/>
      <w:b/>
      <w:szCs w:val="20"/>
    </w:rPr>
  </w:style>
  <w:style w:type="paragraph" w:styleId="46">
    <w:name w:val="Title"/>
    <w:basedOn w:val="1"/>
    <w:link w:val="144"/>
    <w:qFormat/>
    <w:uiPriority w:val="0"/>
    <w:pPr>
      <w:spacing w:before="240" w:after="60"/>
      <w:jc w:val="center"/>
      <w:outlineLvl w:val="0"/>
    </w:pPr>
    <w:rPr>
      <w:rFonts w:ascii="Arial" w:hAnsi="Arial"/>
      <w:b/>
      <w:bCs/>
      <w:sz w:val="32"/>
      <w:szCs w:val="32"/>
    </w:rPr>
  </w:style>
  <w:style w:type="character" w:styleId="48">
    <w:name w:val="Strong"/>
    <w:qFormat/>
    <w:uiPriority w:val="0"/>
    <w:rPr>
      <w:b/>
      <w:bCs/>
    </w:rPr>
  </w:style>
  <w:style w:type="character" w:styleId="49">
    <w:name w:val="page number"/>
    <w:basedOn w:val="47"/>
    <w:uiPriority w:val="0"/>
  </w:style>
  <w:style w:type="character" w:styleId="50">
    <w:name w:val="FollowedHyperlink"/>
    <w:qFormat/>
    <w:uiPriority w:val="0"/>
    <w:rPr>
      <w:color w:val="146C88"/>
      <w:u w:val="none"/>
    </w:rPr>
  </w:style>
  <w:style w:type="character" w:styleId="51">
    <w:name w:val="Emphasis"/>
    <w:qFormat/>
    <w:uiPriority w:val="0"/>
    <w:rPr>
      <w:i/>
      <w:iCs/>
    </w:rPr>
  </w:style>
  <w:style w:type="character" w:styleId="52">
    <w:name w:val="HTML Definition"/>
    <w:unhideWhenUsed/>
    <w:uiPriority w:val="99"/>
  </w:style>
  <w:style w:type="character" w:styleId="53">
    <w:name w:val="HTML Variable"/>
    <w:unhideWhenUsed/>
    <w:uiPriority w:val="99"/>
  </w:style>
  <w:style w:type="character" w:styleId="54">
    <w:name w:val="Hyperlink"/>
    <w:qFormat/>
    <w:uiPriority w:val="99"/>
    <w:rPr>
      <w:color w:val="146C88"/>
      <w:u w:val="none"/>
    </w:rPr>
  </w:style>
  <w:style w:type="character" w:styleId="55">
    <w:name w:val="HTML Code"/>
    <w:unhideWhenUsed/>
    <w:uiPriority w:val="99"/>
    <w:rPr>
      <w:rFonts w:hint="default" w:ascii="Courier New" w:hAnsi="Courier New" w:eastAsia="Courier New" w:cs="Courier New"/>
      <w:sz w:val="20"/>
    </w:rPr>
  </w:style>
  <w:style w:type="character" w:styleId="56">
    <w:name w:val="annotation reference"/>
    <w:semiHidden/>
    <w:qFormat/>
    <w:uiPriority w:val="0"/>
    <w:rPr>
      <w:sz w:val="21"/>
      <w:szCs w:val="21"/>
    </w:rPr>
  </w:style>
  <w:style w:type="character" w:styleId="57">
    <w:name w:val="HTML Cite"/>
    <w:unhideWhenUsed/>
    <w:qFormat/>
    <w:uiPriority w:val="99"/>
  </w:style>
  <w:style w:type="character" w:styleId="58">
    <w:name w:val="HTML Keyboard"/>
    <w:unhideWhenUsed/>
    <w:uiPriority w:val="99"/>
    <w:rPr>
      <w:rFonts w:hint="default" w:ascii="Courier New" w:hAnsi="Courier New" w:eastAsia="Courier New" w:cs="Courier New"/>
      <w:sz w:val="20"/>
    </w:rPr>
  </w:style>
  <w:style w:type="character" w:styleId="59">
    <w:name w:val="HTML Sample"/>
    <w:unhideWhenUsed/>
    <w:qFormat/>
    <w:uiPriority w:val="99"/>
    <w:rPr>
      <w:rFonts w:ascii="Courier New" w:hAnsi="Courier New" w:eastAsia="Courier New" w:cs="Courier New"/>
    </w:rPr>
  </w:style>
  <w:style w:type="table" w:styleId="61">
    <w:name w:val="Table Grid"/>
    <w:basedOn w:val="6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2">
    <w:name w:val="小标1级 Char"/>
    <w:link w:val="63"/>
    <w:uiPriority w:val="0"/>
    <w:rPr>
      <w:rFonts w:ascii="仿宋_GB2312" w:hAnsi="宋体" w:eastAsia="仿宋_GB2312"/>
      <w:b/>
      <w:kern w:val="2"/>
      <w:sz w:val="28"/>
      <w:szCs w:val="28"/>
    </w:rPr>
  </w:style>
  <w:style w:type="paragraph" w:customStyle="1" w:styleId="63">
    <w:name w:val="小标1级"/>
    <w:basedOn w:val="1"/>
    <w:link w:val="62"/>
    <w:uiPriority w:val="0"/>
    <w:pPr>
      <w:tabs>
        <w:tab w:val="left" w:pos="720"/>
      </w:tabs>
      <w:spacing w:line="360" w:lineRule="auto"/>
    </w:pPr>
    <w:rPr>
      <w:rFonts w:ascii="仿宋_GB2312" w:hAnsi="宋体" w:eastAsia="仿宋_GB2312"/>
      <w:b/>
      <w:sz w:val="28"/>
      <w:szCs w:val="28"/>
    </w:rPr>
  </w:style>
  <w:style w:type="character" w:customStyle="1" w:styleId="64">
    <w:name w:val="标题 1 Char"/>
    <w:uiPriority w:val="0"/>
    <w:rPr>
      <w:rFonts w:ascii="Times New Roman" w:hAnsi="Times New Roman" w:eastAsia="宋体" w:cs="Times New Roman"/>
      <w:b/>
      <w:bCs/>
      <w:kern w:val="44"/>
      <w:sz w:val="44"/>
      <w:szCs w:val="44"/>
    </w:rPr>
  </w:style>
  <w:style w:type="character" w:customStyle="1" w:styleId="65">
    <w:name w:val="1ji Char"/>
    <w:link w:val="66"/>
    <w:uiPriority w:val="0"/>
    <w:rPr>
      <w:rFonts w:ascii="宋体" w:hAnsi="宋体" w:eastAsia="宋体" w:cs="Times New Roman"/>
      <w:b/>
      <w:bCs/>
      <w:kern w:val="0"/>
      <w:sz w:val="36"/>
      <w:szCs w:val="20"/>
    </w:rPr>
  </w:style>
  <w:style w:type="paragraph" w:customStyle="1" w:styleId="66">
    <w:name w:val="1ji"/>
    <w:basedOn w:val="2"/>
    <w:link w:val="65"/>
    <w:qFormat/>
    <w:uiPriority w:val="0"/>
    <w:pPr>
      <w:keepLines w:val="0"/>
      <w:widowControl/>
      <w:spacing w:before="0" w:after="0" w:line="240" w:lineRule="auto"/>
      <w:jc w:val="center"/>
    </w:pPr>
    <w:rPr>
      <w:rFonts w:ascii="宋体" w:hAnsi="宋体"/>
      <w:kern w:val="0"/>
      <w:sz w:val="36"/>
      <w:szCs w:val="20"/>
    </w:rPr>
  </w:style>
  <w:style w:type="character" w:customStyle="1" w:styleId="67">
    <w:name w:val="普通文字 Char Char1"/>
    <w:qFormat/>
    <w:uiPriority w:val="0"/>
    <w:rPr>
      <w:rFonts w:ascii="宋体" w:hAnsi="Courier New" w:eastAsia="宋体" w:cs="Courier New"/>
      <w:szCs w:val="21"/>
    </w:rPr>
  </w:style>
  <w:style w:type="character" w:customStyle="1" w:styleId="68">
    <w:name w:val="Char Char12"/>
    <w:qFormat/>
    <w:uiPriority w:val="0"/>
    <w:rPr>
      <w:rFonts w:ascii="Arial" w:hAnsi="Arial" w:eastAsia="宋体"/>
      <w:b/>
      <w:bCs/>
      <w:kern w:val="2"/>
      <w:sz w:val="21"/>
      <w:szCs w:val="21"/>
      <w:lang w:bidi="ar-SA"/>
    </w:rPr>
  </w:style>
  <w:style w:type="character" w:customStyle="1" w:styleId="69">
    <w:name w:val="批注文字 字符"/>
    <w:link w:val="13"/>
    <w:uiPriority w:val="0"/>
    <w:rPr>
      <w:rFonts w:ascii="Times New Roman" w:hAnsi="Times New Roman" w:eastAsia="宋体" w:cs="Times New Roman"/>
      <w:kern w:val="0"/>
      <w:sz w:val="24"/>
      <w:szCs w:val="20"/>
    </w:rPr>
  </w:style>
  <w:style w:type="character" w:customStyle="1" w:styleId="70">
    <w:name w:val="正文缩进 Char"/>
    <w:uiPriority w:val="0"/>
    <w:rPr>
      <w:rFonts w:eastAsia="宋体"/>
      <w:kern w:val="2"/>
      <w:sz w:val="21"/>
      <w:lang w:val="en-US" w:eastAsia="zh-CN" w:bidi="ar-SA"/>
    </w:rPr>
  </w:style>
  <w:style w:type="character" w:customStyle="1" w:styleId="71">
    <w:name w:val="标题 2 Char"/>
    <w:uiPriority w:val="0"/>
    <w:rPr>
      <w:rFonts w:ascii="Arial" w:hAnsi="Arial" w:eastAsia="黑体" w:cs="Times New Roman"/>
      <w:b/>
      <w:bCs/>
      <w:sz w:val="32"/>
      <w:szCs w:val="32"/>
    </w:rPr>
  </w:style>
  <w:style w:type="character" w:customStyle="1" w:styleId="72">
    <w:name w:val="正文文本 3 字符"/>
    <w:link w:val="19"/>
    <w:qFormat/>
    <w:uiPriority w:val="0"/>
    <w:rPr>
      <w:rFonts w:ascii="Times New Roman" w:hAnsi="Times New Roman" w:eastAsia="宋体" w:cs="Times New Roman"/>
      <w:b/>
      <w:bCs/>
      <w:sz w:val="24"/>
      <w:szCs w:val="24"/>
    </w:rPr>
  </w:style>
  <w:style w:type="character" w:customStyle="1" w:styleId="73">
    <w:name w:val="普通文字 Char Char2"/>
    <w:uiPriority w:val="0"/>
    <w:rPr>
      <w:rFonts w:ascii="宋体" w:hAnsi="Courier New" w:eastAsia="宋体"/>
      <w:szCs w:val="21"/>
      <w:lang w:bidi="ar-SA"/>
    </w:rPr>
  </w:style>
  <w:style w:type="character" w:customStyle="1" w:styleId="74">
    <w:name w:val="文档结构图 Char"/>
    <w:uiPriority w:val="0"/>
    <w:rPr>
      <w:rFonts w:ascii="Times New Roman" w:hAnsi="Times New Roman" w:eastAsia="宋体" w:cs="Times New Roman"/>
      <w:kern w:val="0"/>
      <w:szCs w:val="20"/>
      <w:shd w:val="clear" w:color="auto" w:fill="000080"/>
    </w:rPr>
  </w:style>
  <w:style w:type="character" w:customStyle="1" w:styleId="75">
    <w:name w:val="正文文本缩进 2 Char"/>
    <w:uiPriority w:val="0"/>
    <w:rPr>
      <w:rFonts w:ascii="Times New Roman" w:hAnsi="Times New Roman" w:eastAsia="宋体" w:cs="Times New Roman"/>
      <w:sz w:val="32"/>
      <w:szCs w:val="20"/>
    </w:rPr>
  </w:style>
  <w:style w:type="character" w:customStyle="1" w:styleId="76">
    <w:name w:val="页脚 Char"/>
    <w:uiPriority w:val="0"/>
    <w:rPr>
      <w:rFonts w:ascii="Times New Roman" w:hAnsi="Times New Roman" w:eastAsia="宋体" w:cs="Times New Roman"/>
      <w:sz w:val="18"/>
      <w:szCs w:val="18"/>
    </w:rPr>
  </w:style>
  <w:style w:type="character" w:customStyle="1" w:styleId="77">
    <w:name w:val="纯文本 Char1"/>
    <w:uiPriority w:val="0"/>
    <w:rPr>
      <w:rFonts w:ascii="宋体" w:hAnsi="Courier New" w:eastAsia="宋体" w:cs="Courier New"/>
      <w:szCs w:val="21"/>
    </w:rPr>
  </w:style>
  <w:style w:type="character" w:customStyle="1" w:styleId="78">
    <w:name w:val="hover15"/>
    <w:basedOn w:val="47"/>
    <w:qFormat/>
    <w:uiPriority w:val="0"/>
  </w:style>
  <w:style w:type="character" w:customStyle="1" w:styleId="79">
    <w:name w:val="正文文本 字符"/>
    <w:link w:val="20"/>
    <w:uiPriority w:val="0"/>
    <w:rPr>
      <w:rFonts w:ascii="Times New Roman" w:hAnsi="Times New Roman" w:eastAsia="宋体" w:cs="Times New Roman"/>
      <w:sz w:val="24"/>
      <w:szCs w:val="24"/>
    </w:rPr>
  </w:style>
  <w:style w:type="character" w:customStyle="1" w:styleId="80">
    <w:name w:val="bds_more2"/>
    <w:basedOn w:val="47"/>
    <w:qFormat/>
    <w:uiPriority w:val="0"/>
  </w:style>
  <w:style w:type="character" w:customStyle="1" w:styleId="81">
    <w:name w:val="正文文本缩进 3 Char"/>
    <w:uiPriority w:val="0"/>
    <w:rPr>
      <w:rFonts w:ascii="Times New Roman" w:hAnsi="Times New Roman" w:eastAsia="宋体" w:cs="Times New Roman"/>
      <w:sz w:val="16"/>
      <w:szCs w:val="16"/>
    </w:rPr>
  </w:style>
  <w:style w:type="character" w:customStyle="1" w:styleId="82">
    <w:name w:val="普通文字 Char Char6"/>
    <w:qFormat/>
    <w:uiPriority w:val="0"/>
    <w:rPr>
      <w:rFonts w:ascii="宋体" w:hAnsi="Courier New" w:eastAsia="宋体"/>
      <w:szCs w:val="21"/>
      <w:lang w:bidi="ar-SA"/>
    </w:rPr>
  </w:style>
  <w:style w:type="character" w:customStyle="1" w:styleId="83">
    <w:name w:val="Char Char3"/>
    <w:locked/>
    <w:uiPriority w:val="0"/>
    <w:rPr>
      <w:rFonts w:ascii="宋体" w:hAnsi="Courier New" w:eastAsia="宋体"/>
      <w:szCs w:val="21"/>
      <w:lang w:bidi="ar-SA"/>
    </w:rPr>
  </w:style>
  <w:style w:type="character" w:customStyle="1" w:styleId="84">
    <w:name w:val="ca-0"/>
    <w:basedOn w:val="47"/>
    <w:qFormat/>
    <w:uiPriority w:val="0"/>
  </w:style>
  <w:style w:type="character" w:customStyle="1" w:styleId="85">
    <w:name w:val="标题 4 Char"/>
    <w:qFormat/>
    <w:uiPriority w:val="0"/>
    <w:rPr>
      <w:rFonts w:ascii="Arial" w:hAnsi="Arial" w:eastAsia="黑体" w:cs="Times New Roman"/>
      <w:kern w:val="0"/>
      <w:sz w:val="28"/>
      <w:szCs w:val="20"/>
    </w:rPr>
  </w:style>
  <w:style w:type="character" w:customStyle="1" w:styleId="86">
    <w:name w:val="unnamed11"/>
    <w:qFormat/>
    <w:uiPriority w:val="0"/>
    <w:rPr>
      <w:color w:val="000000"/>
      <w:sz w:val="20"/>
    </w:rPr>
  </w:style>
  <w:style w:type="character" w:customStyle="1" w:styleId="87">
    <w:name w:val="标题 1 字符"/>
    <w:link w:val="2"/>
    <w:uiPriority w:val="0"/>
    <w:rPr>
      <w:rFonts w:ascii="Times New Roman" w:hAnsi="Times New Roman" w:eastAsia="宋体" w:cs="Times New Roman"/>
      <w:b/>
      <w:bCs/>
      <w:kern w:val="44"/>
      <w:sz w:val="44"/>
      <w:szCs w:val="44"/>
    </w:rPr>
  </w:style>
  <w:style w:type="character" w:customStyle="1" w:styleId="88">
    <w:name w:val="普通文字 Char Char3"/>
    <w:qFormat/>
    <w:uiPriority w:val="0"/>
    <w:rPr>
      <w:rFonts w:ascii="宋体" w:hAnsi="Courier New" w:eastAsia="宋体" w:cs="Courier New"/>
      <w:szCs w:val="21"/>
    </w:rPr>
  </w:style>
  <w:style w:type="character" w:customStyle="1" w:styleId="89">
    <w:name w:val="bds_nopic"/>
    <w:basedOn w:val="47"/>
    <w:qFormat/>
    <w:uiPriority w:val="0"/>
  </w:style>
  <w:style w:type="character" w:customStyle="1" w:styleId="90">
    <w:name w:val="15"/>
    <w:qFormat/>
    <w:uiPriority w:val="0"/>
    <w:rPr>
      <w:rFonts w:hint="default" w:ascii="Times New Roman" w:hAnsi="Times New Roman" w:cs="Times New Roman"/>
      <w:b/>
      <w:bCs/>
    </w:rPr>
  </w:style>
  <w:style w:type="character" w:customStyle="1" w:styleId="91">
    <w:name w:val="标题 7 Char"/>
    <w:qFormat/>
    <w:uiPriority w:val="0"/>
    <w:rPr>
      <w:rFonts w:ascii="Calibri" w:hAnsi="Calibri" w:eastAsia="宋体"/>
      <w:b/>
      <w:kern w:val="2"/>
      <w:sz w:val="24"/>
      <w:szCs w:val="24"/>
      <w:lang w:val="en-US" w:eastAsia="zh-CN" w:bidi="ar-SA"/>
    </w:rPr>
  </w:style>
  <w:style w:type="character" w:customStyle="1" w:styleId="92">
    <w:name w:val="页眉 Char"/>
    <w:qFormat/>
    <w:uiPriority w:val="0"/>
    <w:rPr>
      <w:rFonts w:ascii="Times New Roman" w:hAnsi="Times New Roman" w:eastAsia="宋体" w:cs="Times New Roman"/>
      <w:sz w:val="18"/>
      <w:szCs w:val="18"/>
    </w:rPr>
  </w:style>
  <w:style w:type="character" w:customStyle="1" w:styleId="93">
    <w:name w:val="彩色列表 - 着色 1 Char"/>
    <w:link w:val="94"/>
    <w:qFormat/>
    <w:locked/>
    <w:uiPriority w:val="0"/>
    <w:rPr>
      <w:kern w:val="2"/>
      <w:sz w:val="21"/>
    </w:rPr>
  </w:style>
  <w:style w:type="paragraph" w:customStyle="1" w:styleId="94">
    <w:name w:val="彩色列表 - 着色 11"/>
    <w:basedOn w:val="1"/>
    <w:link w:val="93"/>
    <w:qFormat/>
    <w:uiPriority w:val="0"/>
    <w:pPr>
      <w:ind w:firstLine="420" w:firstLineChars="200"/>
    </w:pPr>
    <w:rPr>
      <w:szCs w:val="20"/>
    </w:rPr>
  </w:style>
  <w:style w:type="character" w:customStyle="1" w:styleId="95">
    <w:name w:val="18h1"/>
    <w:qFormat/>
    <w:uiPriority w:val="0"/>
    <w:rPr>
      <w:color w:val="3B3B3B"/>
    </w:rPr>
  </w:style>
  <w:style w:type="character" w:customStyle="1" w:styleId="96">
    <w:name w:val="font-25"/>
    <w:basedOn w:val="47"/>
    <w:qFormat/>
    <w:uiPriority w:val="0"/>
  </w:style>
  <w:style w:type="character" w:customStyle="1" w:styleId="97">
    <w:name w:val="正文文本缩进 Char"/>
    <w:qFormat/>
    <w:uiPriority w:val="0"/>
    <w:rPr>
      <w:rFonts w:ascii="仿宋_GB2312" w:hAnsi="Times New Roman" w:eastAsia="仿宋_GB2312" w:cs="Times New Roman"/>
      <w:sz w:val="32"/>
      <w:szCs w:val="20"/>
    </w:rPr>
  </w:style>
  <w:style w:type="character" w:customStyle="1" w:styleId="98">
    <w:name w:val="正文文本缩进 3 字符"/>
    <w:link w:val="39"/>
    <w:qFormat/>
    <w:uiPriority w:val="0"/>
    <w:rPr>
      <w:rFonts w:ascii="Times New Roman" w:hAnsi="Times New Roman" w:eastAsia="宋体" w:cs="Times New Roman"/>
      <w:sz w:val="16"/>
      <w:szCs w:val="16"/>
    </w:rPr>
  </w:style>
  <w:style w:type="character" w:customStyle="1" w:styleId="99">
    <w:name w:val="apple-converted-space"/>
    <w:basedOn w:val="47"/>
    <w:qFormat/>
    <w:uiPriority w:val="0"/>
  </w:style>
  <w:style w:type="character" w:customStyle="1" w:styleId="100">
    <w:name w:val="style23"/>
    <w:basedOn w:val="47"/>
    <w:qFormat/>
    <w:uiPriority w:val="0"/>
  </w:style>
  <w:style w:type="character" w:customStyle="1" w:styleId="101">
    <w:name w:val="标题 5 字符"/>
    <w:link w:val="6"/>
    <w:qFormat/>
    <w:uiPriority w:val="0"/>
    <w:rPr>
      <w:rFonts w:ascii="Calibri" w:hAnsi="Calibri" w:eastAsia="宋体"/>
      <w:b/>
      <w:kern w:val="2"/>
      <w:sz w:val="28"/>
      <w:szCs w:val="24"/>
      <w:lang w:val="en-US" w:eastAsia="zh-CN" w:bidi="ar-SA"/>
    </w:rPr>
  </w:style>
  <w:style w:type="character" w:customStyle="1" w:styleId="102">
    <w:name w:val="ca-7"/>
    <w:basedOn w:val="47"/>
    <w:qFormat/>
    <w:uiPriority w:val="0"/>
  </w:style>
  <w:style w:type="character" w:customStyle="1" w:styleId="103">
    <w:name w:val="List Paragraph Char"/>
    <w:link w:val="104"/>
    <w:qFormat/>
    <w:locked/>
    <w:uiPriority w:val="0"/>
    <w:rPr>
      <w:rFonts w:ascii="Calibri" w:hAnsi="Calibri" w:eastAsia="宋体"/>
      <w:kern w:val="2"/>
      <w:sz w:val="21"/>
      <w:szCs w:val="22"/>
      <w:lang w:val="en-US" w:eastAsia="zh-CN" w:bidi="ar-SA"/>
    </w:rPr>
  </w:style>
  <w:style w:type="paragraph" w:customStyle="1" w:styleId="104">
    <w:name w:val="列表段落1"/>
    <w:basedOn w:val="1"/>
    <w:link w:val="103"/>
    <w:qFormat/>
    <w:uiPriority w:val="0"/>
    <w:pPr>
      <w:ind w:firstLine="420" w:firstLineChars="200"/>
    </w:pPr>
    <w:rPr>
      <w:szCs w:val="22"/>
    </w:rPr>
  </w:style>
  <w:style w:type="character" w:customStyle="1" w:styleId="105">
    <w:name w:val="正文文本缩进 2 字符"/>
    <w:link w:val="30"/>
    <w:qFormat/>
    <w:uiPriority w:val="0"/>
    <w:rPr>
      <w:rFonts w:ascii="Times New Roman" w:hAnsi="Times New Roman" w:eastAsia="宋体" w:cs="Times New Roman"/>
      <w:sz w:val="32"/>
      <w:szCs w:val="20"/>
    </w:rPr>
  </w:style>
  <w:style w:type="character" w:customStyle="1" w:styleId="106">
    <w:name w:val="标题 5 Char"/>
    <w:qFormat/>
    <w:uiPriority w:val="0"/>
    <w:rPr>
      <w:rFonts w:ascii="Calibri" w:hAnsi="Calibri" w:eastAsia="宋体"/>
      <w:b/>
      <w:kern w:val="2"/>
      <w:sz w:val="28"/>
      <w:szCs w:val="24"/>
      <w:lang w:val="en-US" w:eastAsia="zh-CN" w:bidi="ar-SA"/>
    </w:rPr>
  </w:style>
  <w:style w:type="character" w:customStyle="1" w:styleId="107">
    <w:name w:val="日期 Char"/>
    <w:qFormat/>
    <w:uiPriority w:val="0"/>
    <w:rPr>
      <w:rFonts w:ascii="宋体" w:hAnsi="Courier New" w:eastAsia="宋体" w:cs="Courier New"/>
      <w:szCs w:val="21"/>
    </w:rPr>
  </w:style>
  <w:style w:type="character" w:customStyle="1" w:styleId="108">
    <w:name w:val="标题 8 字符"/>
    <w:link w:val="10"/>
    <w:qFormat/>
    <w:uiPriority w:val="0"/>
    <w:rPr>
      <w:rFonts w:ascii="Arial" w:hAnsi="Arial" w:eastAsia="黑体"/>
      <w:kern w:val="2"/>
      <w:sz w:val="24"/>
      <w:szCs w:val="24"/>
      <w:lang w:val="en-US" w:eastAsia="zh-CN" w:bidi="ar-SA"/>
    </w:rPr>
  </w:style>
  <w:style w:type="character" w:customStyle="1" w:styleId="109">
    <w:name w:val="纯文本 字符"/>
    <w:link w:val="27"/>
    <w:qFormat/>
    <w:uiPriority w:val="0"/>
    <w:rPr>
      <w:rFonts w:ascii="宋体" w:hAnsi="Courier New" w:eastAsia="宋体" w:cs="Courier New"/>
      <w:szCs w:val="21"/>
    </w:rPr>
  </w:style>
  <w:style w:type="character" w:customStyle="1" w:styleId="110">
    <w:name w:val="font31"/>
    <w:uiPriority w:val="0"/>
    <w:rPr>
      <w:rFonts w:hint="eastAsia" w:ascii="宋体" w:hAnsi="宋体" w:eastAsia="宋体" w:cs="宋体"/>
      <w:color w:val="FF0000"/>
      <w:sz w:val="22"/>
      <w:szCs w:val="22"/>
      <w:u w:val="none"/>
    </w:rPr>
  </w:style>
  <w:style w:type="character" w:customStyle="1" w:styleId="111">
    <w:name w:val="标题 9 Char"/>
    <w:qFormat/>
    <w:uiPriority w:val="0"/>
    <w:rPr>
      <w:rFonts w:ascii="Arial" w:hAnsi="Arial" w:eastAsia="黑体"/>
      <w:kern w:val="2"/>
      <w:sz w:val="21"/>
      <w:szCs w:val="24"/>
      <w:lang w:val="en-US" w:eastAsia="zh-CN" w:bidi="ar-SA"/>
    </w:rPr>
  </w:style>
  <w:style w:type="character" w:customStyle="1" w:styleId="112">
    <w:name w:val="textstyle1"/>
    <w:uiPriority w:val="0"/>
    <w:rPr>
      <w:rFonts w:hint="eastAsia" w:ascii="宋体" w:hAnsi="宋体" w:eastAsia="宋体"/>
      <w:sz w:val="18"/>
      <w:szCs w:val="18"/>
    </w:rPr>
  </w:style>
  <w:style w:type="character" w:customStyle="1" w:styleId="113">
    <w:name w:val="hui141"/>
    <w:uiPriority w:val="0"/>
    <w:rPr>
      <w:sz w:val="21"/>
      <w:szCs w:val="21"/>
    </w:rPr>
  </w:style>
  <w:style w:type="character" w:customStyle="1" w:styleId="114">
    <w:name w:val="列表段落 字符"/>
    <w:link w:val="115"/>
    <w:qFormat/>
    <w:locked/>
    <w:uiPriority w:val="0"/>
    <w:rPr>
      <w:rFonts w:eastAsia="宋体"/>
      <w:kern w:val="2"/>
      <w:sz w:val="21"/>
      <w:lang w:val="en-US" w:eastAsia="zh-CN" w:bidi="ar-SA"/>
    </w:rPr>
  </w:style>
  <w:style w:type="paragraph" w:styleId="115">
    <w:name w:val="List Paragraph"/>
    <w:basedOn w:val="1"/>
    <w:link w:val="114"/>
    <w:qFormat/>
    <w:uiPriority w:val="0"/>
    <w:pPr>
      <w:ind w:firstLine="420" w:firstLineChars="200"/>
    </w:pPr>
    <w:rPr>
      <w:szCs w:val="20"/>
    </w:rPr>
  </w:style>
  <w:style w:type="character" w:customStyle="1" w:styleId="116">
    <w:name w:val="正文文本 2 字符"/>
    <w:link w:val="42"/>
    <w:qFormat/>
    <w:uiPriority w:val="0"/>
    <w:rPr>
      <w:rFonts w:ascii="Times New Roman" w:hAnsi="Times New Roman" w:eastAsia="宋体" w:cs="Times New Roman"/>
      <w:szCs w:val="24"/>
    </w:rPr>
  </w:style>
  <w:style w:type="character" w:customStyle="1" w:styleId="117">
    <w:name w:val="超级链接"/>
    <w:qFormat/>
    <w:uiPriority w:val="0"/>
    <w:rPr>
      <w:rFonts w:ascii="Times New Roman" w:eastAsia="宋体"/>
      <w:color w:val="0000FF"/>
      <w:sz w:val="21"/>
      <w:u w:val="single" w:color="0000FF"/>
      <w:vertAlign w:val="baseline"/>
      <w:lang w:val="en-US" w:eastAsia="zh-CN"/>
    </w:rPr>
  </w:style>
  <w:style w:type="character" w:customStyle="1" w:styleId="118">
    <w:name w:val="正文文本 Char"/>
    <w:uiPriority w:val="0"/>
    <w:rPr>
      <w:rFonts w:ascii="Times New Roman" w:hAnsi="Times New Roman" w:eastAsia="宋体" w:cs="Times New Roman"/>
      <w:sz w:val="24"/>
      <w:szCs w:val="24"/>
    </w:rPr>
  </w:style>
  <w:style w:type="character" w:customStyle="1" w:styleId="119">
    <w:name w:val="样式 宋体 小四 加粗 黑色"/>
    <w:qFormat/>
    <w:uiPriority w:val="0"/>
    <w:rPr>
      <w:rFonts w:ascii="宋体" w:hAnsi="宋体"/>
      <w:b/>
      <w:bCs/>
      <w:color w:val="000000"/>
      <w:sz w:val="24"/>
    </w:rPr>
  </w:style>
  <w:style w:type="character" w:customStyle="1" w:styleId="120">
    <w:name w:val="批注框文本 Char"/>
    <w:semiHidden/>
    <w:qFormat/>
    <w:uiPriority w:val="0"/>
    <w:rPr>
      <w:rFonts w:ascii="Times New Roman" w:hAnsi="Times New Roman" w:eastAsia="宋体" w:cs="Times New Roman"/>
      <w:sz w:val="18"/>
      <w:szCs w:val="18"/>
    </w:rPr>
  </w:style>
  <w:style w:type="character" w:customStyle="1" w:styleId="121">
    <w:name w:val="纯文本 Char"/>
    <w:qFormat/>
    <w:uiPriority w:val="0"/>
    <w:rPr>
      <w:rFonts w:ascii="宋体" w:hAnsi="Courier New" w:eastAsia="宋体" w:cs="Courier New"/>
      <w:szCs w:val="21"/>
    </w:rPr>
  </w:style>
  <w:style w:type="character" w:customStyle="1" w:styleId="122">
    <w:name w:val="正文文本_"/>
    <w:link w:val="123"/>
    <w:qFormat/>
    <w:uiPriority w:val="0"/>
    <w:rPr>
      <w:rFonts w:ascii="MingLiU" w:hAnsi="MingLiU" w:eastAsia="MingLiU"/>
      <w:color w:val="000000"/>
      <w:sz w:val="22"/>
      <w:szCs w:val="22"/>
      <w:shd w:val="clear" w:color="auto" w:fill="FFFFFF"/>
      <w:lang w:val="zh-TW" w:bidi="ar-SA"/>
    </w:rPr>
  </w:style>
  <w:style w:type="paragraph" w:customStyle="1" w:styleId="123">
    <w:name w:val="正文文本2"/>
    <w:basedOn w:val="1"/>
    <w:link w:val="122"/>
    <w:qFormat/>
    <w:uiPriority w:val="0"/>
    <w:pPr>
      <w:shd w:val="clear" w:color="auto" w:fill="FFFFFF"/>
      <w:spacing w:after="300" w:line="0" w:lineRule="atLeast"/>
    </w:pPr>
    <w:rPr>
      <w:rFonts w:ascii="MingLiU" w:hAnsi="MingLiU" w:eastAsia="MingLiU"/>
      <w:color w:val="000000"/>
      <w:kern w:val="0"/>
      <w:sz w:val="22"/>
      <w:szCs w:val="22"/>
      <w:shd w:val="clear" w:color="auto" w:fill="FFFFFF"/>
      <w:lang w:val="zh-TW"/>
    </w:rPr>
  </w:style>
  <w:style w:type="character" w:customStyle="1" w:styleId="124">
    <w:name w:val="表格标题_"/>
    <w:link w:val="125"/>
    <w:qFormat/>
    <w:uiPriority w:val="0"/>
    <w:rPr>
      <w:rFonts w:ascii="MingLiU" w:hAnsi="MingLiU" w:eastAsia="MingLiU"/>
      <w:color w:val="000000"/>
      <w:sz w:val="22"/>
      <w:shd w:val="clear" w:color="auto" w:fill="FFFFFF"/>
      <w:lang w:val="zh-TW" w:bidi="ar-SA"/>
    </w:rPr>
  </w:style>
  <w:style w:type="paragraph" w:customStyle="1" w:styleId="125">
    <w:name w:val="表格标题"/>
    <w:basedOn w:val="1"/>
    <w:link w:val="124"/>
    <w:qFormat/>
    <w:uiPriority w:val="0"/>
    <w:pPr>
      <w:shd w:val="clear" w:color="auto" w:fill="FFFFFF"/>
      <w:spacing w:line="0" w:lineRule="atLeast"/>
      <w:jc w:val="left"/>
    </w:pPr>
    <w:rPr>
      <w:rFonts w:ascii="MingLiU" w:hAnsi="MingLiU" w:eastAsia="MingLiU"/>
      <w:color w:val="000000"/>
      <w:kern w:val="0"/>
      <w:sz w:val="22"/>
      <w:szCs w:val="20"/>
      <w:shd w:val="clear" w:color="auto" w:fill="FFFFFF"/>
      <w:lang w:val="zh-TW"/>
    </w:rPr>
  </w:style>
  <w:style w:type="character" w:customStyle="1" w:styleId="126">
    <w:name w:val="font01"/>
    <w:qFormat/>
    <w:uiPriority w:val="0"/>
    <w:rPr>
      <w:rFonts w:hint="eastAsia" w:ascii="宋体" w:hAnsi="宋体" w:eastAsia="宋体" w:cs="宋体"/>
      <w:color w:val="000000"/>
      <w:sz w:val="24"/>
      <w:szCs w:val="24"/>
      <w:u w:val="none"/>
    </w:rPr>
  </w:style>
  <w:style w:type="character" w:customStyle="1" w:styleId="127">
    <w:name w:val="font11"/>
    <w:qFormat/>
    <w:uiPriority w:val="0"/>
    <w:rPr>
      <w:rFonts w:hint="eastAsia" w:ascii="宋体" w:hAnsi="宋体" w:eastAsia="宋体" w:cs="宋体"/>
      <w:color w:val="000000"/>
      <w:sz w:val="22"/>
      <w:szCs w:val="22"/>
      <w:u w:val="none"/>
    </w:rPr>
  </w:style>
  <w:style w:type="character" w:customStyle="1" w:styleId="128">
    <w:name w:val="页眉 字符"/>
    <w:link w:val="33"/>
    <w:qFormat/>
    <w:uiPriority w:val="0"/>
    <w:rPr>
      <w:rFonts w:ascii="Times New Roman" w:hAnsi="Times New Roman" w:eastAsia="宋体" w:cs="Times New Roman"/>
      <w:sz w:val="18"/>
      <w:szCs w:val="18"/>
    </w:rPr>
  </w:style>
  <w:style w:type="character" w:customStyle="1" w:styleId="129">
    <w:name w:val="文档结构图 字符"/>
    <w:link w:val="17"/>
    <w:qFormat/>
    <w:uiPriority w:val="0"/>
    <w:rPr>
      <w:rFonts w:ascii="Times New Roman" w:hAnsi="Times New Roman" w:eastAsia="宋体" w:cs="Times New Roman"/>
      <w:kern w:val="0"/>
      <w:szCs w:val="20"/>
      <w:shd w:val="clear" w:color="auto" w:fill="000080"/>
    </w:rPr>
  </w:style>
  <w:style w:type="character" w:customStyle="1" w:styleId="130">
    <w:name w:val="正文文本 + MS Mincho"/>
    <w:qFormat/>
    <w:uiPriority w:val="0"/>
    <w:rPr>
      <w:rFonts w:ascii="MS Mincho" w:hAnsi="MS Mincho" w:eastAsia="MS Mincho" w:cs="MS Mincho"/>
      <w:color w:val="000000"/>
      <w:spacing w:val="0"/>
      <w:w w:val="100"/>
      <w:position w:val="0"/>
      <w:sz w:val="24"/>
      <w:szCs w:val="24"/>
      <w:u w:val="none"/>
      <w:lang w:val="en-US"/>
    </w:rPr>
  </w:style>
  <w:style w:type="character" w:customStyle="1" w:styleId="131">
    <w:name w:val="批注框文本 字符"/>
    <w:link w:val="31"/>
    <w:semiHidden/>
    <w:qFormat/>
    <w:uiPriority w:val="0"/>
    <w:rPr>
      <w:rFonts w:ascii="Times New Roman" w:hAnsi="Times New Roman" w:eastAsia="宋体" w:cs="Times New Roman"/>
      <w:sz w:val="18"/>
      <w:szCs w:val="18"/>
    </w:rPr>
  </w:style>
  <w:style w:type="character" w:customStyle="1" w:styleId="132">
    <w:name w:val="font41"/>
    <w:qFormat/>
    <w:uiPriority w:val="0"/>
    <w:rPr>
      <w:rFonts w:hint="default" w:ascii="Times New Roman" w:hAnsi="Times New Roman" w:cs="Times New Roman"/>
      <w:color w:val="000000"/>
      <w:sz w:val="22"/>
      <w:szCs w:val="22"/>
      <w:u w:val="none"/>
    </w:rPr>
  </w:style>
  <w:style w:type="character" w:customStyle="1" w:styleId="133">
    <w:name w:val="bds_more4"/>
    <w:qFormat/>
    <w:uiPriority w:val="0"/>
    <w:rPr>
      <w:rFonts w:hint="eastAsia" w:ascii="宋体" w:hAnsi="宋体" w:eastAsia="宋体" w:cs="宋体"/>
      <w:color w:val="454545"/>
      <w:sz w:val="21"/>
      <w:szCs w:val="21"/>
    </w:rPr>
  </w:style>
  <w:style w:type="character" w:customStyle="1" w:styleId="134">
    <w:name w:val="标题 2 字符"/>
    <w:link w:val="3"/>
    <w:qFormat/>
    <w:uiPriority w:val="0"/>
    <w:rPr>
      <w:rFonts w:ascii="Arial" w:hAnsi="Arial" w:eastAsia="黑体" w:cs="Times New Roman"/>
      <w:b/>
      <w:bCs/>
      <w:sz w:val="32"/>
      <w:szCs w:val="32"/>
    </w:rPr>
  </w:style>
  <w:style w:type="character" w:customStyle="1" w:styleId="135">
    <w:name w:val="paramname3"/>
    <w:qFormat/>
    <w:uiPriority w:val="0"/>
    <w:rPr>
      <w:color w:val="999999"/>
    </w:rPr>
  </w:style>
  <w:style w:type="character" w:customStyle="1" w:styleId="136">
    <w:name w:val="062"/>
    <w:qFormat/>
    <w:uiPriority w:val="0"/>
    <w:rPr>
      <w:rFonts w:ascii="宋体" w:hAnsi="宋体"/>
      <w:b/>
      <w:bCs/>
      <w:sz w:val="32"/>
    </w:rPr>
  </w:style>
  <w:style w:type="character" w:customStyle="1" w:styleId="137">
    <w:name w:val="正文文本缩进 字符"/>
    <w:link w:val="21"/>
    <w:qFormat/>
    <w:uiPriority w:val="0"/>
    <w:rPr>
      <w:rFonts w:ascii="仿宋_GB2312" w:hAnsi="Times New Roman" w:eastAsia="仿宋_GB2312" w:cs="Times New Roman"/>
      <w:sz w:val="32"/>
      <w:szCs w:val="20"/>
    </w:rPr>
  </w:style>
  <w:style w:type="character" w:customStyle="1" w:styleId="138">
    <w:name w:val="apple-style-span"/>
    <w:basedOn w:val="47"/>
    <w:qFormat/>
    <w:uiPriority w:val="0"/>
  </w:style>
  <w:style w:type="character" w:customStyle="1" w:styleId="139">
    <w:name w:val="checked1"/>
    <w:qFormat/>
    <w:uiPriority w:val="0"/>
    <w:rPr>
      <w:vanish/>
    </w:rPr>
  </w:style>
  <w:style w:type="character" w:customStyle="1" w:styleId="140">
    <w:name w:val="标题 7 字符"/>
    <w:link w:val="9"/>
    <w:qFormat/>
    <w:uiPriority w:val="0"/>
    <w:rPr>
      <w:rFonts w:ascii="Calibri" w:hAnsi="Calibri" w:eastAsia="宋体"/>
      <w:b/>
      <w:kern w:val="2"/>
      <w:sz w:val="24"/>
      <w:szCs w:val="24"/>
      <w:lang w:val="en-US" w:eastAsia="zh-CN" w:bidi="ar-SA"/>
    </w:rPr>
  </w:style>
  <w:style w:type="character" w:customStyle="1" w:styleId="141">
    <w:name w:val="paramname"/>
    <w:basedOn w:val="47"/>
    <w:qFormat/>
    <w:uiPriority w:val="0"/>
  </w:style>
  <w:style w:type="character" w:customStyle="1" w:styleId="142">
    <w:name w:val="标题 3 Char"/>
    <w:qFormat/>
    <w:uiPriority w:val="0"/>
    <w:rPr>
      <w:rFonts w:ascii="Times New Roman" w:hAnsi="Times New Roman" w:eastAsia="宋体" w:cs="Times New Roman"/>
      <w:b/>
      <w:bCs/>
      <w:sz w:val="32"/>
      <w:szCs w:val="32"/>
    </w:rPr>
  </w:style>
  <w:style w:type="character" w:customStyle="1" w:styleId="143">
    <w:name w:val="正文文本1"/>
    <w:qFormat/>
    <w:uiPriority w:val="0"/>
    <w:rPr>
      <w:rFonts w:ascii="MingLiU" w:hAnsi="MingLiU" w:eastAsia="MingLiU" w:cs="MingLiU"/>
      <w:color w:val="000000"/>
      <w:spacing w:val="0"/>
      <w:w w:val="100"/>
      <w:position w:val="0"/>
      <w:sz w:val="22"/>
      <w:szCs w:val="22"/>
      <w:u w:val="none"/>
      <w:lang w:val="zh-TW"/>
    </w:rPr>
  </w:style>
  <w:style w:type="character" w:customStyle="1" w:styleId="144">
    <w:name w:val="标题 字符"/>
    <w:link w:val="46"/>
    <w:qFormat/>
    <w:uiPriority w:val="0"/>
    <w:rPr>
      <w:rFonts w:ascii="Arial" w:hAnsi="Arial" w:cs="Arial"/>
      <w:b/>
      <w:bCs/>
      <w:kern w:val="2"/>
      <w:sz w:val="32"/>
      <w:szCs w:val="32"/>
    </w:rPr>
  </w:style>
  <w:style w:type="character" w:customStyle="1" w:styleId="145">
    <w:name w:val="c999"/>
    <w:basedOn w:val="47"/>
    <w:qFormat/>
    <w:uiPriority w:val="0"/>
  </w:style>
  <w:style w:type="character" w:customStyle="1" w:styleId="146">
    <w:name w:val="标题 4 字符"/>
    <w:link w:val="5"/>
    <w:qFormat/>
    <w:uiPriority w:val="0"/>
    <w:rPr>
      <w:rFonts w:ascii="Arial" w:hAnsi="Arial" w:eastAsia="黑体" w:cs="Times New Roman"/>
      <w:kern w:val="0"/>
      <w:sz w:val="28"/>
      <w:szCs w:val="20"/>
    </w:rPr>
  </w:style>
  <w:style w:type="character" w:customStyle="1" w:styleId="147">
    <w:name w:val="标题 6 Char"/>
    <w:qFormat/>
    <w:uiPriority w:val="0"/>
    <w:rPr>
      <w:rFonts w:ascii="Arial" w:hAnsi="Arial" w:eastAsia="黑体"/>
      <w:b/>
      <w:kern w:val="2"/>
      <w:sz w:val="24"/>
      <w:szCs w:val="24"/>
      <w:lang w:val="en-US" w:eastAsia="zh-CN" w:bidi="ar-SA"/>
    </w:rPr>
  </w:style>
  <w:style w:type="character" w:customStyle="1" w:styleId="148">
    <w:name w:val="btn-lnk-alignl2"/>
    <w:qFormat/>
    <w:uiPriority w:val="0"/>
  </w:style>
  <w:style w:type="character" w:customStyle="1" w:styleId="149">
    <w:name w:val="checked"/>
    <w:basedOn w:val="47"/>
    <w:qFormat/>
    <w:uiPriority w:val="0"/>
  </w:style>
  <w:style w:type="character" w:customStyle="1" w:styleId="150">
    <w:name w:val="日期 字符"/>
    <w:link w:val="29"/>
    <w:qFormat/>
    <w:uiPriority w:val="0"/>
    <w:rPr>
      <w:rFonts w:ascii="宋体" w:hAnsi="Courier New" w:eastAsia="宋体" w:cs="Courier New"/>
      <w:szCs w:val="21"/>
    </w:rPr>
  </w:style>
  <w:style w:type="character" w:customStyle="1" w:styleId="151">
    <w:name w:val="ml30"/>
    <w:basedOn w:val="47"/>
    <w:qFormat/>
    <w:uiPriority w:val="0"/>
  </w:style>
  <w:style w:type="character" w:customStyle="1" w:styleId="152">
    <w:name w:val="Char Char23"/>
    <w:qFormat/>
    <w:uiPriority w:val="0"/>
    <w:rPr>
      <w:rFonts w:ascii="Times New Roman" w:hAnsi="Times New Roman" w:eastAsia="宋体" w:cs="Times New Roman"/>
      <w:b/>
      <w:bCs/>
      <w:kern w:val="44"/>
      <w:sz w:val="44"/>
      <w:szCs w:val="44"/>
    </w:rPr>
  </w:style>
  <w:style w:type="character" w:customStyle="1" w:styleId="153">
    <w:name w:val="正文缩进 字符"/>
    <w:link w:val="8"/>
    <w:qFormat/>
    <w:uiPriority w:val="0"/>
    <w:rPr>
      <w:rFonts w:eastAsia="宋体"/>
      <w:kern w:val="2"/>
      <w:sz w:val="21"/>
      <w:lang w:val="en-US" w:eastAsia="zh-CN" w:bidi="ar-SA"/>
    </w:rPr>
  </w:style>
  <w:style w:type="character" w:customStyle="1" w:styleId="154">
    <w:name w:val="正文文本 2 Char"/>
    <w:qFormat/>
    <w:uiPriority w:val="0"/>
    <w:rPr>
      <w:rFonts w:ascii="Times New Roman" w:hAnsi="Times New Roman" w:eastAsia="宋体" w:cs="Times New Roman"/>
      <w:szCs w:val="24"/>
    </w:rPr>
  </w:style>
  <w:style w:type="character" w:customStyle="1" w:styleId="155">
    <w:name w:val="标题 3 字符"/>
    <w:link w:val="4"/>
    <w:qFormat/>
    <w:uiPriority w:val="0"/>
    <w:rPr>
      <w:rFonts w:ascii="Times New Roman" w:hAnsi="Times New Roman" w:eastAsia="宋体" w:cs="Times New Roman"/>
      <w:b/>
      <w:bCs/>
      <w:sz w:val="32"/>
      <w:szCs w:val="32"/>
    </w:rPr>
  </w:style>
  <w:style w:type="character" w:customStyle="1" w:styleId="156">
    <w:name w:val="case31"/>
    <w:qFormat/>
    <w:uiPriority w:val="0"/>
    <w:rPr>
      <w:rFonts w:hint="default"/>
      <w:spacing w:val="390"/>
      <w:sz w:val="21"/>
      <w:szCs w:val="21"/>
    </w:rPr>
  </w:style>
  <w:style w:type="character" w:customStyle="1" w:styleId="157">
    <w:name w:val="ca-6"/>
    <w:basedOn w:val="47"/>
    <w:qFormat/>
    <w:uiPriority w:val="0"/>
  </w:style>
  <w:style w:type="character" w:customStyle="1" w:styleId="158">
    <w:name w:val="链接"/>
    <w:qFormat/>
    <w:uiPriority w:val="0"/>
    <w:rPr>
      <w:rFonts w:ascii="Times New Roman" w:eastAsia="宋体"/>
      <w:color w:val="0000FF"/>
      <w:sz w:val="21"/>
      <w:u w:val="single" w:color="0000FF"/>
      <w:vertAlign w:val="baseline"/>
      <w:lang w:val="en-US" w:eastAsia="zh-CN"/>
    </w:rPr>
  </w:style>
  <w:style w:type="character" w:customStyle="1" w:styleId="159">
    <w:name w:val="标题 8 Char"/>
    <w:qFormat/>
    <w:uiPriority w:val="0"/>
    <w:rPr>
      <w:rFonts w:ascii="Arial" w:hAnsi="Arial" w:eastAsia="黑体"/>
      <w:kern w:val="2"/>
      <w:sz w:val="24"/>
      <w:szCs w:val="24"/>
      <w:lang w:val="en-US" w:eastAsia="zh-CN" w:bidi="ar-SA"/>
    </w:rPr>
  </w:style>
  <w:style w:type="character" w:customStyle="1" w:styleId="160">
    <w:name w:val="页脚 字符"/>
    <w:link w:val="32"/>
    <w:qFormat/>
    <w:uiPriority w:val="99"/>
    <w:rPr>
      <w:rFonts w:ascii="Times New Roman" w:hAnsi="Times New Roman" w:eastAsia="宋体" w:cs="Times New Roman"/>
      <w:sz w:val="18"/>
      <w:szCs w:val="18"/>
    </w:rPr>
  </w:style>
  <w:style w:type="character" w:customStyle="1" w:styleId="161">
    <w:name w:val="纯文本 Char2"/>
    <w:qFormat/>
    <w:uiPriority w:val="0"/>
    <w:rPr>
      <w:rFonts w:ascii="宋体" w:hAnsi="Courier New" w:eastAsia="宋体" w:cs="Courier New"/>
      <w:szCs w:val="21"/>
    </w:rPr>
  </w:style>
  <w:style w:type="character" w:customStyle="1" w:styleId="162">
    <w:name w:val="正文（绿盟科技） Char"/>
    <w:link w:val="163"/>
    <w:qFormat/>
    <w:locked/>
    <w:uiPriority w:val="0"/>
    <w:rPr>
      <w:rFonts w:eastAsia="Times New Roman"/>
      <w:szCs w:val="21"/>
      <w:lang w:val="en-US" w:eastAsia="zh-CN" w:bidi="ar-SA"/>
    </w:rPr>
  </w:style>
  <w:style w:type="paragraph" w:customStyle="1" w:styleId="163">
    <w:name w:val="正文（绿盟科技）"/>
    <w:link w:val="162"/>
    <w:qFormat/>
    <w:uiPriority w:val="0"/>
    <w:pPr>
      <w:spacing w:line="300" w:lineRule="auto"/>
    </w:pPr>
    <w:rPr>
      <w:rFonts w:ascii="Times New Roman" w:hAnsi="Times New Roman" w:eastAsia="Times New Roman" w:cs="Times New Roman"/>
      <w:szCs w:val="21"/>
      <w:lang w:val="en-US" w:eastAsia="zh-CN" w:bidi="ar-SA"/>
    </w:rPr>
  </w:style>
  <w:style w:type="character" w:customStyle="1" w:styleId="164">
    <w:name w:val="ca-8"/>
    <w:basedOn w:val="47"/>
    <w:qFormat/>
    <w:uiPriority w:val="0"/>
  </w:style>
  <w:style w:type="character" w:customStyle="1" w:styleId="165">
    <w:name w:val="ca-nav-next"/>
    <w:basedOn w:val="47"/>
    <w:qFormat/>
    <w:uiPriority w:val="0"/>
  </w:style>
  <w:style w:type="character" w:customStyle="1" w:styleId="166">
    <w:name w:val="正文文本 3 Char"/>
    <w:qFormat/>
    <w:uiPriority w:val="0"/>
    <w:rPr>
      <w:rFonts w:ascii="Times New Roman" w:hAnsi="Times New Roman" w:eastAsia="宋体" w:cs="Times New Roman"/>
      <w:b/>
      <w:bCs/>
      <w:sz w:val="24"/>
      <w:szCs w:val="24"/>
    </w:rPr>
  </w:style>
  <w:style w:type="character" w:customStyle="1" w:styleId="167">
    <w:name w:val="bds_more3"/>
    <w:qFormat/>
    <w:uiPriority w:val="0"/>
    <w:rPr>
      <w:rFonts w:hint="eastAsia" w:ascii="宋体" w:hAnsi="宋体" w:eastAsia="宋体" w:cs="宋体"/>
    </w:rPr>
  </w:style>
  <w:style w:type="character" w:customStyle="1" w:styleId="168">
    <w:name w:val="标题 6 字符"/>
    <w:link w:val="7"/>
    <w:qFormat/>
    <w:uiPriority w:val="0"/>
    <w:rPr>
      <w:rFonts w:ascii="Arial" w:hAnsi="Arial" w:eastAsia="黑体"/>
      <w:b/>
      <w:kern w:val="2"/>
      <w:sz w:val="24"/>
      <w:szCs w:val="24"/>
      <w:lang w:val="en-US" w:eastAsia="zh-CN" w:bidi="ar-SA"/>
    </w:rPr>
  </w:style>
  <w:style w:type="character" w:customStyle="1" w:styleId="169">
    <w:name w:val="font21"/>
    <w:qFormat/>
    <w:uiPriority w:val="0"/>
    <w:rPr>
      <w:rFonts w:hint="default" w:ascii="Times New Roman" w:hAnsi="Times New Roman" w:cs="Times New Roman"/>
      <w:color w:val="000000"/>
      <w:sz w:val="22"/>
      <w:szCs w:val="22"/>
      <w:u w:val="none"/>
    </w:rPr>
  </w:style>
  <w:style w:type="character" w:customStyle="1" w:styleId="170">
    <w:name w:val="批注文字 Char"/>
    <w:qFormat/>
    <w:uiPriority w:val="0"/>
    <w:rPr>
      <w:rFonts w:ascii="Times New Roman" w:hAnsi="Times New Roman" w:eastAsia="宋体" w:cs="Times New Roman"/>
      <w:kern w:val="0"/>
      <w:sz w:val="24"/>
      <w:szCs w:val="20"/>
    </w:rPr>
  </w:style>
  <w:style w:type="character" w:customStyle="1" w:styleId="171">
    <w:name w:val="标题 9 字符"/>
    <w:link w:val="11"/>
    <w:qFormat/>
    <w:uiPriority w:val="0"/>
    <w:rPr>
      <w:rFonts w:ascii="Arial" w:hAnsi="Arial" w:eastAsia="黑体"/>
      <w:kern w:val="2"/>
      <w:sz w:val="21"/>
      <w:szCs w:val="24"/>
      <w:lang w:val="en-US" w:eastAsia="zh-CN" w:bidi="ar-SA"/>
    </w:rPr>
  </w:style>
  <w:style w:type="paragraph" w:customStyle="1" w:styleId="172">
    <w:name w:val="正文首行缩进两字符"/>
    <w:basedOn w:val="1"/>
    <w:qFormat/>
    <w:uiPriority w:val="0"/>
    <w:pPr>
      <w:spacing w:line="360" w:lineRule="auto"/>
      <w:ind w:firstLine="200" w:firstLineChars="200"/>
    </w:pPr>
  </w:style>
  <w:style w:type="paragraph" w:customStyle="1" w:styleId="173">
    <w:name w:val="font8"/>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74">
    <w:name w:val="图号"/>
    <w:basedOn w:val="1"/>
    <w:semiHidden/>
    <w:qFormat/>
    <w:uiPriority w:val="0"/>
    <w:pPr>
      <w:numPr>
        <w:ilvl w:val="3"/>
        <w:numId w:val="1"/>
      </w:numPr>
    </w:pPr>
  </w:style>
  <w:style w:type="paragraph" w:customStyle="1" w:styleId="175">
    <w:name w:val="默认段落字体 Para Char Char Char Char Char Char Char Char Char1 Char Char Char Char"/>
    <w:basedOn w:val="1"/>
    <w:qFormat/>
    <w:uiPriority w:val="0"/>
    <w:rPr>
      <w:rFonts w:ascii="Tahoma" w:hAnsi="Tahoma"/>
      <w:sz w:val="24"/>
      <w:szCs w:val="20"/>
    </w:rPr>
  </w:style>
  <w:style w:type="paragraph" w:customStyle="1" w:styleId="176">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78">
    <w:name w:val="2ji"/>
    <w:basedOn w:val="3"/>
    <w:qFormat/>
    <w:uiPriority w:val="0"/>
    <w:pPr>
      <w:adjustRightInd w:val="0"/>
      <w:spacing w:before="0" w:after="0" w:line="360" w:lineRule="auto"/>
      <w:textAlignment w:val="baseline"/>
    </w:pPr>
    <w:rPr>
      <w:rFonts w:ascii="宋体" w:hAnsi="宋体" w:eastAsia="宋体"/>
      <w:sz w:val="21"/>
      <w:szCs w:val="21"/>
    </w:rPr>
  </w:style>
  <w:style w:type="paragraph" w:customStyle="1" w:styleId="179">
    <w:name w:val="样式 标题 2 + (西文) 宋体 非加粗 居中"/>
    <w:basedOn w:val="3"/>
    <w:qFormat/>
    <w:uiPriority w:val="0"/>
    <w:pPr>
      <w:jc w:val="center"/>
    </w:pPr>
    <w:rPr>
      <w:rFonts w:ascii="宋体" w:hAnsi="宋体" w:cs="宋体"/>
      <w:b w:val="0"/>
      <w:bCs w:val="0"/>
      <w:spacing w:val="2"/>
      <w:sz w:val="28"/>
      <w:szCs w:val="20"/>
    </w:rPr>
  </w:style>
  <w:style w:type="paragraph" w:customStyle="1" w:styleId="180">
    <w:name w:val="p15"/>
    <w:basedOn w:val="1"/>
    <w:qFormat/>
    <w:uiPriority w:val="0"/>
    <w:pPr>
      <w:widowControl/>
    </w:pPr>
    <w:rPr>
      <w:rFonts w:ascii="宋体" w:hAnsi="宋体" w:cs="宋体"/>
      <w:kern w:val="0"/>
      <w:szCs w:val="21"/>
    </w:rPr>
  </w:style>
  <w:style w:type="paragraph" w:customStyle="1" w:styleId="18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styleId="18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8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7">
    <w:name w:val="表号"/>
    <w:basedOn w:val="1"/>
    <w:semiHidden/>
    <w:qFormat/>
    <w:uiPriority w:val="0"/>
  </w:style>
  <w:style w:type="paragraph" w:customStyle="1" w:styleId="188">
    <w:name w:val="style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样式1"/>
    <w:basedOn w:val="1"/>
    <w:qFormat/>
    <w:uiPriority w:val="0"/>
    <w:pPr>
      <w:spacing w:before="120" w:after="120" w:line="300" w:lineRule="auto"/>
    </w:pPr>
    <w:rPr>
      <w:rFonts w:ascii="宋体" w:hAnsi="宋体"/>
      <w:b/>
      <w:sz w:val="24"/>
      <w:szCs w:val="20"/>
    </w:rPr>
  </w:style>
  <w:style w:type="paragraph" w:customStyle="1" w:styleId="190">
    <w:name w:val="文章附标题"/>
    <w:basedOn w:val="1"/>
    <w:next w:val="2"/>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2">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93">
    <w:name w:val="表格正文"/>
    <w:basedOn w:val="1"/>
    <w:qFormat/>
    <w:uiPriority w:val="0"/>
    <w:pPr>
      <w:spacing w:before="62" w:after="62" w:line="300" w:lineRule="auto"/>
      <w:jc w:val="left"/>
    </w:pPr>
    <w:rPr>
      <w:rFonts w:ascii="Verdana" w:hAnsi="Verdana" w:cs="宋体"/>
      <w:szCs w:val="21"/>
    </w:rPr>
  </w:style>
  <w:style w:type="paragraph" w:customStyle="1" w:styleId="194">
    <w:name w:val="Char Char Char Char"/>
    <w:basedOn w:val="17"/>
    <w:qFormat/>
    <w:uiPriority w:val="0"/>
    <w:pPr>
      <w:snapToGrid w:val="0"/>
      <w:spacing w:line="360" w:lineRule="auto"/>
      <w:textAlignment w:val="auto"/>
    </w:pPr>
    <w:rPr>
      <w:rFonts w:ascii="Tahoma" w:hAnsi="Tahoma"/>
      <w:kern w:val="2"/>
      <w:sz w:val="24"/>
      <w:szCs w:val="24"/>
    </w:rPr>
  </w:style>
  <w:style w:type="paragraph" w:customStyle="1" w:styleId="195">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96">
    <w:name w:val="样式 首行缩进:  2 字符"/>
    <w:basedOn w:val="1"/>
    <w:qFormat/>
    <w:uiPriority w:val="0"/>
    <w:pPr>
      <w:spacing w:line="400" w:lineRule="exact"/>
      <w:ind w:firstLine="200" w:firstLineChars="200"/>
    </w:pPr>
    <w:rPr>
      <w:rFonts w:cs="宋体"/>
      <w:sz w:val="24"/>
    </w:rPr>
  </w:style>
  <w:style w:type="paragraph" w:customStyle="1" w:styleId="197">
    <w:name w:val="Char Char Char Char Char Char Char Char Char Char Char Char Char Char"/>
    <w:basedOn w:val="1"/>
    <w:qFormat/>
    <w:uiPriority w:val="0"/>
  </w:style>
  <w:style w:type="paragraph" w:customStyle="1" w:styleId="198">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纯文本1"/>
    <w:basedOn w:val="1"/>
    <w:qFormat/>
    <w:uiPriority w:val="0"/>
    <w:pPr>
      <w:suppressAutoHyphens/>
    </w:pPr>
    <w:rPr>
      <w:rFonts w:ascii="宋体" w:hAnsi="宋体" w:cs="Calibri"/>
      <w:kern w:val="1"/>
      <w:sz w:val="20"/>
      <w:szCs w:val="21"/>
      <w:lang w:eastAsia="ar-SA"/>
    </w:rPr>
  </w:style>
  <w:style w:type="paragraph" w:customStyle="1" w:styleId="2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01">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2">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03">
    <w:name w:val="节标题"/>
    <w:basedOn w:val="1"/>
    <w:next w:val="204"/>
    <w:qFormat/>
    <w:uiPriority w:val="0"/>
    <w:pPr>
      <w:widowControl/>
      <w:spacing w:line="289" w:lineRule="atLeast"/>
      <w:jc w:val="center"/>
      <w:textAlignment w:val="baseline"/>
    </w:pPr>
    <w:rPr>
      <w:color w:val="000000"/>
      <w:kern w:val="0"/>
      <w:sz w:val="28"/>
      <w:szCs w:val="20"/>
      <w:u w:color="000000"/>
    </w:rPr>
  </w:style>
  <w:style w:type="paragraph" w:customStyle="1" w:styleId="204">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205">
    <w:name w:val="_Style 2"/>
    <w:basedOn w:val="1"/>
    <w:qFormat/>
    <w:uiPriority w:val="0"/>
  </w:style>
  <w:style w:type="paragraph" w:customStyle="1" w:styleId="2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07">
    <w:name w:val="Char Char3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8">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20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0">
    <w:name w:val="Char1 Char Char Char Char Char Char1"/>
    <w:basedOn w:val="1"/>
    <w:qFormat/>
    <w:uiPriority w:val="0"/>
    <w:pPr>
      <w:widowControl/>
      <w:spacing w:after="160" w:line="240" w:lineRule="exact"/>
      <w:jc w:val="left"/>
    </w:pPr>
  </w:style>
  <w:style w:type="paragraph" w:customStyle="1" w:styleId="211">
    <w:name w:val="列出段落2"/>
    <w:basedOn w:val="1"/>
    <w:qFormat/>
    <w:uiPriority w:val="0"/>
    <w:pPr>
      <w:ind w:firstLine="420" w:firstLineChars="200"/>
    </w:pPr>
    <w:rPr>
      <w:sz w:val="24"/>
    </w:rPr>
  </w:style>
  <w:style w:type="paragraph" w:customStyle="1" w:styleId="212">
    <w:name w:val="表内文字"/>
    <w:basedOn w:val="1"/>
    <w:qFormat/>
    <w:uiPriority w:val="0"/>
    <w:pPr>
      <w:snapToGrid w:val="0"/>
      <w:spacing w:before="50" w:after="50"/>
      <w:jc w:val="center"/>
    </w:pPr>
    <w:rPr>
      <w:rFonts w:ascii="仿宋_GB2312" w:hAnsi="宋体" w:eastAsia="仿宋_GB2312"/>
      <w:color w:val="000000"/>
      <w:szCs w:val="21"/>
    </w:rPr>
  </w:style>
  <w:style w:type="paragraph" w:customStyle="1" w:styleId="213">
    <w:name w:val="默认"/>
    <w:qFormat/>
    <w:uiPriority w:val="0"/>
    <w:pPr>
      <w:pBdr>
        <w:top w:val="none" w:color="FFFFFF" w:sz="0" w:space="31"/>
        <w:left w:val="none" w:color="FFFFFF" w:sz="0" w:space="31"/>
        <w:bottom w:val="none" w:color="FFFFFF" w:sz="0" w:space="31"/>
        <w:right w:val="none" w:color="FFFFFF" w:sz="0" w:space="31"/>
      </w:pBdr>
    </w:pPr>
    <w:rPr>
      <w:rFonts w:ascii="Helvetica" w:hAnsi="Arial Unicode MS" w:eastAsia="Times New Roman" w:cs="Arial Unicode MS"/>
      <w:color w:val="000000"/>
      <w:sz w:val="22"/>
      <w:szCs w:val="22"/>
      <w:lang w:val="zh-TW" w:eastAsia="zh-TW" w:bidi="ar-SA"/>
    </w:rPr>
  </w:style>
  <w:style w:type="paragraph" w:customStyle="1" w:styleId="214">
    <w:name w:val="Char1 Char Char Char"/>
    <w:basedOn w:val="1"/>
    <w:qFormat/>
    <w:uiPriority w:val="0"/>
    <w:rPr>
      <w:rFonts w:ascii="Tahoma" w:hAnsi="Tahoma"/>
      <w:sz w:val="24"/>
      <w:szCs w:val="20"/>
    </w:rPr>
  </w:style>
  <w:style w:type="paragraph" w:customStyle="1" w:styleId="215">
    <w:name w:val="style24"/>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1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1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8">
    <w:name w:val="列出段落1"/>
    <w:basedOn w:val="1"/>
    <w:qFormat/>
    <w:uiPriority w:val="0"/>
    <w:pPr>
      <w:ind w:firstLine="420" w:firstLineChars="200"/>
    </w:pPr>
    <w:rPr>
      <w:sz w:val="24"/>
    </w:rPr>
  </w:style>
  <w:style w:type="paragraph" w:customStyle="1" w:styleId="219">
    <w:name w:val="444"/>
    <w:basedOn w:val="1"/>
    <w:qFormat/>
    <w:uiPriority w:val="0"/>
    <w:pPr>
      <w:adjustRightInd w:val="0"/>
      <w:spacing w:line="312" w:lineRule="atLeast"/>
      <w:jc w:val="center"/>
      <w:textAlignment w:val="baseline"/>
    </w:pPr>
    <w:rPr>
      <w:b/>
      <w:kern w:val="0"/>
      <w:sz w:val="36"/>
      <w:szCs w:val="36"/>
    </w:rPr>
  </w:style>
  <w:style w:type="paragraph" w:customStyle="1" w:styleId="2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2">
    <w:name w:val="reader-word-layer"/>
    <w:basedOn w:val="1"/>
    <w:qFormat/>
    <w:uiPriority w:val="0"/>
    <w:pPr>
      <w:widowControl/>
      <w:spacing w:before="100" w:beforeAutospacing="1" w:after="100" w:afterAutospacing="1"/>
      <w:jc w:val="left"/>
    </w:pPr>
    <w:rPr>
      <w:rFonts w:hAnsi="宋体" w:cs="宋体"/>
      <w:kern w:val="0"/>
      <w:sz w:val="24"/>
    </w:rPr>
  </w:style>
  <w:style w:type="paragraph" w:customStyle="1" w:styleId="22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样式 正文文本缩进 + 左侧:  2 字符"/>
    <w:basedOn w:val="1"/>
    <w:next w:val="1"/>
    <w:qFormat/>
    <w:uiPriority w:val="0"/>
    <w:pPr>
      <w:adjustRightInd w:val="0"/>
      <w:spacing w:line="360" w:lineRule="auto"/>
      <w:ind w:firstLine="200" w:firstLineChars="200"/>
      <w:jc w:val="left"/>
    </w:pPr>
    <w:rPr>
      <w:rFonts w:ascii="宋体" w:cs="宋体"/>
      <w:sz w:val="24"/>
      <w:szCs w:val="20"/>
    </w:rPr>
  </w:style>
  <w:style w:type="paragraph" w:customStyle="1" w:styleId="22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7">
    <w:name w:val="无间隔1"/>
    <w:basedOn w:val="1"/>
    <w:qFormat/>
    <w:uiPriority w:val="0"/>
    <w:pPr>
      <w:widowControl/>
      <w:jc w:val="left"/>
    </w:pPr>
    <w:rPr>
      <w:rFonts w:ascii="Calibri" w:hAnsi="Calibri" w:eastAsia="Times New Roman" w:cs="宋体"/>
      <w:kern w:val="0"/>
      <w:sz w:val="22"/>
      <w:szCs w:val="22"/>
    </w:rPr>
  </w:style>
  <w:style w:type="paragraph" w:customStyle="1" w:styleId="228">
    <w:name w:val="font7"/>
    <w:basedOn w:val="1"/>
    <w:qFormat/>
    <w:uiPriority w:val="0"/>
    <w:pPr>
      <w:widowControl/>
      <w:spacing w:before="100" w:beforeAutospacing="1" w:after="100" w:afterAutospacing="1"/>
      <w:jc w:val="left"/>
    </w:pPr>
    <w:rPr>
      <w:kern w:val="0"/>
      <w:sz w:val="20"/>
      <w:szCs w:val="20"/>
    </w:rPr>
  </w:style>
  <w:style w:type="paragraph" w:customStyle="1" w:styleId="22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23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231">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3">
    <w:name w:val="3级"/>
    <w:basedOn w:val="1"/>
    <w:qFormat/>
    <w:uiPriority w:val="0"/>
    <w:pPr>
      <w:spacing w:line="360" w:lineRule="auto"/>
      <w:outlineLvl w:val="2"/>
    </w:pPr>
    <w:rPr>
      <w:rFonts w:eastAsia="华文仿宋"/>
      <w:sz w:val="30"/>
    </w:rPr>
  </w:style>
  <w:style w:type="paragraph" w:customStyle="1" w:styleId="234">
    <w:name w:val="1级"/>
    <w:basedOn w:val="2"/>
    <w:qFormat/>
    <w:uiPriority w:val="0"/>
    <w:pPr>
      <w:keepNext w:val="0"/>
      <w:spacing w:line="520" w:lineRule="exact"/>
      <w:jc w:val="center"/>
    </w:pPr>
    <w:rPr>
      <w:rFonts w:ascii="黑体" w:eastAsia="黑体"/>
      <w:b w:val="0"/>
    </w:rPr>
  </w:style>
  <w:style w:type="paragraph" w:customStyle="1" w:styleId="23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37">
    <w:name w:val="表格"/>
    <w:basedOn w:val="1"/>
    <w:qFormat/>
    <w:uiPriority w:val="0"/>
    <w:pPr>
      <w:spacing w:line="400" w:lineRule="exact"/>
    </w:pPr>
    <w:rPr>
      <w:sz w:val="24"/>
    </w:rPr>
  </w:style>
  <w:style w:type="paragraph" w:customStyle="1" w:styleId="238">
    <w:name w:val="页眉与页脚"/>
    <w:qFormat/>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239">
    <w:name w:val="Char Char Char1"/>
    <w:basedOn w:val="1"/>
    <w:qFormat/>
    <w:uiPriority w:val="0"/>
  </w:style>
  <w:style w:type="paragraph" w:customStyle="1" w:styleId="24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41">
    <w:name w:val="Char Char Char Char Char Char1 Char"/>
    <w:basedOn w:val="1"/>
    <w:qFormat/>
    <w:uiPriority w:val="0"/>
    <w:pPr>
      <w:widowControl/>
      <w:spacing w:after="160" w:line="240" w:lineRule="exact"/>
      <w:jc w:val="left"/>
    </w:pPr>
    <w:rPr>
      <w:rFonts w:eastAsia="仿宋_GB2312" w:cs="宋体"/>
      <w:kern w:val="0"/>
      <w:szCs w:val="20"/>
      <w:lang w:eastAsia="en-US"/>
    </w:rPr>
  </w:style>
  <w:style w:type="paragraph" w:customStyle="1" w:styleId="242">
    <w:name w:val="表格样式 2"/>
    <w:qFormat/>
    <w:uiPriority w:val="0"/>
    <w:pPr>
      <w:pBdr>
        <w:top w:val="none" w:color="FFFFFF" w:sz="0" w:space="31"/>
        <w:left w:val="none" w:color="FFFFFF" w:sz="0" w:space="31"/>
        <w:bottom w:val="none" w:color="FFFFFF" w:sz="0" w:space="31"/>
        <w:right w:val="none" w:color="FFFFFF" w:sz="0" w:space="31"/>
      </w:pBdr>
    </w:pPr>
    <w:rPr>
      <w:rFonts w:ascii="Helvetica" w:hAnsi="Helvetica" w:eastAsia="Times New Roman" w:cs="Helvetica"/>
      <w:color w:val="000000"/>
      <w:lang w:val="en-US" w:eastAsia="zh-CN" w:bidi="ar-SA"/>
    </w:rPr>
  </w:style>
  <w:style w:type="paragraph" w:customStyle="1" w:styleId="24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4">
    <w:name w:val="1"/>
    <w:basedOn w:val="1"/>
    <w:next w:val="27"/>
    <w:qFormat/>
    <w:uiPriority w:val="0"/>
    <w:rPr>
      <w:rFonts w:ascii="宋体" w:hAnsi="Courier New"/>
      <w:szCs w:val="20"/>
    </w:rPr>
  </w:style>
  <w:style w:type="paragraph" w:customStyle="1" w:styleId="245">
    <w:name w:val="正文段"/>
    <w:basedOn w:val="1"/>
    <w:qFormat/>
    <w:uiPriority w:val="0"/>
    <w:pPr>
      <w:widowControl/>
      <w:snapToGrid w:val="0"/>
      <w:spacing w:after="156" w:afterLines="50"/>
      <w:ind w:firstLine="200" w:firstLineChars="200"/>
    </w:pPr>
    <w:rPr>
      <w:kern w:val="0"/>
      <w:sz w:val="24"/>
      <w:szCs w:val="20"/>
    </w:rPr>
  </w:style>
  <w:style w:type="paragraph" w:customStyle="1" w:styleId="246">
    <w:name w:val="Char11"/>
    <w:basedOn w:val="1"/>
    <w:qFormat/>
    <w:uiPriority w:val="0"/>
    <w:rPr>
      <w:szCs w:val="20"/>
    </w:rPr>
  </w:style>
  <w:style w:type="paragraph" w:customStyle="1" w:styleId="247">
    <w:name w:val="Char1"/>
    <w:basedOn w:val="1"/>
    <w:qFormat/>
    <w:uiPriority w:val="0"/>
    <w:rPr>
      <w:szCs w:val="21"/>
    </w:rPr>
  </w:style>
  <w:style w:type="paragraph" w:customStyle="1" w:styleId="248">
    <w:name w:val="pa-0"/>
    <w:basedOn w:val="1"/>
    <w:qFormat/>
    <w:uiPriority w:val="0"/>
    <w:pPr>
      <w:widowControl/>
      <w:spacing w:before="125" w:after="125"/>
      <w:jc w:val="left"/>
    </w:pPr>
    <w:rPr>
      <w:rFonts w:ascii="宋体" w:hAnsi="宋体" w:cs="宋体"/>
      <w:kern w:val="0"/>
      <w:sz w:val="24"/>
    </w:rPr>
  </w:style>
  <w:style w:type="paragraph" w:customStyle="1" w:styleId="249">
    <w:name w:val="正文 A A"/>
    <w:qFormat/>
    <w:uiPriority w:val="0"/>
    <w:pPr>
      <w:widowControl w:val="0"/>
      <w:pBdr>
        <w:top w:val="none" w:color="FFFFFF" w:sz="0" w:space="31"/>
        <w:left w:val="none" w:color="FFFFFF" w:sz="0" w:space="31"/>
        <w:bottom w:val="none" w:color="FFFFFF" w:sz="0" w:space="31"/>
        <w:right w:val="none" w:color="FFFFFF" w:sz="0" w:space="31"/>
      </w:pBdr>
      <w:jc w:val="both"/>
    </w:pPr>
    <w:rPr>
      <w:rFonts w:ascii="宋体" w:hAnsi="宋体" w:eastAsia="宋体" w:cs="宋体"/>
      <w:color w:val="000000"/>
      <w:kern w:val="2"/>
      <w:sz w:val="21"/>
      <w:szCs w:val="21"/>
      <w:u w:color="000000"/>
      <w:lang w:val="en-US" w:eastAsia="zh-CN" w:bidi="ar-SA"/>
    </w:rPr>
  </w:style>
  <w:style w:type="paragraph" w:customStyle="1" w:styleId="25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51">
    <w:name w:val="文章总标题"/>
    <w:basedOn w:val="1"/>
    <w:next w:val="190"/>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52">
    <w:name w:val="样式 标题 4 + 小四 首行缩进:  2 字符"/>
    <w:basedOn w:val="5"/>
    <w:next w:val="6"/>
    <w:qFormat/>
    <w:uiPriority w:val="0"/>
    <w:pPr>
      <w:spacing w:line="360" w:lineRule="exact"/>
      <w:ind w:firstLine="482"/>
      <w:jc w:val="left"/>
    </w:pPr>
    <w:rPr>
      <w:rFonts w:ascii="Cambria" w:hAnsi="Cambria" w:cs="宋体"/>
      <w:sz w:val="24"/>
    </w:rPr>
  </w:style>
  <w:style w:type="paragraph" w:customStyle="1" w:styleId="253">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54">
    <w:name w:val="Table Paragraph"/>
    <w:basedOn w:val="1"/>
    <w:qFormat/>
    <w:uiPriority w:val="1"/>
  </w:style>
  <w:style w:type="paragraph" w:customStyle="1" w:styleId="25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6">
    <w:name w:val="4"/>
    <w:basedOn w:val="1"/>
    <w:next w:val="30"/>
    <w:qFormat/>
    <w:uiPriority w:val="0"/>
    <w:pPr>
      <w:spacing w:line="420" w:lineRule="exact"/>
      <w:ind w:firstLine="409" w:firstLineChars="195"/>
    </w:pPr>
  </w:style>
  <w:style w:type="paragraph" w:customStyle="1" w:styleId="257">
    <w:name w:val="p0"/>
    <w:basedOn w:val="1"/>
    <w:qFormat/>
    <w:uiPriority w:val="0"/>
    <w:pPr>
      <w:widowControl/>
    </w:pPr>
    <w:rPr>
      <w:kern w:val="0"/>
      <w:szCs w:val="21"/>
    </w:rPr>
  </w:style>
  <w:style w:type="paragraph" w:customStyle="1" w:styleId="258">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9">
    <w:name w:val="样式 样式 首行缩进: 2 字符"/>
    <w:basedOn w:val="1"/>
    <w:qFormat/>
    <w:uiPriority w:val="0"/>
    <w:pPr>
      <w:widowControl/>
      <w:ind w:firstLine="480" w:firstLineChars="200"/>
      <w:jc w:val="left"/>
    </w:pPr>
    <w:rPr>
      <w:rFonts w:cs="宋体"/>
      <w:kern w:val="0"/>
      <w:sz w:val="24"/>
      <w:szCs w:val="20"/>
    </w:rPr>
  </w:style>
  <w:style w:type="paragraph" w:customStyle="1" w:styleId="260">
    <w:name w:val="p16"/>
    <w:basedOn w:val="1"/>
    <w:qFormat/>
    <w:uiPriority w:val="0"/>
    <w:pPr>
      <w:widowControl/>
    </w:pPr>
    <w:rPr>
      <w:rFonts w:ascii="宋体" w:hAnsi="宋体" w:cs="宋体"/>
      <w:kern w:val="0"/>
      <w:szCs w:val="21"/>
    </w:rPr>
  </w:style>
  <w:style w:type="paragraph" w:customStyle="1" w:styleId="26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2">
    <w:name w:val="Char Char Char1 Char"/>
    <w:basedOn w:val="1"/>
    <w:qFormat/>
    <w:uiPriority w:val="0"/>
    <w:rPr>
      <w:szCs w:val="21"/>
    </w:rPr>
  </w:style>
  <w:style w:type="paragraph" w:customStyle="1" w:styleId="26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64">
    <w:name w:val="2级"/>
    <w:basedOn w:val="1"/>
    <w:qFormat/>
    <w:uiPriority w:val="0"/>
    <w:pPr>
      <w:numPr>
        <w:ilvl w:val="1"/>
        <w:numId w:val="1"/>
      </w:numPr>
      <w:spacing w:before="156" w:beforeLines="50" w:line="360" w:lineRule="auto"/>
      <w:outlineLvl w:val="1"/>
    </w:pPr>
    <w:rPr>
      <w:rFonts w:eastAsia="黑体"/>
      <w:sz w:val="32"/>
    </w:rPr>
  </w:style>
  <w:style w:type="paragraph" w:customStyle="1" w:styleId="265">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66">
    <w:name w:val="2-2ji"/>
    <w:basedOn w:val="3"/>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267">
    <w:name w:val="_Style 35"/>
    <w:basedOn w:val="17"/>
    <w:qFormat/>
    <w:uiPriority w:val="0"/>
    <w:pPr>
      <w:widowControl/>
      <w:adjustRightInd/>
      <w:spacing w:line="240" w:lineRule="auto"/>
      <w:ind w:firstLine="454"/>
      <w:jc w:val="left"/>
      <w:textAlignment w:val="auto"/>
    </w:pPr>
    <w:rPr>
      <w:kern w:val="2"/>
      <w:sz w:val="21"/>
      <w:szCs w:val="24"/>
    </w:rPr>
  </w:style>
  <w:style w:type="paragraph" w:customStyle="1" w:styleId="268">
    <w:name w:val="Char12"/>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table" w:customStyle="1" w:styleId="269">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6967</Words>
  <Characters>39712</Characters>
  <Lines>330</Lines>
  <Paragraphs>93</Paragraphs>
  <TotalTime>30</TotalTime>
  <ScaleCrop>false</ScaleCrop>
  <LinksUpToDate>false</LinksUpToDate>
  <CharactersWithSpaces>46586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2020-06-08T03:20:00Z</dcterms:created>
  <dc:creator>李溪梅</dc:creator>
  <cp:lastModifiedBy>陈华德</cp:lastModifiedBy>
  <cp:lastPrinted>2020-06-08T08:11:10Z</cp:lastPrinted>
  <dcterms:modified xsi:type="dcterms:W3CDTF">2020-06-08T08:13:02Z</dcterms:modified>
  <dc:title>广西国盛招标有限公司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