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72FD">
      <w:pPr>
        <w:rPr>
          <w:color w:val="auto"/>
          <w:highlight w:val="none"/>
        </w:rPr>
      </w:pPr>
    </w:p>
    <w:p w14:paraId="02F8028A">
      <w:pPr>
        <w:topLinePunct/>
        <w:autoSpaceDE w:val="0"/>
        <w:autoSpaceDN w:val="0"/>
        <w:spacing w:line="360" w:lineRule="auto"/>
        <w:jc w:val="center"/>
        <w:rPr>
          <w:rFonts w:ascii="黑体" w:hAnsi="黑体" w:eastAsia="黑体" w:cs="黑体"/>
          <w:bCs/>
          <w:color w:val="auto"/>
          <w:sz w:val="72"/>
          <w:szCs w:val="72"/>
          <w:highlight w:val="none"/>
        </w:rPr>
      </w:pPr>
      <w:r>
        <w:rPr>
          <w:rFonts w:hint="eastAsia" w:ascii="黑体" w:hAnsi="黑体" w:eastAsia="黑体" w:cs="黑体"/>
          <w:bCs/>
          <w:color w:val="auto"/>
          <w:sz w:val="72"/>
          <w:szCs w:val="72"/>
          <w:highlight w:val="none"/>
        </w:rPr>
        <w:t>招 标 文 件</w:t>
      </w:r>
    </w:p>
    <w:p w14:paraId="06A88D64">
      <w:pPr>
        <w:topLinePunct/>
        <w:autoSpaceDE w:val="0"/>
        <w:autoSpaceDN w:val="0"/>
        <w:spacing w:line="360" w:lineRule="auto"/>
        <w:jc w:val="center"/>
        <w:rPr>
          <w:rFonts w:ascii="黑体" w:hAnsi="黑体" w:eastAsia="黑体" w:cs="黑体"/>
          <w:bCs/>
          <w:color w:val="auto"/>
          <w:sz w:val="72"/>
          <w:szCs w:val="72"/>
          <w:highlight w:val="none"/>
        </w:rPr>
      </w:pPr>
    </w:p>
    <w:p w14:paraId="54430C39">
      <w:pPr>
        <w:topLinePunct/>
        <w:autoSpaceDE w:val="0"/>
        <w:autoSpaceDN w:val="0"/>
        <w:snapToGrid w:val="0"/>
        <w:spacing w:line="360" w:lineRule="auto"/>
        <w:jc w:val="center"/>
        <w:rPr>
          <w:rFonts w:ascii="华文中宋" w:hAnsi="华文中宋" w:eastAsia="华文中宋" w:cs="华文中宋"/>
          <w:bCs/>
          <w:color w:val="auto"/>
          <w:sz w:val="72"/>
          <w:szCs w:val="72"/>
          <w:highlight w:val="none"/>
        </w:rPr>
      </w:pPr>
      <w:r>
        <w:rPr>
          <w:rFonts w:hint="eastAsia" w:ascii="黑体" w:hAnsi="黑体" w:eastAsia="黑体" w:cs="黑体"/>
          <w:bCs/>
          <w:color w:val="auto"/>
          <w:sz w:val="72"/>
          <w:szCs w:val="72"/>
          <w:highlight w:val="none"/>
        </w:rPr>
        <w:t>（商务部分）</w:t>
      </w:r>
    </w:p>
    <w:p w14:paraId="64AB83E3">
      <w:pPr>
        <w:pStyle w:val="9"/>
        <w:rPr>
          <w:color w:val="auto"/>
          <w:highlight w:val="none"/>
        </w:rPr>
      </w:pPr>
    </w:p>
    <w:p w14:paraId="30013707">
      <w:pPr>
        <w:jc w:val="center"/>
        <w:rPr>
          <w:rFonts w:ascii="方正小标宋简体" w:hAnsi="方正小标宋简体" w:eastAsia="方正小标宋简体" w:cs="方正小标宋简体"/>
          <w:color w:val="auto"/>
          <w:sz w:val="24"/>
          <w:szCs w:val="24"/>
          <w:highlight w:val="none"/>
        </w:rPr>
      </w:pPr>
    </w:p>
    <w:p w14:paraId="3E7C2541">
      <w:pPr>
        <w:jc w:val="center"/>
        <w:rPr>
          <w:rFonts w:ascii="方正小标宋简体" w:hAnsi="方正小标宋简体" w:eastAsia="方正小标宋简体" w:cs="方正小标宋简体"/>
          <w:color w:val="auto"/>
          <w:sz w:val="24"/>
          <w:szCs w:val="24"/>
          <w:highlight w:val="none"/>
        </w:rPr>
      </w:pPr>
    </w:p>
    <w:p w14:paraId="66F0A465">
      <w:pPr>
        <w:spacing w:line="360" w:lineRule="auto"/>
        <w:jc w:val="center"/>
        <w:rPr>
          <w:rFonts w:asciiTheme="minorEastAsia" w:hAnsiTheme="minorEastAsia" w:eastAsiaTheme="minorEastAsia" w:cstheme="minorEastAsia"/>
          <w:b/>
          <w:bCs/>
          <w:color w:val="auto"/>
          <w:sz w:val="30"/>
          <w:szCs w:val="30"/>
          <w:highlight w:val="none"/>
        </w:rPr>
      </w:pPr>
    </w:p>
    <w:p w14:paraId="017326FD">
      <w:pPr>
        <w:spacing w:line="360" w:lineRule="auto"/>
        <w:ind w:firstLine="321" w:firstLineChars="100"/>
        <w:jc w:val="both"/>
        <w:outlineLvl w:val="0"/>
        <w:rPr>
          <w:rFonts w:hint="eastAsia" w:asciiTheme="minorEastAsia" w:hAnsiTheme="minorEastAsia" w:eastAsiaTheme="minorEastAsia" w:cstheme="minorEastAsia"/>
          <w:b/>
          <w:bCs/>
          <w:color w:val="auto"/>
          <w:sz w:val="32"/>
          <w:szCs w:val="32"/>
          <w:highlight w:val="none"/>
          <w:lang w:eastAsia="zh-CN"/>
        </w:rPr>
      </w:pPr>
      <w:bookmarkStart w:id="0" w:name="_Toc8968"/>
      <w:bookmarkStart w:id="1" w:name="_Toc22378"/>
      <w:bookmarkStart w:id="2" w:name="_Toc452"/>
      <w:r>
        <w:rPr>
          <w:rFonts w:hint="eastAsia" w:asciiTheme="minorEastAsia" w:hAnsiTheme="minorEastAsia" w:eastAsiaTheme="minorEastAsia" w:cstheme="minorEastAsia"/>
          <w:b/>
          <w:bCs/>
          <w:color w:val="auto"/>
          <w:sz w:val="32"/>
          <w:szCs w:val="32"/>
          <w:highlight w:val="none"/>
        </w:rPr>
        <w:t>项目名称：</w:t>
      </w:r>
      <w:bookmarkEnd w:id="0"/>
      <w:bookmarkEnd w:id="1"/>
      <w:bookmarkEnd w:id="2"/>
      <w:r>
        <w:rPr>
          <w:rFonts w:hint="eastAsia" w:asciiTheme="minorEastAsia" w:hAnsiTheme="minorEastAsia" w:eastAsiaTheme="minorEastAsia" w:cstheme="minorEastAsia"/>
          <w:b/>
          <w:bCs/>
          <w:color w:val="auto"/>
          <w:sz w:val="32"/>
          <w:szCs w:val="32"/>
          <w:highlight w:val="none"/>
          <w:lang w:eastAsia="zh-CN"/>
        </w:rPr>
        <w:t>国家税务总局来宾市兴宾区税务局</w:t>
      </w:r>
    </w:p>
    <w:p w14:paraId="22689C55">
      <w:pPr>
        <w:spacing w:line="360" w:lineRule="auto"/>
        <w:ind w:firstLine="321" w:firstLineChars="100"/>
        <w:rPr>
          <w:rFonts w:asciiTheme="minorEastAsia" w:hAnsiTheme="minorEastAsia" w:eastAsiaTheme="minorEastAsia" w:cstheme="minorEastAsia"/>
          <w:b/>
          <w:bCs/>
          <w:color w:val="auto"/>
          <w:sz w:val="32"/>
          <w:szCs w:val="32"/>
          <w:highlight w:val="none"/>
        </w:rPr>
      </w:pPr>
      <w:r>
        <w:rPr>
          <w:rFonts w:hint="eastAsia" w:cstheme="minorEastAsia"/>
          <w:b/>
          <w:bCs/>
          <w:color w:val="auto"/>
          <w:sz w:val="32"/>
          <w:szCs w:val="32"/>
          <w:highlight w:val="none"/>
          <w:lang w:val="en-US" w:eastAsia="zh-CN"/>
        </w:rPr>
        <w:t xml:space="preserve">  2024年非执法类辅助性服务采购项目</w:t>
      </w:r>
    </w:p>
    <w:p w14:paraId="04C6B7B2">
      <w:pPr>
        <w:spacing w:line="360" w:lineRule="auto"/>
        <w:ind w:firstLine="321" w:firstLineChars="100"/>
        <w:jc w:val="both"/>
        <w:outlineLvl w:val="0"/>
        <w:rPr>
          <w:rFonts w:hint="eastAsia"/>
          <w:b/>
          <w:color w:val="auto"/>
          <w:sz w:val="32"/>
          <w:szCs w:val="32"/>
          <w:highlight w:val="none"/>
          <w:lang w:val="en-US" w:eastAsia="zh-CN"/>
        </w:rPr>
      </w:pPr>
      <w:bookmarkStart w:id="3" w:name="_Toc22996"/>
      <w:bookmarkStart w:id="4" w:name="_Toc13600"/>
      <w:bookmarkStart w:id="5" w:name="_Toc30033"/>
      <w:r>
        <w:rPr>
          <w:rFonts w:hint="eastAsia" w:asciiTheme="minorEastAsia" w:hAnsiTheme="minorEastAsia" w:eastAsiaTheme="minorEastAsia" w:cstheme="minorEastAsia"/>
          <w:b/>
          <w:bCs/>
          <w:color w:val="auto"/>
          <w:sz w:val="32"/>
          <w:szCs w:val="32"/>
          <w:highlight w:val="none"/>
        </w:rPr>
        <w:t>项目编号：</w:t>
      </w:r>
      <w:bookmarkEnd w:id="3"/>
      <w:bookmarkEnd w:id="4"/>
      <w:bookmarkEnd w:id="5"/>
      <w:r>
        <w:rPr>
          <w:rFonts w:hint="eastAsia" w:cstheme="minorEastAsia"/>
          <w:b/>
          <w:color w:val="auto"/>
          <w:sz w:val="32"/>
          <w:szCs w:val="32"/>
          <w:highlight w:val="none"/>
          <w:lang w:eastAsia="zh-CN"/>
        </w:rPr>
        <w:t>GX2024-DLGK-C</w:t>
      </w:r>
      <w:r>
        <w:rPr>
          <w:rFonts w:hint="eastAsia" w:cstheme="minorEastAsia"/>
          <w:b/>
          <w:color w:val="auto"/>
          <w:sz w:val="32"/>
          <w:szCs w:val="32"/>
          <w:highlight w:val="none"/>
          <w:lang w:val="en-US" w:eastAsia="zh-CN"/>
        </w:rPr>
        <w:t>0052</w:t>
      </w:r>
      <w:r>
        <w:rPr>
          <w:rFonts w:hint="eastAsia" w:cstheme="minorEastAsia"/>
          <w:b/>
          <w:color w:val="auto"/>
          <w:sz w:val="32"/>
          <w:szCs w:val="32"/>
          <w:highlight w:val="none"/>
          <w:lang w:eastAsia="zh-CN"/>
        </w:rPr>
        <w:t>-B00</w:t>
      </w:r>
    </w:p>
    <w:p w14:paraId="02A67E14">
      <w:pPr>
        <w:spacing w:line="360" w:lineRule="auto"/>
        <w:ind w:firstLine="321" w:firstLineChars="100"/>
        <w:rPr>
          <w:rFonts w:hint="default" w:asciiTheme="minorEastAsia" w:hAnsiTheme="minorEastAsia" w:eastAsiaTheme="minorEastAsia" w:cstheme="minorEastAsia"/>
          <w:b/>
          <w:bCs/>
          <w:color w:val="auto"/>
          <w:sz w:val="32"/>
          <w:szCs w:val="32"/>
          <w:highlight w:val="none"/>
          <w:lang w:val="en-US" w:eastAsia="zh-CN"/>
        </w:rPr>
      </w:pPr>
    </w:p>
    <w:p w14:paraId="60A51EC5">
      <w:pPr>
        <w:pStyle w:val="2"/>
        <w:numPr>
          <w:ilvl w:val="-1"/>
          <w:numId w:val="0"/>
        </w:numPr>
        <w:ind w:left="420" w:leftChars="200" w:firstLine="0" w:firstLineChars="0"/>
        <w:jc w:val="both"/>
        <w:rPr>
          <w:rFonts w:hint="default"/>
          <w:color w:val="auto"/>
          <w:highlight w:val="none"/>
          <w:lang w:val="en-US" w:eastAsia="zh-CN"/>
        </w:rPr>
      </w:pPr>
    </w:p>
    <w:p w14:paraId="336ED80F">
      <w:pPr>
        <w:spacing w:line="360" w:lineRule="auto"/>
        <w:ind w:firstLine="321" w:firstLineChars="100"/>
        <w:jc w:val="both"/>
        <w:outlineLvl w:val="0"/>
        <w:rPr>
          <w:rFonts w:hint="eastAsia" w:asciiTheme="minorEastAsia" w:hAnsiTheme="minorEastAsia" w:eastAsiaTheme="minorEastAsia" w:cstheme="minorEastAsia"/>
          <w:b/>
          <w:bCs/>
          <w:color w:val="auto"/>
          <w:sz w:val="32"/>
          <w:szCs w:val="32"/>
          <w:highlight w:val="none"/>
          <w:lang w:eastAsia="zh-CN"/>
        </w:rPr>
      </w:pPr>
      <w:bookmarkStart w:id="6" w:name="_Toc25284"/>
      <w:bookmarkStart w:id="7" w:name="_Toc29427"/>
      <w:bookmarkStart w:id="8" w:name="_Toc7915"/>
      <w:r>
        <w:rPr>
          <w:rFonts w:hint="eastAsia" w:asciiTheme="minorEastAsia" w:hAnsiTheme="minorEastAsia" w:eastAsiaTheme="minorEastAsia" w:cstheme="minorEastAsia"/>
          <w:b/>
          <w:bCs/>
          <w:color w:val="auto"/>
          <w:sz w:val="32"/>
          <w:szCs w:val="32"/>
          <w:highlight w:val="none"/>
        </w:rPr>
        <w:t>采 购 人：</w:t>
      </w:r>
      <w:bookmarkEnd w:id="6"/>
      <w:bookmarkEnd w:id="7"/>
      <w:bookmarkEnd w:id="8"/>
      <w:r>
        <w:rPr>
          <w:rFonts w:hint="eastAsia" w:cstheme="minorEastAsia"/>
          <w:b/>
          <w:bCs/>
          <w:color w:val="auto"/>
          <w:sz w:val="32"/>
          <w:szCs w:val="32"/>
          <w:highlight w:val="none"/>
          <w:lang w:eastAsia="zh-CN"/>
        </w:rPr>
        <w:t>国家税务总局来宾市兴宾区税务局</w:t>
      </w:r>
    </w:p>
    <w:p w14:paraId="55D4E7A5">
      <w:pPr>
        <w:spacing w:line="360" w:lineRule="auto"/>
        <w:ind w:firstLine="321" w:firstLineChars="100"/>
        <w:rPr>
          <w:rFonts w:asciiTheme="minorEastAsia" w:hAnsiTheme="minorEastAsia" w:eastAsiaTheme="minorEastAsia" w:cstheme="minorEastAsia"/>
          <w:b/>
          <w:bCs/>
          <w:color w:val="auto"/>
          <w:sz w:val="32"/>
          <w:szCs w:val="32"/>
          <w:highlight w:val="none"/>
        </w:rPr>
      </w:pPr>
    </w:p>
    <w:p w14:paraId="48577201">
      <w:pPr>
        <w:spacing w:line="360" w:lineRule="auto"/>
        <w:ind w:firstLine="321" w:firstLineChars="100"/>
        <w:jc w:val="both"/>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采购代理机构：广西众联工程项目管理有限公司</w:t>
      </w:r>
    </w:p>
    <w:p w14:paraId="307BA878">
      <w:pPr>
        <w:topLinePunct/>
        <w:autoSpaceDE w:val="0"/>
        <w:autoSpaceDN w:val="0"/>
        <w:spacing w:line="460" w:lineRule="exact"/>
        <w:rPr>
          <w:rFonts w:asciiTheme="minorEastAsia" w:hAnsiTheme="minorEastAsia" w:eastAsiaTheme="minorEastAsia" w:cstheme="minorEastAsia"/>
          <w:b/>
          <w:bCs/>
          <w:color w:val="auto"/>
          <w:sz w:val="32"/>
          <w:szCs w:val="32"/>
          <w:highlight w:val="none"/>
        </w:rPr>
      </w:pPr>
    </w:p>
    <w:p w14:paraId="3240130A">
      <w:pPr>
        <w:topLinePunct/>
        <w:autoSpaceDE w:val="0"/>
        <w:autoSpaceDN w:val="0"/>
        <w:spacing w:line="460" w:lineRule="exact"/>
        <w:jc w:val="center"/>
        <w:rPr>
          <w:rFonts w:asciiTheme="minorEastAsia" w:hAnsiTheme="minorEastAsia" w:eastAsiaTheme="minorEastAsia" w:cstheme="minorEastAsia"/>
          <w:b/>
          <w:bCs/>
          <w:color w:val="auto"/>
          <w:sz w:val="32"/>
          <w:szCs w:val="32"/>
          <w:highlight w:val="none"/>
        </w:rPr>
      </w:pPr>
    </w:p>
    <w:p w14:paraId="43B62F6E">
      <w:pPr>
        <w:topLinePunct/>
        <w:autoSpaceDE w:val="0"/>
        <w:autoSpaceDN w:val="0"/>
        <w:spacing w:line="460" w:lineRule="exact"/>
        <w:jc w:val="center"/>
        <w:rPr>
          <w:rFonts w:asciiTheme="minorEastAsia" w:hAnsiTheme="minorEastAsia" w:eastAsiaTheme="minorEastAsia" w:cstheme="minorEastAsia"/>
          <w:b/>
          <w:bCs/>
          <w:color w:val="auto"/>
          <w:sz w:val="32"/>
          <w:szCs w:val="32"/>
          <w:highlight w:val="none"/>
        </w:rPr>
      </w:pPr>
    </w:p>
    <w:p w14:paraId="47E3DB6A">
      <w:pPr>
        <w:topLinePunct/>
        <w:autoSpaceDE w:val="0"/>
        <w:autoSpaceDN w:val="0"/>
        <w:spacing w:line="460" w:lineRule="exact"/>
        <w:jc w:val="center"/>
        <w:outlineLvl w:val="0"/>
        <w:rPr>
          <w:rFonts w:hint="eastAsia" w:asciiTheme="minorEastAsia" w:hAnsiTheme="minorEastAsia" w:eastAsiaTheme="minorEastAsia" w:cstheme="minorEastAsia"/>
          <w:b/>
          <w:bCs/>
          <w:color w:val="auto"/>
          <w:sz w:val="32"/>
          <w:szCs w:val="32"/>
          <w:highlight w:val="none"/>
          <w:lang w:eastAsia="zh-CN"/>
        </w:rPr>
      </w:pPr>
      <w:r>
        <w:rPr>
          <w:rFonts w:hint="eastAsia" w:cstheme="minorEastAsia"/>
          <w:b/>
          <w:bCs/>
          <w:color w:val="auto"/>
          <w:sz w:val="32"/>
          <w:szCs w:val="32"/>
          <w:highlight w:val="none"/>
          <w:lang w:eastAsia="zh-CN"/>
        </w:rPr>
        <w:t>国家税务总局来宾市兴宾区税务局</w:t>
      </w:r>
    </w:p>
    <w:p w14:paraId="102F4DCB">
      <w:pPr>
        <w:topLinePunct/>
        <w:autoSpaceDE w:val="0"/>
        <w:autoSpaceDN w:val="0"/>
        <w:spacing w:line="160" w:lineRule="exact"/>
        <w:jc w:val="center"/>
        <w:rPr>
          <w:rFonts w:asciiTheme="minorEastAsia" w:hAnsiTheme="minorEastAsia" w:eastAsiaTheme="minorEastAsia" w:cstheme="minorEastAsia"/>
          <w:b/>
          <w:bCs/>
          <w:color w:val="auto"/>
          <w:sz w:val="32"/>
          <w:szCs w:val="32"/>
          <w:highlight w:val="none"/>
        </w:rPr>
      </w:pPr>
    </w:p>
    <w:p w14:paraId="30A3D44E">
      <w:pPr>
        <w:jc w:val="center"/>
        <w:rPr>
          <w:rFonts w:hint="eastAsia" w:asciiTheme="minorEastAsia" w:hAnsiTheme="minorEastAsia" w:eastAsiaTheme="minorEastAsia" w:cstheme="minorEastAsia"/>
          <w:b/>
          <w:bCs/>
          <w:color w:val="auto"/>
          <w:sz w:val="32"/>
          <w:szCs w:val="32"/>
          <w:highlight w:val="none"/>
          <w:lang w:eastAsia="zh-CN"/>
        </w:rPr>
      </w:pPr>
      <w:r>
        <w:rPr>
          <w:rFonts w:hint="eastAsia" w:cstheme="minorEastAsia"/>
          <w:b/>
          <w:bCs/>
          <w:color w:val="auto"/>
          <w:sz w:val="32"/>
          <w:szCs w:val="32"/>
          <w:highlight w:val="none"/>
          <w:lang w:eastAsia="zh-CN"/>
        </w:rPr>
        <w:t>2024年7月</w:t>
      </w:r>
      <w:r>
        <w:rPr>
          <w:rFonts w:hint="eastAsia" w:cstheme="minorEastAsia"/>
          <w:b/>
          <w:bCs/>
          <w:color w:val="auto"/>
          <w:sz w:val="32"/>
          <w:szCs w:val="32"/>
          <w:highlight w:val="none"/>
          <w:lang w:val="en-US" w:eastAsia="zh-CN"/>
        </w:rPr>
        <w:t>25</w:t>
      </w:r>
      <w:r>
        <w:rPr>
          <w:rFonts w:hint="eastAsia" w:cstheme="minorEastAsia"/>
          <w:b/>
          <w:bCs/>
          <w:color w:val="auto"/>
          <w:sz w:val="32"/>
          <w:szCs w:val="32"/>
          <w:highlight w:val="none"/>
          <w:lang w:eastAsia="zh-CN"/>
        </w:rPr>
        <w:t>日</w:t>
      </w:r>
    </w:p>
    <w:p w14:paraId="56DB4632">
      <w:pPr>
        <w:jc w:val="center"/>
        <w:rPr>
          <w:rFonts w:ascii="华文中宋" w:hAnsi="华文中宋" w:eastAsia="华文中宋" w:cs="华文中宋"/>
          <w:color w:val="auto"/>
          <w:sz w:val="44"/>
          <w:szCs w:val="44"/>
          <w:highlight w:val="none"/>
        </w:rPr>
      </w:pPr>
      <w:bookmarkStart w:id="9" w:name="_Toc20471"/>
      <w:bookmarkStart w:id="10" w:name="_Toc132880271"/>
      <w:r>
        <w:rPr>
          <w:rFonts w:hint="eastAsia" w:ascii="华文中宋" w:hAnsi="华文中宋" w:eastAsia="华文中宋" w:cs="华文中宋"/>
          <w:color w:val="auto"/>
          <w:sz w:val="44"/>
          <w:szCs w:val="44"/>
          <w:highlight w:val="none"/>
          <w:lang w:val="zh-CN"/>
        </w:rPr>
        <w:t>目  录</w:t>
      </w:r>
    </w:p>
    <w:sdt>
      <w:sdtPr>
        <w:rPr>
          <w:rFonts w:ascii="宋体" w:hAnsi="宋体"/>
          <w:color w:val="auto"/>
          <w:highlight w:val="none"/>
        </w:rPr>
        <w:id w:val="147459934"/>
        <w:docPartObj>
          <w:docPartGallery w:val="Table of Contents"/>
          <w:docPartUnique/>
        </w:docPartObj>
      </w:sdtPr>
      <w:sdtEndPr>
        <w:rPr>
          <w:rFonts w:hint="eastAsia" w:asciiTheme="minorEastAsia" w:hAnsiTheme="minorEastAsia" w:eastAsiaTheme="minorEastAsia" w:cstheme="minorEastAsia"/>
          <w:color w:val="auto"/>
          <w:sz w:val="24"/>
          <w:szCs w:val="24"/>
          <w:highlight w:val="none"/>
        </w:rPr>
      </w:sdtEndPr>
      <w:sdtContent>
        <w:p w14:paraId="1D121E1E">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TOC \o "1-3" \h \u </w:instrText>
          </w:r>
          <w:r>
            <w:rPr>
              <w:rFonts w:hint="eastAsia" w:asciiTheme="minorEastAsia" w:hAnsiTheme="minorEastAsia" w:eastAsiaTheme="minorEastAsia" w:cstheme="minorEastAsia"/>
              <w:b/>
              <w:color w:val="auto"/>
              <w:sz w:val="24"/>
              <w:szCs w:val="24"/>
              <w:highlight w:val="none"/>
            </w:rPr>
            <w:fldChar w:fldCharType="separate"/>
          </w:r>
        </w:p>
        <w:p w14:paraId="5101D639">
          <w:pPr>
            <w:pStyle w:val="14"/>
            <w:tabs>
              <w:tab w:val="right" w:leader="dot" w:pos="8402"/>
            </w:tabs>
            <w:spacing w:line="480" w:lineRule="exact"/>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"_Toc20471"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第一章  投标邀请</w:t>
          </w:r>
          <w:r>
            <w:rPr>
              <w:rFonts w:hint="eastAsia" w:asciiTheme="minorEastAsia" w:hAnsiTheme="minorEastAsia" w:eastAsiaTheme="minorEastAsia" w:cstheme="minorEastAsia"/>
              <w:color w:val="auto"/>
              <w:sz w:val="24"/>
              <w:szCs w:val="24"/>
              <w:highlight w:val="none"/>
            </w:rPr>
            <w:tab/>
          </w:r>
          <w:r>
            <w:rPr>
              <w:rFonts w:hint="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fldChar w:fldCharType="end"/>
          </w:r>
        </w:p>
        <w:p w14:paraId="137B4F26">
          <w:pPr>
            <w:pStyle w:val="14"/>
            <w:tabs>
              <w:tab w:val="right" w:leader="dot" w:pos="8402"/>
            </w:tabs>
            <w:spacing w:line="480" w:lineRule="exact"/>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"_Toc2076"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第二章　投标人须知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_Toc2076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2C402EF">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"_Toc2475"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投标人须知前附表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_Toc2475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1A4A873">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"_Toc32474"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一、总则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_Toc32474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AC6184E">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"_Toc20650"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二、招标文件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_Toc20650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1A9656D">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"_Toc10830"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三、投标文件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_Toc10830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84EF7F4">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"_Toc18073"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四、投标文件递交</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_Toc18073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E731293">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"_Toc29378"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五、开标与评标</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_Toc29378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A96C17A">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"_Toc13594"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六、中标和合同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_Toc13594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0CFBD5E">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"_Toc31691"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七、询问和质疑</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_Toc31691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2E36AB3">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"_Toc6144"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八、其他</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_Toc6144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CDC52A5">
          <w:pPr>
            <w:pStyle w:val="14"/>
            <w:tabs>
              <w:tab w:val="right" w:leader="dot" w:pos="8402"/>
            </w:tabs>
            <w:spacing w:line="480" w:lineRule="exact"/>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"_Toc26165"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第三章  评标方法及标准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_Toc26165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B22E6FC">
          <w:pPr>
            <w:pStyle w:val="14"/>
            <w:tabs>
              <w:tab w:val="right" w:leader="dot" w:pos="8402"/>
            </w:tabs>
            <w:spacing w:line="480" w:lineRule="exact"/>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"_Toc18784"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第四章  政府采购合同文本</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66D01A0">
          <w:pPr>
            <w:pStyle w:val="14"/>
            <w:tabs>
              <w:tab w:val="right" w:leader="dot" w:pos="8402"/>
            </w:tabs>
            <w:spacing w:line="480" w:lineRule="exact"/>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"_Toc3278"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第五章　投标文件格式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_Toc3278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6677EFC">
          <w:pPr>
            <w:pStyle w:val="14"/>
            <w:tabs>
              <w:tab w:val="right" w:leader="dot" w:pos="8402"/>
            </w:tabs>
            <w:spacing w:line="480" w:lineRule="exact"/>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"_Toc20930"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第六章</w:t>
          </w:r>
          <w:r>
            <w:rPr>
              <w:rFonts w:hint="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项目采购需求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_Toc20930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7</w:t>
          </w:r>
          <w:r>
            <w:rPr>
              <w:rFonts w:hint="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02BA7EE">
          <w:pPr>
            <w:pStyle w:val="15"/>
            <w:tabs>
              <w:tab w:val="right" w:leader="dot" w:pos="8402"/>
            </w:tabs>
            <w:spacing w:line="480" w:lineRule="exact"/>
            <w:ind w:left="0" w:leftChars="0" w:firstLine="420" w:firstLine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"_Toc6007" </w:instrText>
          </w:r>
          <w:r>
            <w:rPr>
              <w:color w:val="auto"/>
              <w:highlight w:val="none"/>
            </w:rPr>
            <w:fldChar w:fldCharType="separate"/>
          </w:r>
          <w:r>
            <w:rPr>
              <w:rFonts w:hint="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、技术要求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_Toc20930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7</w:t>
          </w:r>
          <w:r>
            <w:rPr>
              <w:rFonts w:hint="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37589A4">
          <w:pPr>
            <w:pStyle w:val="15"/>
            <w:tabs>
              <w:tab w:val="right" w:leader="dot" w:pos="8402"/>
            </w:tabs>
            <w:spacing w:line="480" w:lineRule="exact"/>
            <w:ind w:left="0" w:leftChars="0" w:firstLine="420" w:firstLineChars="200"/>
            <w:rPr>
              <w:rFonts w:hint="eastAsia" w:asciiTheme="minorEastAsia" w:hAnsiTheme="minorEastAsia" w:eastAsiaTheme="minorEastAsia" w:cstheme="minorEastAsia"/>
              <w:color w:val="auto"/>
              <w:sz w:val="24"/>
              <w:szCs w:val="24"/>
              <w:highlight w:val="none"/>
              <w:lang w:val="en-US" w:eastAsia="zh-CN"/>
            </w:rPr>
          </w:pPr>
          <w:r>
            <w:rPr>
              <w:color w:val="auto"/>
              <w:highlight w:val="none"/>
            </w:rPr>
            <w:fldChar w:fldCharType="begin"/>
          </w:r>
          <w:r>
            <w:rPr>
              <w:color w:val="auto"/>
              <w:highlight w:val="none"/>
            </w:rPr>
            <w:instrText xml:space="preserve"> HYPERLINK \l "_Toc17117" </w:instrText>
          </w:r>
          <w:r>
            <w:rPr>
              <w:color w:val="auto"/>
              <w:highlight w:val="none"/>
            </w:rPr>
            <w:fldChar w:fldCharType="separate"/>
          </w:r>
          <w:r>
            <w:rPr>
              <w:rFonts w:hint="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、商务要求</w:t>
          </w:r>
          <w:r>
            <w:rPr>
              <w:rFonts w:hint="eastAsia" w:asciiTheme="minorEastAsia" w:hAnsiTheme="minorEastAsia" w:eastAsiaTheme="minorEastAsia" w:cstheme="minorEastAsia"/>
              <w:color w:val="auto"/>
              <w:sz w:val="24"/>
              <w:szCs w:val="24"/>
              <w:highlight w:val="none"/>
            </w:rPr>
            <w:tab/>
          </w:r>
          <w:r>
            <w:rPr>
              <w:rFonts w:hint="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fldChar w:fldCharType="end"/>
          </w:r>
        </w:p>
        <w:p w14:paraId="11D3D75D">
          <w:pPr>
            <w:spacing w:line="60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end"/>
          </w:r>
          <w:r>
            <w:rPr>
              <w:rFonts w:hint="eastAsia" w:cstheme="minorEastAsia"/>
              <w:color w:val="auto"/>
              <w:sz w:val="24"/>
              <w:szCs w:val="24"/>
              <w:highlight w:val="none"/>
              <w:lang w:val="en-US" w:eastAsia="zh-CN"/>
            </w:rPr>
            <w:t xml:space="preserve">   </w:t>
          </w:r>
          <w:r>
            <w:rPr>
              <w:color w:val="auto"/>
              <w:highlight w:val="none"/>
            </w:rPr>
            <w:fldChar w:fldCharType="begin"/>
          </w:r>
          <w:r>
            <w:rPr>
              <w:color w:val="auto"/>
              <w:highlight w:val="none"/>
            </w:rPr>
            <w:instrText xml:space="preserve"> HYPERLINK \l "_Toc17117" </w:instrText>
          </w:r>
          <w:r>
            <w:rPr>
              <w:color w:val="auto"/>
              <w:highlight w:val="none"/>
            </w:rPr>
            <w:fldChar w:fldCharType="separate"/>
          </w:r>
          <w:r>
            <w:rPr>
              <w:rFonts w:hint="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、其他事项</w:t>
          </w:r>
          <w:r>
            <w:rPr>
              <w:rFonts w:hint="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fldChar w:fldCharType="end"/>
          </w:r>
          <w:r>
            <w:rPr>
              <w:rFonts w:hint="eastAsia" w:cstheme="minorEastAsia"/>
              <w:color w:val="auto"/>
              <w:sz w:val="24"/>
              <w:szCs w:val="24"/>
              <w:highlight w:val="none"/>
              <w:lang w:val="en-US" w:eastAsia="zh-CN"/>
            </w:rPr>
            <w:t>2</w:t>
          </w:r>
        </w:p>
      </w:sdtContent>
    </w:sdt>
    <w:p w14:paraId="09409171">
      <w:pPr>
        <w:rPr>
          <w:color w:val="auto"/>
          <w:highlight w:val="none"/>
        </w:rPr>
      </w:pPr>
    </w:p>
    <w:p w14:paraId="19E62A51">
      <w:pPr>
        <w:rPr>
          <w:color w:val="auto"/>
          <w:highlight w:val="none"/>
        </w:rPr>
        <w:sectPr>
          <w:footerReference r:id="rId8" w:type="first"/>
          <w:footerReference r:id="rId6" w:type="default"/>
          <w:headerReference r:id="rId5" w:type="even"/>
          <w:footerReference r:id="rId7" w:type="even"/>
          <w:pgSz w:w="11906" w:h="16838"/>
          <w:pgMar w:top="1440" w:right="1752" w:bottom="1440" w:left="1752" w:header="851" w:footer="992" w:gutter="0"/>
          <w:cols w:space="720" w:num="1"/>
          <w:titlePg/>
          <w:docGrid w:type="lines" w:linePitch="312" w:charSpace="0"/>
        </w:sectPr>
      </w:pPr>
    </w:p>
    <w:p w14:paraId="3A82BFAF">
      <w:pPr>
        <w:pStyle w:val="5"/>
        <w:numPr>
          <w:ilvl w:val="0"/>
          <w:numId w:val="3"/>
        </w:numPr>
        <w:rPr>
          <w:rFonts w:hint="eastAsia"/>
          <w:color w:val="auto"/>
          <w:highlight w:val="none"/>
        </w:rPr>
      </w:pPr>
      <w:r>
        <w:rPr>
          <w:rFonts w:hint="eastAsia"/>
          <w:color w:val="auto"/>
          <w:highlight w:val="none"/>
        </w:rPr>
        <w:t xml:space="preserve"> 投标邀请</w:t>
      </w:r>
      <w:bookmarkEnd w:id="9"/>
      <w:bookmarkEnd w:id="10"/>
    </w:p>
    <w:p w14:paraId="422D28FC">
      <w:pPr>
        <w:ind w:firstLine="0" w:firstLineChars="0"/>
        <w:jc w:val="center"/>
        <w:rPr>
          <w:rFonts w:hint="eastAsia"/>
          <w:b/>
          <w:bCs w:val="0"/>
          <w:color w:val="auto"/>
          <w:spacing w:val="-11"/>
          <w:sz w:val="30"/>
          <w:szCs w:val="30"/>
          <w:highlight w:val="none"/>
          <w:lang w:val="en-US" w:eastAsia="zh-CN"/>
        </w:rPr>
      </w:pPr>
      <w:r>
        <w:rPr>
          <w:rFonts w:hint="eastAsia" w:eastAsiaTheme="minorEastAsia"/>
          <w:b/>
          <w:bCs w:val="0"/>
          <w:color w:val="auto"/>
          <w:spacing w:val="-11"/>
          <w:sz w:val="30"/>
          <w:szCs w:val="30"/>
          <w:highlight w:val="none"/>
        </w:rPr>
        <w:t>国家税务总局来宾市兴宾区税务局</w:t>
      </w:r>
      <w:r>
        <w:rPr>
          <w:rFonts w:hint="eastAsia"/>
          <w:b/>
          <w:bCs w:val="0"/>
          <w:color w:val="auto"/>
          <w:spacing w:val="-11"/>
          <w:sz w:val="30"/>
          <w:szCs w:val="30"/>
          <w:highlight w:val="none"/>
          <w:lang w:val="en-US" w:eastAsia="zh-CN"/>
        </w:rPr>
        <w:t>2024年非执法类辅助性服务采购项目</w:t>
      </w:r>
    </w:p>
    <w:p w14:paraId="16641C42">
      <w:pPr>
        <w:ind w:firstLine="0" w:firstLineChars="0"/>
        <w:jc w:val="center"/>
        <w:rPr>
          <w:rFonts w:hint="eastAsia" w:eastAsiaTheme="minorEastAsia"/>
          <w:b/>
          <w:bCs w:val="0"/>
          <w:color w:val="auto"/>
          <w:spacing w:val="-11"/>
          <w:sz w:val="30"/>
          <w:szCs w:val="30"/>
          <w:highlight w:val="none"/>
          <w:lang w:eastAsia="zh-CN"/>
        </w:rPr>
      </w:pPr>
      <w:r>
        <w:rPr>
          <w:rFonts w:hint="eastAsia"/>
          <w:b/>
          <w:bCs w:val="0"/>
          <w:color w:val="auto"/>
          <w:spacing w:val="-11"/>
          <w:sz w:val="30"/>
          <w:szCs w:val="30"/>
          <w:highlight w:val="none"/>
          <w:lang w:val="en-US" w:eastAsia="zh-CN"/>
        </w:rPr>
        <w:t>（</w:t>
      </w:r>
      <w:r>
        <w:rPr>
          <w:rFonts w:hint="eastAsia" w:eastAsiaTheme="minorEastAsia"/>
          <w:b/>
          <w:bCs w:val="0"/>
          <w:color w:val="auto"/>
          <w:spacing w:val="-11"/>
          <w:sz w:val="30"/>
          <w:szCs w:val="30"/>
          <w:highlight w:val="none"/>
        </w:rPr>
        <w:t>项目编号：</w:t>
      </w:r>
      <w:r>
        <w:rPr>
          <w:rFonts w:hint="eastAsia"/>
          <w:b/>
          <w:bCs w:val="0"/>
          <w:color w:val="auto"/>
          <w:spacing w:val="-11"/>
          <w:sz w:val="30"/>
          <w:szCs w:val="30"/>
          <w:highlight w:val="none"/>
          <w:lang w:eastAsia="zh-CN"/>
        </w:rPr>
        <w:t>GX2024-DLGK-C</w:t>
      </w:r>
      <w:r>
        <w:rPr>
          <w:rFonts w:hint="eastAsia"/>
          <w:b/>
          <w:bCs w:val="0"/>
          <w:color w:val="auto"/>
          <w:spacing w:val="-11"/>
          <w:sz w:val="30"/>
          <w:szCs w:val="30"/>
          <w:highlight w:val="none"/>
          <w:lang w:val="en-US" w:eastAsia="zh-CN"/>
        </w:rPr>
        <w:t>0052</w:t>
      </w:r>
      <w:r>
        <w:rPr>
          <w:rFonts w:hint="eastAsia"/>
          <w:b/>
          <w:bCs w:val="0"/>
          <w:color w:val="auto"/>
          <w:spacing w:val="-11"/>
          <w:sz w:val="30"/>
          <w:szCs w:val="30"/>
          <w:highlight w:val="none"/>
          <w:lang w:eastAsia="zh-CN"/>
        </w:rPr>
        <w:t>-B00</w:t>
      </w:r>
      <w:r>
        <w:rPr>
          <w:rFonts w:hint="eastAsia"/>
          <w:b/>
          <w:bCs w:val="0"/>
          <w:color w:val="auto"/>
          <w:spacing w:val="-11"/>
          <w:sz w:val="30"/>
          <w:szCs w:val="30"/>
          <w:highlight w:val="none"/>
          <w:lang w:val="en-US" w:eastAsia="zh-CN"/>
        </w:rPr>
        <w:t>）</w:t>
      </w:r>
    </w:p>
    <w:p w14:paraId="266EFEFF">
      <w:pPr>
        <w:ind w:firstLine="0" w:firstLineChars="0"/>
        <w:jc w:val="center"/>
        <w:rPr>
          <w:rFonts w:hint="eastAsia" w:eastAsiaTheme="minorEastAsia"/>
          <w:b/>
          <w:bCs w:val="0"/>
          <w:color w:val="auto"/>
          <w:spacing w:val="-11"/>
          <w:sz w:val="30"/>
          <w:szCs w:val="30"/>
          <w:highlight w:val="none"/>
          <w:lang w:eastAsia="zh-CN"/>
        </w:rPr>
      </w:pPr>
      <w:r>
        <w:rPr>
          <w:rFonts w:hint="eastAsia" w:eastAsiaTheme="minorEastAsia"/>
          <w:b/>
          <w:bCs w:val="0"/>
          <w:color w:val="auto"/>
          <w:spacing w:val="-11"/>
          <w:sz w:val="30"/>
          <w:szCs w:val="30"/>
          <w:highlight w:val="none"/>
          <w:lang w:eastAsia="zh-CN"/>
        </w:rPr>
        <w:t>招标公告</w:t>
      </w:r>
    </w:p>
    <w:p w14:paraId="79E3168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jc w:val="both"/>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项目概况</w:t>
      </w:r>
      <w:r>
        <w:rPr>
          <w:rFonts w:hint="eastAsia" w:cstheme="minorEastAsia"/>
          <w:color w:val="auto"/>
          <w:szCs w:val="21"/>
          <w:highlight w:val="none"/>
          <w:lang w:eastAsia="zh-CN"/>
        </w:rPr>
        <w:t>：</w:t>
      </w:r>
    </w:p>
    <w:p w14:paraId="4982F53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cstheme="minorEastAsia"/>
          <w:color w:val="auto"/>
          <w:szCs w:val="21"/>
          <w:highlight w:val="none"/>
          <w:lang w:eastAsia="zh-CN"/>
        </w:rPr>
        <w:t>国家税务总局来宾市兴宾区税务局2024年非执法类辅助性服务采购项目</w:t>
      </w:r>
      <w:r>
        <w:rPr>
          <w:rFonts w:hint="eastAsia" w:asciiTheme="minorEastAsia" w:hAnsiTheme="minorEastAsia" w:eastAsiaTheme="minorEastAsia" w:cstheme="minorEastAsia"/>
          <w:color w:val="auto"/>
          <w:szCs w:val="21"/>
          <w:highlight w:val="none"/>
        </w:rPr>
        <w:t>招标项目的潜在投标人应在广西众联工程项目管理有限公司财务部（南宁市江南区白沙大道53号松宇时代14A层）获取招标文件，并于</w:t>
      </w:r>
      <w:r>
        <w:rPr>
          <w:rFonts w:hint="eastAsia"/>
          <w:color w:val="auto"/>
          <w:highlight w:val="none"/>
        </w:rPr>
        <w:t>2024年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rPr>
        <w:t>30分（北京时间）前递交投标文件。</w:t>
      </w:r>
    </w:p>
    <w:p w14:paraId="6BFFC1AF">
      <w:pPr>
        <w:rPr>
          <w:color w:val="auto"/>
          <w:highlight w:val="none"/>
        </w:rPr>
      </w:pPr>
    </w:p>
    <w:p w14:paraId="4C594402">
      <w:pPr>
        <w:jc w:val="left"/>
        <w:rPr>
          <w:color w:val="auto"/>
          <w:highlight w:val="none"/>
        </w:rPr>
      </w:pPr>
      <w:bookmarkStart w:id="11" w:name="_Toc18241"/>
      <w:bookmarkStart w:id="12" w:name="_Toc13344"/>
      <w:bookmarkStart w:id="13" w:name="_Toc14301"/>
      <w:r>
        <w:rPr>
          <w:rFonts w:hint="eastAsia"/>
          <w:color w:val="auto"/>
          <w:highlight w:val="none"/>
        </w:rPr>
        <w:t>一、项目基本情况</w:t>
      </w:r>
      <w:bookmarkEnd w:id="11"/>
      <w:bookmarkEnd w:id="12"/>
      <w:bookmarkEnd w:id="13"/>
    </w:p>
    <w:p w14:paraId="3641BD7A">
      <w:pPr>
        <w:ind w:firstLine="420" w:firstLineChars="200"/>
        <w:jc w:val="left"/>
        <w:rPr>
          <w:rFonts w:hint="eastAsia" w:eastAsiaTheme="minorEastAsia"/>
          <w:color w:val="auto"/>
          <w:highlight w:val="none"/>
          <w:lang w:eastAsia="zh-CN"/>
        </w:rPr>
      </w:pPr>
      <w:r>
        <w:rPr>
          <w:rFonts w:hint="eastAsia"/>
          <w:color w:val="auto"/>
          <w:highlight w:val="none"/>
        </w:rPr>
        <w:t>项目编号：</w:t>
      </w:r>
      <w:r>
        <w:rPr>
          <w:rFonts w:hint="eastAsia" w:cstheme="minorEastAsia"/>
          <w:b w:val="0"/>
          <w:color w:val="auto"/>
          <w:sz w:val="21"/>
          <w:szCs w:val="21"/>
          <w:highlight w:val="none"/>
          <w:lang w:eastAsia="zh-CN"/>
        </w:rPr>
        <w:t>GX2024-DLGK-C</w:t>
      </w:r>
      <w:r>
        <w:rPr>
          <w:rFonts w:hint="eastAsia" w:cstheme="minorEastAsia"/>
          <w:b w:val="0"/>
          <w:color w:val="auto"/>
          <w:sz w:val="21"/>
          <w:szCs w:val="21"/>
          <w:highlight w:val="none"/>
          <w:lang w:val="en-US" w:eastAsia="zh-CN"/>
        </w:rPr>
        <w:t>0052</w:t>
      </w:r>
      <w:r>
        <w:rPr>
          <w:rFonts w:hint="eastAsia" w:cstheme="minorEastAsia"/>
          <w:b w:val="0"/>
          <w:color w:val="auto"/>
          <w:sz w:val="21"/>
          <w:szCs w:val="21"/>
          <w:highlight w:val="none"/>
          <w:lang w:eastAsia="zh-CN"/>
        </w:rPr>
        <w:t>-B00</w:t>
      </w:r>
    </w:p>
    <w:p w14:paraId="18323E1F">
      <w:pPr>
        <w:ind w:firstLine="420" w:firstLineChars="200"/>
        <w:jc w:val="left"/>
        <w:rPr>
          <w:rFonts w:hint="eastAsia" w:eastAsiaTheme="minorEastAsia"/>
          <w:color w:val="auto"/>
          <w:highlight w:val="none"/>
          <w:lang w:eastAsia="zh-CN"/>
        </w:rPr>
      </w:pPr>
      <w:r>
        <w:rPr>
          <w:rFonts w:hint="eastAsia"/>
          <w:color w:val="auto"/>
          <w:highlight w:val="none"/>
        </w:rPr>
        <w:t>项目名称：</w:t>
      </w:r>
      <w:r>
        <w:rPr>
          <w:rFonts w:hint="eastAsia"/>
          <w:color w:val="auto"/>
          <w:highlight w:val="none"/>
          <w:lang w:eastAsia="zh-CN"/>
        </w:rPr>
        <w:t>国家税务总局来宾市兴宾区税务局2024年非执法类辅助性服务采购项目</w:t>
      </w:r>
    </w:p>
    <w:p w14:paraId="5AE9561C">
      <w:pPr>
        <w:ind w:firstLine="420" w:firstLineChars="200"/>
        <w:jc w:val="left"/>
        <w:rPr>
          <w:color w:val="auto"/>
          <w:highlight w:val="none"/>
        </w:rPr>
      </w:pPr>
      <w:r>
        <w:rPr>
          <w:rFonts w:hint="eastAsia"/>
          <w:color w:val="auto"/>
          <w:highlight w:val="none"/>
        </w:rPr>
        <w:t>预算金额：人民币（大写）</w:t>
      </w:r>
      <w:r>
        <w:rPr>
          <w:rFonts w:hint="eastAsia"/>
          <w:color w:val="auto"/>
          <w:highlight w:val="none"/>
          <w:lang w:val="en-US" w:eastAsia="zh-CN"/>
        </w:rPr>
        <w:t>贰佰捌拾玖万玖仟壹佰元整</w:t>
      </w:r>
      <w:r>
        <w:rPr>
          <w:rFonts w:hint="eastAsia"/>
          <w:color w:val="auto"/>
          <w:highlight w:val="none"/>
        </w:rPr>
        <w:t>（¥28991</w:t>
      </w:r>
      <w:r>
        <w:rPr>
          <w:rFonts w:hint="eastAsia"/>
          <w:color w:val="auto"/>
          <w:highlight w:val="none"/>
          <w:lang w:val="en-US" w:eastAsia="zh-CN"/>
        </w:rPr>
        <w:t>00.00</w:t>
      </w:r>
      <w:r>
        <w:rPr>
          <w:rFonts w:hint="eastAsia"/>
          <w:color w:val="auto"/>
          <w:highlight w:val="none"/>
        </w:rPr>
        <w:t>元）</w:t>
      </w:r>
    </w:p>
    <w:p w14:paraId="46F43414">
      <w:pPr>
        <w:ind w:firstLine="420" w:firstLineChars="200"/>
        <w:jc w:val="left"/>
        <w:rPr>
          <w:color w:val="auto"/>
          <w:highlight w:val="none"/>
        </w:rPr>
      </w:pPr>
      <w:r>
        <w:rPr>
          <w:rFonts w:hint="eastAsia"/>
          <w:color w:val="auto"/>
          <w:highlight w:val="none"/>
        </w:rPr>
        <w:t>最高限价：人民币（大写）</w:t>
      </w:r>
      <w:r>
        <w:rPr>
          <w:rFonts w:hint="eastAsia"/>
          <w:color w:val="auto"/>
          <w:highlight w:val="none"/>
          <w:lang w:val="en-US" w:eastAsia="zh-CN"/>
        </w:rPr>
        <w:t>贰佰捌拾玖万玖仟壹佰元整</w:t>
      </w:r>
      <w:r>
        <w:rPr>
          <w:rFonts w:hint="eastAsia"/>
          <w:color w:val="auto"/>
          <w:highlight w:val="none"/>
        </w:rPr>
        <w:t>（¥28991</w:t>
      </w:r>
      <w:r>
        <w:rPr>
          <w:rFonts w:hint="eastAsia"/>
          <w:color w:val="auto"/>
          <w:highlight w:val="none"/>
          <w:lang w:val="en-US" w:eastAsia="zh-CN"/>
        </w:rPr>
        <w:t>00.00</w:t>
      </w:r>
      <w:r>
        <w:rPr>
          <w:rFonts w:hint="eastAsia"/>
          <w:color w:val="auto"/>
          <w:highlight w:val="none"/>
        </w:rPr>
        <w:t>元）</w:t>
      </w:r>
    </w:p>
    <w:p w14:paraId="63466F83">
      <w:pPr>
        <w:ind w:firstLine="420" w:firstLineChars="200"/>
        <w:jc w:val="left"/>
        <w:rPr>
          <w:color w:val="auto"/>
          <w:highlight w:val="none"/>
          <w:u w:val="single"/>
        </w:rPr>
      </w:pPr>
      <w:r>
        <w:rPr>
          <w:rFonts w:hint="eastAsia"/>
          <w:color w:val="auto"/>
          <w:highlight w:val="none"/>
        </w:rPr>
        <w:t>采购需求：</w:t>
      </w:r>
      <w:r>
        <w:rPr>
          <w:rFonts w:hint="eastAsia"/>
          <w:color w:val="auto"/>
          <w:highlight w:val="none"/>
          <w:lang w:eastAsia="zh-CN"/>
        </w:rPr>
        <w:t>国家税务总局来宾市兴宾区税务局2024年非执法类办税服务厅辅助服务、非执法类税费管理辅助服务、非执法类综合管理服务、机关后勤服务、档案管理服务</w:t>
      </w:r>
      <w:r>
        <w:rPr>
          <w:rFonts w:hint="eastAsia"/>
          <w:snapToGrid w:val="0"/>
          <w:color w:val="auto"/>
          <w:highlight w:val="none"/>
        </w:rPr>
        <w:t>等。</w:t>
      </w:r>
      <w:r>
        <w:rPr>
          <w:rFonts w:hint="eastAsia"/>
          <w:color w:val="auto"/>
          <w:highlight w:val="none"/>
        </w:rPr>
        <w:t>具体要求详见本项目招标文件。</w:t>
      </w:r>
    </w:p>
    <w:p w14:paraId="3D2D6344">
      <w:pPr>
        <w:ind w:firstLine="420" w:firstLineChars="200"/>
        <w:jc w:val="left"/>
        <w:rPr>
          <w:color w:val="auto"/>
          <w:highlight w:val="none"/>
          <w:u w:val="single"/>
        </w:rPr>
      </w:pPr>
      <w:r>
        <w:rPr>
          <w:rFonts w:hint="eastAsia"/>
          <w:color w:val="auto"/>
          <w:highlight w:val="none"/>
        </w:rPr>
        <w:t>合同履行期限：</w:t>
      </w:r>
      <w:r>
        <w:rPr>
          <w:rFonts w:hint="eastAsia"/>
          <w:color w:val="auto"/>
          <w:highlight w:val="none"/>
          <w:lang w:val="en-US" w:eastAsia="zh-CN"/>
        </w:rPr>
        <w:t>1年</w:t>
      </w:r>
      <w:r>
        <w:rPr>
          <w:rFonts w:hint="eastAsia"/>
          <w:color w:val="auto"/>
          <w:highlight w:val="none"/>
        </w:rPr>
        <w:t>。</w:t>
      </w:r>
    </w:p>
    <w:p w14:paraId="733A52A1">
      <w:pPr>
        <w:ind w:firstLine="420" w:firstLineChars="200"/>
        <w:jc w:val="left"/>
        <w:rPr>
          <w:color w:val="auto"/>
          <w:highlight w:val="none"/>
        </w:rPr>
      </w:pPr>
      <w:r>
        <w:rPr>
          <w:rFonts w:hint="eastAsia"/>
          <w:color w:val="auto"/>
          <w:highlight w:val="none"/>
        </w:rPr>
        <w:t>本项目</w:t>
      </w:r>
      <w:r>
        <w:rPr>
          <w:rFonts w:hint="eastAsia"/>
          <w:color w:val="auto"/>
          <w:highlight w:val="none"/>
          <w:lang w:val="en-US" w:eastAsia="zh-CN"/>
        </w:rPr>
        <w:t>不</w:t>
      </w:r>
      <w:r>
        <w:rPr>
          <w:rFonts w:hint="eastAsia"/>
          <w:color w:val="auto"/>
          <w:highlight w:val="none"/>
        </w:rPr>
        <w:t>接受联合体投标。</w:t>
      </w:r>
    </w:p>
    <w:p w14:paraId="1808AE18">
      <w:pPr>
        <w:jc w:val="left"/>
        <w:rPr>
          <w:color w:val="auto"/>
          <w:highlight w:val="none"/>
        </w:rPr>
      </w:pPr>
      <w:bookmarkStart w:id="14" w:name="_Toc21893"/>
      <w:bookmarkStart w:id="15" w:name="_Toc9341"/>
      <w:bookmarkStart w:id="16" w:name="_Toc10172"/>
      <w:r>
        <w:rPr>
          <w:rFonts w:hint="eastAsia"/>
          <w:color w:val="auto"/>
          <w:highlight w:val="none"/>
          <w:lang w:eastAsia="zh-CN"/>
        </w:rPr>
        <w:t>二、</w:t>
      </w:r>
      <w:r>
        <w:rPr>
          <w:rFonts w:hint="eastAsia"/>
          <w:color w:val="auto"/>
          <w:highlight w:val="none"/>
        </w:rPr>
        <w:t>申请人的资格要求</w:t>
      </w:r>
      <w:bookmarkEnd w:id="14"/>
      <w:bookmarkEnd w:id="15"/>
      <w:bookmarkEnd w:id="16"/>
    </w:p>
    <w:p w14:paraId="38E00F42">
      <w:pPr>
        <w:ind w:firstLine="420" w:firstLineChars="200"/>
        <w:jc w:val="left"/>
        <w:rPr>
          <w:color w:val="auto"/>
          <w:highlight w:val="none"/>
        </w:rPr>
      </w:pPr>
      <w:r>
        <w:rPr>
          <w:rFonts w:hint="eastAsia"/>
          <w:color w:val="auto"/>
          <w:highlight w:val="none"/>
        </w:rPr>
        <w:t>1.本项目由符合国家有关法律法规规定、同时满足本项目资质要求、在中国境内的供应商参加投标。</w:t>
      </w:r>
    </w:p>
    <w:p w14:paraId="34987472">
      <w:pPr>
        <w:ind w:firstLine="420" w:firstLineChars="200"/>
        <w:jc w:val="left"/>
        <w:rPr>
          <w:color w:val="auto"/>
          <w:highlight w:val="none"/>
        </w:rPr>
      </w:pPr>
      <w:r>
        <w:rPr>
          <w:rFonts w:hint="eastAsia"/>
          <w:color w:val="auto"/>
          <w:highlight w:val="none"/>
        </w:rPr>
        <w:t>2.满足《中华人民共和国政府采购法》第二十二条规定。</w:t>
      </w:r>
    </w:p>
    <w:p w14:paraId="6E6C52ED">
      <w:pPr>
        <w:keepNext w:val="0"/>
        <w:keepLines w:val="0"/>
        <w:pageBreakBefore w:val="0"/>
        <w:kinsoku/>
        <w:wordWrap/>
        <w:overflowPunct/>
        <w:topLinePunct w:val="0"/>
        <w:autoSpaceDE/>
        <w:autoSpaceDN/>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color w:val="auto"/>
          <w:highlight w:val="none"/>
        </w:rPr>
        <w:t>3.落实政府采购政策需满足的资格要求：</w:t>
      </w:r>
      <w:r>
        <w:rPr>
          <w:rFonts w:hint="eastAsia" w:asciiTheme="minorEastAsia" w:hAnsiTheme="minorEastAsia" w:eastAsiaTheme="minorEastAsia" w:cstheme="minorEastAsia"/>
          <w:color w:val="auto"/>
          <w:sz w:val="21"/>
          <w:szCs w:val="21"/>
          <w:highlight w:val="none"/>
        </w:rPr>
        <w:t>本项目属于专门面向小</w:t>
      </w:r>
      <w:r>
        <w:rPr>
          <w:rFonts w:hint="eastAsia" w:cstheme="minorEastAsia"/>
          <w:color w:val="auto"/>
          <w:sz w:val="21"/>
          <w:szCs w:val="21"/>
          <w:highlight w:val="none"/>
          <w:lang w:val="en-US" w:eastAsia="zh-CN"/>
        </w:rPr>
        <w:t>微</w:t>
      </w:r>
      <w:r>
        <w:rPr>
          <w:rFonts w:hint="eastAsia" w:asciiTheme="minorEastAsia" w:hAnsiTheme="minorEastAsia" w:eastAsiaTheme="minorEastAsia" w:cstheme="minorEastAsia"/>
          <w:color w:val="auto"/>
          <w:sz w:val="21"/>
          <w:szCs w:val="21"/>
          <w:highlight w:val="none"/>
        </w:rPr>
        <w:t>企业采购的项目,供应商应为符合《政府采购促进中小企业发展管理办法》（财库﹝2020﹞46号）、《关于政府采购支持监狱企业发展有关问题的通知》(财库〔2014〕68号)、《关于促进残疾人就业政府采购政策的通知》(财库〔2017〕141号)等规定的条件的小微企业、或监狱企业、或残疾人福利性单位。即在本采购项目中（服务类），服务由小微企业承接（提供服务的人员为小微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14:paraId="2B9597F2">
      <w:pPr>
        <w:pStyle w:val="9"/>
        <w:ind w:firstLine="420" w:firstLineChars="200"/>
        <w:jc w:val="left"/>
        <w:rPr>
          <w:color w:val="auto"/>
          <w:highlight w:val="none"/>
        </w:rPr>
      </w:pPr>
      <w:r>
        <w:rPr>
          <w:rFonts w:hint="eastAsia"/>
          <w:color w:val="auto"/>
          <w:highlight w:val="none"/>
        </w:rPr>
        <w:t>本项目采购标的对应的中小企业划分标准所属行业为</w:t>
      </w:r>
      <w:r>
        <w:rPr>
          <w:rFonts w:hint="eastAsia"/>
          <w:color w:val="auto"/>
          <w:highlight w:val="none"/>
          <w:lang w:eastAsia="zh-CN"/>
        </w:rPr>
        <w:t>租赁和商务服务业</w:t>
      </w:r>
      <w:r>
        <w:rPr>
          <w:rFonts w:hint="eastAsia"/>
          <w:color w:val="auto"/>
          <w:highlight w:val="none"/>
        </w:rPr>
        <w:t>。</w:t>
      </w:r>
    </w:p>
    <w:p w14:paraId="090773C5">
      <w:pPr>
        <w:ind w:firstLine="420" w:firstLineChars="200"/>
        <w:jc w:val="left"/>
        <w:rPr>
          <w:i/>
          <w:iCs/>
          <w:color w:val="auto"/>
          <w:highlight w:val="none"/>
          <w:u w:val="single"/>
        </w:rPr>
      </w:pPr>
      <w:r>
        <w:rPr>
          <w:rFonts w:hint="eastAsia"/>
          <w:color w:val="auto"/>
          <w:highlight w:val="none"/>
        </w:rPr>
        <w:t>4.本项目的特定资格要求：无。</w:t>
      </w:r>
    </w:p>
    <w:p w14:paraId="5AB568FD">
      <w:pPr>
        <w:ind w:firstLine="420" w:firstLineChars="200"/>
        <w:jc w:val="left"/>
        <w:rPr>
          <w:color w:val="auto"/>
          <w:highlight w:val="none"/>
        </w:rPr>
      </w:pPr>
      <w:r>
        <w:rPr>
          <w:rFonts w:hint="eastAsia"/>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14:paraId="664D08AE">
      <w:pPr>
        <w:ind w:firstLine="420" w:firstLineChars="200"/>
        <w:jc w:val="left"/>
        <w:rPr>
          <w:color w:val="auto"/>
          <w:highlight w:val="none"/>
        </w:rPr>
      </w:pPr>
      <w:r>
        <w:rPr>
          <w:rFonts w:hint="eastAsia"/>
          <w:color w:val="auto"/>
          <w:highlight w:val="none"/>
        </w:rPr>
        <w:t>6.单位负责人为同一人或者存在直接控股、管理关系的不同供应商，不得参加同一合同项下的政府采购活动。</w:t>
      </w:r>
    </w:p>
    <w:p w14:paraId="15711A55">
      <w:pPr>
        <w:ind w:firstLine="420" w:firstLineChars="200"/>
        <w:jc w:val="left"/>
        <w:rPr>
          <w:color w:val="auto"/>
          <w:highlight w:val="none"/>
        </w:rPr>
      </w:pPr>
      <w:r>
        <w:rPr>
          <w:rFonts w:hint="eastAsia"/>
          <w:color w:val="auto"/>
          <w:highlight w:val="none"/>
        </w:rPr>
        <w:t>7.为本项目提供整体设计、规范编制或者项目管理、监理、检测等服务的供应商，不得再参加本次政府采购活动。</w:t>
      </w:r>
    </w:p>
    <w:p w14:paraId="7EE05E6E">
      <w:pPr>
        <w:jc w:val="left"/>
        <w:rPr>
          <w:color w:val="auto"/>
          <w:highlight w:val="none"/>
        </w:rPr>
      </w:pPr>
      <w:bookmarkStart w:id="17" w:name="_Toc1928"/>
      <w:bookmarkStart w:id="18" w:name="_Toc2710"/>
      <w:bookmarkStart w:id="19" w:name="_Toc3961"/>
      <w:r>
        <w:rPr>
          <w:rFonts w:hint="eastAsia"/>
          <w:color w:val="auto"/>
          <w:highlight w:val="none"/>
        </w:rPr>
        <w:t>三、获取招标文件</w:t>
      </w:r>
      <w:bookmarkEnd w:id="17"/>
      <w:bookmarkEnd w:id="18"/>
      <w:bookmarkEnd w:id="19"/>
    </w:p>
    <w:p w14:paraId="069C5024">
      <w:pPr>
        <w:ind w:firstLine="420" w:firstLineChars="200"/>
        <w:jc w:val="left"/>
        <w:rPr>
          <w:color w:val="auto"/>
          <w:highlight w:val="none"/>
        </w:rPr>
      </w:pPr>
      <w:r>
        <w:rPr>
          <w:rFonts w:hint="eastAsia"/>
          <w:color w:val="auto"/>
          <w:highlight w:val="none"/>
        </w:rPr>
        <w:t>1.时间：2024年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25</w:t>
      </w:r>
      <w:r>
        <w:rPr>
          <w:rFonts w:hint="eastAsia"/>
          <w:color w:val="auto"/>
          <w:highlight w:val="none"/>
        </w:rPr>
        <w:t>日至2024年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iCs/>
          <w:color w:val="auto"/>
          <w:highlight w:val="none"/>
        </w:rPr>
        <w:t>（提供期限自本公告发布之日起不得少于5个工作日），</w:t>
      </w:r>
      <w:r>
        <w:rPr>
          <w:rFonts w:hint="eastAsia"/>
          <w:color w:val="auto"/>
          <w:highlight w:val="none"/>
        </w:rPr>
        <w:t>每天上午8:30至12:00，下午14:30至17:30（北京时间，法定节假日除外）。</w:t>
      </w:r>
    </w:p>
    <w:p w14:paraId="210D3A32">
      <w:pPr>
        <w:ind w:firstLine="420" w:firstLineChars="200"/>
        <w:jc w:val="left"/>
        <w:rPr>
          <w:color w:val="auto"/>
          <w:highlight w:val="none"/>
          <w:u w:val="single"/>
        </w:rPr>
      </w:pPr>
      <w:r>
        <w:rPr>
          <w:rFonts w:hint="eastAsia"/>
          <w:color w:val="auto"/>
          <w:highlight w:val="none"/>
        </w:rPr>
        <w:t>2.地点：广西众联工程项目管理有限公司财务部（南宁市江南区白沙大道53号松宇时代14A层）。</w:t>
      </w:r>
    </w:p>
    <w:p w14:paraId="7F89E7D1">
      <w:pPr>
        <w:ind w:firstLine="420" w:firstLineChars="200"/>
        <w:jc w:val="left"/>
        <w:rPr>
          <w:color w:val="auto"/>
          <w:highlight w:val="none"/>
        </w:rPr>
      </w:pPr>
      <w:r>
        <w:rPr>
          <w:rFonts w:hint="eastAsia"/>
          <w:color w:val="auto"/>
          <w:highlight w:val="none"/>
        </w:rPr>
        <w:t>3.方式（可以采用以下方式之一获取招标文件）：①现场购买：供应商无需携带报名资料，到广西众联工程项目管理有限公司财务部获取招标文件，付款方式只接受现金付款或者微信付款、支付宝付款，不接受银行卡刷卡支付。②电子邮件方式：</w:t>
      </w:r>
      <w:r>
        <w:rPr>
          <w:color w:val="auto"/>
          <w:highlight w:val="none"/>
        </w:rPr>
        <w:fldChar w:fldCharType="begin"/>
      </w:r>
      <w:r>
        <w:rPr>
          <w:color w:val="auto"/>
          <w:highlight w:val="none"/>
        </w:rPr>
        <w:instrText xml:space="preserve"> HYPERLINK "mailto:供应商需于招标文件获取时间内将招标文件工本费（只接受公对公转账，不接受私人账号转账，并备注项目编号）转账底单（并附上项目名称、项目编号、收件人姓名、联系电话、收件地址、开票信息）扫描发邮件至604039546@qq.com邮箱，代理机构查收后当日向供应商发送获取文件登记表及电子版招标文件并办理纸质版招标文件邮寄（邮费到付）事宜" </w:instrText>
      </w:r>
      <w:r>
        <w:rPr>
          <w:color w:val="auto"/>
          <w:highlight w:val="none"/>
        </w:rPr>
        <w:fldChar w:fldCharType="separate"/>
      </w:r>
      <w:r>
        <w:rPr>
          <w:rStyle w:val="23"/>
          <w:rFonts w:hint="eastAsia" w:ascii="宋体" w:hAnsi="宋体" w:cs="宋体"/>
          <w:color w:val="auto"/>
          <w:highlight w:val="none"/>
          <w:u w:val="none"/>
        </w:rPr>
        <w:t>供应商需于招标文件获取时间内将招标文件工本费（只接受公对公转账，不接受私人账号转账，并备注项目编号）转账底单（并附上项目名称、项目编号、收件人姓名、联系电话、收件地址、开票信息）扫描发邮件至</w:t>
      </w:r>
      <w:r>
        <w:rPr>
          <w:rStyle w:val="23"/>
          <w:rFonts w:hint="eastAsia" w:ascii="宋体" w:hAnsi="宋体" w:cs="宋体"/>
          <w:color w:val="auto"/>
          <w:highlight w:val="none"/>
          <w:u w:val="none"/>
          <w:lang w:eastAsia="zh-CN"/>
        </w:rPr>
        <w:t>zhonglianxmgl@163.com</w:t>
      </w:r>
      <w:r>
        <w:rPr>
          <w:rStyle w:val="23"/>
          <w:rFonts w:hint="eastAsia" w:ascii="宋体" w:hAnsi="宋体" w:cs="宋体"/>
          <w:color w:val="auto"/>
          <w:highlight w:val="none"/>
          <w:u w:val="none"/>
        </w:rPr>
        <w:t>邮箱，代理机构查收后当日向供应商发送获取文件登记表及电子版招标文件并办理纸质版招标文件邮寄（邮费到付）事宜</w:t>
      </w:r>
      <w:r>
        <w:rPr>
          <w:rStyle w:val="23"/>
          <w:rFonts w:hint="eastAsia" w:ascii="宋体" w:hAnsi="宋体" w:cs="宋体"/>
          <w:color w:val="auto"/>
          <w:highlight w:val="none"/>
          <w:u w:val="none"/>
        </w:rPr>
        <w:fldChar w:fldCharType="end"/>
      </w:r>
      <w:r>
        <w:rPr>
          <w:rFonts w:hint="eastAsia"/>
          <w:color w:val="auto"/>
          <w:highlight w:val="none"/>
        </w:rPr>
        <w:t>（供应商未提供联系方式，由此造成供应商无法按时获取纸质版招标文件的，责任由供应商承担）。</w:t>
      </w:r>
    </w:p>
    <w:p w14:paraId="735B645B">
      <w:pPr>
        <w:ind w:firstLine="420" w:firstLineChars="200"/>
        <w:jc w:val="left"/>
        <w:rPr>
          <w:color w:val="auto"/>
          <w:highlight w:val="none"/>
        </w:rPr>
      </w:pPr>
      <w:r>
        <w:rPr>
          <w:rFonts w:hint="eastAsia"/>
          <w:color w:val="auto"/>
          <w:highlight w:val="none"/>
        </w:rPr>
        <w:t>收款人户名：广西众联工程项目管理有限公司</w:t>
      </w:r>
    </w:p>
    <w:p w14:paraId="7ADA7F4F">
      <w:pPr>
        <w:ind w:firstLine="420" w:firstLineChars="200"/>
        <w:jc w:val="left"/>
        <w:rPr>
          <w:color w:val="auto"/>
          <w:highlight w:val="none"/>
        </w:rPr>
      </w:pPr>
      <w:r>
        <w:rPr>
          <w:rFonts w:hint="eastAsia"/>
          <w:color w:val="auto"/>
          <w:highlight w:val="none"/>
        </w:rPr>
        <w:t>开户银行：中国光大银行股份有限公司南宁民主支行</w:t>
      </w:r>
    </w:p>
    <w:p w14:paraId="26C31C22">
      <w:pPr>
        <w:ind w:firstLine="420" w:firstLineChars="200"/>
        <w:jc w:val="left"/>
        <w:rPr>
          <w:color w:val="auto"/>
          <w:highlight w:val="none"/>
        </w:rPr>
      </w:pPr>
      <w:r>
        <w:rPr>
          <w:rFonts w:hint="eastAsia"/>
          <w:color w:val="auto"/>
          <w:highlight w:val="none"/>
        </w:rPr>
        <w:t>银行账号：78900188000167866</w:t>
      </w:r>
    </w:p>
    <w:p w14:paraId="714C09D6">
      <w:pPr>
        <w:ind w:firstLine="420" w:firstLineChars="200"/>
        <w:jc w:val="left"/>
        <w:rPr>
          <w:color w:val="auto"/>
          <w:highlight w:val="none"/>
        </w:rPr>
      </w:pPr>
      <w:r>
        <w:rPr>
          <w:rFonts w:hint="eastAsia"/>
          <w:color w:val="auto"/>
          <w:highlight w:val="none"/>
        </w:rPr>
        <w:t>4.售价：¥300.00元，本公告包含的招标文件售价总和。</w:t>
      </w:r>
    </w:p>
    <w:p w14:paraId="5EB6ED35">
      <w:pPr>
        <w:jc w:val="left"/>
        <w:rPr>
          <w:color w:val="auto"/>
          <w:highlight w:val="none"/>
        </w:rPr>
      </w:pPr>
      <w:bookmarkStart w:id="20" w:name="_Toc18825"/>
      <w:bookmarkStart w:id="21" w:name="_Toc9830"/>
      <w:bookmarkStart w:id="22" w:name="_Toc7704"/>
      <w:r>
        <w:rPr>
          <w:rFonts w:hint="eastAsia"/>
          <w:color w:val="auto"/>
          <w:highlight w:val="none"/>
        </w:rPr>
        <w:t>四、提交投标文件截止时间、开标时间和地点</w:t>
      </w:r>
      <w:bookmarkEnd w:id="20"/>
      <w:bookmarkEnd w:id="21"/>
      <w:bookmarkEnd w:id="22"/>
    </w:p>
    <w:p w14:paraId="381904DA">
      <w:pPr>
        <w:ind w:firstLine="420" w:firstLineChars="200"/>
        <w:jc w:val="left"/>
        <w:rPr>
          <w:color w:val="auto"/>
          <w:highlight w:val="none"/>
        </w:rPr>
      </w:pPr>
      <w:r>
        <w:rPr>
          <w:rFonts w:hint="eastAsia"/>
          <w:color w:val="auto"/>
          <w:highlight w:val="none"/>
        </w:rPr>
        <w:t>1.投标文件递交截止时间及开标时间：2024年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15</w:t>
      </w:r>
      <w:r>
        <w:rPr>
          <w:rFonts w:hint="eastAsia"/>
          <w:color w:val="auto"/>
          <w:highlight w:val="none"/>
        </w:rPr>
        <w:t>日9时30分00秒（北京时间）。（注：投标文件递交起止时间：2024年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15</w:t>
      </w:r>
      <w:r>
        <w:rPr>
          <w:rFonts w:hint="eastAsia"/>
          <w:color w:val="auto"/>
          <w:highlight w:val="none"/>
        </w:rPr>
        <w:t>日8时30分00秒至9时30分00秒）（自招标文件开始发出之日起至投标人提交投标文件截止之日止，不得少于20日）</w:t>
      </w:r>
    </w:p>
    <w:p w14:paraId="51ADC684">
      <w:pPr>
        <w:ind w:firstLine="420" w:firstLineChars="200"/>
        <w:jc w:val="left"/>
        <w:rPr>
          <w:color w:val="auto"/>
          <w:highlight w:val="none"/>
        </w:rPr>
      </w:pPr>
      <w:r>
        <w:rPr>
          <w:rFonts w:hint="eastAsia"/>
          <w:color w:val="auto"/>
          <w:highlight w:val="none"/>
        </w:rPr>
        <w:t>2.地点：广西众联工程项目管理有限公司开标厅（南宁市江南区白沙大道53号松宇时代14层）；投标人应在投标文件递交截止时间前，将投标文件密封送达投标地点，未在规定时间内送达或未按照招标文件要求密封的投标文件，将予以拒收。</w:t>
      </w:r>
    </w:p>
    <w:p w14:paraId="7583B13D">
      <w:pPr>
        <w:jc w:val="left"/>
        <w:rPr>
          <w:color w:val="auto"/>
          <w:highlight w:val="none"/>
        </w:rPr>
      </w:pPr>
      <w:bookmarkStart w:id="23" w:name="_Toc18187"/>
      <w:bookmarkStart w:id="24" w:name="_Toc31266"/>
      <w:bookmarkStart w:id="25" w:name="_Toc6506"/>
      <w:r>
        <w:rPr>
          <w:rFonts w:hint="eastAsia"/>
          <w:color w:val="auto"/>
          <w:highlight w:val="none"/>
        </w:rPr>
        <w:t>五、公告期限</w:t>
      </w:r>
      <w:bookmarkEnd w:id="23"/>
      <w:bookmarkEnd w:id="24"/>
      <w:bookmarkEnd w:id="25"/>
    </w:p>
    <w:p w14:paraId="03B1E95E">
      <w:pPr>
        <w:ind w:firstLine="420" w:firstLineChars="200"/>
        <w:jc w:val="left"/>
        <w:rPr>
          <w:color w:val="auto"/>
          <w:highlight w:val="none"/>
        </w:rPr>
      </w:pPr>
      <w:r>
        <w:rPr>
          <w:rFonts w:hint="eastAsia"/>
          <w:color w:val="auto"/>
          <w:highlight w:val="none"/>
        </w:rPr>
        <w:t>自本公告发布之日起5个工作日。</w:t>
      </w:r>
    </w:p>
    <w:p w14:paraId="5EAC41DF">
      <w:pPr>
        <w:jc w:val="left"/>
        <w:rPr>
          <w:color w:val="auto"/>
          <w:highlight w:val="none"/>
        </w:rPr>
      </w:pPr>
      <w:bookmarkStart w:id="26" w:name="_Toc27794"/>
      <w:bookmarkStart w:id="27" w:name="_Toc8781"/>
      <w:bookmarkStart w:id="28" w:name="_Toc28413"/>
      <w:r>
        <w:rPr>
          <w:rFonts w:hint="eastAsia"/>
          <w:color w:val="auto"/>
          <w:highlight w:val="none"/>
        </w:rPr>
        <w:t>六、其他补充事宜</w:t>
      </w:r>
      <w:bookmarkEnd w:id="26"/>
      <w:bookmarkEnd w:id="27"/>
      <w:bookmarkEnd w:id="28"/>
    </w:p>
    <w:p w14:paraId="20955134">
      <w:pPr>
        <w:ind w:firstLine="420" w:firstLineChars="200"/>
        <w:jc w:val="left"/>
        <w:rPr>
          <w:color w:val="auto"/>
          <w:highlight w:val="none"/>
        </w:rPr>
      </w:pPr>
      <w:r>
        <w:rPr>
          <w:rFonts w:hint="eastAsia"/>
          <w:color w:val="auto"/>
          <w:highlight w:val="none"/>
        </w:rPr>
        <w:t>1.公告媒体：本招标公告在中国政府采购网（www.ccgp.gov.cn）、</w:t>
      </w:r>
      <w:r>
        <w:rPr>
          <w:rFonts w:hint="eastAsia" w:ascii="宋体" w:hAnsi="宋体" w:cs="宋体"/>
          <w:color w:val="auto"/>
          <w:highlight w:val="none"/>
          <w:lang w:eastAsia="zh-CN"/>
        </w:rPr>
        <w:t>国家税务总局广西壮族自治区税务局来宾频道（https://guangxi.chinatax.gov.cn/laibin）</w:t>
      </w:r>
      <w:r>
        <w:rPr>
          <w:rFonts w:hint="eastAsia"/>
          <w:color w:val="auto"/>
          <w:highlight w:val="none"/>
        </w:rPr>
        <w:t>、广西众联工程项目管理有限公司网站（</w:t>
      </w:r>
      <w:r>
        <w:rPr>
          <w:rFonts w:hint="eastAsia"/>
          <w:color w:val="auto"/>
          <w:highlight w:val="none"/>
          <w:lang w:eastAsia="zh-CN"/>
        </w:rPr>
        <w:t>www.gxzhonglian.cn</w:t>
      </w:r>
      <w:r>
        <w:rPr>
          <w:rFonts w:hint="eastAsia"/>
          <w:color w:val="auto"/>
          <w:highlight w:val="none"/>
        </w:rPr>
        <w:t>）上发布。</w:t>
      </w:r>
    </w:p>
    <w:p w14:paraId="479CF671">
      <w:pPr>
        <w:ind w:firstLine="420" w:firstLineChars="200"/>
        <w:jc w:val="left"/>
        <w:rPr>
          <w:color w:val="auto"/>
          <w:highlight w:val="none"/>
        </w:rPr>
      </w:pPr>
      <w:r>
        <w:rPr>
          <w:rFonts w:hint="eastAsia"/>
          <w:color w:val="auto"/>
          <w:highlight w:val="none"/>
        </w:rPr>
        <w:t>2.本项目需要落实的政府采购政策：</w:t>
      </w:r>
    </w:p>
    <w:p w14:paraId="5E8D2008">
      <w:pPr>
        <w:ind w:firstLine="420" w:firstLineChars="200"/>
        <w:jc w:val="left"/>
        <w:rPr>
          <w:color w:val="auto"/>
          <w:highlight w:val="none"/>
        </w:rPr>
      </w:pPr>
      <w:r>
        <w:rPr>
          <w:rFonts w:hint="eastAsia"/>
          <w:color w:val="auto"/>
          <w:highlight w:val="none"/>
        </w:rPr>
        <w:t>（1）政府采购促进中小企业发展。</w:t>
      </w:r>
    </w:p>
    <w:p w14:paraId="622D3E58">
      <w:pPr>
        <w:ind w:firstLine="420" w:firstLineChars="200"/>
        <w:jc w:val="left"/>
        <w:rPr>
          <w:color w:val="auto"/>
          <w:highlight w:val="none"/>
        </w:rPr>
      </w:pPr>
      <w:r>
        <w:rPr>
          <w:rFonts w:hint="eastAsia"/>
          <w:color w:val="auto"/>
          <w:highlight w:val="none"/>
        </w:rPr>
        <w:t>（2）政府采购促进残疾人就业政策。</w:t>
      </w:r>
    </w:p>
    <w:p w14:paraId="355B8F2A">
      <w:pPr>
        <w:ind w:firstLine="420" w:firstLineChars="200"/>
        <w:jc w:val="left"/>
        <w:rPr>
          <w:color w:val="auto"/>
          <w:highlight w:val="none"/>
        </w:rPr>
      </w:pPr>
      <w:r>
        <w:rPr>
          <w:rFonts w:hint="eastAsia"/>
          <w:color w:val="auto"/>
          <w:highlight w:val="none"/>
        </w:rPr>
        <w:t>（3）政府采购支持监狱企业发展。</w:t>
      </w:r>
    </w:p>
    <w:p w14:paraId="49DB280A">
      <w:pPr>
        <w:jc w:val="left"/>
        <w:rPr>
          <w:color w:val="auto"/>
          <w:highlight w:val="none"/>
        </w:rPr>
      </w:pPr>
      <w:bookmarkStart w:id="29" w:name="_Toc507"/>
      <w:bookmarkStart w:id="30" w:name="_Toc26311"/>
      <w:bookmarkStart w:id="31" w:name="_Toc5309"/>
      <w:r>
        <w:rPr>
          <w:rFonts w:hint="eastAsia"/>
          <w:color w:val="auto"/>
          <w:highlight w:val="none"/>
        </w:rPr>
        <w:t>七、对本次招标提出询问，请按以下方式联系。</w:t>
      </w:r>
      <w:bookmarkEnd w:id="29"/>
      <w:bookmarkEnd w:id="30"/>
      <w:bookmarkEnd w:id="31"/>
    </w:p>
    <w:p w14:paraId="5ECAA150">
      <w:pPr>
        <w:ind w:firstLine="420" w:firstLineChars="200"/>
        <w:jc w:val="left"/>
        <w:rPr>
          <w:color w:val="auto"/>
          <w:highlight w:val="none"/>
        </w:rPr>
      </w:pPr>
      <w:r>
        <w:rPr>
          <w:rFonts w:hint="eastAsia"/>
          <w:color w:val="auto"/>
          <w:highlight w:val="none"/>
        </w:rPr>
        <w:t>1.采购人信息</w:t>
      </w:r>
    </w:p>
    <w:p w14:paraId="677F6CC9">
      <w:pPr>
        <w:ind w:firstLine="420" w:firstLineChars="200"/>
        <w:jc w:val="left"/>
        <w:rPr>
          <w:rFonts w:hint="eastAsia" w:eastAsiaTheme="minorEastAsia"/>
          <w:color w:val="auto"/>
          <w:highlight w:val="none"/>
          <w:lang w:eastAsia="zh-CN"/>
        </w:rPr>
      </w:pPr>
      <w:r>
        <w:rPr>
          <w:rFonts w:hint="eastAsia"/>
          <w:color w:val="auto"/>
          <w:highlight w:val="none"/>
        </w:rPr>
        <w:t>名 称：</w:t>
      </w:r>
      <w:r>
        <w:rPr>
          <w:rFonts w:hint="eastAsia"/>
          <w:color w:val="auto"/>
          <w:highlight w:val="none"/>
          <w:lang w:eastAsia="zh-CN"/>
        </w:rPr>
        <w:t>国家税务总局来宾市兴宾区税务局</w:t>
      </w:r>
    </w:p>
    <w:p w14:paraId="2D7A919B">
      <w:pPr>
        <w:ind w:firstLine="420" w:firstLineChars="200"/>
        <w:jc w:val="left"/>
        <w:rPr>
          <w:color w:val="auto"/>
          <w:highlight w:val="none"/>
        </w:rPr>
      </w:pPr>
      <w:r>
        <w:rPr>
          <w:rFonts w:hint="eastAsia"/>
          <w:color w:val="auto"/>
          <w:highlight w:val="none"/>
        </w:rPr>
        <w:t>地址：</w:t>
      </w:r>
      <w:r>
        <w:rPr>
          <w:rFonts w:hint="eastAsia"/>
          <w:color w:val="auto"/>
          <w:highlight w:val="none"/>
          <w:lang w:eastAsia="zh-CN"/>
        </w:rPr>
        <w:t>来宾市兴宾区维林大道417号</w:t>
      </w:r>
      <w:r>
        <w:rPr>
          <w:rFonts w:hint="eastAsia"/>
          <w:color w:val="auto"/>
          <w:highlight w:val="none"/>
        </w:rPr>
        <w:t>　　</w:t>
      </w:r>
    </w:p>
    <w:p w14:paraId="4CC6647B">
      <w:pPr>
        <w:ind w:firstLine="420" w:firstLineChars="200"/>
        <w:jc w:val="left"/>
        <w:rPr>
          <w:color w:val="auto"/>
          <w:highlight w:val="none"/>
        </w:rPr>
      </w:pPr>
      <w:r>
        <w:rPr>
          <w:rFonts w:hint="eastAsia"/>
          <w:color w:val="auto"/>
          <w:highlight w:val="none"/>
        </w:rPr>
        <w:t>联系方式：</w:t>
      </w:r>
      <w:r>
        <w:rPr>
          <w:rFonts w:hint="eastAsia"/>
          <w:color w:val="auto"/>
          <w:highlight w:val="none"/>
          <w:lang w:eastAsia="zh-CN"/>
        </w:rPr>
        <w:t>梁峰瑜</w:t>
      </w:r>
      <w:r>
        <w:rPr>
          <w:rFonts w:hint="eastAsia"/>
          <w:color w:val="auto"/>
          <w:highlight w:val="none"/>
        </w:rPr>
        <w:t xml:space="preserve"> 0771-5562212　　</w:t>
      </w:r>
    </w:p>
    <w:p w14:paraId="6C03F060">
      <w:pPr>
        <w:ind w:firstLine="420" w:firstLineChars="200"/>
        <w:jc w:val="left"/>
        <w:rPr>
          <w:color w:val="auto"/>
          <w:highlight w:val="none"/>
        </w:rPr>
      </w:pPr>
      <w:r>
        <w:rPr>
          <w:rFonts w:hint="eastAsia"/>
          <w:color w:val="auto"/>
          <w:highlight w:val="none"/>
        </w:rPr>
        <w:t>2.采购代理机构信息</w:t>
      </w:r>
    </w:p>
    <w:p w14:paraId="15272F11">
      <w:pPr>
        <w:ind w:firstLine="420" w:firstLineChars="200"/>
        <w:jc w:val="left"/>
        <w:rPr>
          <w:color w:val="auto"/>
          <w:highlight w:val="none"/>
        </w:rPr>
      </w:pPr>
      <w:r>
        <w:rPr>
          <w:rFonts w:hint="eastAsia"/>
          <w:color w:val="auto"/>
          <w:highlight w:val="none"/>
        </w:rPr>
        <w:t>名 称：广西众联工程项目管理有限公司　</w:t>
      </w:r>
    </w:p>
    <w:p w14:paraId="189174CD">
      <w:pPr>
        <w:ind w:firstLine="420" w:firstLineChars="200"/>
        <w:jc w:val="left"/>
        <w:rPr>
          <w:color w:val="auto"/>
          <w:highlight w:val="none"/>
        </w:rPr>
      </w:pPr>
      <w:r>
        <w:rPr>
          <w:rFonts w:hint="eastAsia"/>
          <w:color w:val="auto"/>
          <w:highlight w:val="none"/>
        </w:rPr>
        <w:t>地 址：南宁市江南区白沙大道53号松宇时代14A层　</w:t>
      </w:r>
    </w:p>
    <w:p w14:paraId="79094994">
      <w:pPr>
        <w:ind w:firstLine="420" w:firstLineChars="200"/>
        <w:jc w:val="left"/>
        <w:rPr>
          <w:color w:val="auto"/>
          <w:highlight w:val="none"/>
        </w:rPr>
      </w:pPr>
      <w:r>
        <w:rPr>
          <w:rFonts w:hint="eastAsia"/>
          <w:color w:val="auto"/>
          <w:highlight w:val="none"/>
        </w:rPr>
        <w:t>联系方式：</w:t>
      </w:r>
      <w:r>
        <w:rPr>
          <w:rFonts w:hint="eastAsia"/>
          <w:color w:val="auto"/>
          <w:highlight w:val="none"/>
          <w:lang w:eastAsia="zh-CN"/>
        </w:rPr>
        <w:t>李柳婵、李宁、戚程、包鹏</w:t>
      </w:r>
      <w:r>
        <w:rPr>
          <w:rFonts w:hint="eastAsia"/>
          <w:color w:val="auto"/>
          <w:highlight w:val="none"/>
          <w:lang w:val="en-US" w:eastAsia="zh-CN"/>
        </w:rPr>
        <w:t xml:space="preserve"> </w:t>
      </w:r>
      <w:r>
        <w:rPr>
          <w:rFonts w:hint="eastAsia"/>
          <w:color w:val="auto"/>
          <w:highlight w:val="none"/>
        </w:rPr>
        <w:t>0771-4308370　</w:t>
      </w:r>
    </w:p>
    <w:p w14:paraId="7E0D1F31">
      <w:pPr>
        <w:ind w:firstLine="420" w:firstLineChars="200"/>
        <w:jc w:val="left"/>
        <w:rPr>
          <w:color w:val="auto"/>
          <w:highlight w:val="none"/>
          <w:u w:val="single"/>
        </w:rPr>
      </w:pPr>
      <w:r>
        <w:rPr>
          <w:rFonts w:hint="eastAsia"/>
          <w:color w:val="auto"/>
          <w:highlight w:val="none"/>
        </w:rPr>
        <w:t>3.项目联系方式</w:t>
      </w:r>
    </w:p>
    <w:p w14:paraId="7E8EECA8">
      <w:pPr>
        <w:ind w:firstLine="420" w:firstLineChars="200"/>
        <w:jc w:val="left"/>
        <w:rPr>
          <w:rFonts w:hint="eastAsia" w:eastAsiaTheme="minorEastAsia"/>
          <w:color w:val="auto"/>
          <w:highlight w:val="none"/>
          <w:lang w:eastAsia="zh-CN"/>
        </w:rPr>
      </w:pPr>
      <w:r>
        <w:rPr>
          <w:rFonts w:hint="eastAsia"/>
          <w:color w:val="auto"/>
          <w:highlight w:val="none"/>
        </w:rPr>
        <w:t>项目联系人：</w:t>
      </w:r>
      <w:r>
        <w:rPr>
          <w:rFonts w:hint="eastAsia"/>
          <w:color w:val="auto"/>
          <w:highlight w:val="none"/>
          <w:lang w:eastAsia="zh-CN"/>
        </w:rPr>
        <w:t>李柳婵、李宁、戚程、包鹏</w:t>
      </w:r>
    </w:p>
    <w:p w14:paraId="39120755">
      <w:pPr>
        <w:ind w:firstLine="420" w:firstLineChars="200"/>
        <w:jc w:val="left"/>
        <w:rPr>
          <w:color w:val="auto"/>
          <w:highlight w:val="none"/>
          <w:u w:val="single"/>
        </w:rPr>
      </w:pPr>
      <w:r>
        <w:rPr>
          <w:rFonts w:hint="eastAsia"/>
          <w:color w:val="auto"/>
          <w:highlight w:val="none"/>
        </w:rPr>
        <w:t>电　 话：0771-4308370</w:t>
      </w:r>
    </w:p>
    <w:p w14:paraId="547FAECC">
      <w:pPr>
        <w:jc w:val="left"/>
        <w:rPr>
          <w:color w:val="auto"/>
          <w:highlight w:val="none"/>
        </w:rPr>
      </w:pPr>
    </w:p>
    <w:p w14:paraId="6EB4206B">
      <w:pPr>
        <w:jc w:val="left"/>
        <w:rPr>
          <w:color w:val="auto"/>
          <w:highlight w:val="none"/>
        </w:rPr>
      </w:pPr>
    </w:p>
    <w:p w14:paraId="0B671D99">
      <w:pPr>
        <w:pStyle w:val="25"/>
        <w:rPr>
          <w:color w:val="auto"/>
          <w:highlight w:val="none"/>
        </w:rPr>
      </w:pPr>
    </w:p>
    <w:p w14:paraId="1EE1429E">
      <w:pPr>
        <w:bidi w:val="0"/>
        <w:spacing w:line="360" w:lineRule="auto"/>
        <w:rPr>
          <w:b/>
          <w:bCs w:val="0"/>
          <w:color w:val="auto"/>
          <w:sz w:val="44"/>
          <w:szCs w:val="44"/>
          <w:highlight w:val="none"/>
        </w:rPr>
      </w:pPr>
      <w:bookmarkStart w:id="32" w:name="_Toc2076"/>
      <w:bookmarkStart w:id="33" w:name="_Toc132880272"/>
      <w:r>
        <w:rPr>
          <w:rFonts w:hint="eastAsia"/>
          <w:b/>
          <w:bCs w:val="0"/>
          <w:color w:val="auto"/>
          <w:sz w:val="44"/>
          <w:szCs w:val="44"/>
          <w:highlight w:val="none"/>
          <w:lang w:val="en-US" w:eastAsia="zh-CN"/>
        </w:rPr>
        <w:t xml:space="preserve">第二章 </w:t>
      </w:r>
      <w:r>
        <w:rPr>
          <w:rFonts w:hint="eastAsia"/>
          <w:b/>
          <w:bCs w:val="0"/>
          <w:color w:val="auto"/>
          <w:sz w:val="44"/>
          <w:szCs w:val="44"/>
          <w:highlight w:val="none"/>
        </w:rPr>
        <w:t>投标人须知</w:t>
      </w:r>
      <w:bookmarkEnd w:id="32"/>
      <w:bookmarkEnd w:id="33"/>
    </w:p>
    <w:p w14:paraId="60E05D0D">
      <w:pPr>
        <w:spacing w:line="360" w:lineRule="auto"/>
        <w:rPr>
          <w:b/>
          <w:bCs w:val="0"/>
          <w:color w:val="auto"/>
          <w:sz w:val="28"/>
          <w:szCs w:val="28"/>
          <w:highlight w:val="none"/>
        </w:rPr>
      </w:pPr>
      <w:r>
        <w:rPr>
          <w:rFonts w:hint="eastAsia"/>
          <w:b/>
          <w:bCs w:val="0"/>
          <w:color w:val="auto"/>
          <w:sz w:val="28"/>
          <w:szCs w:val="28"/>
          <w:highlight w:val="none"/>
        </w:rPr>
        <w:t>投标人须知前附表</w:t>
      </w:r>
    </w:p>
    <w:tbl>
      <w:tblPr>
        <w:tblStyle w:val="1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14:paraId="48EF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71AB0548">
            <w:pPr>
              <w:rPr>
                <w:color w:val="auto"/>
                <w:highlight w:val="none"/>
              </w:rPr>
            </w:pPr>
            <w:bookmarkStart w:id="34" w:name="_Toc2475"/>
            <w:bookmarkStart w:id="35" w:name="_Toc132880273"/>
            <w:r>
              <w:rPr>
                <w:rFonts w:hint="eastAsia"/>
                <w:color w:val="auto"/>
                <w:highlight w:val="none"/>
              </w:rPr>
              <w:t>序 号</w:t>
            </w:r>
          </w:p>
        </w:tc>
        <w:tc>
          <w:tcPr>
            <w:tcW w:w="1984" w:type="dxa"/>
            <w:tcBorders>
              <w:top w:val="single" w:color="auto" w:sz="4" w:space="0"/>
              <w:left w:val="single" w:color="auto" w:sz="4" w:space="0"/>
              <w:bottom w:val="single" w:color="auto" w:sz="4" w:space="0"/>
              <w:right w:val="single" w:color="auto" w:sz="4" w:space="0"/>
            </w:tcBorders>
            <w:noWrap/>
            <w:vAlign w:val="center"/>
          </w:tcPr>
          <w:p w14:paraId="340D356A">
            <w:pPr>
              <w:rPr>
                <w:color w:val="auto"/>
                <w:highlight w:val="none"/>
              </w:rPr>
            </w:pPr>
            <w:r>
              <w:rPr>
                <w:rFonts w:hint="eastAsia"/>
                <w:color w:val="auto"/>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309B2705">
            <w:pPr>
              <w:rPr>
                <w:color w:val="auto"/>
                <w:highlight w:val="none"/>
              </w:rPr>
            </w:pPr>
            <w:r>
              <w:rPr>
                <w:rFonts w:hint="eastAsia"/>
                <w:color w:val="auto"/>
                <w:highlight w:val="none"/>
              </w:rPr>
              <w:t>内     容</w:t>
            </w:r>
          </w:p>
        </w:tc>
      </w:tr>
      <w:tr w14:paraId="2BAC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5" w:type="dxa"/>
            <w:vMerge w:val="restart"/>
            <w:tcBorders>
              <w:top w:val="single" w:color="auto" w:sz="4" w:space="0"/>
              <w:left w:val="single" w:color="auto" w:sz="4" w:space="0"/>
              <w:right w:val="single" w:color="auto" w:sz="4" w:space="0"/>
            </w:tcBorders>
            <w:noWrap/>
            <w:vAlign w:val="center"/>
          </w:tcPr>
          <w:p w14:paraId="3C6953E2">
            <w:pPr>
              <w:rPr>
                <w:color w:val="auto"/>
                <w:highlight w:val="none"/>
              </w:rPr>
            </w:pPr>
            <w:r>
              <w:rPr>
                <w:rFonts w:hint="eastAsia"/>
                <w:color w:val="auto"/>
                <w:highlight w:val="none"/>
              </w:rPr>
              <w:t>1</w:t>
            </w:r>
          </w:p>
        </w:tc>
        <w:tc>
          <w:tcPr>
            <w:tcW w:w="1984" w:type="dxa"/>
            <w:vMerge w:val="restart"/>
            <w:tcBorders>
              <w:top w:val="single" w:color="auto" w:sz="4" w:space="0"/>
              <w:left w:val="single" w:color="auto" w:sz="4" w:space="0"/>
              <w:right w:val="single" w:color="auto" w:sz="4" w:space="0"/>
            </w:tcBorders>
            <w:noWrap/>
            <w:vAlign w:val="center"/>
          </w:tcPr>
          <w:p w14:paraId="691586DA">
            <w:pPr>
              <w:rPr>
                <w:b/>
                <w:color w:val="auto"/>
                <w:highlight w:val="none"/>
              </w:rPr>
            </w:pPr>
            <w:r>
              <w:rPr>
                <w:rFonts w:hint="eastAsia"/>
                <w:color w:val="auto"/>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0E7C5224">
            <w:pPr>
              <w:jc w:val="left"/>
              <w:rPr>
                <w:rFonts w:hint="eastAsia" w:eastAsiaTheme="minorEastAsia"/>
                <w:b/>
                <w:color w:val="auto"/>
                <w:highlight w:val="none"/>
                <w:lang w:eastAsia="zh-CN"/>
              </w:rPr>
            </w:pPr>
            <w:r>
              <w:rPr>
                <w:rFonts w:hint="eastAsia"/>
                <w:color w:val="auto"/>
                <w:highlight w:val="none"/>
              </w:rPr>
              <w:t>项目名称：</w:t>
            </w:r>
            <w:r>
              <w:rPr>
                <w:rFonts w:hint="eastAsia"/>
                <w:color w:val="auto"/>
                <w:highlight w:val="none"/>
                <w:lang w:eastAsia="zh-CN"/>
              </w:rPr>
              <w:t>国家税务总局来宾市兴宾区税务局2024年非执法类辅助性服务采购项目</w:t>
            </w:r>
          </w:p>
        </w:tc>
      </w:tr>
      <w:tr w14:paraId="2CEC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5" w:type="dxa"/>
            <w:vMerge w:val="continue"/>
            <w:tcBorders>
              <w:left w:val="single" w:color="auto" w:sz="4" w:space="0"/>
              <w:right w:val="single" w:color="auto" w:sz="4" w:space="0"/>
            </w:tcBorders>
            <w:noWrap/>
            <w:vAlign w:val="center"/>
          </w:tcPr>
          <w:p w14:paraId="41AB0CCD">
            <w:pPr>
              <w:rPr>
                <w:color w:val="auto"/>
                <w:highlight w:val="none"/>
              </w:rPr>
            </w:pPr>
          </w:p>
        </w:tc>
        <w:tc>
          <w:tcPr>
            <w:tcW w:w="1984" w:type="dxa"/>
            <w:vMerge w:val="continue"/>
            <w:tcBorders>
              <w:left w:val="single" w:color="auto" w:sz="4" w:space="0"/>
              <w:right w:val="single" w:color="auto" w:sz="4" w:space="0"/>
            </w:tcBorders>
            <w:noWrap/>
            <w:vAlign w:val="center"/>
          </w:tcPr>
          <w:p w14:paraId="02A9558E">
            <w:pPr>
              <w:rPr>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7FA5AB7A">
            <w:pPr>
              <w:jc w:val="left"/>
              <w:rPr>
                <w:rFonts w:hint="eastAsia" w:eastAsiaTheme="minorEastAsia"/>
                <w:color w:val="auto"/>
                <w:highlight w:val="none"/>
                <w:lang w:eastAsia="zh-CN"/>
              </w:rPr>
            </w:pPr>
            <w:r>
              <w:rPr>
                <w:rFonts w:hint="eastAsia"/>
                <w:color w:val="auto"/>
                <w:highlight w:val="none"/>
              </w:rPr>
              <w:t>项目编号：</w:t>
            </w:r>
            <w:r>
              <w:rPr>
                <w:rFonts w:hint="eastAsia"/>
                <w:color w:val="auto"/>
                <w:highlight w:val="none"/>
                <w:lang w:eastAsia="zh-CN"/>
              </w:rPr>
              <w:t>GX2024-DLGK-C</w:t>
            </w:r>
            <w:r>
              <w:rPr>
                <w:rFonts w:hint="eastAsia"/>
                <w:color w:val="auto"/>
                <w:highlight w:val="none"/>
                <w:lang w:val="en-US" w:eastAsia="zh-CN"/>
              </w:rPr>
              <w:t>0052</w:t>
            </w:r>
            <w:r>
              <w:rPr>
                <w:rFonts w:hint="eastAsia"/>
                <w:color w:val="auto"/>
                <w:highlight w:val="none"/>
                <w:lang w:eastAsia="zh-CN"/>
              </w:rPr>
              <w:t>-B00</w:t>
            </w:r>
          </w:p>
        </w:tc>
      </w:tr>
      <w:tr w14:paraId="07E3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tcBorders>
              <w:left w:val="single" w:color="auto" w:sz="4" w:space="0"/>
              <w:right w:val="single" w:color="auto" w:sz="4" w:space="0"/>
            </w:tcBorders>
            <w:noWrap/>
            <w:vAlign w:val="center"/>
          </w:tcPr>
          <w:p w14:paraId="4FD5B6E8">
            <w:pPr>
              <w:rPr>
                <w:color w:val="auto"/>
                <w:highlight w:val="none"/>
              </w:rPr>
            </w:pPr>
          </w:p>
        </w:tc>
        <w:tc>
          <w:tcPr>
            <w:tcW w:w="1984" w:type="dxa"/>
            <w:vMerge w:val="continue"/>
            <w:tcBorders>
              <w:left w:val="single" w:color="auto" w:sz="4" w:space="0"/>
              <w:right w:val="single" w:color="auto" w:sz="4" w:space="0"/>
            </w:tcBorders>
            <w:noWrap/>
            <w:vAlign w:val="center"/>
          </w:tcPr>
          <w:p w14:paraId="1A57C85F">
            <w:pPr>
              <w:rPr>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227F6912">
            <w:pPr>
              <w:jc w:val="left"/>
              <w:rPr>
                <w:color w:val="auto"/>
                <w:highlight w:val="none"/>
              </w:rPr>
            </w:pPr>
            <w:r>
              <w:rPr>
                <w:rFonts w:hint="eastAsia"/>
                <w:color w:val="auto"/>
                <w:highlight w:val="none"/>
              </w:rPr>
              <w:t>项目预算：</w:t>
            </w:r>
            <w:r>
              <w:rPr>
                <w:rFonts w:hint="eastAsia"/>
                <w:color w:val="auto"/>
                <w:highlight w:val="none"/>
                <w:lang w:val="en-US" w:eastAsia="zh-CN"/>
              </w:rPr>
              <w:t>贰佰捌拾玖万玖仟壹佰元整</w:t>
            </w:r>
            <w:r>
              <w:rPr>
                <w:rFonts w:hint="eastAsia"/>
                <w:color w:val="auto"/>
                <w:highlight w:val="none"/>
              </w:rPr>
              <w:t>（¥28991</w:t>
            </w:r>
            <w:r>
              <w:rPr>
                <w:rFonts w:hint="eastAsia"/>
                <w:color w:val="auto"/>
                <w:highlight w:val="none"/>
                <w:lang w:val="en-US" w:eastAsia="zh-CN"/>
              </w:rPr>
              <w:t>00.00</w:t>
            </w:r>
            <w:r>
              <w:rPr>
                <w:rFonts w:hint="eastAsia"/>
                <w:color w:val="auto"/>
                <w:highlight w:val="none"/>
              </w:rPr>
              <w:t>元）</w:t>
            </w:r>
          </w:p>
        </w:tc>
      </w:tr>
      <w:tr w14:paraId="334E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tcBorders>
              <w:left w:val="single" w:color="auto" w:sz="4" w:space="0"/>
              <w:bottom w:val="single" w:color="auto" w:sz="4" w:space="0"/>
              <w:right w:val="single" w:color="auto" w:sz="4" w:space="0"/>
            </w:tcBorders>
            <w:noWrap/>
            <w:vAlign w:val="center"/>
          </w:tcPr>
          <w:p w14:paraId="14CF21EF">
            <w:pPr>
              <w:rPr>
                <w:color w:val="auto"/>
                <w:highlight w:val="none"/>
              </w:rPr>
            </w:pPr>
          </w:p>
        </w:tc>
        <w:tc>
          <w:tcPr>
            <w:tcW w:w="1984" w:type="dxa"/>
            <w:vMerge w:val="continue"/>
            <w:tcBorders>
              <w:left w:val="single" w:color="auto" w:sz="4" w:space="0"/>
              <w:bottom w:val="single" w:color="auto" w:sz="4" w:space="0"/>
              <w:right w:val="single" w:color="auto" w:sz="4" w:space="0"/>
            </w:tcBorders>
            <w:noWrap/>
            <w:vAlign w:val="center"/>
          </w:tcPr>
          <w:p w14:paraId="541A1A69">
            <w:pPr>
              <w:rPr>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1C69EF1E">
            <w:pPr>
              <w:jc w:val="left"/>
              <w:rPr>
                <w:color w:val="auto"/>
                <w:highlight w:val="none"/>
              </w:rPr>
            </w:pPr>
            <w:r>
              <w:rPr>
                <w:rFonts w:hint="eastAsia"/>
                <w:color w:val="auto"/>
                <w:highlight w:val="none"/>
              </w:rPr>
              <w:t>最高限价：</w:t>
            </w:r>
            <w:r>
              <w:rPr>
                <w:rFonts w:hint="eastAsia"/>
                <w:color w:val="auto"/>
                <w:highlight w:val="none"/>
                <w:lang w:val="en-US" w:eastAsia="zh-CN"/>
              </w:rPr>
              <w:t>贰佰捌拾玖万玖仟壹佰元整</w:t>
            </w:r>
            <w:r>
              <w:rPr>
                <w:rFonts w:hint="eastAsia"/>
                <w:color w:val="auto"/>
                <w:highlight w:val="none"/>
              </w:rPr>
              <w:t>（¥28991</w:t>
            </w:r>
            <w:r>
              <w:rPr>
                <w:rFonts w:hint="eastAsia"/>
                <w:color w:val="auto"/>
                <w:highlight w:val="none"/>
                <w:lang w:val="en-US" w:eastAsia="zh-CN"/>
              </w:rPr>
              <w:t>00.00</w:t>
            </w:r>
            <w:r>
              <w:rPr>
                <w:rFonts w:hint="eastAsia"/>
                <w:color w:val="auto"/>
                <w:highlight w:val="none"/>
              </w:rPr>
              <w:t>元）</w:t>
            </w:r>
          </w:p>
        </w:tc>
      </w:tr>
      <w:tr w14:paraId="2BC2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4C35DF2C">
            <w:pPr>
              <w:rPr>
                <w:color w:val="auto"/>
                <w:highlight w:val="none"/>
              </w:rPr>
            </w:pPr>
            <w:r>
              <w:rPr>
                <w:rFonts w:hint="eastAsia"/>
                <w:color w:val="auto"/>
                <w:highlight w:val="none"/>
              </w:rPr>
              <w:t>2</w:t>
            </w:r>
          </w:p>
        </w:tc>
        <w:tc>
          <w:tcPr>
            <w:tcW w:w="1984" w:type="dxa"/>
            <w:tcBorders>
              <w:top w:val="single" w:color="auto" w:sz="4" w:space="0"/>
              <w:left w:val="single" w:color="auto" w:sz="4" w:space="0"/>
              <w:bottom w:val="single" w:color="auto" w:sz="4" w:space="0"/>
              <w:right w:val="single" w:color="auto" w:sz="4" w:space="0"/>
            </w:tcBorders>
            <w:noWrap/>
            <w:vAlign w:val="center"/>
          </w:tcPr>
          <w:p w14:paraId="31B35482">
            <w:pPr>
              <w:rPr>
                <w:color w:val="auto"/>
                <w:highlight w:val="none"/>
              </w:rPr>
            </w:pPr>
            <w:r>
              <w:rPr>
                <w:rFonts w:hint="eastAsia"/>
                <w:color w:val="auto"/>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27B60C16">
            <w:pPr>
              <w:jc w:val="left"/>
              <w:rPr>
                <w:color w:val="auto"/>
                <w:highlight w:val="none"/>
              </w:rPr>
            </w:pPr>
            <w:r>
              <w:rPr>
                <w:rFonts w:hint="eastAsia"/>
                <w:color w:val="auto"/>
                <w:highlight w:val="none"/>
              </w:rPr>
              <w:t>详见《招标文件（技术部分）》</w:t>
            </w:r>
          </w:p>
        </w:tc>
      </w:tr>
      <w:tr w14:paraId="011C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0303F5AF">
            <w:pPr>
              <w:rPr>
                <w:color w:val="auto"/>
                <w:highlight w:val="none"/>
              </w:rPr>
            </w:pPr>
            <w:r>
              <w:rPr>
                <w:rFonts w:hint="eastAsia"/>
                <w:color w:val="auto"/>
                <w:highlight w:val="none"/>
              </w:rPr>
              <w:t>3</w:t>
            </w:r>
          </w:p>
        </w:tc>
        <w:tc>
          <w:tcPr>
            <w:tcW w:w="1984" w:type="dxa"/>
            <w:tcBorders>
              <w:top w:val="single" w:color="auto" w:sz="4" w:space="0"/>
              <w:left w:val="single" w:color="auto" w:sz="4" w:space="0"/>
              <w:bottom w:val="single" w:color="auto" w:sz="4" w:space="0"/>
              <w:right w:val="single" w:color="auto" w:sz="4" w:space="0"/>
            </w:tcBorders>
            <w:noWrap/>
            <w:vAlign w:val="center"/>
          </w:tcPr>
          <w:p w14:paraId="555AB271">
            <w:pPr>
              <w:rPr>
                <w:color w:val="auto"/>
                <w:highlight w:val="none"/>
              </w:rPr>
            </w:pPr>
            <w:r>
              <w:rPr>
                <w:rFonts w:hint="eastAsia"/>
                <w:color w:val="auto"/>
                <w:highlight w:val="none"/>
              </w:rPr>
              <w:t>项目属性、类别等</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5DBCDEBB">
            <w:pPr>
              <w:jc w:val="left"/>
              <w:rPr>
                <w:color w:val="auto"/>
                <w:highlight w:val="none"/>
              </w:rPr>
            </w:pPr>
            <w:r>
              <w:rPr>
                <w:rFonts w:hint="eastAsia"/>
                <w:color w:val="auto"/>
                <w:highlight w:val="none"/>
              </w:rPr>
              <w:t>项目属性：</w:t>
            </w:r>
            <w:r>
              <w:rPr>
                <w:rFonts w:hint="eastAsia"/>
                <w:color w:val="auto"/>
                <w:highlight w:val="none"/>
              </w:rPr>
              <w:sym w:font="Wingdings 2" w:char="F0A3"/>
            </w:r>
            <w:r>
              <w:rPr>
                <w:rFonts w:hint="eastAsia"/>
                <w:color w:val="auto"/>
                <w:highlight w:val="none"/>
              </w:rPr>
              <w:t xml:space="preserve">货物           </w:t>
            </w:r>
            <w:r>
              <w:rPr>
                <w:rFonts w:hint="eastAsia"/>
                <w:color w:val="auto"/>
                <w:highlight w:val="none"/>
              </w:rPr>
              <w:sym w:font="Wingdings 2" w:char="0052"/>
            </w:r>
            <w:r>
              <w:rPr>
                <w:rFonts w:hint="eastAsia"/>
                <w:color w:val="auto"/>
                <w:highlight w:val="none"/>
              </w:rPr>
              <w:t>服务</w:t>
            </w:r>
          </w:p>
          <w:p w14:paraId="55AC69BE">
            <w:pPr>
              <w:jc w:val="left"/>
              <w:rPr>
                <w:color w:val="auto"/>
                <w:highlight w:val="none"/>
              </w:rPr>
            </w:pPr>
            <w:r>
              <w:rPr>
                <w:rFonts w:hint="eastAsia"/>
                <w:color w:val="auto"/>
                <w:highlight w:val="none"/>
              </w:rPr>
              <w:t>项目类别：</w:t>
            </w:r>
            <w:r>
              <w:rPr>
                <w:rFonts w:hint="eastAsia"/>
                <w:color w:val="auto"/>
                <w:highlight w:val="none"/>
              </w:rPr>
              <w:sym w:font="Wingdings 2" w:char="F0A3"/>
            </w:r>
            <w:r>
              <w:rPr>
                <w:rFonts w:hint="eastAsia"/>
                <w:color w:val="auto"/>
                <w:highlight w:val="none"/>
              </w:rPr>
              <w:t xml:space="preserve">信息化项目     </w:t>
            </w:r>
            <w:r>
              <w:rPr>
                <w:rFonts w:hint="eastAsia"/>
                <w:color w:val="auto"/>
                <w:highlight w:val="none"/>
              </w:rPr>
              <w:sym w:font="Wingdings 2" w:char="0052"/>
            </w:r>
            <w:r>
              <w:rPr>
                <w:rFonts w:hint="eastAsia"/>
                <w:color w:val="auto"/>
                <w:highlight w:val="none"/>
              </w:rPr>
              <w:t>非信息化项目</w:t>
            </w:r>
          </w:p>
          <w:p w14:paraId="49B7C6DA">
            <w:pPr>
              <w:jc w:val="left"/>
              <w:rPr>
                <w:color w:val="auto"/>
                <w:highlight w:val="none"/>
              </w:rPr>
            </w:pPr>
            <w:r>
              <w:rPr>
                <w:rFonts w:hint="eastAsia"/>
                <w:color w:val="auto"/>
                <w:highlight w:val="none"/>
              </w:rPr>
              <w:t>线上采购项目：</w:t>
            </w:r>
            <w:r>
              <w:rPr>
                <w:rFonts w:hint="eastAsia"/>
                <w:color w:val="auto"/>
                <w:highlight w:val="none"/>
              </w:rPr>
              <w:sym w:font="Wingdings 2" w:char="00A3"/>
            </w:r>
            <w:r>
              <w:rPr>
                <w:rFonts w:hint="eastAsia"/>
                <w:color w:val="auto"/>
                <w:highlight w:val="none"/>
              </w:rPr>
              <w:t>是</w:t>
            </w:r>
            <w:r>
              <w:rPr>
                <w:rFonts w:hint="eastAsia"/>
                <w:color w:val="auto"/>
                <w:highlight w:val="none"/>
                <w:lang w:val="en-US" w:eastAsia="zh-CN"/>
              </w:rPr>
              <w:t xml:space="preserve">   </w:t>
            </w:r>
            <w:r>
              <w:rPr>
                <w:rFonts w:hint="eastAsia"/>
                <w:color w:val="auto"/>
                <w:highlight w:val="none"/>
              </w:rPr>
              <w:sym w:font="Wingdings 2" w:char="0052"/>
            </w:r>
            <w:r>
              <w:rPr>
                <w:rFonts w:hint="eastAsia"/>
                <w:color w:val="auto"/>
                <w:highlight w:val="none"/>
              </w:rPr>
              <w:t>否</w:t>
            </w:r>
          </w:p>
        </w:tc>
      </w:tr>
      <w:tr w14:paraId="5927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31506EF9">
            <w:pPr>
              <w:rPr>
                <w:color w:val="auto"/>
                <w:highlight w:val="none"/>
              </w:rPr>
            </w:pPr>
            <w:r>
              <w:rPr>
                <w:rFonts w:hint="eastAsia"/>
                <w:color w:val="auto"/>
                <w:highlight w:val="none"/>
              </w:rPr>
              <w:t>4</w:t>
            </w:r>
          </w:p>
        </w:tc>
        <w:tc>
          <w:tcPr>
            <w:tcW w:w="1984" w:type="dxa"/>
            <w:tcBorders>
              <w:top w:val="single" w:color="auto" w:sz="4" w:space="0"/>
              <w:left w:val="single" w:color="auto" w:sz="4" w:space="0"/>
              <w:bottom w:val="single" w:color="auto" w:sz="4" w:space="0"/>
              <w:right w:val="single" w:color="auto" w:sz="4" w:space="0"/>
            </w:tcBorders>
            <w:noWrap/>
            <w:vAlign w:val="center"/>
          </w:tcPr>
          <w:p w14:paraId="4A129EE0">
            <w:pPr>
              <w:rPr>
                <w:color w:val="auto"/>
                <w:highlight w:val="none"/>
              </w:rPr>
            </w:pPr>
            <w:r>
              <w:rPr>
                <w:rFonts w:hint="eastAsia"/>
                <w:color w:val="auto"/>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3A843A14">
            <w:pPr>
              <w:jc w:val="left"/>
              <w:rPr>
                <w:rFonts w:hint="eastAsia" w:eastAsiaTheme="minorEastAsia"/>
                <w:color w:val="auto"/>
                <w:highlight w:val="none"/>
                <w:lang w:eastAsia="zh-CN"/>
              </w:rPr>
            </w:pPr>
            <w:r>
              <w:rPr>
                <w:rFonts w:hint="eastAsia"/>
                <w:color w:val="auto"/>
                <w:highlight w:val="none"/>
              </w:rPr>
              <w:t>名称：</w:t>
            </w:r>
            <w:r>
              <w:rPr>
                <w:rFonts w:hint="eastAsia"/>
                <w:color w:val="auto"/>
                <w:highlight w:val="none"/>
                <w:lang w:eastAsia="zh-CN"/>
              </w:rPr>
              <w:t>国家税务总局来宾市兴宾区税务局</w:t>
            </w:r>
          </w:p>
          <w:p w14:paraId="33B4C21A">
            <w:pPr>
              <w:jc w:val="left"/>
              <w:rPr>
                <w:rFonts w:hint="eastAsia" w:eastAsiaTheme="minorEastAsia"/>
                <w:color w:val="auto"/>
                <w:highlight w:val="none"/>
                <w:lang w:eastAsia="zh-CN"/>
              </w:rPr>
            </w:pPr>
            <w:r>
              <w:rPr>
                <w:rFonts w:hint="eastAsia"/>
                <w:color w:val="auto"/>
                <w:highlight w:val="none"/>
              </w:rPr>
              <w:t>地址：</w:t>
            </w:r>
            <w:r>
              <w:rPr>
                <w:rFonts w:hint="eastAsia"/>
                <w:color w:val="auto"/>
                <w:highlight w:val="none"/>
                <w:lang w:eastAsia="zh-CN"/>
              </w:rPr>
              <w:t>来宾市兴宾区维林大道417号</w:t>
            </w:r>
          </w:p>
          <w:p w14:paraId="4EC94319">
            <w:pPr>
              <w:jc w:val="left"/>
              <w:rPr>
                <w:color w:val="auto"/>
                <w:highlight w:val="none"/>
              </w:rPr>
            </w:pPr>
            <w:r>
              <w:rPr>
                <w:rFonts w:hint="eastAsia"/>
                <w:color w:val="auto"/>
                <w:highlight w:val="none"/>
              </w:rPr>
              <w:t>联系电话：</w:t>
            </w:r>
            <w:r>
              <w:rPr>
                <w:rFonts w:hint="eastAsia"/>
                <w:color w:val="auto"/>
                <w:highlight w:val="none"/>
                <w:lang w:eastAsia="zh-CN"/>
              </w:rPr>
              <w:t>梁峰瑜</w:t>
            </w:r>
            <w:r>
              <w:rPr>
                <w:rFonts w:hint="eastAsia"/>
                <w:color w:val="auto"/>
                <w:highlight w:val="none"/>
              </w:rPr>
              <w:t xml:space="preserve">           </w:t>
            </w:r>
          </w:p>
          <w:p w14:paraId="5F8F4AD0">
            <w:pPr>
              <w:jc w:val="left"/>
              <w:rPr>
                <w:color w:val="auto"/>
                <w:highlight w:val="none"/>
                <w:lang w:val="zh-CN"/>
              </w:rPr>
            </w:pPr>
            <w:r>
              <w:rPr>
                <w:rFonts w:hint="eastAsia"/>
                <w:color w:val="auto"/>
                <w:highlight w:val="none"/>
              </w:rPr>
              <w:t xml:space="preserve">联系方式：0771-5562212    </w:t>
            </w:r>
          </w:p>
        </w:tc>
      </w:tr>
      <w:tr w14:paraId="66D1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352D0D93">
            <w:pPr>
              <w:rPr>
                <w:color w:val="auto"/>
                <w:highlight w:val="none"/>
              </w:rPr>
            </w:pPr>
            <w:r>
              <w:rPr>
                <w:rFonts w:hint="eastAsia"/>
                <w:color w:val="auto"/>
                <w:highlight w:val="none"/>
              </w:rPr>
              <w:t>5</w:t>
            </w:r>
          </w:p>
        </w:tc>
        <w:tc>
          <w:tcPr>
            <w:tcW w:w="1984" w:type="dxa"/>
            <w:tcBorders>
              <w:top w:val="single" w:color="auto" w:sz="4" w:space="0"/>
              <w:left w:val="single" w:color="auto" w:sz="4" w:space="0"/>
              <w:bottom w:val="single" w:color="auto" w:sz="4" w:space="0"/>
              <w:right w:val="single" w:color="auto" w:sz="4" w:space="0"/>
            </w:tcBorders>
            <w:noWrap/>
            <w:vAlign w:val="center"/>
          </w:tcPr>
          <w:p w14:paraId="79F82EBB">
            <w:pPr>
              <w:rPr>
                <w:color w:val="auto"/>
                <w:highlight w:val="none"/>
              </w:rPr>
            </w:pPr>
            <w:r>
              <w:rPr>
                <w:rFonts w:hint="eastAsia"/>
                <w:color w:val="auto"/>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6607A8E1">
            <w:pPr>
              <w:jc w:val="left"/>
              <w:rPr>
                <w:color w:val="auto"/>
                <w:highlight w:val="none"/>
              </w:rPr>
            </w:pPr>
            <w:r>
              <w:rPr>
                <w:rFonts w:hint="eastAsia"/>
                <w:color w:val="auto"/>
                <w:highlight w:val="none"/>
              </w:rPr>
              <w:t>名称：广西众联工程项目管理有限公司</w:t>
            </w:r>
          </w:p>
          <w:p w14:paraId="02CB872E">
            <w:pPr>
              <w:jc w:val="left"/>
              <w:rPr>
                <w:color w:val="auto"/>
                <w:highlight w:val="none"/>
              </w:rPr>
            </w:pPr>
            <w:r>
              <w:rPr>
                <w:rFonts w:hint="eastAsia"/>
                <w:color w:val="auto"/>
                <w:highlight w:val="none"/>
              </w:rPr>
              <w:t>地址：南宁市江南区白沙大道53号松宇时代14A层</w:t>
            </w:r>
          </w:p>
          <w:p w14:paraId="48BF229C">
            <w:pPr>
              <w:jc w:val="left"/>
              <w:rPr>
                <w:color w:val="auto"/>
                <w:highlight w:val="none"/>
                <w:u w:val="single"/>
              </w:rPr>
            </w:pPr>
            <w:r>
              <w:rPr>
                <w:rFonts w:hint="eastAsia"/>
                <w:color w:val="auto"/>
                <w:highlight w:val="none"/>
              </w:rPr>
              <w:t>联系电话：0771-4308370</w:t>
            </w:r>
          </w:p>
          <w:p w14:paraId="35DB9690">
            <w:pPr>
              <w:jc w:val="left"/>
              <w:rPr>
                <w:rFonts w:hint="eastAsia" w:eastAsiaTheme="minorEastAsia"/>
                <w:color w:val="auto"/>
                <w:highlight w:val="none"/>
                <w:u w:val="single"/>
                <w:lang w:val="en-US" w:eastAsia="zh-CN"/>
              </w:rPr>
            </w:pPr>
            <w:r>
              <w:rPr>
                <w:rFonts w:hint="eastAsia"/>
                <w:color w:val="auto"/>
                <w:highlight w:val="none"/>
              </w:rPr>
              <w:t>联系方式：</w:t>
            </w:r>
            <w:r>
              <w:rPr>
                <w:rFonts w:hint="eastAsia"/>
                <w:color w:val="auto"/>
                <w:highlight w:val="none"/>
                <w:lang w:eastAsia="zh-CN"/>
              </w:rPr>
              <w:t>李柳婵、李宁、戚程、包鹏</w:t>
            </w:r>
          </w:p>
          <w:p w14:paraId="35AF82FC">
            <w:pPr>
              <w:jc w:val="left"/>
              <w:rPr>
                <w:rFonts w:hint="eastAsia" w:eastAsiaTheme="minorEastAsia"/>
                <w:color w:val="auto"/>
                <w:highlight w:val="none"/>
                <w:lang w:eastAsia="zh-CN"/>
              </w:rPr>
            </w:pPr>
            <w:r>
              <w:rPr>
                <w:rFonts w:hint="eastAsia"/>
                <w:color w:val="auto"/>
                <w:highlight w:val="none"/>
              </w:rPr>
              <w:t>邮箱：</w:t>
            </w:r>
            <w:r>
              <w:rPr>
                <w:rFonts w:hint="eastAsia"/>
                <w:color w:val="auto"/>
                <w:highlight w:val="none"/>
                <w:lang w:eastAsia="zh-CN"/>
              </w:rPr>
              <w:t>zhonglianxmgl@163.com</w:t>
            </w:r>
          </w:p>
        </w:tc>
      </w:tr>
      <w:tr w14:paraId="58E6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057C1B1C">
            <w:pPr>
              <w:rPr>
                <w:color w:val="auto"/>
                <w:highlight w:val="none"/>
              </w:rPr>
            </w:pPr>
            <w:r>
              <w:rPr>
                <w:rFonts w:hint="eastAsia"/>
                <w:color w:val="auto"/>
                <w:highlight w:val="none"/>
              </w:rPr>
              <w:t>6</w:t>
            </w:r>
          </w:p>
        </w:tc>
        <w:tc>
          <w:tcPr>
            <w:tcW w:w="1984" w:type="dxa"/>
            <w:tcBorders>
              <w:top w:val="single" w:color="auto" w:sz="4" w:space="0"/>
              <w:left w:val="single" w:color="auto" w:sz="4" w:space="0"/>
              <w:bottom w:val="single" w:color="auto" w:sz="4" w:space="0"/>
              <w:right w:val="single" w:color="auto" w:sz="4" w:space="0"/>
            </w:tcBorders>
            <w:noWrap/>
            <w:vAlign w:val="center"/>
          </w:tcPr>
          <w:p w14:paraId="5D73C21D">
            <w:pPr>
              <w:rPr>
                <w:color w:val="auto"/>
                <w:highlight w:val="none"/>
              </w:rPr>
            </w:pPr>
            <w:r>
              <w:rPr>
                <w:rFonts w:hint="eastAsia"/>
                <w:color w:val="auto"/>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5F66CB5A">
            <w:pPr>
              <w:jc w:val="left"/>
              <w:rPr>
                <w:color w:val="auto"/>
                <w:highlight w:val="none"/>
              </w:rPr>
            </w:pPr>
            <w:r>
              <w:rPr>
                <w:rFonts w:hint="eastAsia"/>
                <w:color w:val="auto"/>
                <w:highlight w:val="none"/>
              </w:rPr>
              <w:t>1.本项目由符合国家有关法律法规规定、同时满足本项目资质要求、在中国境内的供应商参加投标。</w:t>
            </w:r>
          </w:p>
          <w:p w14:paraId="0DFFC6B2">
            <w:pPr>
              <w:jc w:val="left"/>
              <w:rPr>
                <w:color w:val="auto"/>
                <w:highlight w:val="none"/>
              </w:rPr>
            </w:pPr>
            <w:r>
              <w:rPr>
                <w:rFonts w:hint="eastAsia"/>
                <w:color w:val="auto"/>
                <w:highlight w:val="none"/>
              </w:rPr>
              <w:t>2.满足《中华人民共和国政府采购法》第二十二条规定。</w:t>
            </w:r>
          </w:p>
          <w:p w14:paraId="1C34C131">
            <w:pPr>
              <w:keepNext w:val="0"/>
              <w:keepLines w:val="0"/>
              <w:pageBreakBefore w:val="0"/>
              <w:kinsoku/>
              <w:wordWrap/>
              <w:overflowPunct/>
              <w:topLinePunct w:val="0"/>
              <w:autoSpaceDE/>
              <w:autoSpaceDN/>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color w:val="auto"/>
                <w:highlight w:val="none"/>
              </w:rPr>
              <w:t>3.</w:t>
            </w:r>
            <w:r>
              <w:rPr>
                <w:rFonts w:hint="eastAsia" w:asciiTheme="minorEastAsia" w:hAnsiTheme="minorEastAsia" w:eastAsiaTheme="minorEastAsia" w:cstheme="minorEastAsia"/>
                <w:color w:val="auto"/>
                <w:sz w:val="21"/>
                <w:szCs w:val="21"/>
                <w:highlight w:val="none"/>
              </w:rPr>
              <w:t>本项目属于专门面向小</w:t>
            </w:r>
            <w:r>
              <w:rPr>
                <w:rFonts w:hint="eastAsia" w:cstheme="minorEastAsia"/>
                <w:color w:val="auto"/>
                <w:sz w:val="21"/>
                <w:szCs w:val="21"/>
                <w:highlight w:val="none"/>
                <w:lang w:val="en-US" w:eastAsia="zh-CN"/>
              </w:rPr>
              <w:t>微</w:t>
            </w:r>
            <w:r>
              <w:rPr>
                <w:rFonts w:hint="eastAsia" w:asciiTheme="minorEastAsia" w:hAnsiTheme="minorEastAsia" w:eastAsiaTheme="minorEastAsia" w:cstheme="minorEastAsia"/>
                <w:color w:val="auto"/>
                <w:sz w:val="21"/>
                <w:szCs w:val="21"/>
                <w:highlight w:val="none"/>
              </w:rPr>
              <w:t>企业采购的项目,供应商应为符合《政府采购促进中小企业发展管理办法》（财库﹝2020﹞46号）、《关于政府采购支持监狱企业发展有关问题的通知》(财库〔2014〕68号)、《关于促进残疾人就业政府采购政策的通知》(财库〔2017〕141号)等规定的条件的小微企业、或监狱企业、或残疾人福利性单位。即在本采购项目中（服务类），服务由小微企业承接（提供服务的人员为小微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14:paraId="157483CB">
            <w:pPr>
              <w:pStyle w:val="9"/>
              <w:jc w:val="left"/>
              <w:rPr>
                <w:color w:val="auto"/>
                <w:highlight w:val="none"/>
              </w:rPr>
            </w:pPr>
            <w:r>
              <w:rPr>
                <w:rFonts w:hint="eastAsia"/>
                <w:color w:val="auto"/>
                <w:highlight w:val="none"/>
              </w:rPr>
              <w:t>本项目采购标的对应的中小企业划分标准所属行业为</w:t>
            </w:r>
            <w:r>
              <w:rPr>
                <w:rFonts w:hint="eastAsia"/>
                <w:color w:val="auto"/>
                <w:highlight w:val="none"/>
                <w:lang w:eastAsia="zh-CN"/>
              </w:rPr>
              <w:t>租赁和商务服务业</w:t>
            </w:r>
            <w:r>
              <w:rPr>
                <w:rFonts w:hint="eastAsia"/>
                <w:color w:val="auto"/>
                <w:highlight w:val="none"/>
              </w:rPr>
              <w:t>。</w:t>
            </w:r>
          </w:p>
          <w:p w14:paraId="7D4EFA13">
            <w:pPr>
              <w:jc w:val="left"/>
              <w:rPr>
                <w:i/>
                <w:iCs/>
                <w:color w:val="auto"/>
                <w:highlight w:val="none"/>
                <w:u w:val="single"/>
              </w:rPr>
            </w:pPr>
            <w:r>
              <w:rPr>
                <w:rFonts w:hint="eastAsia"/>
                <w:color w:val="auto"/>
                <w:highlight w:val="none"/>
              </w:rPr>
              <w:t>4.本项目的特定资格要求：无。</w:t>
            </w:r>
          </w:p>
          <w:p w14:paraId="4DB4BC4E">
            <w:pPr>
              <w:jc w:val="left"/>
              <w:rPr>
                <w:color w:val="auto"/>
                <w:highlight w:val="none"/>
              </w:rPr>
            </w:pPr>
            <w:r>
              <w:rPr>
                <w:rFonts w:hint="eastAsia"/>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14:paraId="3B4118B3">
            <w:pPr>
              <w:jc w:val="left"/>
              <w:rPr>
                <w:color w:val="auto"/>
                <w:highlight w:val="none"/>
              </w:rPr>
            </w:pPr>
            <w:r>
              <w:rPr>
                <w:rFonts w:hint="eastAsia"/>
                <w:color w:val="auto"/>
                <w:highlight w:val="none"/>
              </w:rPr>
              <w:t>6.单位负责人为同一人或者存在直接控股、管理关系的不同供应商，不得参加同一合同项下的政府采购活动。</w:t>
            </w:r>
          </w:p>
          <w:p w14:paraId="30AC9670">
            <w:pPr>
              <w:jc w:val="left"/>
              <w:rPr>
                <w:color w:val="auto"/>
                <w:highlight w:val="none"/>
              </w:rPr>
            </w:pPr>
            <w:r>
              <w:rPr>
                <w:rFonts w:hint="eastAsia"/>
                <w:color w:val="auto"/>
                <w:highlight w:val="none"/>
              </w:rPr>
              <w:t>7.为本项目提供整体设计、规范编制或者项目管理、监理、检测等服务的供应商，不得再参加本次政府采购活动。</w:t>
            </w:r>
          </w:p>
        </w:tc>
      </w:tr>
      <w:tr w14:paraId="44D3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53797B81">
            <w:pPr>
              <w:rPr>
                <w:color w:val="auto"/>
                <w:highlight w:val="none"/>
              </w:rPr>
            </w:pPr>
            <w:r>
              <w:rPr>
                <w:rFonts w:hint="eastAsia"/>
                <w:color w:val="auto"/>
                <w:highlight w:val="none"/>
              </w:rPr>
              <w:t>7</w:t>
            </w:r>
          </w:p>
        </w:tc>
        <w:tc>
          <w:tcPr>
            <w:tcW w:w="1984" w:type="dxa"/>
            <w:tcBorders>
              <w:top w:val="single" w:color="auto" w:sz="4" w:space="0"/>
              <w:left w:val="single" w:color="auto" w:sz="4" w:space="0"/>
              <w:bottom w:val="single" w:color="auto" w:sz="4" w:space="0"/>
              <w:right w:val="single" w:color="auto" w:sz="4" w:space="0"/>
            </w:tcBorders>
            <w:noWrap/>
            <w:vAlign w:val="center"/>
          </w:tcPr>
          <w:p w14:paraId="515AFD65">
            <w:pPr>
              <w:rPr>
                <w:color w:val="auto"/>
                <w:highlight w:val="none"/>
              </w:rPr>
            </w:pPr>
            <w:r>
              <w:rPr>
                <w:rFonts w:hint="eastAsia"/>
                <w:color w:val="auto"/>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243CDCEC">
            <w:pPr>
              <w:jc w:val="left"/>
              <w:rPr>
                <w:color w:val="auto"/>
                <w:highlight w:val="none"/>
              </w:rPr>
            </w:pPr>
            <w:r>
              <w:rPr>
                <w:rFonts w:hint="eastAsia"/>
                <w:color w:val="auto"/>
                <w:highlight w:val="none"/>
              </w:rPr>
              <w:sym w:font="Wingdings 2" w:char="0052"/>
            </w:r>
            <w:r>
              <w:rPr>
                <w:rFonts w:hint="eastAsia"/>
                <w:color w:val="auto"/>
                <w:highlight w:val="none"/>
              </w:rPr>
              <w:t>不接受</w:t>
            </w:r>
          </w:p>
          <w:p w14:paraId="15EC62A2">
            <w:pPr>
              <w:jc w:val="left"/>
              <w:rPr>
                <w:color w:val="auto"/>
                <w:highlight w:val="none"/>
              </w:rPr>
            </w:pPr>
            <w:r>
              <w:rPr>
                <w:rFonts w:hint="eastAsia"/>
                <w:color w:val="auto"/>
                <w:highlight w:val="none"/>
              </w:rPr>
              <w:sym w:font="Wingdings 2" w:char="00A3"/>
            </w:r>
            <w:r>
              <w:rPr>
                <w:rFonts w:hint="eastAsia"/>
                <w:color w:val="auto"/>
                <w:highlight w:val="none"/>
              </w:rPr>
              <w:t>接受（接受联合体投标且投标人为联合体的，投标人应提供联合体协议；否则无须提供。）</w:t>
            </w:r>
          </w:p>
        </w:tc>
      </w:tr>
      <w:tr w14:paraId="18AC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3BF42D77">
            <w:pPr>
              <w:rPr>
                <w:color w:val="auto"/>
                <w:highlight w:val="none"/>
              </w:rPr>
            </w:pPr>
            <w:r>
              <w:rPr>
                <w:rFonts w:hint="eastAsia"/>
                <w:color w:val="auto"/>
                <w:highlight w:val="none"/>
              </w:rPr>
              <w:t>8</w:t>
            </w:r>
          </w:p>
        </w:tc>
        <w:tc>
          <w:tcPr>
            <w:tcW w:w="1984" w:type="dxa"/>
            <w:tcBorders>
              <w:top w:val="single" w:color="auto" w:sz="4" w:space="0"/>
              <w:left w:val="single" w:color="auto" w:sz="4" w:space="0"/>
              <w:bottom w:val="single" w:color="auto" w:sz="4" w:space="0"/>
              <w:right w:val="single" w:color="auto" w:sz="4" w:space="0"/>
            </w:tcBorders>
            <w:noWrap/>
            <w:vAlign w:val="center"/>
          </w:tcPr>
          <w:p w14:paraId="180952B4">
            <w:pPr>
              <w:rPr>
                <w:color w:val="auto"/>
                <w:highlight w:val="none"/>
              </w:rPr>
            </w:pPr>
            <w:r>
              <w:rPr>
                <w:rFonts w:hint="eastAsia"/>
                <w:color w:val="auto"/>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2E503F3E">
            <w:pPr>
              <w:pStyle w:val="8"/>
              <w:jc w:val="left"/>
              <w:rPr>
                <w:rFonts w:hint="eastAsia" w:eastAsiaTheme="minorEastAsia"/>
                <w:color w:val="auto"/>
                <w:highlight w:val="none"/>
                <w:lang w:eastAsia="zh-CN"/>
              </w:rPr>
            </w:pPr>
            <w:r>
              <w:rPr>
                <w:rFonts w:hint="eastAsia"/>
                <w:color w:val="auto"/>
                <w:highlight w:val="none"/>
                <w:lang w:eastAsia="zh-CN"/>
              </w:rPr>
              <w:t>租赁和商务服务业</w:t>
            </w:r>
          </w:p>
        </w:tc>
      </w:tr>
      <w:tr w14:paraId="3558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14:paraId="56D34F29">
            <w:pPr>
              <w:rPr>
                <w:color w:val="auto"/>
                <w:highlight w:val="none"/>
              </w:rPr>
            </w:pPr>
            <w:r>
              <w:rPr>
                <w:rFonts w:hint="eastAsia"/>
                <w:color w:val="auto"/>
                <w:highlight w:val="none"/>
              </w:rPr>
              <w:t>9</w:t>
            </w:r>
          </w:p>
        </w:tc>
        <w:tc>
          <w:tcPr>
            <w:tcW w:w="1984" w:type="dxa"/>
            <w:tcBorders>
              <w:top w:val="single" w:color="auto" w:sz="4" w:space="0"/>
              <w:left w:val="single" w:color="auto" w:sz="4" w:space="0"/>
              <w:bottom w:val="single" w:color="auto" w:sz="4" w:space="0"/>
              <w:right w:val="single" w:color="auto" w:sz="4" w:space="0"/>
            </w:tcBorders>
            <w:noWrap/>
            <w:vAlign w:val="center"/>
          </w:tcPr>
          <w:p w14:paraId="6013E5B4">
            <w:pPr>
              <w:rPr>
                <w:color w:val="auto"/>
                <w:highlight w:val="none"/>
              </w:rPr>
            </w:pPr>
            <w:r>
              <w:rPr>
                <w:rFonts w:hint="eastAsia"/>
                <w:color w:val="auto"/>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14:paraId="267A0D78">
            <w:pPr>
              <w:jc w:val="left"/>
              <w:rPr>
                <w:color w:val="auto"/>
                <w:highlight w:val="none"/>
              </w:rPr>
            </w:pPr>
            <w:r>
              <w:rPr>
                <w:rFonts w:hint="eastAsia"/>
                <w:color w:val="auto"/>
                <w:highlight w:val="none"/>
              </w:rPr>
              <w:t>是否允许中标人将本项目的非主体、非关键性工作进行分包：</w:t>
            </w:r>
          </w:p>
          <w:p w14:paraId="0773BD5F">
            <w:pPr>
              <w:jc w:val="left"/>
              <w:rPr>
                <w:color w:val="auto"/>
                <w:highlight w:val="none"/>
              </w:rPr>
            </w:pPr>
            <w:r>
              <w:rPr>
                <w:rFonts w:hint="eastAsia"/>
                <w:color w:val="auto"/>
                <w:highlight w:val="none"/>
              </w:rPr>
              <w:t>采购包1：</w:t>
            </w:r>
          </w:p>
          <w:p w14:paraId="6EE261A9">
            <w:pPr>
              <w:jc w:val="left"/>
              <w:rPr>
                <w:color w:val="auto"/>
                <w:highlight w:val="none"/>
              </w:rPr>
            </w:pPr>
            <w:r>
              <w:rPr>
                <w:rFonts w:hint="eastAsia"/>
                <w:color w:val="auto"/>
                <w:highlight w:val="none"/>
              </w:rPr>
              <w:sym w:font="Wingdings 2" w:char="0052"/>
            </w:r>
            <w:r>
              <w:rPr>
                <w:rFonts w:hint="eastAsia"/>
                <w:color w:val="auto"/>
                <w:highlight w:val="none"/>
              </w:rPr>
              <w:t>不允许</w:t>
            </w:r>
          </w:p>
          <w:p w14:paraId="32627532">
            <w:pPr>
              <w:jc w:val="left"/>
              <w:rPr>
                <w:i/>
                <w:color w:val="auto"/>
                <w:highlight w:val="none"/>
                <w:u w:val="single"/>
              </w:rPr>
            </w:pPr>
            <w:r>
              <w:rPr>
                <w:rFonts w:hint="eastAsia"/>
                <w:color w:val="auto"/>
                <w:highlight w:val="none"/>
              </w:rPr>
              <w:t>□允许，（写明可以分包履行的具体内容、金额或者比例）</w:t>
            </w:r>
          </w:p>
          <w:p w14:paraId="4158A534">
            <w:pPr>
              <w:jc w:val="left"/>
              <w:rPr>
                <w:color w:val="auto"/>
                <w:highlight w:val="none"/>
              </w:rPr>
            </w:pPr>
            <w:r>
              <w:rPr>
                <w:rFonts w:hint="eastAsia"/>
                <w:color w:val="auto"/>
                <w:highlight w:val="none"/>
              </w:rPr>
              <w:t>采购包2：</w:t>
            </w:r>
          </w:p>
        </w:tc>
      </w:tr>
      <w:tr w14:paraId="3B65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7AD10365">
            <w:pPr>
              <w:rPr>
                <w:color w:val="auto"/>
                <w:highlight w:val="none"/>
              </w:rPr>
            </w:pPr>
            <w:r>
              <w:rPr>
                <w:rFonts w:hint="eastAsia"/>
                <w:color w:val="auto"/>
                <w:highlight w:val="none"/>
              </w:rPr>
              <w:t>10</w:t>
            </w:r>
          </w:p>
        </w:tc>
        <w:tc>
          <w:tcPr>
            <w:tcW w:w="1984" w:type="dxa"/>
            <w:noWrap/>
            <w:vAlign w:val="center"/>
          </w:tcPr>
          <w:p w14:paraId="4518FB1B">
            <w:pPr>
              <w:rPr>
                <w:color w:val="auto"/>
                <w:highlight w:val="none"/>
              </w:rPr>
            </w:pPr>
            <w:r>
              <w:rPr>
                <w:rFonts w:hint="eastAsia"/>
                <w:color w:val="auto"/>
                <w:highlight w:val="none"/>
              </w:rPr>
              <w:t>核心产品</w:t>
            </w:r>
          </w:p>
        </w:tc>
        <w:tc>
          <w:tcPr>
            <w:tcW w:w="6058" w:type="dxa"/>
            <w:gridSpan w:val="2"/>
            <w:noWrap/>
            <w:vAlign w:val="center"/>
          </w:tcPr>
          <w:p w14:paraId="5CE67930">
            <w:pPr>
              <w:jc w:val="left"/>
              <w:rPr>
                <w:color w:val="auto"/>
                <w:highlight w:val="none"/>
              </w:rPr>
            </w:pPr>
            <w:r>
              <w:rPr>
                <w:rFonts w:hint="eastAsia"/>
                <w:color w:val="auto"/>
                <w:highlight w:val="none"/>
              </w:rPr>
              <w:t>货物类项目填写此栏</w:t>
            </w:r>
          </w:p>
          <w:p w14:paraId="1262023C">
            <w:pPr>
              <w:jc w:val="left"/>
              <w:rPr>
                <w:color w:val="auto"/>
                <w:highlight w:val="none"/>
              </w:rPr>
            </w:pPr>
            <w:r>
              <w:rPr>
                <w:rFonts w:hint="eastAsia"/>
                <w:color w:val="auto"/>
                <w:highlight w:val="none"/>
              </w:rPr>
              <w:sym w:font="Wingdings 2" w:char="00A3"/>
            </w:r>
            <w:r>
              <w:rPr>
                <w:rFonts w:hint="eastAsia"/>
                <w:color w:val="auto"/>
                <w:highlight w:val="none"/>
              </w:rPr>
              <w:t>无</w:t>
            </w:r>
          </w:p>
          <w:p w14:paraId="693638B9">
            <w:pPr>
              <w:jc w:val="left"/>
              <w:rPr>
                <w:color w:val="auto"/>
                <w:highlight w:val="none"/>
              </w:rPr>
            </w:pPr>
            <w:r>
              <w:rPr>
                <w:rFonts w:hint="eastAsia"/>
                <w:color w:val="auto"/>
                <w:highlight w:val="none"/>
              </w:rPr>
              <w:sym w:font="Wingdings 2" w:char="F0A3"/>
            </w:r>
            <w:r>
              <w:rPr>
                <w:rFonts w:hint="eastAsia"/>
                <w:color w:val="auto"/>
                <w:highlight w:val="none"/>
              </w:rPr>
              <w:t>有</w:t>
            </w:r>
          </w:p>
          <w:p w14:paraId="1E4D7F31">
            <w:pPr>
              <w:jc w:val="left"/>
              <w:rPr>
                <w:color w:val="auto"/>
                <w:highlight w:val="none"/>
                <w:u w:val="single"/>
              </w:rPr>
            </w:pPr>
            <w:r>
              <w:rPr>
                <w:rFonts w:hint="eastAsia"/>
                <w:color w:val="auto"/>
                <w:highlight w:val="none"/>
              </w:rPr>
              <w:t>产品名称：/</w:t>
            </w:r>
          </w:p>
          <w:p w14:paraId="0162DFF6">
            <w:pPr>
              <w:jc w:val="left"/>
              <w:rPr>
                <w:color w:val="auto"/>
                <w:highlight w:val="none"/>
                <w:lang w:val="zh-CN"/>
              </w:rPr>
            </w:pPr>
            <w:r>
              <w:rPr>
                <w:rFonts w:hint="eastAsia"/>
                <w:color w:val="auto"/>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的方式确定一个参加评标的投标人，招标文件未规定的采取随机抽取方式确定，其他投标无效。</w:t>
            </w:r>
          </w:p>
          <w:p w14:paraId="2170A764">
            <w:pPr>
              <w:jc w:val="left"/>
              <w:rPr>
                <w:color w:val="auto"/>
                <w:highlight w:val="none"/>
                <w:u w:val="single"/>
              </w:rPr>
            </w:pPr>
            <w:r>
              <w:rPr>
                <w:rFonts w:hint="eastAsia"/>
                <w:color w:val="auto"/>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color w:val="auto"/>
                <w:highlight w:val="none"/>
              </w:rPr>
              <w:t>评审得分相同的，由采购人或者采购人委托评标委员会按照的方式确定一个投标人获得中标人推荐资格，招标文件未规定的采取随机抽取方式确定</w:t>
            </w:r>
            <w:r>
              <w:rPr>
                <w:rFonts w:hint="eastAsia"/>
                <w:color w:val="auto"/>
                <w:highlight w:val="none"/>
                <w:lang w:val="zh-CN"/>
              </w:rPr>
              <w:t>），其他同品牌投标人不作为中标候选人。</w:t>
            </w:r>
          </w:p>
        </w:tc>
      </w:tr>
      <w:tr w14:paraId="3F48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04B592CE">
            <w:pPr>
              <w:rPr>
                <w:color w:val="auto"/>
                <w:highlight w:val="none"/>
              </w:rPr>
            </w:pPr>
            <w:r>
              <w:rPr>
                <w:rFonts w:hint="eastAsia"/>
                <w:color w:val="auto"/>
                <w:highlight w:val="none"/>
              </w:rPr>
              <w:t>11</w:t>
            </w:r>
          </w:p>
        </w:tc>
        <w:tc>
          <w:tcPr>
            <w:tcW w:w="1984" w:type="dxa"/>
            <w:noWrap/>
            <w:vAlign w:val="center"/>
          </w:tcPr>
          <w:p w14:paraId="3BE4AFDF">
            <w:pPr>
              <w:rPr>
                <w:color w:val="auto"/>
                <w:highlight w:val="none"/>
              </w:rPr>
            </w:pPr>
            <w:r>
              <w:rPr>
                <w:rFonts w:hint="eastAsia"/>
                <w:color w:val="auto"/>
                <w:highlight w:val="none"/>
              </w:rPr>
              <w:t>采购进口产品</w:t>
            </w:r>
          </w:p>
        </w:tc>
        <w:tc>
          <w:tcPr>
            <w:tcW w:w="6058" w:type="dxa"/>
            <w:gridSpan w:val="2"/>
            <w:noWrap/>
            <w:vAlign w:val="center"/>
          </w:tcPr>
          <w:p w14:paraId="2237FC9C">
            <w:pPr>
              <w:jc w:val="left"/>
              <w:rPr>
                <w:color w:val="auto"/>
                <w:highlight w:val="none"/>
              </w:rPr>
            </w:pPr>
            <w:r>
              <w:rPr>
                <w:rFonts w:hint="eastAsia"/>
                <w:color w:val="auto"/>
                <w:highlight w:val="none"/>
              </w:rPr>
              <w:sym w:font="Wingdings 2" w:char="F0A3"/>
            </w:r>
            <w:r>
              <w:rPr>
                <w:rFonts w:hint="eastAsia"/>
                <w:color w:val="auto"/>
                <w:highlight w:val="none"/>
              </w:rPr>
              <w:t>本采购项目拒绝进口产品参加投标</w:t>
            </w:r>
          </w:p>
          <w:p w14:paraId="00173652">
            <w:pPr>
              <w:jc w:val="left"/>
              <w:rPr>
                <w:color w:val="auto"/>
                <w:highlight w:val="none"/>
              </w:rPr>
            </w:pPr>
            <w:r>
              <w:rPr>
                <w:rFonts w:hint="eastAsia"/>
                <w:color w:val="auto"/>
                <w:highlight w:val="none"/>
              </w:rPr>
              <w:t>□本采购项目已经财政部审核同意购买进口产品</w:t>
            </w:r>
          </w:p>
          <w:p w14:paraId="3FB9D8CA">
            <w:pPr>
              <w:jc w:val="left"/>
              <w:rPr>
                <w:color w:val="auto"/>
                <w:highlight w:val="none"/>
              </w:rPr>
            </w:pPr>
            <w:r>
              <w:rPr>
                <w:rFonts w:hint="eastAsia"/>
                <w:color w:val="auto"/>
                <w:highlight w:val="none"/>
              </w:rPr>
              <w:sym w:font="Wingdings 2" w:char="0052"/>
            </w:r>
            <w:r>
              <w:rPr>
                <w:rFonts w:hint="eastAsia"/>
                <w:color w:val="auto"/>
                <w:highlight w:val="none"/>
              </w:rPr>
              <w:t xml:space="preserve">其他     /         </w:t>
            </w:r>
          </w:p>
        </w:tc>
      </w:tr>
      <w:tr w14:paraId="2644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02C90FB6">
            <w:pPr>
              <w:rPr>
                <w:color w:val="auto"/>
                <w:highlight w:val="none"/>
              </w:rPr>
            </w:pPr>
            <w:r>
              <w:rPr>
                <w:rFonts w:hint="eastAsia"/>
                <w:color w:val="auto"/>
                <w:highlight w:val="none"/>
              </w:rPr>
              <w:t>12</w:t>
            </w:r>
          </w:p>
        </w:tc>
        <w:tc>
          <w:tcPr>
            <w:tcW w:w="1984" w:type="dxa"/>
            <w:noWrap/>
            <w:vAlign w:val="center"/>
          </w:tcPr>
          <w:p w14:paraId="4D40B669">
            <w:pPr>
              <w:rPr>
                <w:b/>
                <w:color w:val="auto"/>
                <w:highlight w:val="none"/>
              </w:rPr>
            </w:pPr>
            <w:r>
              <w:rPr>
                <w:rFonts w:hint="eastAsia"/>
                <w:color w:val="auto"/>
                <w:highlight w:val="none"/>
              </w:rPr>
              <w:t>信息发布媒体</w:t>
            </w:r>
          </w:p>
        </w:tc>
        <w:tc>
          <w:tcPr>
            <w:tcW w:w="6058" w:type="dxa"/>
            <w:gridSpan w:val="2"/>
            <w:noWrap/>
            <w:vAlign w:val="center"/>
          </w:tcPr>
          <w:p w14:paraId="0A1AE5C7">
            <w:pPr>
              <w:jc w:val="left"/>
              <w:rPr>
                <w:color w:val="auto"/>
                <w:highlight w:val="none"/>
              </w:rPr>
            </w:pPr>
            <w:r>
              <w:rPr>
                <w:rFonts w:hint="eastAsia"/>
                <w:color w:val="auto"/>
                <w:highlight w:val="none"/>
              </w:rPr>
              <w:t>（1）中国政府采购网（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highlight w:val="none"/>
              </w:rPr>
              <w:t>www.ccgp.gov.cn</w:t>
            </w:r>
            <w:r>
              <w:rPr>
                <w:rFonts w:hint="eastAsia"/>
                <w:color w:val="auto"/>
                <w:highlight w:val="none"/>
              </w:rPr>
              <w:fldChar w:fldCharType="end"/>
            </w:r>
            <w:r>
              <w:rPr>
                <w:rFonts w:hint="eastAsia"/>
                <w:color w:val="auto"/>
                <w:highlight w:val="none"/>
              </w:rPr>
              <w:t>）</w:t>
            </w:r>
          </w:p>
          <w:p w14:paraId="19C49251">
            <w:pPr>
              <w:jc w:val="left"/>
              <w:rPr>
                <w:rFonts w:hint="eastAsia" w:eastAsiaTheme="minorEastAsia"/>
                <w:color w:val="auto"/>
                <w:highlight w:val="none"/>
                <w:lang w:eastAsia="zh-CN"/>
              </w:rPr>
            </w:pPr>
            <w:r>
              <w:rPr>
                <w:rFonts w:hint="eastAsia"/>
                <w:color w:val="auto"/>
                <w:highlight w:val="none"/>
              </w:rPr>
              <w:t>（2）</w:t>
            </w:r>
            <w:r>
              <w:rPr>
                <w:rFonts w:hint="eastAsia"/>
                <w:color w:val="auto"/>
                <w:highlight w:val="none"/>
                <w:lang w:eastAsia="zh-CN"/>
              </w:rPr>
              <w:t>国家税务总局广西壮族自治区税务局来宾频道（https://guangxi.chinatax.gov.cn/laibin）</w:t>
            </w:r>
          </w:p>
          <w:p w14:paraId="14871364">
            <w:pPr>
              <w:pStyle w:val="27"/>
              <w:spacing w:line="440" w:lineRule="exact"/>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（3）广西众联工程项目管理有限公司网站（</w:t>
            </w:r>
            <w:r>
              <w:rPr>
                <w:rFonts w:hint="eastAsia" w:asciiTheme="minorEastAsia" w:hAnsiTheme="minorEastAsia" w:eastAsiaTheme="minorEastAsia" w:cstheme="minorEastAsia"/>
                <w:color w:val="auto"/>
                <w:sz w:val="21"/>
                <w:szCs w:val="21"/>
                <w:highlight w:val="none"/>
                <w:lang w:eastAsia="zh-CN"/>
              </w:rPr>
              <w:t>www.gxzhonglian.cn</w:t>
            </w:r>
            <w:r>
              <w:rPr>
                <w:rFonts w:hint="eastAsia" w:asciiTheme="minorEastAsia" w:hAnsiTheme="minorEastAsia" w:eastAsiaTheme="minorEastAsia" w:cstheme="minorEastAsia"/>
                <w:color w:val="auto"/>
                <w:sz w:val="21"/>
                <w:szCs w:val="21"/>
                <w:highlight w:val="none"/>
              </w:rPr>
              <w:t>）</w:t>
            </w:r>
          </w:p>
        </w:tc>
      </w:tr>
      <w:tr w14:paraId="5A50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2D3B4F3B">
            <w:pPr>
              <w:rPr>
                <w:color w:val="auto"/>
                <w:highlight w:val="none"/>
              </w:rPr>
            </w:pPr>
            <w:r>
              <w:rPr>
                <w:rFonts w:hint="eastAsia"/>
                <w:color w:val="auto"/>
                <w:highlight w:val="none"/>
              </w:rPr>
              <w:t>13</w:t>
            </w:r>
          </w:p>
        </w:tc>
        <w:tc>
          <w:tcPr>
            <w:tcW w:w="1984" w:type="dxa"/>
            <w:noWrap/>
            <w:vAlign w:val="center"/>
          </w:tcPr>
          <w:p w14:paraId="7B21178A">
            <w:pPr>
              <w:rPr>
                <w:color w:val="auto"/>
                <w:highlight w:val="none"/>
              </w:rPr>
            </w:pPr>
            <w:r>
              <w:rPr>
                <w:rFonts w:hint="eastAsia"/>
                <w:color w:val="auto"/>
                <w:highlight w:val="none"/>
              </w:rPr>
              <w:t>获取招标文件</w:t>
            </w:r>
          </w:p>
          <w:p w14:paraId="42EAB7DE">
            <w:pPr>
              <w:rPr>
                <w:color w:val="auto"/>
                <w:highlight w:val="none"/>
              </w:rPr>
            </w:pPr>
            <w:r>
              <w:rPr>
                <w:rFonts w:hint="eastAsia"/>
                <w:color w:val="auto"/>
                <w:highlight w:val="none"/>
              </w:rPr>
              <w:t>时间、地点和</w:t>
            </w:r>
          </w:p>
          <w:p w14:paraId="118D654A">
            <w:pPr>
              <w:rPr>
                <w:color w:val="auto"/>
                <w:highlight w:val="none"/>
              </w:rPr>
            </w:pPr>
            <w:r>
              <w:rPr>
                <w:rFonts w:hint="eastAsia"/>
                <w:color w:val="auto"/>
                <w:highlight w:val="none"/>
              </w:rPr>
              <w:t>方式等</w:t>
            </w:r>
          </w:p>
        </w:tc>
        <w:tc>
          <w:tcPr>
            <w:tcW w:w="6058" w:type="dxa"/>
            <w:gridSpan w:val="2"/>
            <w:noWrap/>
            <w:vAlign w:val="center"/>
          </w:tcPr>
          <w:p w14:paraId="7E857A28">
            <w:pPr>
              <w:jc w:val="left"/>
              <w:rPr>
                <w:color w:val="auto"/>
                <w:highlight w:val="none"/>
              </w:rPr>
            </w:pPr>
            <w:r>
              <w:rPr>
                <w:rFonts w:hint="eastAsia"/>
                <w:color w:val="auto"/>
                <w:highlight w:val="none"/>
              </w:rPr>
              <w:t>时间：2024年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25</w:t>
            </w:r>
            <w:r>
              <w:rPr>
                <w:rFonts w:hint="eastAsia"/>
                <w:color w:val="auto"/>
                <w:highlight w:val="none"/>
              </w:rPr>
              <w:t>日至2024年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w:t>
            </w:r>
            <w:r>
              <w:rPr>
                <w:rFonts w:hint="eastAsia"/>
                <w:color w:val="auto"/>
                <w:highlight w:val="none"/>
              </w:rPr>
              <w:t>日，每天上午8:30至12:00，下午14:30至17:30（北京时间，法定节假日除外）</w:t>
            </w:r>
          </w:p>
          <w:p w14:paraId="793EB692">
            <w:pPr>
              <w:jc w:val="left"/>
              <w:rPr>
                <w:color w:val="auto"/>
                <w:highlight w:val="none"/>
              </w:rPr>
            </w:pPr>
            <w:r>
              <w:rPr>
                <w:rFonts w:hint="eastAsia"/>
                <w:color w:val="auto"/>
                <w:highlight w:val="none"/>
              </w:rPr>
              <w:t>地点：广西众联工程项目管理有限公司财务部（南宁市江南区白沙大道53号松宇时代14A层）。</w:t>
            </w:r>
          </w:p>
          <w:p w14:paraId="2C310BA4">
            <w:pPr>
              <w:jc w:val="left"/>
              <w:rPr>
                <w:color w:val="auto"/>
                <w:highlight w:val="none"/>
              </w:rPr>
            </w:pPr>
            <w:r>
              <w:rPr>
                <w:rFonts w:hint="eastAsia"/>
                <w:color w:val="auto"/>
                <w:highlight w:val="none"/>
              </w:rPr>
              <w:t>方式：（可以采用以下方式之一获取招标文件）：①现场购买：供应商无需携带报名资料，到广西众联工程项目管理有限公司财务部获取招标文件，付款方式只接受现金付款或者微信付款、支付宝付款，不接受银行卡刷卡支付。②电子邮件方式：</w:t>
            </w:r>
            <w:r>
              <w:rPr>
                <w:color w:val="auto"/>
                <w:highlight w:val="none"/>
              </w:rPr>
              <w:fldChar w:fldCharType="begin"/>
            </w:r>
            <w:r>
              <w:rPr>
                <w:color w:val="auto"/>
                <w:highlight w:val="none"/>
              </w:rPr>
              <w:instrText xml:space="preserve"> HYPERLINK "mailto:供应商需于招标文件获取时间内将招标文件工本费（只接受公对公转账，不接受私人账号转账，并备注项目编号）转账底单（并附上项目名称、项目编号、收件人姓名、联系电话、收件地址、开票信息）扫描发邮件至604039546@qq.com邮箱，代理机构查收后当日向供应商发送获取文件登记表及电子版招标文件并办理纸质版招标文件邮寄（邮费到付）事宜" </w:instrText>
            </w:r>
            <w:r>
              <w:rPr>
                <w:color w:val="auto"/>
                <w:highlight w:val="none"/>
              </w:rPr>
              <w:fldChar w:fldCharType="separate"/>
            </w:r>
            <w:r>
              <w:rPr>
                <w:rStyle w:val="23"/>
                <w:rFonts w:hint="eastAsia" w:ascii="宋体" w:hAnsi="宋体" w:cs="宋体"/>
                <w:color w:val="auto"/>
                <w:highlight w:val="none"/>
                <w:u w:val="none"/>
              </w:rPr>
              <w:t>供应商需于招标文件获取时间内将招标文件工本费（只接受公对公转账，不接受私人账号转账，并备注项目编号）转账底单（并附上项目名称、项目编号、收件人姓名、联系电话、收件地址、开票信息）扫描发邮件至</w:t>
            </w:r>
            <w:r>
              <w:rPr>
                <w:rStyle w:val="23"/>
                <w:rFonts w:hint="eastAsia" w:ascii="宋体" w:hAnsi="宋体" w:cs="宋体"/>
                <w:color w:val="auto"/>
                <w:highlight w:val="none"/>
                <w:u w:val="none"/>
                <w:lang w:eastAsia="zh-CN"/>
              </w:rPr>
              <w:t>zhonglianxmgl@163.com</w:t>
            </w:r>
            <w:r>
              <w:rPr>
                <w:rStyle w:val="23"/>
                <w:rFonts w:hint="eastAsia" w:ascii="宋体" w:hAnsi="宋体" w:cs="宋体"/>
                <w:color w:val="auto"/>
                <w:highlight w:val="none"/>
                <w:u w:val="none"/>
              </w:rPr>
              <w:t>邮箱，代理机构查收后当日向供应商发送获取文件登记表及电子版招标文件并办理纸质版招标文件邮寄（邮费到付）事宜</w:t>
            </w:r>
            <w:r>
              <w:rPr>
                <w:rStyle w:val="23"/>
                <w:rFonts w:hint="eastAsia" w:ascii="宋体" w:hAnsi="宋体" w:cs="宋体"/>
                <w:color w:val="auto"/>
                <w:highlight w:val="none"/>
                <w:u w:val="none"/>
              </w:rPr>
              <w:fldChar w:fldCharType="end"/>
            </w:r>
            <w:r>
              <w:rPr>
                <w:rFonts w:hint="eastAsia"/>
                <w:color w:val="auto"/>
                <w:highlight w:val="none"/>
              </w:rPr>
              <w:t>（供应商未提供联系方式，由此造成供应商无法按时获取纸质版招标文件的，责任由供应商承担）。</w:t>
            </w:r>
          </w:p>
          <w:p w14:paraId="2759337E">
            <w:pPr>
              <w:jc w:val="left"/>
              <w:rPr>
                <w:color w:val="auto"/>
                <w:highlight w:val="none"/>
              </w:rPr>
            </w:pPr>
            <w:r>
              <w:rPr>
                <w:rFonts w:hint="eastAsia"/>
                <w:color w:val="auto"/>
                <w:highlight w:val="none"/>
              </w:rPr>
              <w:t>收款人户名：广西众联工程项目管理有限公司</w:t>
            </w:r>
          </w:p>
          <w:p w14:paraId="6427910C">
            <w:pPr>
              <w:jc w:val="left"/>
              <w:rPr>
                <w:color w:val="auto"/>
                <w:highlight w:val="none"/>
              </w:rPr>
            </w:pPr>
            <w:r>
              <w:rPr>
                <w:rFonts w:hint="eastAsia"/>
                <w:color w:val="auto"/>
                <w:highlight w:val="none"/>
              </w:rPr>
              <w:t>开户银行：中国光大银行股份有限公司南宁民主支行</w:t>
            </w:r>
          </w:p>
          <w:p w14:paraId="21934719">
            <w:pPr>
              <w:jc w:val="left"/>
              <w:rPr>
                <w:color w:val="auto"/>
                <w:highlight w:val="none"/>
              </w:rPr>
            </w:pPr>
            <w:r>
              <w:rPr>
                <w:rFonts w:hint="eastAsia"/>
                <w:color w:val="auto"/>
                <w:highlight w:val="none"/>
              </w:rPr>
              <w:t>银行账号：78900188000167866</w:t>
            </w:r>
          </w:p>
          <w:p w14:paraId="157EE716">
            <w:pPr>
              <w:pStyle w:val="27"/>
              <w:spacing w:line="440" w:lineRule="exact"/>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售价：¥300.00元，本公告包含的招标文件售价总和。</w:t>
            </w:r>
          </w:p>
        </w:tc>
      </w:tr>
      <w:tr w14:paraId="46FA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4AB6EDBD">
            <w:pPr>
              <w:rPr>
                <w:color w:val="auto"/>
                <w:highlight w:val="none"/>
              </w:rPr>
            </w:pPr>
            <w:r>
              <w:rPr>
                <w:rFonts w:hint="eastAsia"/>
                <w:color w:val="auto"/>
                <w:highlight w:val="none"/>
              </w:rPr>
              <w:t>14</w:t>
            </w:r>
          </w:p>
        </w:tc>
        <w:tc>
          <w:tcPr>
            <w:tcW w:w="1984" w:type="dxa"/>
            <w:noWrap/>
            <w:vAlign w:val="center"/>
          </w:tcPr>
          <w:p w14:paraId="68E69993">
            <w:pPr>
              <w:rPr>
                <w:color w:val="auto"/>
                <w:highlight w:val="none"/>
              </w:rPr>
            </w:pPr>
            <w:r>
              <w:rPr>
                <w:rFonts w:hint="eastAsia"/>
                <w:color w:val="auto"/>
                <w:highlight w:val="none"/>
              </w:rPr>
              <w:t>现场考察</w:t>
            </w:r>
          </w:p>
        </w:tc>
        <w:tc>
          <w:tcPr>
            <w:tcW w:w="6058" w:type="dxa"/>
            <w:gridSpan w:val="2"/>
            <w:noWrap/>
            <w:vAlign w:val="center"/>
          </w:tcPr>
          <w:p w14:paraId="4EF30F11">
            <w:pPr>
              <w:jc w:val="left"/>
              <w:rPr>
                <w:color w:val="auto"/>
                <w:highlight w:val="none"/>
              </w:rPr>
            </w:pPr>
            <w:r>
              <w:rPr>
                <w:rFonts w:hint="eastAsia"/>
                <w:color w:val="auto"/>
                <w:highlight w:val="none"/>
              </w:rPr>
              <w:sym w:font="Wingdings 2" w:char="0052"/>
            </w:r>
            <w:r>
              <w:rPr>
                <w:rFonts w:hint="eastAsia"/>
                <w:color w:val="auto"/>
                <w:highlight w:val="none"/>
              </w:rPr>
              <w:t>不组织现场考察</w:t>
            </w:r>
          </w:p>
          <w:p w14:paraId="17946081">
            <w:pPr>
              <w:jc w:val="left"/>
              <w:rPr>
                <w:color w:val="auto"/>
                <w:highlight w:val="none"/>
              </w:rPr>
            </w:pPr>
            <w:r>
              <w:rPr>
                <w:rFonts w:hint="eastAsia"/>
                <w:color w:val="auto"/>
                <w:highlight w:val="none"/>
              </w:rPr>
              <w:sym w:font="Wingdings 2" w:char="F0A3"/>
            </w:r>
            <w:r>
              <w:rPr>
                <w:rFonts w:hint="eastAsia"/>
                <w:color w:val="auto"/>
                <w:highlight w:val="none"/>
              </w:rPr>
              <w:t>组织现场考察：</w:t>
            </w:r>
          </w:p>
          <w:p w14:paraId="6EF013D7">
            <w:pPr>
              <w:jc w:val="left"/>
              <w:rPr>
                <w:color w:val="auto"/>
                <w:highlight w:val="none"/>
              </w:rPr>
            </w:pPr>
            <w:r>
              <w:rPr>
                <w:rFonts w:hint="eastAsia"/>
                <w:color w:val="auto"/>
                <w:highlight w:val="none"/>
              </w:rPr>
              <w:t>时间：</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r>
              <w:rPr>
                <w:rFonts w:hint="eastAsia"/>
                <w:color w:val="auto"/>
                <w:highlight w:val="none"/>
                <w:lang w:val="en-US" w:eastAsia="zh-CN"/>
              </w:rPr>
              <w:t>时分</w:t>
            </w:r>
            <w:r>
              <w:rPr>
                <w:rFonts w:hint="eastAsia"/>
                <w:color w:val="auto"/>
                <w:highlight w:val="none"/>
              </w:rPr>
              <w:t>（北京时间）</w:t>
            </w:r>
          </w:p>
          <w:p w14:paraId="53288D98">
            <w:pPr>
              <w:jc w:val="left"/>
              <w:rPr>
                <w:color w:val="auto"/>
                <w:highlight w:val="none"/>
              </w:rPr>
            </w:pPr>
            <w:r>
              <w:rPr>
                <w:rFonts w:hint="eastAsia"/>
                <w:color w:val="auto"/>
                <w:highlight w:val="none"/>
              </w:rPr>
              <w:t>地点：</w:t>
            </w:r>
          </w:p>
          <w:p w14:paraId="19F5F707">
            <w:pPr>
              <w:jc w:val="left"/>
              <w:rPr>
                <w:color w:val="auto"/>
                <w:highlight w:val="none"/>
              </w:rPr>
            </w:pPr>
            <w:r>
              <w:rPr>
                <w:rFonts w:hint="eastAsia"/>
                <w:color w:val="auto"/>
                <w:highlight w:val="none"/>
              </w:rPr>
              <w:t>联系人：</w:t>
            </w:r>
          </w:p>
          <w:p w14:paraId="1372F7BF">
            <w:pPr>
              <w:jc w:val="left"/>
              <w:rPr>
                <w:color w:val="auto"/>
                <w:highlight w:val="none"/>
                <w:u w:val="single"/>
              </w:rPr>
            </w:pPr>
            <w:r>
              <w:rPr>
                <w:rFonts w:hint="eastAsia"/>
                <w:color w:val="auto"/>
                <w:highlight w:val="none"/>
              </w:rPr>
              <w:t>联系电话：</w:t>
            </w:r>
          </w:p>
          <w:p w14:paraId="2967E610">
            <w:pPr>
              <w:jc w:val="left"/>
              <w:rPr>
                <w:color w:val="auto"/>
                <w:highlight w:val="none"/>
              </w:rPr>
            </w:pPr>
            <w:r>
              <w:rPr>
                <w:rFonts w:hint="eastAsia"/>
                <w:color w:val="auto"/>
                <w:highlight w:val="none"/>
              </w:rPr>
              <w:t>要求：</w:t>
            </w:r>
          </w:p>
        </w:tc>
      </w:tr>
      <w:tr w14:paraId="033E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3FEA4016">
            <w:pPr>
              <w:rPr>
                <w:color w:val="auto"/>
                <w:highlight w:val="none"/>
              </w:rPr>
            </w:pPr>
            <w:r>
              <w:rPr>
                <w:rFonts w:hint="eastAsia"/>
                <w:color w:val="auto"/>
                <w:highlight w:val="none"/>
              </w:rPr>
              <w:t>15</w:t>
            </w:r>
          </w:p>
        </w:tc>
        <w:tc>
          <w:tcPr>
            <w:tcW w:w="1984" w:type="dxa"/>
            <w:noWrap/>
            <w:vAlign w:val="center"/>
          </w:tcPr>
          <w:p w14:paraId="28B447D9">
            <w:pPr>
              <w:rPr>
                <w:color w:val="auto"/>
                <w:highlight w:val="none"/>
              </w:rPr>
            </w:pPr>
            <w:r>
              <w:rPr>
                <w:rFonts w:hint="eastAsia"/>
                <w:color w:val="auto"/>
                <w:highlight w:val="none"/>
              </w:rPr>
              <w:t>样品</w:t>
            </w:r>
          </w:p>
        </w:tc>
        <w:tc>
          <w:tcPr>
            <w:tcW w:w="6058" w:type="dxa"/>
            <w:gridSpan w:val="2"/>
            <w:noWrap/>
            <w:vAlign w:val="center"/>
          </w:tcPr>
          <w:p w14:paraId="7A0D4370">
            <w:pPr>
              <w:jc w:val="left"/>
              <w:rPr>
                <w:color w:val="auto"/>
                <w:highlight w:val="none"/>
              </w:rPr>
            </w:pPr>
            <w:r>
              <w:rPr>
                <w:rFonts w:hint="eastAsia"/>
                <w:color w:val="auto"/>
                <w:highlight w:val="none"/>
              </w:rPr>
              <w:sym w:font="Wingdings 2" w:char="0052"/>
            </w:r>
            <w:r>
              <w:rPr>
                <w:rFonts w:hint="eastAsia"/>
                <w:color w:val="auto"/>
                <w:highlight w:val="none"/>
              </w:rPr>
              <w:t>不要求提供</w:t>
            </w:r>
          </w:p>
          <w:p w14:paraId="6EBAAFE8">
            <w:pPr>
              <w:jc w:val="left"/>
              <w:rPr>
                <w:color w:val="auto"/>
                <w:highlight w:val="none"/>
              </w:rPr>
            </w:pPr>
            <w:r>
              <w:rPr>
                <w:rFonts w:hint="eastAsia"/>
                <w:color w:val="auto"/>
                <w:highlight w:val="none"/>
              </w:rPr>
              <w:sym w:font="Wingdings 2" w:char="F0A3"/>
            </w:r>
            <w:r>
              <w:rPr>
                <w:rFonts w:hint="eastAsia"/>
                <w:color w:val="auto"/>
                <w:highlight w:val="none"/>
              </w:rPr>
              <w:t>要求提供：</w:t>
            </w:r>
          </w:p>
          <w:p w14:paraId="3700B70B">
            <w:pPr>
              <w:jc w:val="left"/>
              <w:rPr>
                <w:color w:val="auto"/>
                <w:highlight w:val="none"/>
              </w:rPr>
            </w:pPr>
            <w:r>
              <w:rPr>
                <w:rFonts w:hint="eastAsia"/>
                <w:color w:val="auto"/>
                <w:highlight w:val="none"/>
              </w:rPr>
              <w:t>1.样品制作的标准和要求：____________________</w:t>
            </w:r>
          </w:p>
          <w:p w14:paraId="6527409A">
            <w:pPr>
              <w:jc w:val="left"/>
              <w:rPr>
                <w:color w:val="auto"/>
                <w:highlight w:val="none"/>
              </w:rPr>
            </w:pPr>
            <w:r>
              <w:rPr>
                <w:rFonts w:hint="eastAsia"/>
                <w:color w:val="auto"/>
                <w:highlight w:val="none"/>
              </w:rPr>
              <w:t>2.样品检测报告：(□否；□是，检测机构的要求、检测内容详见第六章项目采购需求)</w:t>
            </w:r>
          </w:p>
          <w:p w14:paraId="0DD41F01">
            <w:pPr>
              <w:jc w:val="left"/>
              <w:rPr>
                <w:color w:val="auto"/>
                <w:highlight w:val="none"/>
              </w:rPr>
            </w:pPr>
            <w:r>
              <w:rPr>
                <w:rFonts w:hint="eastAsia"/>
                <w:color w:val="auto"/>
                <w:highlight w:val="none"/>
              </w:rPr>
              <w:t>3.样品的评审方法及评审标准：内容详见第三章评标办法及标准</w:t>
            </w:r>
          </w:p>
        </w:tc>
      </w:tr>
      <w:tr w14:paraId="065F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14:paraId="06CE5AE3">
            <w:pPr>
              <w:rPr>
                <w:color w:val="auto"/>
                <w:highlight w:val="none"/>
              </w:rPr>
            </w:pPr>
            <w:r>
              <w:rPr>
                <w:rFonts w:hint="eastAsia"/>
                <w:color w:val="auto"/>
                <w:highlight w:val="none"/>
              </w:rPr>
              <w:t>16</w:t>
            </w:r>
          </w:p>
        </w:tc>
        <w:tc>
          <w:tcPr>
            <w:tcW w:w="1984" w:type="dxa"/>
            <w:vMerge w:val="restart"/>
            <w:noWrap/>
            <w:vAlign w:val="center"/>
          </w:tcPr>
          <w:p w14:paraId="4D683ACF">
            <w:pPr>
              <w:rPr>
                <w:color w:val="auto"/>
                <w:highlight w:val="none"/>
              </w:rPr>
            </w:pPr>
            <w:r>
              <w:rPr>
                <w:rFonts w:hint="eastAsia"/>
                <w:color w:val="auto"/>
                <w:highlight w:val="none"/>
              </w:rPr>
              <w:t>投标文件组成</w:t>
            </w:r>
          </w:p>
        </w:tc>
        <w:tc>
          <w:tcPr>
            <w:tcW w:w="851" w:type="dxa"/>
            <w:vMerge w:val="restart"/>
            <w:noWrap/>
            <w:vAlign w:val="center"/>
          </w:tcPr>
          <w:p w14:paraId="638A285F">
            <w:pPr>
              <w:jc w:val="left"/>
              <w:rPr>
                <w:color w:val="auto"/>
                <w:highlight w:val="none"/>
              </w:rPr>
            </w:pPr>
            <w:r>
              <w:rPr>
                <w:rFonts w:hint="eastAsia"/>
                <w:color w:val="auto"/>
                <w:highlight w:val="none"/>
              </w:rPr>
              <w:t>商务部分</w:t>
            </w:r>
          </w:p>
        </w:tc>
        <w:tc>
          <w:tcPr>
            <w:tcW w:w="5207" w:type="dxa"/>
            <w:noWrap/>
            <w:vAlign w:val="center"/>
          </w:tcPr>
          <w:p w14:paraId="708DA685">
            <w:pPr>
              <w:jc w:val="left"/>
              <w:rPr>
                <w:color w:val="auto"/>
                <w:highlight w:val="none"/>
              </w:rPr>
            </w:pPr>
            <w:r>
              <w:rPr>
                <w:rFonts w:hint="eastAsia"/>
                <w:color w:val="auto"/>
                <w:highlight w:val="none"/>
              </w:rPr>
              <w:t>一、资格证明文件：</w:t>
            </w:r>
          </w:p>
          <w:p w14:paraId="5E00D03D">
            <w:pPr>
              <w:jc w:val="left"/>
              <w:rPr>
                <w:color w:val="auto"/>
                <w:highlight w:val="none"/>
              </w:rPr>
            </w:pPr>
            <w:r>
              <w:rPr>
                <w:rFonts w:hint="eastAsia"/>
                <w:color w:val="auto"/>
                <w:highlight w:val="none"/>
              </w:rPr>
              <w:t>1.★投标人基本情况（附法人或者其他组织的营业执照等证明文件复印件；投标人如为自然人，提供自然人的身份证明复印件）（线上采购项目提供扫描件，下同）；</w:t>
            </w:r>
          </w:p>
          <w:p w14:paraId="75B66E1B">
            <w:pPr>
              <w:jc w:val="left"/>
              <w:rPr>
                <w:color w:val="auto"/>
                <w:highlight w:val="none"/>
              </w:rPr>
            </w:pPr>
            <w:r>
              <w:rPr>
                <w:rFonts w:hint="eastAsia"/>
                <w:color w:val="auto"/>
                <w:highlight w:val="none"/>
              </w:rPr>
              <w:t>2.★财务状况报告：上一年度的经会计师事务所审计的财务报告（须附加盖会计师事务所公章及注册会计师签章的复印件）；没有经审计的财务报告的，可以提供基本开户银行出具的资信证明复印件；如供应商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14:paraId="367160BC">
            <w:pPr>
              <w:pStyle w:val="11"/>
              <w:jc w:val="left"/>
              <w:rPr>
                <w:color w:val="auto"/>
                <w:highlight w:val="none"/>
              </w:rPr>
            </w:pPr>
            <w:r>
              <w:rPr>
                <w:rFonts w:hint="eastAsia"/>
                <w:color w:val="auto"/>
                <w:highlight w:val="none"/>
              </w:rPr>
              <w:t>3.★依法缴纳税收：投标截止之日前半年内投标人连续三个月的依法缴纳税收（不包括个人所得税）的相关材料，如依法免税或不需要纳税的，应提供相应证明材料复印件；投标人无纳税记录或为新成立公司，应提供由投标人所在地主管税务部门出具的《依法纳税或依法免税证明》（复印件）。</w:t>
            </w:r>
          </w:p>
          <w:p w14:paraId="56C212D8">
            <w:pPr>
              <w:jc w:val="left"/>
              <w:rPr>
                <w:color w:val="auto"/>
                <w:highlight w:val="none"/>
              </w:rPr>
            </w:pPr>
            <w:r>
              <w:rPr>
                <w:rFonts w:hint="eastAsia"/>
                <w:color w:val="auto"/>
                <w:highlight w:val="none"/>
              </w:rPr>
              <w:t>4.★社会保障资金：投标截止之日前半年内投标人连续三个月的依法缴纳社会保障资金的相关材料，如依法不需要缴纳社会保障资金的，则应提供相应证明材料复印件；投标人无缴费记录或为新成立公司，应提供由投标人所在地社保部门出具的《依法缴纳或依法免缴社保费证明》（复印件）。</w:t>
            </w:r>
          </w:p>
          <w:p w14:paraId="64042343">
            <w:pPr>
              <w:jc w:val="left"/>
              <w:rPr>
                <w:color w:val="auto"/>
                <w:highlight w:val="none"/>
              </w:rPr>
            </w:pPr>
            <w:r>
              <w:rPr>
                <w:rFonts w:hint="eastAsia"/>
                <w:color w:val="auto"/>
                <w:highlight w:val="none"/>
              </w:rPr>
              <w:t>5.具备履行合同所必需的设备和专业技术能力的证明材料。</w:t>
            </w:r>
          </w:p>
          <w:p w14:paraId="175EB33A">
            <w:pPr>
              <w:jc w:val="left"/>
              <w:rPr>
                <w:color w:val="auto"/>
                <w:highlight w:val="none"/>
              </w:rPr>
            </w:pPr>
            <w:r>
              <w:rPr>
                <w:rFonts w:hint="eastAsia"/>
                <w:color w:val="auto"/>
                <w:highlight w:val="none"/>
              </w:rPr>
              <w:t>6.★参加政府采购活动前3年内在经营活动中没有重大违法记录的书面声明。</w:t>
            </w:r>
          </w:p>
          <w:p w14:paraId="0961EDC2">
            <w:pPr>
              <w:jc w:val="left"/>
              <w:rPr>
                <w:color w:val="auto"/>
                <w:highlight w:val="none"/>
              </w:rPr>
            </w:pPr>
            <w:r>
              <w:rPr>
                <w:rFonts w:hint="eastAsia"/>
                <w:color w:val="auto"/>
                <w:highlight w:val="none"/>
              </w:rPr>
              <w:t>7.具备法律、行政法规规定的其他条件的证明材料。</w:t>
            </w:r>
          </w:p>
          <w:p w14:paraId="2123B98E">
            <w:pPr>
              <w:jc w:val="left"/>
              <w:rPr>
                <w:rFonts w:hint="eastAsia"/>
                <w:color w:val="auto"/>
                <w:highlight w:val="none"/>
                <w:lang w:eastAsia="zh-CN"/>
              </w:rPr>
            </w:pPr>
            <w:r>
              <w:rPr>
                <w:rFonts w:hint="eastAsia"/>
                <w:color w:val="auto"/>
                <w:highlight w:val="none"/>
              </w:rPr>
              <w:t>8.★</w:t>
            </w:r>
            <w:r>
              <w:rPr>
                <w:rFonts w:hint="eastAsia" w:asciiTheme="minorEastAsia" w:hAnsiTheme="minorEastAsia" w:eastAsiaTheme="minorEastAsia" w:cstheme="minorEastAsia"/>
                <w:color w:val="auto"/>
                <w:sz w:val="21"/>
                <w:szCs w:val="21"/>
                <w:highlight w:val="none"/>
              </w:rPr>
              <w:t>中小企业声明函（小</w:t>
            </w:r>
            <w:r>
              <w:rPr>
                <w:rFonts w:hint="eastAsia" w:cstheme="minorEastAsia"/>
                <w:color w:val="auto"/>
                <w:sz w:val="21"/>
                <w:szCs w:val="21"/>
                <w:highlight w:val="none"/>
                <w:lang w:val="en-US" w:eastAsia="zh-CN"/>
              </w:rPr>
              <w:t>微</w:t>
            </w:r>
            <w:r>
              <w:rPr>
                <w:rFonts w:hint="eastAsia" w:asciiTheme="minorEastAsia" w:hAnsiTheme="minorEastAsia" w:eastAsiaTheme="minorEastAsia" w:cstheme="minorEastAsia"/>
                <w:color w:val="auto"/>
                <w:sz w:val="21"/>
                <w:szCs w:val="21"/>
                <w:highlight w:val="none"/>
              </w:rPr>
              <w:t>企业投标的，应按照《政府采购促进中小企业发展管理办法》（财库﹝2020﹞46 号印发）《关于印发中小企业划型标准规定的通知》 （工信部联企业〔2011〕300号）如实填写并提交此函）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监狱企业证明文件[监狱企业投标的，应提交省级以上监狱管理局、戒毒管理局（含新疆生产建设兵团）出具的证明文件]；残疾人福利性单位声明函（残疾人福利性单位投标的，应提交此函）</w:t>
            </w:r>
            <w:r>
              <w:rPr>
                <w:rFonts w:hint="eastAsia"/>
                <w:color w:val="auto"/>
                <w:highlight w:val="none"/>
                <w:lang w:eastAsia="zh-CN"/>
              </w:rPr>
              <w:t>。</w:t>
            </w:r>
          </w:p>
          <w:p w14:paraId="21E9ADC5">
            <w:pPr>
              <w:jc w:val="left"/>
              <w:rPr>
                <w:color w:val="auto"/>
                <w:highlight w:val="none"/>
              </w:rPr>
            </w:pPr>
            <w:r>
              <w:rPr>
                <w:rFonts w:hint="eastAsia"/>
                <w:color w:val="auto"/>
                <w:highlight w:val="none"/>
                <w:lang w:val="en-US" w:eastAsia="zh-CN"/>
              </w:rPr>
              <w:t>9.</w:t>
            </w:r>
            <w:r>
              <w:rPr>
                <w:rFonts w:hint="eastAsia"/>
                <w:color w:val="auto"/>
                <w:highlight w:val="none"/>
              </w:rPr>
              <w:t>投标人认为需提供的其他资格证明资料。</w:t>
            </w:r>
          </w:p>
        </w:tc>
      </w:tr>
      <w:tr w14:paraId="324C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14:paraId="4A46179B">
            <w:pPr>
              <w:rPr>
                <w:color w:val="auto"/>
                <w:highlight w:val="none"/>
              </w:rPr>
            </w:pPr>
          </w:p>
        </w:tc>
        <w:tc>
          <w:tcPr>
            <w:tcW w:w="1984" w:type="dxa"/>
            <w:vMerge w:val="continue"/>
            <w:noWrap/>
            <w:vAlign w:val="center"/>
          </w:tcPr>
          <w:p w14:paraId="214C8520">
            <w:pPr>
              <w:rPr>
                <w:color w:val="auto"/>
                <w:highlight w:val="none"/>
              </w:rPr>
            </w:pPr>
          </w:p>
        </w:tc>
        <w:tc>
          <w:tcPr>
            <w:tcW w:w="851" w:type="dxa"/>
            <w:vMerge w:val="continue"/>
            <w:noWrap/>
            <w:vAlign w:val="center"/>
          </w:tcPr>
          <w:p w14:paraId="13F5B5C5">
            <w:pPr>
              <w:jc w:val="left"/>
              <w:rPr>
                <w:color w:val="auto"/>
                <w:highlight w:val="none"/>
              </w:rPr>
            </w:pPr>
          </w:p>
        </w:tc>
        <w:tc>
          <w:tcPr>
            <w:tcW w:w="5207" w:type="dxa"/>
            <w:noWrap/>
            <w:vAlign w:val="center"/>
          </w:tcPr>
          <w:p w14:paraId="2A0BF697">
            <w:pPr>
              <w:jc w:val="left"/>
              <w:rPr>
                <w:color w:val="auto"/>
                <w:highlight w:val="none"/>
              </w:rPr>
            </w:pPr>
            <w:r>
              <w:rPr>
                <w:rFonts w:hint="eastAsia"/>
                <w:color w:val="auto"/>
                <w:highlight w:val="none"/>
              </w:rPr>
              <w:t>二、开标一览表：</w:t>
            </w:r>
          </w:p>
          <w:p w14:paraId="432C0535">
            <w:pPr>
              <w:jc w:val="left"/>
              <w:rPr>
                <w:color w:val="auto"/>
                <w:highlight w:val="none"/>
              </w:rPr>
            </w:pPr>
            <w:r>
              <w:rPr>
                <w:rFonts w:hint="eastAsia"/>
                <w:color w:val="auto"/>
                <w:highlight w:val="none"/>
              </w:rPr>
              <w:t>1.★投标报价表（线上采购项目，投标人应按照投标工具的流程和提示编制并上传）；</w:t>
            </w:r>
          </w:p>
          <w:p w14:paraId="5366B588">
            <w:pPr>
              <w:jc w:val="left"/>
              <w:rPr>
                <w:color w:val="auto"/>
                <w:highlight w:val="none"/>
              </w:rPr>
            </w:pPr>
            <w:r>
              <w:rPr>
                <w:rFonts w:hint="eastAsia"/>
                <w:color w:val="auto"/>
                <w:highlight w:val="none"/>
              </w:rPr>
              <w:t>2.★分项价格表。</w:t>
            </w:r>
          </w:p>
        </w:tc>
      </w:tr>
      <w:tr w14:paraId="55CE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14:paraId="52117B93">
            <w:pPr>
              <w:rPr>
                <w:color w:val="auto"/>
                <w:highlight w:val="none"/>
              </w:rPr>
            </w:pPr>
          </w:p>
        </w:tc>
        <w:tc>
          <w:tcPr>
            <w:tcW w:w="1984" w:type="dxa"/>
            <w:vMerge w:val="continue"/>
            <w:noWrap/>
            <w:vAlign w:val="center"/>
          </w:tcPr>
          <w:p w14:paraId="1F785F18">
            <w:pPr>
              <w:rPr>
                <w:color w:val="auto"/>
                <w:highlight w:val="none"/>
              </w:rPr>
            </w:pPr>
          </w:p>
        </w:tc>
        <w:tc>
          <w:tcPr>
            <w:tcW w:w="851" w:type="dxa"/>
            <w:vMerge w:val="continue"/>
            <w:noWrap/>
            <w:vAlign w:val="center"/>
          </w:tcPr>
          <w:p w14:paraId="5A7E8D3B">
            <w:pPr>
              <w:jc w:val="left"/>
              <w:rPr>
                <w:color w:val="auto"/>
                <w:highlight w:val="none"/>
              </w:rPr>
            </w:pPr>
          </w:p>
        </w:tc>
        <w:tc>
          <w:tcPr>
            <w:tcW w:w="5207" w:type="dxa"/>
            <w:noWrap/>
            <w:vAlign w:val="center"/>
          </w:tcPr>
          <w:p w14:paraId="27E29D96">
            <w:pPr>
              <w:jc w:val="left"/>
              <w:rPr>
                <w:color w:val="auto"/>
                <w:highlight w:val="none"/>
              </w:rPr>
            </w:pPr>
            <w:r>
              <w:rPr>
                <w:rFonts w:hint="eastAsia"/>
                <w:color w:val="auto"/>
                <w:highlight w:val="none"/>
              </w:rPr>
              <w:t>三、其他文件及资料：</w:t>
            </w:r>
          </w:p>
          <w:p w14:paraId="38EE5681">
            <w:pPr>
              <w:jc w:val="left"/>
              <w:rPr>
                <w:color w:val="auto"/>
                <w:highlight w:val="none"/>
              </w:rPr>
            </w:pPr>
            <w:r>
              <w:rPr>
                <w:rFonts w:hint="eastAsia"/>
                <w:color w:val="auto"/>
                <w:highlight w:val="none"/>
              </w:rPr>
              <w:t>1.★授权委托书（参考投标文件格式1）；</w:t>
            </w:r>
          </w:p>
          <w:p w14:paraId="1860AEF6">
            <w:pPr>
              <w:jc w:val="left"/>
              <w:rPr>
                <w:color w:val="auto"/>
                <w:highlight w:val="none"/>
              </w:rPr>
            </w:pPr>
            <w:r>
              <w:rPr>
                <w:rFonts w:hint="eastAsia"/>
                <w:color w:val="auto"/>
                <w:highlight w:val="none"/>
              </w:rPr>
              <w:t>2.★投标函（参考投标文件格式2）；</w:t>
            </w:r>
          </w:p>
          <w:p w14:paraId="2DFD85FF">
            <w:pPr>
              <w:jc w:val="left"/>
              <w:rPr>
                <w:color w:val="auto"/>
                <w:highlight w:val="none"/>
              </w:rPr>
            </w:pPr>
            <w:r>
              <w:rPr>
                <w:rFonts w:hint="eastAsia"/>
                <w:color w:val="auto"/>
                <w:highlight w:val="none"/>
              </w:rPr>
              <w:t>3.★商务条款偏离表；</w:t>
            </w:r>
          </w:p>
          <w:p w14:paraId="5257C025">
            <w:pPr>
              <w:jc w:val="left"/>
              <w:rPr>
                <w:color w:val="auto"/>
                <w:highlight w:val="none"/>
              </w:rPr>
            </w:pPr>
            <w:r>
              <w:rPr>
                <w:rFonts w:hint="eastAsia"/>
                <w:color w:val="auto"/>
                <w:highlight w:val="none"/>
              </w:rPr>
              <w:t>4.★投标保证金提交凭证（如要求提交投标保证金的则必须提供，否则按无效投标处理）；</w:t>
            </w:r>
          </w:p>
          <w:p w14:paraId="009A0224">
            <w:pPr>
              <w:jc w:val="left"/>
              <w:rPr>
                <w:color w:val="auto"/>
                <w:highlight w:val="none"/>
              </w:rPr>
            </w:pPr>
            <w:r>
              <w:rPr>
                <w:rFonts w:hint="eastAsia"/>
                <w:color w:val="auto"/>
                <w:highlight w:val="none"/>
                <w:lang w:val="en-US" w:eastAsia="zh-CN"/>
              </w:rPr>
              <w:t>5</w:t>
            </w:r>
            <w:r>
              <w:rPr>
                <w:rFonts w:hint="eastAsia"/>
                <w:color w:val="auto"/>
                <w:highlight w:val="none"/>
              </w:rPr>
              <w:t>.投标人认为需要提供的其它说明和资料。</w:t>
            </w:r>
          </w:p>
        </w:tc>
      </w:tr>
      <w:tr w14:paraId="645F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14:paraId="052D78C4">
            <w:pPr>
              <w:rPr>
                <w:color w:val="auto"/>
                <w:highlight w:val="none"/>
              </w:rPr>
            </w:pPr>
          </w:p>
        </w:tc>
        <w:tc>
          <w:tcPr>
            <w:tcW w:w="1984" w:type="dxa"/>
            <w:vMerge w:val="continue"/>
            <w:noWrap/>
            <w:vAlign w:val="center"/>
          </w:tcPr>
          <w:p w14:paraId="135D658C">
            <w:pPr>
              <w:rPr>
                <w:color w:val="auto"/>
                <w:highlight w:val="none"/>
              </w:rPr>
            </w:pPr>
          </w:p>
        </w:tc>
        <w:tc>
          <w:tcPr>
            <w:tcW w:w="851" w:type="dxa"/>
            <w:noWrap/>
            <w:vAlign w:val="center"/>
          </w:tcPr>
          <w:p w14:paraId="08D763D4">
            <w:pPr>
              <w:jc w:val="left"/>
              <w:rPr>
                <w:color w:val="auto"/>
                <w:highlight w:val="none"/>
              </w:rPr>
            </w:pPr>
            <w:r>
              <w:rPr>
                <w:rFonts w:hint="eastAsia"/>
                <w:color w:val="auto"/>
                <w:highlight w:val="none"/>
              </w:rPr>
              <w:t>技术部分</w:t>
            </w:r>
          </w:p>
        </w:tc>
        <w:tc>
          <w:tcPr>
            <w:tcW w:w="5207" w:type="dxa"/>
            <w:noWrap/>
            <w:vAlign w:val="center"/>
          </w:tcPr>
          <w:p w14:paraId="692ED185">
            <w:pPr>
              <w:jc w:val="left"/>
              <w:rPr>
                <w:color w:val="auto"/>
                <w:highlight w:val="none"/>
              </w:rPr>
            </w:pPr>
            <w:r>
              <w:rPr>
                <w:rFonts w:hint="eastAsia"/>
                <w:color w:val="auto"/>
                <w:highlight w:val="none"/>
              </w:rPr>
              <w:t>1.★技术条款偏离表；</w:t>
            </w:r>
          </w:p>
          <w:p w14:paraId="67E77EB3">
            <w:pPr>
              <w:jc w:val="left"/>
              <w:rPr>
                <w:color w:val="auto"/>
                <w:highlight w:val="none"/>
              </w:rPr>
            </w:pPr>
            <w:r>
              <w:rPr>
                <w:rFonts w:hint="eastAsia"/>
                <w:color w:val="auto"/>
                <w:highlight w:val="none"/>
              </w:rPr>
              <w:t>2.服务方案；</w:t>
            </w:r>
          </w:p>
          <w:p w14:paraId="6560A2AE">
            <w:pPr>
              <w:pStyle w:val="8"/>
              <w:jc w:val="left"/>
              <w:rPr>
                <w:color w:val="auto"/>
                <w:highlight w:val="none"/>
              </w:rPr>
            </w:pPr>
            <w:r>
              <w:rPr>
                <w:rFonts w:hint="eastAsia"/>
                <w:color w:val="auto"/>
                <w:highlight w:val="none"/>
              </w:rPr>
              <w:t>3.★拟投入项目技术力量一览表；</w:t>
            </w:r>
          </w:p>
          <w:p w14:paraId="26B16D62">
            <w:pPr>
              <w:pStyle w:val="9"/>
              <w:jc w:val="left"/>
              <w:rPr>
                <w:color w:val="auto"/>
                <w:highlight w:val="none"/>
              </w:rPr>
            </w:pPr>
            <w:r>
              <w:rPr>
                <w:rFonts w:hint="eastAsia"/>
                <w:b w:val="0"/>
                <w:bCs w:val="0"/>
                <w:color w:val="auto"/>
                <w:highlight w:val="none"/>
              </w:rPr>
              <w:t>4.</w:t>
            </w:r>
            <w:r>
              <w:rPr>
                <w:rFonts w:hint="eastAsia"/>
                <w:color w:val="auto"/>
                <w:highlight w:val="none"/>
              </w:rPr>
              <w:t>投标人认为需要提供的其它说明和资料。</w:t>
            </w:r>
          </w:p>
        </w:tc>
      </w:tr>
      <w:tr w14:paraId="323C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14:paraId="3DC76A2F">
            <w:pPr>
              <w:rPr>
                <w:color w:val="auto"/>
                <w:highlight w:val="none"/>
              </w:rPr>
            </w:pPr>
          </w:p>
        </w:tc>
        <w:tc>
          <w:tcPr>
            <w:tcW w:w="1984" w:type="dxa"/>
            <w:vMerge w:val="continue"/>
            <w:noWrap/>
            <w:vAlign w:val="center"/>
          </w:tcPr>
          <w:p w14:paraId="4D054D46">
            <w:pPr>
              <w:rPr>
                <w:color w:val="auto"/>
                <w:highlight w:val="none"/>
              </w:rPr>
            </w:pPr>
          </w:p>
        </w:tc>
        <w:tc>
          <w:tcPr>
            <w:tcW w:w="6058" w:type="dxa"/>
            <w:gridSpan w:val="2"/>
            <w:noWrap/>
            <w:vAlign w:val="center"/>
          </w:tcPr>
          <w:p w14:paraId="6610ABB1">
            <w:pPr>
              <w:pStyle w:val="8"/>
              <w:rPr>
                <w:color w:val="auto"/>
                <w:highlight w:val="none"/>
              </w:rPr>
            </w:pPr>
            <w:r>
              <w:rPr>
                <w:rFonts w:hint="eastAsia"/>
                <w:color w:val="auto"/>
                <w:highlight w:val="none"/>
              </w:rPr>
              <w:t>1.以上带★的文件及资料未提供或提供的无效，则投标无效。</w:t>
            </w:r>
          </w:p>
          <w:p w14:paraId="1C693214">
            <w:pPr>
              <w:pStyle w:val="8"/>
              <w:jc w:val="left"/>
              <w:rPr>
                <w:rFonts w:hint="default" w:eastAsiaTheme="minorEastAsia"/>
                <w:color w:val="auto"/>
                <w:highlight w:val="none"/>
                <w:lang w:val="en-US" w:eastAsia="zh-CN"/>
              </w:rPr>
            </w:pPr>
            <w:r>
              <w:rPr>
                <w:rFonts w:hint="eastAsia"/>
                <w:color w:val="auto"/>
                <w:highlight w:val="none"/>
              </w:rPr>
              <w:t>2</w:t>
            </w:r>
            <w:r>
              <w:rPr>
                <w:rFonts w:hint="eastAsia"/>
                <w:color w:val="auto"/>
                <w:highlight w:val="none"/>
                <w:lang w:val="en-US" w:eastAsia="zh-CN"/>
              </w:rPr>
              <w:t>.</w:t>
            </w:r>
            <w:r>
              <w:rPr>
                <w:rFonts w:hint="eastAsia"/>
                <w:color w:val="auto"/>
                <w:highlight w:val="none"/>
              </w:rPr>
              <w:t>以上带★的文件，必须加盖投标人公章，否则按无效投标处理。</w:t>
            </w:r>
          </w:p>
        </w:tc>
      </w:tr>
      <w:tr w14:paraId="7DB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594A11CC">
            <w:pPr>
              <w:rPr>
                <w:color w:val="auto"/>
                <w:highlight w:val="none"/>
              </w:rPr>
            </w:pPr>
            <w:r>
              <w:rPr>
                <w:rFonts w:hint="eastAsia"/>
                <w:color w:val="auto"/>
                <w:highlight w:val="none"/>
              </w:rPr>
              <w:t>17</w:t>
            </w:r>
          </w:p>
        </w:tc>
        <w:tc>
          <w:tcPr>
            <w:tcW w:w="1984" w:type="dxa"/>
            <w:noWrap/>
            <w:vAlign w:val="center"/>
          </w:tcPr>
          <w:p w14:paraId="1C0904E8">
            <w:pPr>
              <w:rPr>
                <w:color w:val="auto"/>
                <w:highlight w:val="none"/>
              </w:rPr>
            </w:pPr>
            <w:r>
              <w:rPr>
                <w:rFonts w:hint="eastAsia"/>
                <w:color w:val="auto"/>
                <w:highlight w:val="none"/>
              </w:rPr>
              <w:t>投标有效期</w:t>
            </w:r>
          </w:p>
        </w:tc>
        <w:tc>
          <w:tcPr>
            <w:tcW w:w="6058" w:type="dxa"/>
            <w:gridSpan w:val="2"/>
            <w:noWrap/>
            <w:vAlign w:val="center"/>
          </w:tcPr>
          <w:p w14:paraId="1C036ED7">
            <w:pPr>
              <w:jc w:val="left"/>
              <w:rPr>
                <w:color w:val="auto"/>
                <w:highlight w:val="none"/>
              </w:rPr>
            </w:pPr>
            <w:r>
              <w:rPr>
                <w:rFonts w:hint="eastAsia"/>
                <w:color w:val="auto"/>
                <w:highlight w:val="none"/>
              </w:rPr>
              <w:t>从提交投标文件的截止之日起计算</w:t>
            </w:r>
            <w:r>
              <w:rPr>
                <w:rFonts w:hint="eastAsia"/>
                <w:color w:val="auto"/>
                <w:highlight w:val="none"/>
                <w:u w:val="single"/>
              </w:rPr>
              <w:t>90</w:t>
            </w:r>
            <w:r>
              <w:rPr>
                <w:rFonts w:hint="eastAsia"/>
                <w:color w:val="auto"/>
                <w:highlight w:val="none"/>
              </w:rPr>
              <w:t>日历日。</w:t>
            </w:r>
          </w:p>
        </w:tc>
      </w:tr>
      <w:tr w14:paraId="2A23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467CED49">
            <w:pPr>
              <w:rPr>
                <w:color w:val="auto"/>
                <w:highlight w:val="none"/>
              </w:rPr>
            </w:pPr>
            <w:r>
              <w:rPr>
                <w:rFonts w:hint="eastAsia"/>
                <w:color w:val="auto"/>
                <w:highlight w:val="none"/>
              </w:rPr>
              <w:t>18</w:t>
            </w:r>
          </w:p>
        </w:tc>
        <w:tc>
          <w:tcPr>
            <w:tcW w:w="1984" w:type="dxa"/>
            <w:noWrap/>
            <w:vAlign w:val="center"/>
          </w:tcPr>
          <w:p w14:paraId="0114BA1B">
            <w:pPr>
              <w:rPr>
                <w:color w:val="auto"/>
                <w:highlight w:val="none"/>
              </w:rPr>
            </w:pPr>
            <w:r>
              <w:rPr>
                <w:rFonts w:hint="eastAsia"/>
                <w:color w:val="auto"/>
                <w:highlight w:val="none"/>
              </w:rPr>
              <w:t>提交投标文件方式、截止时间、开标时间、地点</w:t>
            </w:r>
          </w:p>
        </w:tc>
        <w:tc>
          <w:tcPr>
            <w:tcW w:w="6058" w:type="dxa"/>
            <w:gridSpan w:val="2"/>
            <w:noWrap/>
            <w:vAlign w:val="center"/>
          </w:tcPr>
          <w:p w14:paraId="559536CA">
            <w:pPr>
              <w:jc w:val="left"/>
              <w:rPr>
                <w:color w:val="auto"/>
                <w:highlight w:val="none"/>
              </w:rPr>
            </w:pPr>
            <w:r>
              <w:rPr>
                <w:rFonts w:hint="eastAsia"/>
                <w:b/>
                <w:color w:val="auto"/>
                <w:highlight w:val="none"/>
              </w:rPr>
              <w:t>提交方式：</w:t>
            </w:r>
            <w:r>
              <w:rPr>
                <w:rFonts w:hint="eastAsia"/>
                <w:color w:val="auto"/>
                <w:highlight w:val="none"/>
              </w:rPr>
              <w:t>纸质文件提交</w:t>
            </w:r>
          </w:p>
          <w:p w14:paraId="04226DBE">
            <w:pPr>
              <w:jc w:val="left"/>
              <w:rPr>
                <w:color w:val="auto"/>
                <w:highlight w:val="none"/>
              </w:rPr>
            </w:pPr>
            <w:r>
              <w:rPr>
                <w:rFonts w:hint="eastAsia"/>
                <w:b/>
                <w:color w:val="auto"/>
                <w:highlight w:val="none"/>
              </w:rPr>
              <w:t>投标截止时间和开标时间：</w:t>
            </w:r>
            <w:r>
              <w:rPr>
                <w:rFonts w:hint="eastAsia"/>
                <w:color w:val="auto"/>
                <w:highlight w:val="none"/>
                <w:u w:val="none"/>
              </w:rPr>
              <w:t>2024年</w:t>
            </w:r>
            <w:r>
              <w:rPr>
                <w:rFonts w:hint="eastAsia"/>
                <w:color w:val="auto"/>
                <w:highlight w:val="none"/>
                <w:u w:val="none"/>
                <w:lang w:val="en-US" w:eastAsia="zh-CN"/>
              </w:rPr>
              <w:t>8</w:t>
            </w:r>
            <w:r>
              <w:rPr>
                <w:rFonts w:hint="eastAsia"/>
                <w:color w:val="auto"/>
                <w:highlight w:val="none"/>
                <w:u w:val="none"/>
              </w:rPr>
              <w:t>月</w:t>
            </w:r>
            <w:r>
              <w:rPr>
                <w:rFonts w:hint="eastAsia"/>
                <w:color w:val="auto"/>
                <w:highlight w:val="none"/>
                <w:u w:val="none"/>
                <w:lang w:val="en-US" w:eastAsia="zh-CN"/>
              </w:rPr>
              <w:t>15</w:t>
            </w:r>
            <w:r>
              <w:rPr>
                <w:rFonts w:hint="eastAsia"/>
                <w:color w:val="auto"/>
                <w:highlight w:val="none"/>
                <w:u w:val="none"/>
              </w:rPr>
              <w:t>日上午</w:t>
            </w:r>
            <w:r>
              <w:rPr>
                <w:rFonts w:hint="eastAsia"/>
                <w:color w:val="auto"/>
                <w:highlight w:val="none"/>
              </w:rPr>
              <w:t>9时30分00秒 （北京时间）</w:t>
            </w:r>
          </w:p>
          <w:p w14:paraId="245D8A82">
            <w:pPr>
              <w:jc w:val="left"/>
              <w:rPr>
                <w:color w:val="auto"/>
                <w:highlight w:val="none"/>
              </w:rPr>
            </w:pPr>
            <w:r>
              <w:rPr>
                <w:rFonts w:hint="eastAsia"/>
                <w:color w:val="auto"/>
                <w:highlight w:val="none"/>
              </w:rPr>
              <w:t>开标方式：线下开标</w:t>
            </w:r>
          </w:p>
          <w:p w14:paraId="1F29DE81">
            <w:pPr>
              <w:jc w:val="left"/>
              <w:rPr>
                <w:b/>
                <w:color w:val="auto"/>
                <w:highlight w:val="none"/>
              </w:rPr>
            </w:pPr>
            <w:r>
              <w:rPr>
                <w:rFonts w:hint="eastAsia"/>
                <w:b/>
                <w:color w:val="auto"/>
                <w:highlight w:val="none"/>
              </w:rPr>
              <w:t>提交投标文件地点：</w:t>
            </w:r>
            <w:r>
              <w:rPr>
                <w:rFonts w:hint="eastAsia"/>
                <w:color w:val="auto"/>
                <w:highlight w:val="none"/>
              </w:rPr>
              <w:t>广西众联工程项目管理有限公司开标厅（南宁市江南区白沙大道53号松宇时代14层）</w:t>
            </w:r>
          </w:p>
          <w:p w14:paraId="4CA0AFD4">
            <w:pPr>
              <w:jc w:val="left"/>
              <w:rPr>
                <w:b/>
                <w:color w:val="auto"/>
                <w:highlight w:val="none"/>
              </w:rPr>
            </w:pPr>
            <w:r>
              <w:rPr>
                <w:rFonts w:hint="eastAsia"/>
                <w:b/>
                <w:color w:val="auto"/>
                <w:highlight w:val="none"/>
              </w:rPr>
              <w:t>开标地点：</w:t>
            </w:r>
            <w:r>
              <w:rPr>
                <w:rFonts w:hint="eastAsia"/>
                <w:color w:val="auto"/>
                <w:highlight w:val="none"/>
              </w:rPr>
              <w:t>广西众联工程项目管理有限公司开标厅（南宁市江南区白沙大道53号松宇时代14层）</w:t>
            </w:r>
          </w:p>
          <w:p w14:paraId="0EF5B130">
            <w:pPr>
              <w:jc w:val="left"/>
              <w:rPr>
                <w:b/>
                <w:color w:val="auto"/>
                <w:highlight w:val="none"/>
              </w:rPr>
            </w:pPr>
            <w:r>
              <w:rPr>
                <w:rFonts w:hint="eastAsia"/>
                <w:b/>
                <w:color w:val="auto"/>
                <w:highlight w:val="none"/>
              </w:rPr>
              <w:t>联系电话：</w:t>
            </w:r>
            <w:r>
              <w:rPr>
                <w:rFonts w:hint="eastAsia"/>
                <w:color w:val="auto"/>
                <w:highlight w:val="none"/>
              </w:rPr>
              <w:t>0771-4308370</w:t>
            </w:r>
          </w:p>
        </w:tc>
      </w:tr>
      <w:tr w14:paraId="15CB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74049D13">
            <w:pPr>
              <w:rPr>
                <w:color w:val="auto"/>
                <w:highlight w:val="none"/>
              </w:rPr>
            </w:pPr>
            <w:r>
              <w:rPr>
                <w:rFonts w:hint="eastAsia"/>
                <w:color w:val="auto"/>
                <w:highlight w:val="none"/>
              </w:rPr>
              <w:t>19</w:t>
            </w:r>
          </w:p>
        </w:tc>
        <w:tc>
          <w:tcPr>
            <w:tcW w:w="1984" w:type="dxa"/>
            <w:noWrap/>
            <w:vAlign w:val="center"/>
          </w:tcPr>
          <w:p w14:paraId="3C4AA9B3">
            <w:pPr>
              <w:rPr>
                <w:b/>
                <w:color w:val="auto"/>
                <w:highlight w:val="none"/>
              </w:rPr>
            </w:pPr>
            <w:r>
              <w:rPr>
                <w:rFonts w:hint="eastAsia"/>
                <w:color w:val="auto"/>
                <w:highlight w:val="none"/>
              </w:rPr>
              <w:t>投标保证金</w:t>
            </w:r>
          </w:p>
        </w:tc>
        <w:tc>
          <w:tcPr>
            <w:tcW w:w="6058" w:type="dxa"/>
            <w:gridSpan w:val="2"/>
            <w:noWrap/>
            <w:vAlign w:val="center"/>
          </w:tcPr>
          <w:p w14:paraId="119CFEF5">
            <w:pPr>
              <w:jc w:val="left"/>
              <w:rPr>
                <w:snapToGrid w:val="0"/>
                <w:color w:val="auto"/>
                <w:highlight w:val="none"/>
                <w:lang w:val="zh-CN"/>
              </w:rPr>
            </w:pPr>
            <w:r>
              <w:rPr>
                <w:rFonts w:hint="eastAsia"/>
                <w:color w:val="auto"/>
                <w:highlight w:val="none"/>
              </w:rPr>
              <w:sym w:font="Wingdings 2" w:char="F0A3"/>
            </w:r>
            <w:r>
              <w:rPr>
                <w:rFonts w:hint="eastAsia"/>
                <w:color w:val="auto"/>
                <w:highlight w:val="none"/>
              </w:rPr>
              <w:t>不要求提供</w:t>
            </w:r>
          </w:p>
          <w:p w14:paraId="04FEDEC6">
            <w:pPr>
              <w:jc w:val="left"/>
              <w:rPr>
                <w:color w:val="auto"/>
                <w:highlight w:val="none"/>
              </w:rPr>
            </w:pPr>
            <w:r>
              <w:rPr>
                <w:rFonts w:hint="eastAsia"/>
                <w:color w:val="auto"/>
                <w:highlight w:val="none"/>
              </w:rPr>
              <w:sym w:font="Wingdings 2" w:char="0052"/>
            </w:r>
            <w:r>
              <w:rPr>
                <w:rFonts w:hint="eastAsia"/>
                <w:color w:val="auto"/>
                <w:highlight w:val="none"/>
              </w:rPr>
              <w:t>要求提供：</w:t>
            </w:r>
          </w:p>
          <w:p w14:paraId="6EA851C0">
            <w:pPr>
              <w:jc w:val="left"/>
              <w:rPr>
                <w:color w:val="auto"/>
                <w:highlight w:val="none"/>
              </w:rPr>
            </w:pPr>
            <w:r>
              <w:rPr>
                <w:rFonts w:hint="eastAsia"/>
                <w:color w:val="auto"/>
                <w:highlight w:val="none"/>
              </w:rPr>
              <w:t>（1）金额：</w:t>
            </w:r>
          </w:p>
          <w:p w14:paraId="202E66E4">
            <w:pPr>
              <w:jc w:val="left"/>
              <w:rPr>
                <w:color w:val="auto"/>
                <w:highlight w:val="none"/>
              </w:rPr>
            </w:pPr>
            <w:r>
              <w:rPr>
                <w:rFonts w:hint="eastAsia"/>
                <w:color w:val="auto"/>
                <w:highlight w:val="none"/>
              </w:rPr>
              <w:t>采购包1：人民币(大写)</w:t>
            </w:r>
            <w:r>
              <w:rPr>
                <w:rFonts w:hint="eastAsia"/>
                <w:color w:val="auto"/>
                <w:highlight w:val="none"/>
                <w:lang w:val="en-US" w:eastAsia="zh-CN"/>
              </w:rPr>
              <w:t>贰</w:t>
            </w:r>
            <w:r>
              <w:rPr>
                <w:rFonts w:hint="eastAsia"/>
                <w:color w:val="auto"/>
                <w:highlight w:val="none"/>
              </w:rPr>
              <w:t>万元整（¥</w:t>
            </w:r>
            <w:r>
              <w:rPr>
                <w:rFonts w:hint="eastAsia"/>
                <w:color w:val="auto"/>
                <w:highlight w:val="none"/>
                <w:lang w:val="en-US" w:eastAsia="zh-CN"/>
              </w:rPr>
              <w:t>2</w:t>
            </w:r>
            <w:r>
              <w:rPr>
                <w:rFonts w:hint="eastAsia"/>
                <w:color w:val="auto"/>
                <w:highlight w:val="none"/>
              </w:rPr>
              <w:t>0,000.00元）。</w:t>
            </w:r>
          </w:p>
          <w:p w14:paraId="533E0422">
            <w:pPr>
              <w:jc w:val="left"/>
              <w:rPr>
                <w:color w:val="auto"/>
                <w:highlight w:val="none"/>
              </w:rPr>
            </w:pPr>
            <w:r>
              <w:rPr>
                <w:rFonts w:hint="eastAsia"/>
                <w:color w:val="auto"/>
                <w:highlight w:val="none"/>
              </w:rPr>
              <w:t>（2）提交方式：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否则视为无效投标保证金。</w:t>
            </w:r>
          </w:p>
          <w:p w14:paraId="189CCA3E">
            <w:pPr>
              <w:jc w:val="left"/>
              <w:rPr>
                <w:color w:val="auto"/>
                <w:highlight w:val="none"/>
              </w:rPr>
            </w:pPr>
            <w:r>
              <w:rPr>
                <w:rFonts w:hint="eastAsia"/>
                <w:color w:val="auto"/>
                <w:highlight w:val="none"/>
              </w:rPr>
              <w:t>收款人户名：广西众联工程项目管理有限公司</w:t>
            </w:r>
          </w:p>
          <w:p w14:paraId="361AC5A8">
            <w:pPr>
              <w:jc w:val="left"/>
              <w:rPr>
                <w:color w:val="auto"/>
                <w:highlight w:val="none"/>
              </w:rPr>
            </w:pPr>
            <w:r>
              <w:rPr>
                <w:rFonts w:hint="eastAsia"/>
                <w:color w:val="auto"/>
                <w:highlight w:val="none"/>
              </w:rPr>
              <w:t>开户银行：中国光大银行股份有限公司南宁民主支行</w:t>
            </w:r>
          </w:p>
          <w:p w14:paraId="41816A3B">
            <w:pPr>
              <w:jc w:val="left"/>
              <w:rPr>
                <w:color w:val="auto"/>
                <w:highlight w:val="none"/>
              </w:rPr>
            </w:pPr>
            <w:r>
              <w:rPr>
                <w:rFonts w:hint="eastAsia"/>
                <w:color w:val="auto"/>
                <w:highlight w:val="none"/>
              </w:rPr>
              <w:t>银行账号：78900188000167866</w:t>
            </w:r>
          </w:p>
          <w:p w14:paraId="2EC7B427">
            <w:pPr>
              <w:jc w:val="left"/>
              <w:rPr>
                <w:b/>
                <w:color w:val="auto"/>
                <w:highlight w:val="none"/>
              </w:rPr>
            </w:pPr>
            <w:r>
              <w:rPr>
                <w:rFonts w:hint="eastAsia"/>
                <w:color w:val="auto"/>
                <w:highlight w:val="none"/>
              </w:rPr>
              <w:t>注：以电汇方式递交投标保证金须在电汇凭据附言栏中写明采购编号、包号（如有）及用途（投标保证金）。</w:t>
            </w:r>
          </w:p>
        </w:tc>
      </w:tr>
      <w:tr w14:paraId="7456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14:paraId="6786AECC">
            <w:pPr>
              <w:rPr>
                <w:color w:val="auto"/>
                <w:highlight w:val="none"/>
              </w:rPr>
            </w:pPr>
            <w:r>
              <w:rPr>
                <w:rFonts w:hint="eastAsia"/>
                <w:color w:val="auto"/>
                <w:highlight w:val="none"/>
              </w:rPr>
              <w:t>20</w:t>
            </w:r>
          </w:p>
        </w:tc>
        <w:tc>
          <w:tcPr>
            <w:tcW w:w="1984" w:type="dxa"/>
            <w:vMerge w:val="restart"/>
            <w:noWrap/>
            <w:vAlign w:val="center"/>
          </w:tcPr>
          <w:p w14:paraId="38190FC1">
            <w:pPr>
              <w:rPr>
                <w:color w:val="auto"/>
                <w:highlight w:val="none"/>
              </w:rPr>
            </w:pPr>
            <w:r>
              <w:rPr>
                <w:rFonts w:hint="eastAsia"/>
                <w:color w:val="auto"/>
                <w:highlight w:val="none"/>
              </w:rPr>
              <w:t>不予退还投标保证金的情形</w:t>
            </w:r>
          </w:p>
        </w:tc>
        <w:tc>
          <w:tcPr>
            <w:tcW w:w="6058" w:type="dxa"/>
            <w:gridSpan w:val="2"/>
            <w:noWrap/>
            <w:vAlign w:val="center"/>
          </w:tcPr>
          <w:p w14:paraId="5FCCABC5">
            <w:pPr>
              <w:jc w:val="left"/>
              <w:rPr>
                <w:color w:val="auto"/>
                <w:highlight w:val="none"/>
              </w:rPr>
            </w:pPr>
            <w:r>
              <w:rPr>
                <w:rFonts w:hint="eastAsia"/>
                <w:color w:val="auto"/>
                <w:highlight w:val="none"/>
              </w:rPr>
              <w:t>有下列情形之一的，投标保证金将不予退还：</w:t>
            </w:r>
          </w:p>
          <w:p w14:paraId="63155B88">
            <w:pPr>
              <w:jc w:val="left"/>
              <w:rPr>
                <w:color w:val="auto"/>
                <w:highlight w:val="none"/>
              </w:rPr>
            </w:pPr>
            <w:r>
              <w:rPr>
                <w:rFonts w:hint="eastAsia"/>
                <w:color w:val="auto"/>
                <w:highlight w:val="none"/>
              </w:rPr>
              <w:t>（1）投标人串通投标或有视为串通投标情形之一的；</w:t>
            </w:r>
          </w:p>
          <w:p w14:paraId="4F4CB78A">
            <w:pPr>
              <w:jc w:val="left"/>
              <w:rPr>
                <w:color w:val="auto"/>
                <w:highlight w:val="none"/>
              </w:rPr>
            </w:pPr>
            <w:r>
              <w:rPr>
                <w:rFonts w:hint="eastAsia"/>
                <w:color w:val="auto"/>
                <w:highlight w:val="none"/>
              </w:rPr>
              <w:t>（2）投标人提供虚假材料；</w:t>
            </w:r>
          </w:p>
          <w:p w14:paraId="73AC5596">
            <w:pPr>
              <w:jc w:val="left"/>
              <w:rPr>
                <w:color w:val="auto"/>
                <w:highlight w:val="none"/>
              </w:rPr>
            </w:pPr>
            <w:r>
              <w:rPr>
                <w:rFonts w:hint="eastAsia"/>
                <w:color w:val="auto"/>
                <w:highlight w:val="none"/>
              </w:rPr>
              <w:t>（3）投标人采取不正当手段诋毁、排挤其他投标人；</w:t>
            </w:r>
          </w:p>
          <w:p w14:paraId="79839BDE">
            <w:pPr>
              <w:jc w:val="left"/>
              <w:rPr>
                <w:color w:val="auto"/>
                <w:highlight w:val="none"/>
              </w:rPr>
            </w:pPr>
            <w:r>
              <w:rPr>
                <w:rFonts w:hint="eastAsia"/>
                <w:color w:val="auto"/>
                <w:highlight w:val="none"/>
              </w:rPr>
              <w:t>（4）投标截止时间后，投标人在投标有效期内撤销投标文件；</w:t>
            </w:r>
          </w:p>
          <w:p w14:paraId="7F7AD983">
            <w:pPr>
              <w:jc w:val="left"/>
              <w:rPr>
                <w:color w:val="auto"/>
                <w:highlight w:val="none"/>
              </w:rPr>
            </w:pPr>
            <w:r>
              <w:rPr>
                <w:rFonts w:hint="eastAsia"/>
                <w:color w:val="auto"/>
                <w:highlight w:val="none"/>
              </w:rPr>
              <w:t>（5）中标人有下列情形之一的：</w:t>
            </w:r>
          </w:p>
          <w:p w14:paraId="4D56CBE4">
            <w:pPr>
              <w:jc w:val="left"/>
              <w:rPr>
                <w:color w:val="auto"/>
                <w:highlight w:val="none"/>
              </w:rPr>
            </w:pPr>
            <w:r>
              <w:rPr>
                <w:rFonts w:hint="eastAsia"/>
                <w:color w:val="auto"/>
                <w:highlight w:val="none"/>
              </w:rPr>
              <w:t>a.除不可抗力外，因中标人自身原因未在中标通知书要求的期限内与采购人签订政府采购合同；</w:t>
            </w:r>
          </w:p>
          <w:p w14:paraId="4A495E1C">
            <w:pPr>
              <w:jc w:val="left"/>
              <w:rPr>
                <w:color w:val="auto"/>
                <w:highlight w:val="none"/>
              </w:rPr>
            </w:pPr>
            <w:r>
              <w:rPr>
                <w:rFonts w:hint="eastAsia"/>
                <w:color w:val="auto"/>
                <w:highlight w:val="none"/>
              </w:rPr>
              <w:t>b.未按照招标文件、投标文件的约定签订政府采购合同或提交履约保证金。</w:t>
            </w:r>
          </w:p>
          <w:p w14:paraId="0145C061">
            <w:pPr>
              <w:jc w:val="left"/>
              <w:rPr>
                <w:color w:val="auto"/>
                <w:highlight w:val="none"/>
              </w:rPr>
            </w:pPr>
            <w:r>
              <w:rPr>
                <w:rFonts w:hint="eastAsia"/>
                <w:color w:val="auto"/>
                <w:highlight w:val="none"/>
              </w:rPr>
              <w:t>注：若上述投标保证金不予退还情形给采购人（采购代理机构）造成损失，则投标人还要承担相应的赔偿责任。</w:t>
            </w:r>
          </w:p>
        </w:tc>
      </w:tr>
      <w:tr w14:paraId="4E59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14:paraId="1547E7B6">
            <w:pPr>
              <w:rPr>
                <w:color w:val="auto"/>
                <w:highlight w:val="none"/>
              </w:rPr>
            </w:pPr>
          </w:p>
        </w:tc>
        <w:tc>
          <w:tcPr>
            <w:tcW w:w="1984" w:type="dxa"/>
            <w:vMerge w:val="continue"/>
            <w:noWrap/>
            <w:vAlign w:val="center"/>
          </w:tcPr>
          <w:p w14:paraId="1FDBF7C5">
            <w:pPr>
              <w:rPr>
                <w:color w:val="auto"/>
                <w:highlight w:val="none"/>
              </w:rPr>
            </w:pPr>
          </w:p>
        </w:tc>
        <w:tc>
          <w:tcPr>
            <w:tcW w:w="6058" w:type="dxa"/>
            <w:gridSpan w:val="2"/>
            <w:noWrap/>
            <w:vAlign w:val="center"/>
          </w:tcPr>
          <w:p w14:paraId="73417A35">
            <w:pPr>
              <w:jc w:val="left"/>
              <w:rPr>
                <w:color w:val="auto"/>
                <w:highlight w:val="none"/>
              </w:rPr>
            </w:pPr>
            <w:r>
              <w:rPr>
                <w:rFonts w:hint="eastAsia"/>
                <w:color w:val="auto"/>
                <w:highlight w:val="none"/>
              </w:rPr>
              <w:t>其他不予退还投标保证金的情形：无。</w:t>
            </w:r>
          </w:p>
        </w:tc>
      </w:tr>
      <w:tr w14:paraId="6F99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6B44DFDB">
            <w:pPr>
              <w:rPr>
                <w:color w:val="auto"/>
                <w:highlight w:val="none"/>
              </w:rPr>
            </w:pPr>
            <w:r>
              <w:rPr>
                <w:rFonts w:hint="eastAsia"/>
                <w:color w:val="auto"/>
                <w:highlight w:val="none"/>
              </w:rPr>
              <w:t>21</w:t>
            </w:r>
          </w:p>
        </w:tc>
        <w:tc>
          <w:tcPr>
            <w:tcW w:w="1984" w:type="dxa"/>
            <w:noWrap/>
            <w:vAlign w:val="center"/>
          </w:tcPr>
          <w:p w14:paraId="567BD1A7">
            <w:pPr>
              <w:rPr>
                <w:b/>
                <w:color w:val="auto"/>
                <w:highlight w:val="none"/>
              </w:rPr>
            </w:pPr>
            <w:r>
              <w:rPr>
                <w:rFonts w:hint="eastAsia"/>
                <w:color w:val="auto"/>
                <w:highlight w:val="none"/>
              </w:rPr>
              <w:t>信用记录审查</w:t>
            </w:r>
          </w:p>
        </w:tc>
        <w:tc>
          <w:tcPr>
            <w:tcW w:w="6058" w:type="dxa"/>
            <w:gridSpan w:val="2"/>
            <w:noWrap/>
            <w:vAlign w:val="center"/>
          </w:tcPr>
          <w:p w14:paraId="28BAC764">
            <w:pPr>
              <w:jc w:val="left"/>
              <w:rPr>
                <w:snapToGrid w:val="0"/>
                <w:color w:val="auto"/>
                <w:highlight w:val="none"/>
              </w:rPr>
            </w:pPr>
            <w:r>
              <w:rPr>
                <w:rFonts w:hint="eastAsia"/>
                <w:color w:val="auto"/>
                <w:highlight w:val="none"/>
              </w:rPr>
              <w:t>根据《财政部关于在政府采购活动中查询及使用信用记录有关问题的通知》（财库〔2016〕125号）规定，开标结束后，采购人、采购代理机构将通过“信用中国”网站（www.creditchina.gov.cn）、中国政府采购网（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highlight w:val="none"/>
              </w:rPr>
              <w:t>www.ccgp.gov.cn</w:t>
            </w:r>
            <w:r>
              <w:rPr>
                <w:rFonts w:hint="eastAsia"/>
                <w:color w:val="auto"/>
                <w:highlight w:val="none"/>
              </w:rPr>
              <w:fldChar w:fldCharType="end"/>
            </w:r>
            <w:r>
              <w:rPr>
                <w:rFonts w:hint="eastAsia"/>
                <w:color w:val="auto"/>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14:paraId="2BFD76E0">
            <w:pPr>
              <w:jc w:val="left"/>
              <w:rPr>
                <w:color w:val="auto"/>
                <w:highlight w:val="none"/>
              </w:rPr>
            </w:pPr>
            <w:r>
              <w:rPr>
                <w:rFonts w:hint="eastAsia"/>
                <w:color w:val="auto"/>
                <w:highlight w:val="none"/>
              </w:rPr>
              <w:t>本次查询的信用记录仅限于本项目使用，查询结果将留存在采购档案中。</w:t>
            </w:r>
          </w:p>
          <w:p w14:paraId="5ABE4FE3">
            <w:pPr>
              <w:jc w:val="left"/>
              <w:rPr>
                <w:color w:val="auto"/>
                <w:highlight w:val="none"/>
              </w:rPr>
            </w:pPr>
            <w:r>
              <w:rPr>
                <w:rFonts w:hint="eastAsia"/>
                <w:color w:val="auto"/>
                <w:highlight w:val="none"/>
              </w:rPr>
              <w:t>在上述指定网站不能查询信用信息的投标人，应提供相关证明材料（原件加盖公章）。</w:t>
            </w:r>
          </w:p>
        </w:tc>
      </w:tr>
      <w:tr w14:paraId="4957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78EE7C42">
            <w:pPr>
              <w:rPr>
                <w:color w:val="auto"/>
                <w:highlight w:val="none"/>
              </w:rPr>
            </w:pPr>
            <w:r>
              <w:rPr>
                <w:rFonts w:hint="eastAsia"/>
                <w:color w:val="auto"/>
                <w:highlight w:val="none"/>
              </w:rPr>
              <w:t>22</w:t>
            </w:r>
          </w:p>
        </w:tc>
        <w:tc>
          <w:tcPr>
            <w:tcW w:w="1984" w:type="dxa"/>
            <w:noWrap/>
            <w:vAlign w:val="center"/>
          </w:tcPr>
          <w:p w14:paraId="3D62C6D5">
            <w:pPr>
              <w:rPr>
                <w:color w:val="auto"/>
                <w:highlight w:val="none"/>
              </w:rPr>
            </w:pPr>
            <w:r>
              <w:rPr>
                <w:rFonts w:hint="eastAsia"/>
                <w:color w:val="auto"/>
                <w:highlight w:val="none"/>
              </w:rPr>
              <w:t>支持中小型</w:t>
            </w:r>
          </w:p>
          <w:p w14:paraId="051FB2D1">
            <w:pPr>
              <w:rPr>
                <w:b/>
                <w:color w:val="auto"/>
                <w:highlight w:val="none"/>
              </w:rPr>
            </w:pPr>
            <w:r>
              <w:rPr>
                <w:rFonts w:hint="eastAsia"/>
                <w:color w:val="auto"/>
                <w:highlight w:val="none"/>
              </w:rPr>
              <w:t>企业发展</w:t>
            </w:r>
          </w:p>
        </w:tc>
        <w:tc>
          <w:tcPr>
            <w:tcW w:w="6058" w:type="dxa"/>
            <w:gridSpan w:val="2"/>
            <w:noWrap/>
            <w:vAlign w:val="center"/>
          </w:tcPr>
          <w:p w14:paraId="2A742BD1">
            <w:pPr>
              <w:jc w:val="left"/>
              <w:rPr>
                <w:color w:val="auto"/>
                <w:highlight w:val="none"/>
              </w:rPr>
            </w:pPr>
            <w:r>
              <w:rPr>
                <w:rFonts w:hint="eastAsia"/>
                <w:color w:val="auto"/>
                <w:highlight w:val="none"/>
              </w:rPr>
              <w:t>根据《政府采购促进中小型企业发展管理办法》（财库〔2020〕46号），鼓励中小企业参加本项目采购活动。</w:t>
            </w:r>
          </w:p>
          <w:p w14:paraId="11A76227">
            <w:pPr>
              <w:jc w:val="left"/>
              <w:rPr>
                <w:color w:val="auto"/>
                <w:highlight w:val="none"/>
              </w:rPr>
            </w:pPr>
            <w:r>
              <w:rPr>
                <w:rFonts w:hint="eastAsia"/>
                <w:color w:val="auto"/>
                <w:highlight w:val="none"/>
              </w:rPr>
              <w:t>在货物采购项目中，满足所有标的均由中小企业制造，即所有标的均由中小企业生产且使用该中小企业商号或者注册商标的，可享受中小企业扶持政策。</w:t>
            </w:r>
          </w:p>
          <w:p w14:paraId="342FA49D">
            <w:pPr>
              <w:jc w:val="left"/>
              <w:rPr>
                <w:color w:val="auto"/>
                <w:highlight w:val="none"/>
              </w:rPr>
            </w:pPr>
            <w:r>
              <w:rPr>
                <w:rFonts w:hint="eastAsia"/>
                <w:color w:val="auto"/>
                <w:highlight w:val="none"/>
              </w:rPr>
              <w:t>在服务采购项目中，满足服务由中小企业承接，即提供服务的人员为中小企业依照《中华人民共和国劳动合同法》订立劳动合同的从业人员的，可享受中小企业扶持政策。</w:t>
            </w:r>
          </w:p>
          <w:p w14:paraId="2A469AB8">
            <w:pPr>
              <w:jc w:val="left"/>
              <w:rPr>
                <w:color w:val="auto"/>
                <w:highlight w:val="none"/>
              </w:rPr>
            </w:pPr>
            <w:r>
              <w:rPr>
                <w:rFonts w:hint="eastAsia"/>
                <w:color w:val="auto"/>
                <w:highlight w:val="none"/>
              </w:rPr>
              <w:t>本项目：</w:t>
            </w:r>
          </w:p>
          <w:p w14:paraId="5B110DFC">
            <w:pPr>
              <w:jc w:val="left"/>
              <w:rPr>
                <w:color w:val="auto"/>
                <w:highlight w:val="none"/>
              </w:rPr>
            </w:pPr>
            <w:r>
              <w:rPr>
                <w:rFonts w:hint="eastAsia"/>
                <w:color w:val="auto"/>
                <w:highlight w:val="none"/>
              </w:rPr>
              <w:sym w:font="Wingdings 2" w:char="0052"/>
            </w:r>
            <w:r>
              <w:rPr>
                <w:rFonts w:hint="eastAsia"/>
                <w:color w:val="auto"/>
                <w:highlight w:val="none"/>
              </w:rPr>
              <w:t>专门面向小</w:t>
            </w:r>
            <w:r>
              <w:rPr>
                <w:rFonts w:hint="eastAsia"/>
                <w:color w:val="auto"/>
                <w:highlight w:val="none"/>
                <w:lang w:val="en-US" w:eastAsia="zh-CN"/>
              </w:rPr>
              <w:t>微</w:t>
            </w:r>
            <w:r>
              <w:rPr>
                <w:rFonts w:hint="eastAsia"/>
                <w:color w:val="auto"/>
                <w:highlight w:val="none"/>
              </w:rPr>
              <w:t>企业采购项目。</w:t>
            </w:r>
          </w:p>
          <w:p w14:paraId="355355E1">
            <w:pPr>
              <w:jc w:val="left"/>
              <w:rPr>
                <w:color w:val="auto"/>
                <w:highlight w:val="none"/>
              </w:rPr>
            </w:pPr>
            <w:r>
              <w:rPr>
                <w:rFonts w:hint="eastAsia"/>
                <w:color w:val="auto"/>
                <w:highlight w:val="none"/>
              </w:rPr>
              <w:t>□预留份额面向中小企业采购项目（说明：）。</w:t>
            </w:r>
          </w:p>
          <w:p w14:paraId="4F88B425">
            <w:pPr>
              <w:jc w:val="left"/>
              <w:rPr>
                <w:color w:val="auto"/>
                <w:highlight w:val="none"/>
              </w:rPr>
            </w:pPr>
            <w:r>
              <w:rPr>
                <w:rFonts w:hint="eastAsia"/>
                <w:color w:val="auto"/>
                <w:highlight w:val="none"/>
              </w:rPr>
              <w:t>□非专门面向中小企业采购项目。对小型和微型企业的投标价格给予15%的扣除，用扣除后的价格参与评审。</w:t>
            </w:r>
          </w:p>
        </w:tc>
      </w:tr>
      <w:tr w14:paraId="080F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7038BD44">
            <w:pPr>
              <w:rPr>
                <w:color w:val="auto"/>
                <w:highlight w:val="none"/>
              </w:rPr>
            </w:pPr>
            <w:r>
              <w:rPr>
                <w:rFonts w:hint="eastAsia"/>
                <w:color w:val="auto"/>
                <w:highlight w:val="none"/>
              </w:rPr>
              <w:t>23</w:t>
            </w:r>
          </w:p>
        </w:tc>
        <w:tc>
          <w:tcPr>
            <w:tcW w:w="1984" w:type="dxa"/>
            <w:noWrap/>
            <w:vAlign w:val="center"/>
          </w:tcPr>
          <w:p w14:paraId="68F55229">
            <w:pPr>
              <w:rPr>
                <w:b/>
                <w:color w:val="auto"/>
                <w:highlight w:val="none"/>
              </w:rPr>
            </w:pPr>
            <w:r>
              <w:rPr>
                <w:rFonts w:hint="eastAsia"/>
                <w:color w:val="auto"/>
                <w:highlight w:val="none"/>
              </w:rPr>
              <w:t>支持监狱企业发展</w:t>
            </w:r>
          </w:p>
        </w:tc>
        <w:tc>
          <w:tcPr>
            <w:tcW w:w="6058" w:type="dxa"/>
            <w:gridSpan w:val="2"/>
            <w:noWrap/>
            <w:vAlign w:val="center"/>
          </w:tcPr>
          <w:p w14:paraId="4FDC641A">
            <w:pPr>
              <w:jc w:val="left"/>
              <w:rPr>
                <w:b/>
                <w:color w:val="auto"/>
                <w:highlight w:val="none"/>
              </w:rPr>
            </w:pPr>
            <w:r>
              <w:rPr>
                <w:rFonts w:hint="eastAsia"/>
                <w:color w:val="auto"/>
                <w:highlight w:val="none"/>
              </w:rPr>
              <w:t>根据《关于政府采购支持监狱企业发展有关问题的通知》（财库〔2014〕68号），监狱企业视同小型、微型企业，按照</w:t>
            </w:r>
            <w:r>
              <w:rPr>
                <w:rFonts w:hint="eastAsia"/>
                <w:b/>
                <w:color w:val="auto"/>
                <w:highlight w:val="none"/>
              </w:rPr>
              <w:t>投标人须知前附表第22项</w:t>
            </w:r>
            <w:r>
              <w:rPr>
                <w:rFonts w:hint="eastAsia"/>
                <w:color w:val="auto"/>
                <w:highlight w:val="none"/>
              </w:rPr>
              <w:t>享受价格扣除政策。</w:t>
            </w:r>
          </w:p>
        </w:tc>
      </w:tr>
      <w:tr w14:paraId="19F4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38A51AE3">
            <w:pPr>
              <w:rPr>
                <w:color w:val="auto"/>
                <w:highlight w:val="none"/>
              </w:rPr>
            </w:pPr>
            <w:r>
              <w:rPr>
                <w:rFonts w:hint="eastAsia"/>
                <w:color w:val="auto"/>
                <w:highlight w:val="none"/>
              </w:rPr>
              <w:t>24</w:t>
            </w:r>
          </w:p>
        </w:tc>
        <w:tc>
          <w:tcPr>
            <w:tcW w:w="1984" w:type="dxa"/>
            <w:noWrap/>
            <w:vAlign w:val="center"/>
          </w:tcPr>
          <w:p w14:paraId="5A5DA517">
            <w:pPr>
              <w:rPr>
                <w:color w:val="auto"/>
                <w:highlight w:val="none"/>
              </w:rPr>
            </w:pPr>
            <w:r>
              <w:rPr>
                <w:rFonts w:hint="eastAsia"/>
                <w:color w:val="auto"/>
                <w:highlight w:val="none"/>
              </w:rPr>
              <w:t>促进残疾人</w:t>
            </w:r>
          </w:p>
          <w:p w14:paraId="525D7EB1">
            <w:pPr>
              <w:rPr>
                <w:color w:val="auto"/>
                <w:highlight w:val="none"/>
              </w:rPr>
            </w:pPr>
            <w:r>
              <w:rPr>
                <w:rFonts w:hint="eastAsia"/>
                <w:color w:val="auto"/>
                <w:highlight w:val="none"/>
              </w:rPr>
              <w:t>就业</w:t>
            </w:r>
          </w:p>
        </w:tc>
        <w:tc>
          <w:tcPr>
            <w:tcW w:w="6058" w:type="dxa"/>
            <w:gridSpan w:val="2"/>
            <w:noWrap/>
            <w:vAlign w:val="center"/>
          </w:tcPr>
          <w:p w14:paraId="12FB0D5F">
            <w:pPr>
              <w:jc w:val="left"/>
              <w:rPr>
                <w:color w:val="auto"/>
                <w:highlight w:val="none"/>
              </w:rPr>
            </w:pPr>
            <w:r>
              <w:rPr>
                <w:rFonts w:hint="eastAsia"/>
                <w:color w:val="auto"/>
                <w:highlight w:val="none"/>
              </w:rPr>
              <w:t>根据《关于促进残疾人就业政府采购政策的通知》（财库〔2017〕141号），残疾人福利性单位视同小型、微型企业，按照</w:t>
            </w:r>
            <w:r>
              <w:rPr>
                <w:rFonts w:hint="eastAsia"/>
                <w:b/>
                <w:color w:val="auto"/>
                <w:highlight w:val="none"/>
              </w:rPr>
              <w:t>投标人须知前附表第22项</w:t>
            </w:r>
            <w:r>
              <w:rPr>
                <w:rFonts w:hint="eastAsia"/>
                <w:color w:val="auto"/>
                <w:highlight w:val="none"/>
              </w:rPr>
              <w:t>享受价格扣除政策。</w:t>
            </w:r>
          </w:p>
        </w:tc>
      </w:tr>
      <w:tr w14:paraId="4AC4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14:paraId="383C1983">
            <w:pPr>
              <w:rPr>
                <w:color w:val="auto"/>
                <w:highlight w:val="none"/>
              </w:rPr>
            </w:pPr>
            <w:r>
              <w:rPr>
                <w:rFonts w:hint="eastAsia"/>
                <w:color w:val="auto"/>
                <w:highlight w:val="none"/>
              </w:rPr>
              <w:t>25</w:t>
            </w:r>
          </w:p>
        </w:tc>
        <w:tc>
          <w:tcPr>
            <w:tcW w:w="1984" w:type="dxa"/>
            <w:vMerge w:val="restart"/>
            <w:noWrap/>
            <w:vAlign w:val="center"/>
          </w:tcPr>
          <w:p w14:paraId="7FCE5006">
            <w:pPr>
              <w:rPr>
                <w:b/>
                <w:color w:val="auto"/>
                <w:highlight w:val="none"/>
              </w:rPr>
            </w:pPr>
            <w:r>
              <w:rPr>
                <w:rFonts w:hint="eastAsia"/>
                <w:color w:val="auto"/>
                <w:highlight w:val="none"/>
              </w:rPr>
              <w:t>其他法律法规强制性规定或扶持政策</w:t>
            </w:r>
          </w:p>
        </w:tc>
        <w:tc>
          <w:tcPr>
            <w:tcW w:w="6058" w:type="dxa"/>
            <w:gridSpan w:val="2"/>
            <w:noWrap/>
            <w:vAlign w:val="center"/>
          </w:tcPr>
          <w:p w14:paraId="41D8B341">
            <w:pPr>
              <w:jc w:val="left"/>
              <w:rPr>
                <w:color w:val="auto"/>
                <w:highlight w:val="none"/>
              </w:rPr>
            </w:pPr>
            <w:r>
              <w:rPr>
                <w:rFonts w:hint="eastAsia"/>
                <w:color w:val="auto"/>
                <w:highlight w:val="none"/>
              </w:rPr>
              <w:t>本项目中强制采购节能产品的货物名称：</w:t>
            </w:r>
          </w:p>
          <w:p w14:paraId="347974C4">
            <w:pPr>
              <w:jc w:val="left"/>
              <w:rPr>
                <w:color w:val="auto"/>
                <w:highlight w:val="none"/>
              </w:rPr>
            </w:pPr>
            <w:r>
              <w:rPr>
                <w:rFonts w:hint="eastAsia"/>
                <w:color w:val="auto"/>
                <w:highlight w:val="none"/>
              </w:rPr>
              <w:t>采购包1：</w:t>
            </w:r>
            <w:r>
              <w:rPr>
                <w:rFonts w:hint="eastAsia"/>
                <w:color w:val="auto"/>
                <w:highlight w:val="none"/>
                <w:u w:val="single"/>
              </w:rPr>
              <w:t>/</w:t>
            </w:r>
            <w:r>
              <w:rPr>
                <w:rFonts w:hint="eastAsia"/>
                <w:color w:val="auto"/>
                <w:highlight w:val="none"/>
              </w:rPr>
              <w:t>。</w:t>
            </w:r>
          </w:p>
          <w:p w14:paraId="71878769">
            <w:pPr>
              <w:jc w:val="left"/>
              <w:rPr>
                <w:b/>
                <w:color w:val="auto"/>
                <w:highlight w:val="none"/>
              </w:rPr>
            </w:pPr>
            <w:r>
              <w:rPr>
                <w:rFonts w:hint="eastAsia"/>
                <w:color w:val="auto"/>
                <w:highlight w:val="none"/>
              </w:rPr>
              <w:t>注：投标人所投上述产品必须具有节能产品认证证书，并提供依据国家确定的认证机构出具的、处于有效期之内的节能产品认证证书复印件，否则投标无效。</w:t>
            </w:r>
          </w:p>
        </w:tc>
      </w:tr>
      <w:tr w14:paraId="65EC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14:paraId="701ED2AC">
            <w:pPr>
              <w:rPr>
                <w:color w:val="auto"/>
                <w:highlight w:val="none"/>
              </w:rPr>
            </w:pPr>
          </w:p>
        </w:tc>
        <w:tc>
          <w:tcPr>
            <w:tcW w:w="1984" w:type="dxa"/>
            <w:vMerge w:val="continue"/>
            <w:noWrap/>
            <w:vAlign w:val="center"/>
          </w:tcPr>
          <w:p w14:paraId="32E6CB7B">
            <w:pPr>
              <w:rPr>
                <w:color w:val="auto"/>
                <w:highlight w:val="none"/>
              </w:rPr>
            </w:pPr>
          </w:p>
        </w:tc>
        <w:tc>
          <w:tcPr>
            <w:tcW w:w="6058" w:type="dxa"/>
            <w:gridSpan w:val="2"/>
            <w:noWrap/>
            <w:vAlign w:val="center"/>
          </w:tcPr>
          <w:p w14:paraId="086B9FE2">
            <w:pPr>
              <w:jc w:val="left"/>
              <w:rPr>
                <w:color w:val="auto"/>
                <w:highlight w:val="none"/>
              </w:rPr>
            </w:pPr>
            <w:r>
              <w:rPr>
                <w:rFonts w:hint="eastAsia"/>
                <w:color w:val="auto"/>
                <w:highlight w:val="none"/>
              </w:rPr>
              <w:t>本项目中采购信息安全认证或安全检测的货物名称：/</w:t>
            </w:r>
          </w:p>
          <w:p w14:paraId="65372864">
            <w:pPr>
              <w:jc w:val="left"/>
              <w:rPr>
                <w:color w:val="auto"/>
                <w:highlight w:val="none"/>
              </w:rPr>
            </w:pPr>
            <w:r>
              <w:rPr>
                <w:rFonts w:hint="eastAsia"/>
                <w:color w:val="auto"/>
                <w:highlight w:val="none"/>
              </w:rPr>
              <w:t>采购包1：/。</w:t>
            </w:r>
          </w:p>
          <w:p w14:paraId="100CBDEE">
            <w:pPr>
              <w:jc w:val="left"/>
              <w:rPr>
                <w:color w:val="auto"/>
                <w:highlight w:val="none"/>
              </w:rPr>
            </w:pPr>
            <w:r>
              <w:rPr>
                <w:rFonts w:hint="eastAsia"/>
                <w:color w:val="auto"/>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14:paraId="1AB6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14:paraId="4CDF9896">
            <w:pPr>
              <w:rPr>
                <w:color w:val="auto"/>
                <w:highlight w:val="none"/>
              </w:rPr>
            </w:pPr>
          </w:p>
        </w:tc>
        <w:tc>
          <w:tcPr>
            <w:tcW w:w="1984" w:type="dxa"/>
            <w:vMerge w:val="continue"/>
            <w:noWrap/>
            <w:vAlign w:val="center"/>
          </w:tcPr>
          <w:p w14:paraId="52F3713A">
            <w:pPr>
              <w:rPr>
                <w:color w:val="auto"/>
                <w:highlight w:val="none"/>
              </w:rPr>
            </w:pPr>
          </w:p>
        </w:tc>
        <w:tc>
          <w:tcPr>
            <w:tcW w:w="6058" w:type="dxa"/>
            <w:gridSpan w:val="2"/>
            <w:noWrap/>
            <w:vAlign w:val="center"/>
          </w:tcPr>
          <w:p w14:paraId="6A17C86F">
            <w:pPr>
              <w:jc w:val="left"/>
              <w:rPr>
                <w:color w:val="auto"/>
                <w:highlight w:val="none"/>
              </w:rPr>
            </w:pPr>
            <w:r>
              <w:rPr>
                <w:rFonts w:hint="eastAsia"/>
                <w:color w:val="auto"/>
                <w:highlight w:val="none"/>
              </w:rPr>
              <w:t>其他法律法规强制性规定或扶持政策：</w:t>
            </w:r>
          </w:p>
          <w:p w14:paraId="534A55A7">
            <w:pPr>
              <w:jc w:val="left"/>
              <w:rPr>
                <w:color w:val="auto"/>
                <w:highlight w:val="none"/>
              </w:rPr>
            </w:pPr>
            <w:r>
              <w:rPr>
                <w:rFonts w:hint="eastAsia"/>
                <w:color w:val="auto"/>
                <w:highlight w:val="none"/>
              </w:rPr>
              <w:t>采购包1：</w:t>
            </w:r>
            <w:r>
              <w:rPr>
                <w:rFonts w:hint="eastAsia"/>
                <w:color w:val="auto"/>
                <w:highlight w:val="none"/>
                <w:u w:val="single"/>
              </w:rPr>
              <w:t>/</w:t>
            </w:r>
            <w:r>
              <w:rPr>
                <w:rFonts w:hint="eastAsia"/>
                <w:color w:val="auto"/>
                <w:highlight w:val="none"/>
              </w:rPr>
              <w:t>。</w:t>
            </w:r>
          </w:p>
        </w:tc>
      </w:tr>
      <w:tr w14:paraId="7E9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4BA66503">
            <w:pPr>
              <w:rPr>
                <w:color w:val="auto"/>
                <w:highlight w:val="none"/>
              </w:rPr>
            </w:pPr>
            <w:r>
              <w:rPr>
                <w:rFonts w:hint="eastAsia"/>
                <w:color w:val="auto"/>
                <w:highlight w:val="none"/>
              </w:rPr>
              <w:t>26</w:t>
            </w:r>
          </w:p>
        </w:tc>
        <w:tc>
          <w:tcPr>
            <w:tcW w:w="1984" w:type="dxa"/>
            <w:noWrap/>
            <w:vAlign w:val="center"/>
          </w:tcPr>
          <w:p w14:paraId="458FDA4B">
            <w:pPr>
              <w:rPr>
                <w:color w:val="auto"/>
                <w:highlight w:val="none"/>
              </w:rPr>
            </w:pPr>
            <w:r>
              <w:rPr>
                <w:rFonts w:hint="eastAsia"/>
                <w:color w:val="auto"/>
                <w:highlight w:val="none"/>
              </w:rPr>
              <w:t>评标方法</w:t>
            </w:r>
          </w:p>
          <w:p w14:paraId="69F953A3">
            <w:pPr>
              <w:rPr>
                <w:b/>
                <w:color w:val="auto"/>
                <w:highlight w:val="none"/>
              </w:rPr>
            </w:pPr>
            <w:r>
              <w:rPr>
                <w:rFonts w:hint="eastAsia"/>
                <w:color w:val="auto"/>
                <w:highlight w:val="none"/>
              </w:rPr>
              <w:t>及分值</w:t>
            </w:r>
          </w:p>
        </w:tc>
        <w:tc>
          <w:tcPr>
            <w:tcW w:w="6058" w:type="dxa"/>
            <w:gridSpan w:val="2"/>
            <w:noWrap/>
            <w:vAlign w:val="center"/>
          </w:tcPr>
          <w:p w14:paraId="5F07D877">
            <w:pPr>
              <w:jc w:val="left"/>
              <w:rPr>
                <w:color w:val="auto"/>
                <w:highlight w:val="none"/>
              </w:rPr>
            </w:pPr>
            <w:r>
              <w:rPr>
                <w:rFonts w:hint="eastAsia"/>
                <w:color w:val="auto"/>
                <w:highlight w:val="none"/>
              </w:rPr>
              <w:sym w:font="Wingdings 2" w:char="F0A3"/>
            </w:r>
            <w:r>
              <w:rPr>
                <w:rFonts w:hint="eastAsia"/>
                <w:color w:val="auto"/>
                <w:highlight w:val="none"/>
              </w:rPr>
              <w:t>本项目采用最低评标价法，详见招标文件商务部分第三章。</w:t>
            </w:r>
          </w:p>
          <w:p w14:paraId="7BB373D4">
            <w:pPr>
              <w:jc w:val="left"/>
              <w:rPr>
                <w:color w:val="auto"/>
                <w:highlight w:val="none"/>
              </w:rPr>
            </w:pPr>
            <w:r>
              <w:rPr>
                <w:rFonts w:hint="eastAsia"/>
                <w:color w:val="auto"/>
                <w:highlight w:val="none"/>
              </w:rPr>
              <w:sym w:font="Wingdings 2" w:char="0052"/>
            </w:r>
            <w:r>
              <w:rPr>
                <w:rFonts w:hint="eastAsia"/>
                <w:color w:val="auto"/>
                <w:highlight w:val="none"/>
              </w:rPr>
              <w:t>本项目采用综合评分法，其中价格分值为</w:t>
            </w:r>
            <w:r>
              <w:rPr>
                <w:rFonts w:hint="eastAsia"/>
                <w:color w:val="auto"/>
                <w:highlight w:val="none"/>
                <w:lang w:val="en-US" w:eastAsia="zh-CN"/>
              </w:rPr>
              <w:t>2</w:t>
            </w:r>
            <w:r>
              <w:rPr>
                <w:rFonts w:hint="eastAsia"/>
                <w:color w:val="auto"/>
                <w:highlight w:val="none"/>
              </w:rPr>
              <w:t>0分，其他因素分值为</w:t>
            </w:r>
            <w:r>
              <w:rPr>
                <w:rFonts w:hint="eastAsia"/>
                <w:color w:val="auto"/>
                <w:highlight w:val="none"/>
                <w:lang w:val="en-US" w:eastAsia="zh-CN"/>
              </w:rPr>
              <w:t>8</w:t>
            </w:r>
            <w:r>
              <w:rPr>
                <w:rFonts w:hint="eastAsia"/>
                <w:color w:val="auto"/>
                <w:highlight w:val="none"/>
              </w:rPr>
              <w:t>0分，详见招标文件（商务部分）第三章。（注：定标原则：</w:t>
            </w:r>
            <w:r>
              <w:rPr>
                <w:rFonts w:hint="eastAsia"/>
                <w:color w:val="auto"/>
                <w:highlight w:val="none"/>
                <w:u w:val="single"/>
              </w:rPr>
              <w:t>得分相同时，以投标报价由低到高顺序排列；得分相同且投标报价相同的，按技术指标优劣顺序排列）</w:t>
            </w:r>
          </w:p>
        </w:tc>
      </w:tr>
      <w:tr w14:paraId="4411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38FBAE19">
            <w:pPr>
              <w:rPr>
                <w:color w:val="auto"/>
                <w:highlight w:val="none"/>
              </w:rPr>
            </w:pPr>
            <w:r>
              <w:rPr>
                <w:rFonts w:hint="eastAsia"/>
                <w:color w:val="auto"/>
                <w:highlight w:val="none"/>
              </w:rPr>
              <w:t>27</w:t>
            </w:r>
          </w:p>
        </w:tc>
        <w:tc>
          <w:tcPr>
            <w:tcW w:w="1984" w:type="dxa"/>
            <w:noWrap/>
            <w:vAlign w:val="center"/>
          </w:tcPr>
          <w:p w14:paraId="5C200783">
            <w:pPr>
              <w:rPr>
                <w:b/>
                <w:color w:val="auto"/>
                <w:highlight w:val="none"/>
              </w:rPr>
            </w:pPr>
            <w:r>
              <w:rPr>
                <w:rFonts w:hint="eastAsia"/>
                <w:color w:val="auto"/>
                <w:highlight w:val="none"/>
              </w:rPr>
              <w:t>履约保证金</w:t>
            </w:r>
          </w:p>
        </w:tc>
        <w:tc>
          <w:tcPr>
            <w:tcW w:w="6058" w:type="dxa"/>
            <w:gridSpan w:val="2"/>
            <w:noWrap/>
            <w:vAlign w:val="center"/>
          </w:tcPr>
          <w:p w14:paraId="5AE476A5">
            <w:pPr>
              <w:jc w:val="left"/>
              <w:rPr>
                <w:color w:val="auto"/>
                <w:highlight w:val="none"/>
              </w:rPr>
            </w:pPr>
            <w:r>
              <w:rPr>
                <w:rFonts w:hint="eastAsia"/>
                <w:color w:val="auto"/>
                <w:highlight w:val="none"/>
              </w:rPr>
              <w:sym w:font="Wingdings 2" w:char="0052"/>
            </w:r>
            <w:r>
              <w:rPr>
                <w:rFonts w:hint="eastAsia"/>
                <w:color w:val="auto"/>
                <w:highlight w:val="none"/>
              </w:rPr>
              <w:t>不要求提供</w:t>
            </w:r>
          </w:p>
          <w:p w14:paraId="3743C5F9">
            <w:pPr>
              <w:pStyle w:val="11"/>
              <w:jc w:val="left"/>
              <w:rPr>
                <w:color w:val="auto"/>
                <w:highlight w:val="none"/>
              </w:rPr>
            </w:pPr>
            <w:r>
              <w:rPr>
                <w:rFonts w:hint="eastAsia"/>
                <w:color w:val="auto"/>
                <w:highlight w:val="none"/>
              </w:rPr>
              <w:sym w:font="Wingdings 2" w:char="00A3"/>
            </w:r>
            <w:r>
              <w:rPr>
                <w:rFonts w:hint="eastAsia"/>
                <w:color w:val="auto"/>
                <w:highlight w:val="none"/>
              </w:rPr>
              <w:t>要求提供，履约保证金的数额不得超过采购合同总金额的10%，本项目履约保证金为合同总金额的/%（取整到元），提交方式为支票、汇票、本票或者金融机构、担保机构出具的保函等非现金形式，中标人在签订合同前应提交履约保证金，否则，不予签订合同。采用转账、电汇方式的，由中标人在签订合同前按规定的金额从中标人银行账户直接缴入采购人账户。</w:t>
            </w:r>
          </w:p>
          <w:p w14:paraId="649F41EE">
            <w:pPr>
              <w:jc w:val="left"/>
              <w:rPr>
                <w:color w:val="auto"/>
                <w:highlight w:val="none"/>
              </w:rPr>
            </w:pPr>
            <w:r>
              <w:rPr>
                <w:rFonts w:hint="eastAsia"/>
                <w:color w:val="auto"/>
                <w:highlight w:val="none"/>
              </w:rPr>
              <w:t>项目验收合格的，采购人在收到中标人提出申请的30日内无息返还履约保证金；采购人如逾期退还履约保证金，每逾期一天，可按应退款项的</w:t>
            </w:r>
            <w:r>
              <w:rPr>
                <w:rFonts w:hint="eastAsia"/>
                <w:color w:val="auto"/>
                <w:highlight w:val="none"/>
                <w:shd w:val="clear" w:color="auto" w:fill="FFFFFF"/>
              </w:rPr>
              <w:t>银行同期存款利息</w:t>
            </w:r>
            <w:r>
              <w:rPr>
                <w:rFonts w:hint="eastAsia"/>
                <w:color w:val="auto"/>
                <w:highlight w:val="none"/>
              </w:rPr>
              <w:t>计算违约金；项目验收不合格的，履约保证金不予退还。</w:t>
            </w:r>
          </w:p>
          <w:p w14:paraId="4F5CCFA9">
            <w:pPr>
              <w:jc w:val="left"/>
              <w:rPr>
                <w:color w:val="auto"/>
                <w:highlight w:val="none"/>
              </w:rPr>
            </w:pPr>
            <w:r>
              <w:rPr>
                <w:rFonts w:hint="eastAsia"/>
                <w:color w:val="auto"/>
                <w:highlight w:val="none"/>
              </w:rPr>
              <w:t>收款人户名：</w:t>
            </w:r>
          </w:p>
          <w:p w14:paraId="22DC62CE">
            <w:pPr>
              <w:jc w:val="left"/>
              <w:rPr>
                <w:color w:val="auto"/>
                <w:highlight w:val="none"/>
              </w:rPr>
            </w:pPr>
            <w:r>
              <w:rPr>
                <w:rFonts w:hint="eastAsia"/>
                <w:color w:val="auto"/>
                <w:highlight w:val="none"/>
              </w:rPr>
              <w:t>开户银行：</w:t>
            </w:r>
          </w:p>
          <w:p w14:paraId="70C3B491">
            <w:pPr>
              <w:jc w:val="left"/>
              <w:rPr>
                <w:color w:val="auto"/>
                <w:highlight w:val="none"/>
              </w:rPr>
            </w:pPr>
            <w:r>
              <w:rPr>
                <w:rFonts w:hint="eastAsia"/>
                <w:color w:val="auto"/>
                <w:highlight w:val="none"/>
              </w:rPr>
              <w:t>银行账号：</w:t>
            </w:r>
          </w:p>
          <w:p w14:paraId="41776845">
            <w:pPr>
              <w:pStyle w:val="9"/>
              <w:jc w:val="left"/>
              <w:rPr>
                <w:color w:val="auto"/>
                <w:highlight w:val="none"/>
              </w:rPr>
            </w:pPr>
            <w:r>
              <w:rPr>
                <w:rFonts w:hint="eastAsia"/>
                <w:color w:val="auto"/>
                <w:highlight w:val="none"/>
              </w:rPr>
              <w:t>注：以电汇方式递交履约保证金须在电汇凭据附言栏中写明采购编号、包号及用途(履约保证金)。</w:t>
            </w:r>
          </w:p>
        </w:tc>
      </w:tr>
      <w:tr w14:paraId="4A50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29F8828F">
            <w:pPr>
              <w:rPr>
                <w:color w:val="auto"/>
                <w:highlight w:val="none"/>
              </w:rPr>
            </w:pPr>
            <w:r>
              <w:rPr>
                <w:rFonts w:hint="eastAsia"/>
                <w:color w:val="auto"/>
                <w:highlight w:val="none"/>
              </w:rPr>
              <w:t>28</w:t>
            </w:r>
          </w:p>
        </w:tc>
        <w:tc>
          <w:tcPr>
            <w:tcW w:w="1984" w:type="dxa"/>
            <w:noWrap/>
            <w:vAlign w:val="center"/>
          </w:tcPr>
          <w:p w14:paraId="7DD1BA7D">
            <w:pPr>
              <w:rPr>
                <w:b/>
                <w:color w:val="auto"/>
                <w:highlight w:val="none"/>
              </w:rPr>
            </w:pPr>
            <w:r>
              <w:rPr>
                <w:rFonts w:hint="eastAsia"/>
                <w:color w:val="auto"/>
                <w:highlight w:val="none"/>
              </w:rPr>
              <w:t>接收质疑的方式、部门、电话和通讯地址</w:t>
            </w:r>
          </w:p>
        </w:tc>
        <w:tc>
          <w:tcPr>
            <w:tcW w:w="6058" w:type="dxa"/>
            <w:gridSpan w:val="2"/>
            <w:noWrap/>
            <w:vAlign w:val="center"/>
          </w:tcPr>
          <w:p w14:paraId="2F06CB44">
            <w:pPr>
              <w:jc w:val="left"/>
              <w:rPr>
                <w:color w:val="auto"/>
                <w:highlight w:val="none"/>
              </w:rPr>
            </w:pPr>
            <w:r>
              <w:rPr>
                <w:rFonts w:hint="eastAsia"/>
                <w:color w:val="auto"/>
                <w:highlight w:val="none"/>
              </w:rPr>
              <w:t>质疑联系方式：</w:t>
            </w:r>
          </w:p>
          <w:p w14:paraId="374AAE4B">
            <w:pPr>
              <w:jc w:val="left"/>
              <w:rPr>
                <w:color w:val="auto"/>
                <w:highlight w:val="none"/>
              </w:rPr>
            </w:pPr>
            <w:r>
              <w:rPr>
                <w:rFonts w:hint="eastAsia"/>
                <w:color w:val="auto"/>
                <w:highlight w:val="none"/>
              </w:rPr>
              <w:t>（1）接收质疑函的方式：纸质方式</w:t>
            </w:r>
          </w:p>
          <w:p w14:paraId="6D9E9DA6">
            <w:pPr>
              <w:jc w:val="left"/>
              <w:rPr>
                <w:color w:val="auto"/>
                <w:highlight w:val="none"/>
              </w:rPr>
            </w:pPr>
            <w:r>
              <w:rPr>
                <w:rFonts w:hint="eastAsia"/>
                <w:color w:val="auto"/>
                <w:highlight w:val="none"/>
              </w:rPr>
              <w:t>（2）联系部门：广西众联工程项目管理有限公司招标代理部</w:t>
            </w:r>
          </w:p>
          <w:p w14:paraId="44F4B1F4">
            <w:pPr>
              <w:jc w:val="left"/>
              <w:rPr>
                <w:color w:val="auto"/>
                <w:highlight w:val="none"/>
              </w:rPr>
            </w:pPr>
            <w:r>
              <w:rPr>
                <w:rFonts w:hint="eastAsia"/>
                <w:color w:val="auto"/>
                <w:highlight w:val="none"/>
              </w:rPr>
              <w:t>（3）联系电话：0771-4308370</w:t>
            </w:r>
          </w:p>
          <w:p w14:paraId="7ABE9A72">
            <w:pPr>
              <w:jc w:val="left"/>
              <w:rPr>
                <w:color w:val="auto"/>
                <w:highlight w:val="none"/>
              </w:rPr>
            </w:pPr>
            <w:r>
              <w:rPr>
                <w:rFonts w:hint="eastAsia"/>
                <w:color w:val="auto"/>
                <w:highlight w:val="none"/>
              </w:rPr>
              <w:t>（4）通讯地址：南宁市江南区白沙大道53号松宇时代14A层</w:t>
            </w:r>
          </w:p>
          <w:p w14:paraId="74E189BB">
            <w:pPr>
              <w:jc w:val="left"/>
              <w:rPr>
                <w:rFonts w:hint="eastAsia" w:eastAsiaTheme="minorEastAsia"/>
                <w:color w:val="auto"/>
                <w:highlight w:val="none"/>
                <w:lang w:eastAsia="zh-CN"/>
              </w:rPr>
            </w:pPr>
            <w:r>
              <w:rPr>
                <w:rFonts w:hint="eastAsia"/>
                <w:color w:val="auto"/>
                <w:highlight w:val="none"/>
              </w:rPr>
              <w:t>（5）电子邮箱：</w:t>
            </w:r>
            <w:r>
              <w:rPr>
                <w:rFonts w:hint="eastAsia"/>
                <w:color w:val="auto"/>
                <w:highlight w:val="none"/>
                <w:lang w:eastAsia="zh-CN"/>
              </w:rPr>
              <w:t>zhonglianxmgl@163.com</w:t>
            </w:r>
          </w:p>
        </w:tc>
      </w:tr>
      <w:tr w14:paraId="7B76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11A9F423">
            <w:pPr>
              <w:rPr>
                <w:color w:val="auto"/>
                <w:highlight w:val="none"/>
              </w:rPr>
            </w:pPr>
            <w:r>
              <w:rPr>
                <w:rFonts w:hint="eastAsia"/>
                <w:color w:val="auto"/>
                <w:highlight w:val="none"/>
              </w:rPr>
              <w:t>29</w:t>
            </w:r>
          </w:p>
        </w:tc>
        <w:tc>
          <w:tcPr>
            <w:tcW w:w="1984" w:type="dxa"/>
            <w:noWrap/>
            <w:vAlign w:val="center"/>
          </w:tcPr>
          <w:p w14:paraId="5E3AC9C4">
            <w:pPr>
              <w:rPr>
                <w:color w:val="auto"/>
                <w:highlight w:val="none"/>
              </w:rPr>
            </w:pPr>
            <w:r>
              <w:rPr>
                <w:rFonts w:hint="eastAsia"/>
                <w:color w:val="auto"/>
                <w:highlight w:val="none"/>
              </w:rPr>
              <w:t>需提交的投标文件份数</w:t>
            </w:r>
          </w:p>
        </w:tc>
        <w:tc>
          <w:tcPr>
            <w:tcW w:w="6058" w:type="dxa"/>
            <w:gridSpan w:val="2"/>
            <w:noWrap/>
            <w:vAlign w:val="center"/>
          </w:tcPr>
          <w:p w14:paraId="0D1B22E3">
            <w:pPr>
              <w:jc w:val="left"/>
              <w:rPr>
                <w:color w:val="auto"/>
                <w:highlight w:val="none"/>
              </w:rPr>
            </w:pPr>
            <w:r>
              <w:rPr>
                <w:rFonts w:hint="eastAsia"/>
                <w:color w:val="auto"/>
                <w:highlight w:val="none"/>
              </w:rPr>
              <w:t>需提交的投标文件份数：</w:t>
            </w:r>
          </w:p>
          <w:p w14:paraId="68420DE9">
            <w:pPr>
              <w:jc w:val="left"/>
              <w:rPr>
                <w:color w:val="auto"/>
                <w:highlight w:val="none"/>
              </w:rPr>
            </w:pPr>
            <w:r>
              <w:rPr>
                <w:rFonts w:hint="eastAsia"/>
                <w:color w:val="auto"/>
                <w:highlight w:val="none"/>
              </w:rPr>
              <w:t>（1）正本</w:t>
            </w:r>
            <w:r>
              <w:rPr>
                <w:rFonts w:hint="eastAsia"/>
                <w:color w:val="auto"/>
                <w:highlight w:val="none"/>
                <w:u w:val="single"/>
              </w:rPr>
              <w:t>1</w:t>
            </w:r>
            <w:r>
              <w:rPr>
                <w:rFonts w:hint="eastAsia"/>
                <w:color w:val="auto"/>
                <w:highlight w:val="none"/>
              </w:rPr>
              <w:t>份、副本</w:t>
            </w:r>
            <w:r>
              <w:rPr>
                <w:rFonts w:hint="eastAsia"/>
                <w:color w:val="auto"/>
                <w:highlight w:val="none"/>
                <w:u w:val="single"/>
                <w:lang w:val="en-US" w:eastAsia="zh-CN"/>
              </w:rPr>
              <w:t>4</w:t>
            </w:r>
            <w:r>
              <w:rPr>
                <w:rFonts w:hint="eastAsia"/>
                <w:color w:val="auto"/>
                <w:highlight w:val="none"/>
              </w:rPr>
              <w:t>份。</w:t>
            </w:r>
          </w:p>
          <w:p w14:paraId="2113CC89">
            <w:pPr>
              <w:jc w:val="left"/>
              <w:rPr>
                <w:color w:val="auto"/>
                <w:highlight w:val="none"/>
              </w:rPr>
            </w:pPr>
            <w:r>
              <w:rPr>
                <w:rFonts w:hint="eastAsia"/>
                <w:color w:val="auto"/>
                <w:highlight w:val="none"/>
              </w:rPr>
              <w:t>（2）电子文件</w:t>
            </w:r>
            <w:r>
              <w:rPr>
                <w:rFonts w:hint="eastAsia"/>
                <w:color w:val="auto"/>
                <w:highlight w:val="none"/>
                <w:u w:val="single"/>
              </w:rPr>
              <w:t>1</w:t>
            </w:r>
            <w:r>
              <w:rPr>
                <w:rFonts w:hint="eastAsia"/>
                <w:color w:val="auto"/>
                <w:highlight w:val="none"/>
              </w:rPr>
              <w:t>份（</w:t>
            </w:r>
            <w:r>
              <w:rPr>
                <w:rFonts w:hint="eastAsia"/>
                <w:color w:val="auto"/>
                <w:highlight w:val="none"/>
              </w:rPr>
              <w:sym w:font="Wingdings 2" w:char="0052"/>
            </w:r>
            <w:r>
              <w:rPr>
                <w:rFonts w:hint="eastAsia"/>
                <w:color w:val="auto"/>
                <w:highlight w:val="none"/>
              </w:rPr>
              <w:t xml:space="preserve">扫描件 </w:t>
            </w:r>
            <w:r>
              <w:rPr>
                <w:rFonts w:hint="eastAsia"/>
                <w:color w:val="auto"/>
                <w:highlight w:val="none"/>
              </w:rPr>
              <w:sym w:font="Wingdings 2" w:char="0052"/>
            </w:r>
            <w:r>
              <w:rPr>
                <w:rFonts w:hint="eastAsia"/>
                <w:color w:val="auto"/>
                <w:highlight w:val="none"/>
              </w:rPr>
              <w:t>Word），采用U盘方式提交。</w:t>
            </w:r>
          </w:p>
          <w:p w14:paraId="3B59B945">
            <w:pPr>
              <w:pStyle w:val="24"/>
              <w:jc w:val="left"/>
              <w:rPr>
                <w:color w:val="auto"/>
                <w:highlight w:val="none"/>
              </w:rPr>
            </w:pPr>
            <w:r>
              <w:rPr>
                <w:rFonts w:hint="eastAsia"/>
                <w:color w:val="auto"/>
                <w:highlight w:val="none"/>
              </w:rPr>
              <w:t>注：投标文件每册装订厚度不能超过55mm，如超出需分册装订。</w:t>
            </w:r>
          </w:p>
        </w:tc>
      </w:tr>
      <w:tr w14:paraId="202A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6DBE37E0">
            <w:pPr>
              <w:rPr>
                <w:color w:val="auto"/>
                <w:highlight w:val="none"/>
              </w:rPr>
            </w:pPr>
            <w:r>
              <w:rPr>
                <w:rFonts w:hint="eastAsia"/>
                <w:color w:val="auto"/>
                <w:highlight w:val="none"/>
              </w:rPr>
              <w:t>30</w:t>
            </w:r>
          </w:p>
        </w:tc>
        <w:tc>
          <w:tcPr>
            <w:tcW w:w="1984" w:type="dxa"/>
            <w:noWrap/>
            <w:vAlign w:val="center"/>
          </w:tcPr>
          <w:p w14:paraId="70EED2A3">
            <w:pPr>
              <w:rPr>
                <w:color w:val="auto"/>
                <w:highlight w:val="none"/>
              </w:rPr>
            </w:pPr>
            <w:r>
              <w:rPr>
                <w:rFonts w:hint="eastAsia"/>
                <w:color w:val="auto"/>
                <w:highlight w:val="none"/>
              </w:rPr>
              <w:t>代理费用</w:t>
            </w:r>
          </w:p>
        </w:tc>
        <w:tc>
          <w:tcPr>
            <w:tcW w:w="6058" w:type="dxa"/>
            <w:gridSpan w:val="2"/>
            <w:noWrap/>
            <w:vAlign w:val="center"/>
          </w:tcPr>
          <w:p w14:paraId="78B6A268">
            <w:pPr>
              <w:jc w:val="left"/>
              <w:rPr>
                <w:color w:val="auto"/>
                <w:highlight w:val="none"/>
              </w:rPr>
            </w:pPr>
            <w:r>
              <w:rPr>
                <w:rFonts w:hint="eastAsia"/>
                <w:color w:val="auto"/>
                <w:highlight w:val="none"/>
              </w:rPr>
              <w:t>代理费用：</w:t>
            </w:r>
          </w:p>
          <w:p w14:paraId="3A3A7FF5">
            <w:pPr>
              <w:jc w:val="left"/>
              <w:rPr>
                <w:color w:val="auto"/>
                <w:highlight w:val="none"/>
              </w:rPr>
            </w:pPr>
            <w:r>
              <w:rPr>
                <w:rFonts w:hint="eastAsia"/>
                <w:color w:val="auto"/>
                <w:highlight w:val="none"/>
              </w:rPr>
              <w:t>（1）本项目代理费用由</w:t>
            </w:r>
            <w:r>
              <w:rPr>
                <w:rFonts w:hint="eastAsia"/>
                <w:color w:val="auto"/>
                <w:highlight w:val="none"/>
                <w:u w:val="single"/>
              </w:rPr>
              <w:t>中标人</w:t>
            </w:r>
            <w:r>
              <w:rPr>
                <w:rFonts w:hint="eastAsia"/>
                <w:color w:val="auto"/>
                <w:highlight w:val="none"/>
              </w:rPr>
              <w:t>支付。</w:t>
            </w:r>
          </w:p>
          <w:p w14:paraId="50E60005">
            <w:pPr>
              <w:jc w:val="left"/>
              <w:rPr>
                <w:color w:val="auto"/>
                <w:highlight w:val="none"/>
              </w:rPr>
            </w:pPr>
            <w:r>
              <w:rPr>
                <w:rFonts w:hint="eastAsia"/>
                <w:color w:val="auto"/>
                <w:highlight w:val="none"/>
              </w:rPr>
              <w:t>（2）代理费用收取方式及标准：</w:t>
            </w:r>
          </w:p>
          <w:p w14:paraId="05697A87">
            <w:pPr>
              <w:jc w:val="left"/>
              <w:rPr>
                <w:color w:val="auto"/>
                <w:highlight w:val="none"/>
                <w:lang w:val="zh-CN"/>
              </w:rPr>
            </w:pPr>
            <w:r>
              <w:rPr>
                <w:rFonts w:hint="eastAsia"/>
                <w:color w:val="auto"/>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color w:val="auto"/>
                <w:highlight w:val="none"/>
                <w:lang w:val="zh-CN"/>
              </w:rPr>
              <w:t>下浮</w:t>
            </w:r>
            <w:r>
              <w:rPr>
                <w:rFonts w:hint="eastAsia"/>
                <w:color w:val="auto"/>
                <w:highlight w:val="none"/>
              </w:rPr>
              <w:t>30</w:t>
            </w:r>
            <w:r>
              <w:rPr>
                <w:rFonts w:hint="eastAsia"/>
                <w:color w:val="auto"/>
                <w:highlight w:val="none"/>
                <w:lang w:val="zh-CN"/>
              </w:rPr>
              <w:t>%执行。即：</w:t>
            </w:r>
          </w:p>
          <w:p w14:paraId="6E976359">
            <w:pPr>
              <w:jc w:val="left"/>
              <w:rPr>
                <w:color w:val="auto"/>
                <w:highlight w:val="none"/>
              </w:rPr>
            </w:pPr>
            <w:r>
              <w:rPr>
                <w:rFonts w:hint="eastAsia"/>
                <w:color w:val="auto"/>
                <w:highlight w:val="none"/>
              </w:rPr>
              <w:t>全区税务系统代理费用=采购代理标准费用×（1-30%）。</w:t>
            </w:r>
          </w:p>
          <w:p w14:paraId="1B192D46">
            <w:pPr>
              <w:jc w:val="left"/>
              <w:rPr>
                <w:color w:val="auto"/>
                <w:highlight w:val="none"/>
              </w:rPr>
            </w:pPr>
            <w:r>
              <w:rPr>
                <w:rFonts w:hint="eastAsia"/>
                <w:color w:val="auto"/>
                <w:highlight w:val="none"/>
              </w:rPr>
              <w:t>采购代理服务费标准费率（未下浮30%）：</w:t>
            </w:r>
          </w:p>
          <w:tbl>
            <w:tblPr>
              <w:tblStyle w:val="19"/>
              <w:tblpPr w:leftFromText="180" w:rightFromText="180" w:vertAnchor="text" w:horzAnchor="page" w:tblpX="166"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055"/>
              <w:gridCol w:w="1124"/>
              <w:gridCol w:w="1012"/>
            </w:tblGrid>
            <w:tr w14:paraId="5A73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68" w:type="dxa"/>
                  <w:tcBorders>
                    <w:tl2br w:val="single" w:color="auto" w:sz="4" w:space="0"/>
                  </w:tcBorders>
                  <w:noWrap/>
                </w:tcPr>
                <w:p w14:paraId="6D67338F">
                  <w:pPr>
                    <w:jc w:val="left"/>
                    <w:rPr>
                      <w:color w:val="auto"/>
                      <w:highlight w:val="none"/>
                    </w:rPr>
                  </w:pPr>
                  <w:r>
                    <w:rPr>
                      <w:rFonts w:hint="eastAsia"/>
                      <w:color w:val="auto"/>
                      <w:highlight w:val="none"/>
                    </w:rPr>
                    <w:t xml:space="preserve">            费率</w:t>
                  </w:r>
                </w:p>
                <w:p w14:paraId="3C11D728">
                  <w:pPr>
                    <w:jc w:val="left"/>
                    <w:rPr>
                      <w:color w:val="auto"/>
                      <w:highlight w:val="none"/>
                    </w:rPr>
                  </w:pPr>
                  <w:r>
                    <w:rPr>
                      <w:rFonts w:hint="eastAsia"/>
                      <w:color w:val="auto"/>
                      <w:highlight w:val="none"/>
                    </w:rPr>
                    <w:t>中标金额</w:t>
                  </w:r>
                </w:p>
              </w:tc>
              <w:tc>
                <w:tcPr>
                  <w:tcW w:w="1055" w:type="dxa"/>
                  <w:noWrap/>
                  <w:vAlign w:val="center"/>
                </w:tcPr>
                <w:p w14:paraId="21229759">
                  <w:pPr>
                    <w:jc w:val="left"/>
                    <w:rPr>
                      <w:color w:val="auto"/>
                      <w:highlight w:val="none"/>
                    </w:rPr>
                  </w:pPr>
                  <w:r>
                    <w:rPr>
                      <w:rFonts w:hint="eastAsia"/>
                      <w:color w:val="auto"/>
                      <w:highlight w:val="none"/>
                    </w:rPr>
                    <w:t>货物招标</w:t>
                  </w:r>
                </w:p>
              </w:tc>
              <w:tc>
                <w:tcPr>
                  <w:tcW w:w="1124" w:type="dxa"/>
                  <w:noWrap/>
                  <w:vAlign w:val="center"/>
                </w:tcPr>
                <w:p w14:paraId="1A47282B">
                  <w:pPr>
                    <w:jc w:val="left"/>
                    <w:rPr>
                      <w:color w:val="auto"/>
                      <w:highlight w:val="none"/>
                    </w:rPr>
                  </w:pPr>
                  <w:r>
                    <w:rPr>
                      <w:rFonts w:hint="eastAsia"/>
                      <w:color w:val="auto"/>
                      <w:highlight w:val="none"/>
                    </w:rPr>
                    <w:t>服务招标</w:t>
                  </w:r>
                </w:p>
              </w:tc>
              <w:tc>
                <w:tcPr>
                  <w:tcW w:w="1012" w:type="dxa"/>
                  <w:noWrap/>
                  <w:vAlign w:val="center"/>
                </w:tcPr>
                <w:p w14:paraId="1271381C">
                  <w:pPr>
                    <w:jc w:val="left"/>
                    <w:rPr>
                      <w:color w:val="auto"/>
                      <w:highlight w:val="none"/>
                    </w:rPr>
                  </w:pPr>
                  <w:r>
                    <w:rPr>
                      <w:rFonts w:hint="eastAsia"/>
                      <w:color w:val="auto"/>
                      <w:highlight w:val="none"/>
                    </w:rPr>
                    <w:t>工程招标</w:t>
                  </w:r>
                </w:p>
              </w:tc>
            </w:tr>
            <w:tr w14:paraId="5A38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14:paraId="29DE148A">
                  <w:pPr>
                    <w:jc w:val="left"/>
                    <w:rPr>
                      <w:color w:val="auto"/>
                      <w:highlight w:val="none"/>
                    </w:rPr>
                  </w:pPr>
                  <w:r>
                    <w:rPr>
                      <w:rFonts w:hint="eastAsia"/>
                      <w:color w:val="auto"/>
                      <w:highlight w:val="none"/>
                    </w:rPr>
                    <w:t>100万元以下</w:t>
                  </w:r>
                </w:p>
              </w:tc>
              <w:tc>
                <w:tcPr>
                  <w:tcW w:w="1055" w:type="dxa"/>
                  <w:noWrap/>
                  <w:vAlign w:val="center"/>
                </w:tcPr>
                <w:p w14:paraId="2B9DA5CB">
                  <w:pPr>
                    <w:jc w:val="left"/>
                    <w:rPr>
                      <w:color w:val="auto"/>
                      <w:highlight w:val="none"/>
                    </w:rPr>
                  </w:pPr>
                  <w:r>
                    <w:rPr>
                      <w:rFonts w:hint="eastAsia"/>
                      <w:color w:val="auto"/>
                      <w:highlight w:val="none"/>
                    </w:rPr>
                    <w:t>1.5%</w:t>
                  </w:r>
                </w:p>
              </w:tc>
              <w:tc>
                <w:tcPr>
                  <w:tcW w:w="1124" w:type="dxa"/>
                  <w:noWrap/>
                  <w:vAlign w:val="center"/>
                </w:tcPr>
                <w:p w14:paraId="78621A02">
                  <w:pPr>
                    <w:jc w:val="left"/>
                    <w:rPr>
                      <w:color w:val="auto"/>
                      <w:highlight w:val="none"/>
                    </w:rPr>
                  </w:pPr>
                  <w:r>
                    <w:rPr>
                      <w:rFonts w:hint="eastAsia"/>
                      <w:color w:val="auto"/>
                      <w:highlight w:val="none"/>
                    </w:rPr>
                    <w:t>1.5%</w:t>
                  </w:r>
                </w:p>
              </w:tc>
              <w:tc>
                <w:tcPr>
                  <w:tcW w:w="1012" w:type="dxa"/>
                  <w:noWrap/>
                  <w:vAlign w:val="center"/>
                </w:tcPr>
                <w:p w14:paraId="5204051A">
                  <w:pPr>
                    <w:jc w:val="left"/>
                    <w:rPr>
                      <w:color w:val="auto"/>
                      <w:highlight w:val="none"/>
                    </w:rPr>
                  </w:pPr>
                  <w:r>
                    <w:rPr>
                      <w:rFonts w:hint="eastAsia"/>
                      <w:color w:val="auto"/>
                      <w:highlight w:val="none"/>
                    </w:rPr>
                    <w:t>1.0%</w:t>
                  </w:r>
                </w:p>
              </w:tc>
            </w:tr>
            <w:tr w14:paraId="29D3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14:paraId="19A1966C">
                  <w:pPr>
                    <w:jc w:val="left"/>
                    <w:rPr>
                      <w:color w:val="auto"/>
                      <w:highlight w:val="none"/>
                    </w:rPr>
                  </w:pPr>
                  <w:r>
                    <w:rPr>
                      <w:rFonts w:hint="eastAsia"/>
                      <w:color w:val="auto"/>
                      <w:highlight w:val="none"/>
                    </w:rPr>
                    <w:t>100～500万元</w:t>
                  </w:r>
                </w:p>
              </w:tc>
              <w:tc>
                <w:tcPr>
                  <w:tcW w:w="1055" w:type="dxa"/>
                  <w:noWrap/>
                  <w:vAlign w:val="center"/>
                </w:tcPr>
                <w:p w14:paraId="3A5C9636">
                  <w:pPr>
                    <w:jc w:val="left"/>
                    <w:rPr>
                      <w:color w:val="auto"/>
                      <w:highlight w:val="none"/>
                    </w:rPr>
                  </w:pPr>
                  <w:r>
                    <w:rPr>
                      <w:rFonts w:hint="eastAsia"/>
                      <w:color w:val="auto"/>
                      <w:highlight w:val="none"/>
                    </w:rPr>
                    <w:t>1.1%</w:t>
                  </w:r>
                </w:p>
              </w:tc>
              <w:tc>
                <w:tcPr>
                  <w:tcW w:w="1124" w:type="dxa"/>
                  <w:noWrap/>
                  <w:vAlign w:val="center"/>
                </w:tcPr>
                <w:p w14:paraId="4BF352F8">
                  <w:pPr>
                    <w:jc w:val="left"/>
                    <w:rPr>
                      <w:color w:val="auto"/>
                      <w:highlight w:val="none"/>
                    </w:rPr>
                  </w:pPr>
                  <w:r>
                    <w:rPr>
                      <w:rFonts w:hint="eastAsia"/>
                      <w:color w:val="auto"/>
                      <w:highlight w:val="none"/>
                    </w:rPr>
                    <w:t>0.8%</w:t>
                  </w:r>
                </w:p>
              </w:tc>
              <w:tc>
                <w:tcPr>
                  <w:tcW w:w="1012" w:type="dxa"/>
                  <w:noWrap/>
                  <w:vAlign w:val="center"/>
                </w:tcPr>
                <w:p w14:paraId="22A80ADA">
                  <w:pPr>
                    <w:jc w:val="left"/>
                    <w:rPr>
                      <w:color w:val="auto"/>
                      <w:highlight w:val="none"/>
                    </w:rPr>
                  </w:pPr>
                  <w:r>
                    <w:rPr>
                      <w:rFonts w:hint="eastAsia"/>
                      <w:color w:val="auto"/>
                      <w:highlight w:val="none"/>
                    </w:rPr>
                    <w:t>0.7%</w:t>
                  </w:r>
                </w:p>
              </w:tc>
            </w:tr>
            <w:tr w14:paraId="05EF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14:paraId="723CBABC">
                  <w:pPr>
                    <w:jc w:val="left"/>
                    <w:rPr>
                      <w:color w:val="auto"/>
                      <w:highlight w:val="none"/>
                    </w:rPr>
                  </w:pPr>
                  <w:r>
                    <w:rPr>
                      <w:rFonts w:hint="eastAsia"/>
                      <w:color w:val="auto"/>
                      <w:highlight w:val="none"/>
                    </w:rPr>
                    <w:t>500～1000万元</w:t>
                  </w:r>
                </w:p>
              </w:tc>
              <w:tc>
                <w:tcPr>
                  <w:tcW w:w="1055" w:type="dxa"/>
                  <w:noWrap/>
                  <w:vAlign w:val="center"/>
                </w:tcPr>
                <w:p w14:paraId="72F88FD6">
                  <w:pPr>
                    <w:jc w:val="left"/>
                    <w:rPr>
                      <w:color w:val="auto"/>
                      <w:highlight w:val="none"/>
                    </w:rPr>
                  </w:pPr>
                  <w:r>
                    <w:rPr>
                      <w:rFonts w:hint="eastAsia"/>
                      <w:color w:val="auto"/>
                      <w:highlight w:val="none"/>
                    </w:rPr>
                    <w:t>0.8%</w:t>
                  </w:r>
                </w:p>
              </w:tc>
              <w:tc>
                <w:tcPr>
                  <w:tcW w:w="1124" w:type="dxa"/>
                  <w:noWrap/>
                  <w:vAlign w:val="center"/>
                </w:tcPr>
                <w:p w14:paraId="72FD3358">
                  <w:pPr>
                    <w:jc w:val="left"/>
                    <w:rPr>
                      <w:color w:val="auto"/>
                      <w:highlight w:val="none"/>
                    </w:rPr>
                  </w:pPr>
                  <w:r>
                    <w:rPr>
                      <w:rFonts w:hint="eastAsia"/>
                      <w:color w:val="auto"/>
                      <w:highlight w:val="none"/>
                    </w:rPr>
                    <w:t>0.45%</w:t>
                  </w:r>
                </w:p>
              </w:tc>
              <w:tc>
                <w:tcPr>
                  <w:tcW w:w="1012" w:type="dxa"/>
                  <w:noWrap/>
                  <w:vAlign w:val="center"/>
                </w:tcPr>
                <w:p w14:paraId="7164B5BF">
                  <w:pPr>
                    <w:jc w:val="left"/>
                    <w:rPr>
                      <w:color w:val="auto"/>
                      <w:highlight w:val="none"/>
                    </w:rPr>
                  </w:pPr>
                  <w:r>
                    <w:rPr>
                      <w:rFonts w:hint="eastAsia"/>
                      <w:color w:val="auto"/>
                      <w:highlight w:val="none"/>
                    </w:rPr>
                    <w:t>0.55%</w:t>
                  </w:r>
                </w:p>
              </w:tc>
            </w:tr>
            <w:tr w14:paraId="1D8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14:paraId="4A892147">
                  <w:pPr>
                    <w:jc w:val="left"/>
                    <w:rPr>
                      <w:color w:val="auto"/>
                      <w:highlight w:val="none"/>
                    </w:rPr>
                  </w:pPr>
                  <w:r>
                    <w:rPr>
                      <w:rFonts w:hint="eastAsia"/>
                      <w:color w:val="auto"/>
                      <w:highlight w:val="none"/>
                    </w:rPr>
                    <w:t>1000～5000万元</w:t>
                  </w:r>
                </w:p>
              </w:tc>
              <w:tc>
                <w:tcPr>
                  <w:tcW w:w="1055" w:type="dxa"/>
                  <w:noWrap/>
                  <w:vAlign w:val="center"/>
                </w:tcPr>
                <w:p w14:paraId="7786B1E9">
                  <w:pPr>
                    <w:jc w:val="left"/>
                    <w:rPr>
                      <w:color w:val="auto"/>
                      <w:highlight w:val="none"/>
                    </w:rPr>
                  </w:pPr>
                  <w:r>
                    <w:rPr>
                      <w:rFonts w:hint="eastAsia"/>
                      <w:color w:val="auto"/>
                      <w:highlight w:val="none"/>
                    </w:rPr>
                    <w:t>0.5%</w:t>
                  </w:r>
                </w:p>
              </w:tc>
              <w:tc>
                <w:tcPr>
                  <w:tcW w:w="1124" w:type="dxa"/>
                  <w:noWrap/>
                  <w:vAlign w:val="center"/>
                </w:tcPr>
                <w:p w14:paraId="6FDCE53E">
                  <w:pPr>
                    <w:jc w:val="left"/>
                    <w:rPr>
                      <w:color w:val="auto"/>
                      <w:highlight w:val="none"/>
                    </w:rPr>
                  </w:pPr>
                  <w:r>
                    <w:rPr>
                      <w:rFonts w:hint="eastAsia"/>
                      <w:color w:val="auto"/>
                      <w:highlight w:val="none"/>
                    </w:rPr>
                    <w:t>0.25%</w:t>
                  </w:r>
                </w:p>
              </w:tc>
              <w:tc>
                <w:tcPr>
                  <w:tcW w:w="1012" w:type="dxa"/>
                  <w:noWrap/>
                  <w:vAlign w:val="center"/>
                </w:tcPr>
                <w:p w14:paraId="19EC28FE">
                  <w:pPr>
                    <w:jc w:val="left"/>
                    <w:rPr>
                      <w:color w:val="auto"/>
                      <w:highlight w:val="none"/>
                    </w:rPr>
                  </w:pPr>
                  <w:r>
                    <w:rPr>
                      <w:rFonts w:hint="eastAsia"/>
                      <w:color w:val="auto"/>
                      <w:highlight w:val="none"/>
                    </w:rPr>
                    <w:t>0.35%</w:t>
                  </w:r>
                </w:p>
              </w:tc>
            </w:tr>
            <w:tr w14:paraId="37CF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14:paraId="683AF851">
                  <w:pPr>
                    <w:jc w:val="left"/>
                    <w:rPr>
                      <w:color w:val="auto"/>
                      <w:highlight w:val="none"/>
                    </w:rPr>
                  </w:pPr>
                  <w:r>
                    <w:rPr>
                      <w:rFonts w:hint="eastAsia"/>
                      <w:color w:val="auto"/>
                      <w:highlight w:val="none"/>
                    </w:rPr>
                    <w:t>5000万元～1亿元</w:t>
                  </w:r>
                </w:p>
              </w:tc>
              <w:tc>
                <w:tcPr>
                  <w:tcW w:w="1055" w:type="dxa"/>
                  <w:noWrap/>
                  <w:vAlign w:val="center"/>
                </w:tcPr>
                <w:p w14:paraId="389E6762">
                  <w:pPr>
                    <w:jc w:val="left"/>
                    <w:rPr>
                      <w:color w:val="auto"/>
                      <w:highlight w:val="none"/>
                    </w:rPr>
                  </w:pPr>
                  <w:r>
                    <w:rPr>
                      <w:rFonts w:hint="eastAsia"/>
                      <w:color w:val="auto"/>
                      <w:highlight w:val="none"/>
                    </w:rPr>
                    <w:t>0.25%</w:t>
                  </w:r>
                </w:p>
              </w:tc>
              <w:tc>
                <w:tcPr>
                  <w:tcW w:w="1124" w:type="dxa"/>
                  <w:noWrap/>
                  <w:vAlign w:val="center"/>
                </w:tcPr>
                <w:p w14:paraId="3E0D7430">
                  <w:pPr>
                    <w:jc w:val="left"/>
                    <w:rPr>
                      <w:color w:val="auto"/>
                      <w:highlight w:val="none"/>
                    </w:rPr>
                  </w:pPr>
                  <w:r>
                    <w:rPr>
                      <w:rFonts w:hint="eastAsia"/>
                      <w:color w:val="auto"/>
                      <w:highlight w:val="none"/>
                    </w:rPr>
                    <w:t>0.1%</w:t>
                  </w:r>
                </w:p>
              </w:tc>
              <w:tc>
                <w:tcPr>
                  <w:tcW w:w="1012" w:type="dxa"/>
                  <w:noWrap/>
                  <w:vAlign w:val="center"/>
                </w:tcPr>
                <w:p w14:paraId="325352A6">
                  <w:pPr>
                    <w:jc w:val="left"/>
                    <w:rPr>
                      <w:color w:val="auto"/>
                      <w:highlight w:val="none"/>
                    </w:rPr>
                  </w:pPr>
                  <w:r>
                    <w:rPr>
                      <w:rFonts w:hint="eastAsia"/>
                      <w:color w:val="auto"/>
                      <w:highlight w:val="none"/>
                    </w:rPr>
                    <w:t>0.2%</w:t>
                  </w:r>
                </w:p>
              </w:tc>
            </w:tr>
            <w:tr w14:paraId="0A0D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ign w:val="center"/>
                </w:tcPr>
                <w:p w14:paraId="3EEBC937">
                  <w:pPr>
                    <w:jc w:val="left"/>
                    <w:rPr>
                      <w:color w:val="auto"/>
                      <w:highlight w:val="none"/>
                    </w:rPr>
                  </w:pPr>
                  <w:r>
                    <w:rPr>
                      <w:rFonts w:hint="eastAsia"/>
                      <w:color w:val="auto"/>
                      <w:highlight w:val="none"/>
                    </w:rPr>
                    <w:t>1～5亿元</w:t>
                  </w:r>
                </w:p>
              </w:tc>
              <w:tc>
                <w:tcPr>
                  <w:tcW w:w="1055" w:type="dxa"/>
                  <w:noWrap/>
                  <w:vAlign w:val="center"/>
                </w:tcPr>
                <w:p w14:paraId="3D28F2FA">
                  <w:pPr>
                    <w:jc w:val="left"/>
                    <w:rPr>
                      <w:color w:val="auto"/>
                      <w:highlight w:val="none"/>
                    </w:rPr>
                  </w:pPr>
                  <w:r>
                    <w:rPr>
                      <w:rFonts w:hint="eastAsia"/>
                      <w:color w:val="auto"/>
                      <w:highlight w:val="none"/>
                    </w:rPr>
                    <w:t>0.05%</w:t>
                  </w:r>
                </w:p>
              </w:tc>
              <w:tc>
                <w:tcPr>
                  <w:tcW w:w="1124" w:type="dxa"/>
                  <w:noWrap/>
                  <w:vAlign w:val="center"/>
                </w:tcPr>
                <w:p w14:paraId="426FE79A">
                  <w:pPr>
                    <w:jc w:val="left"/>
                    <w:rPr>
                      <w:color w:val="auto"/>
                      <w:highlight w:val="none"/>
                    </w:rPr>
                  </w:pPr>
                  <w:r>
                    <w:rPr>
                      <w:rFonts w:hint="eastAsia"/>
                      <w:color w:val="auto"/>
                      <w:highlight w:val="none"/>
                    </w:rPr>
                    <w:t>0.05%</w:t>
                  </w:r>
                </w:p>
              </w:tc>
              <w:tc>
                <w:tcPr>
                  <w:tcW w:w="1012" w:type="dxa"/>
                  <w:noWrap/>
                  <w:vAlign w:val="center"/>
                </w:tcPr>
                <w:p w14:paraId="5FC8BD25">
                  <w:pPr>
                    <w:jc w:val="left"/>
                    <w:rPr>
                      <w:color w:val="auto"/>
                      <w:highlight w:val="none"/>
                    </w:rPr>
                  </w:pPr>
                  <w:r>
                    <w:rPr>
                      <w:rFonts w:hint="eastAsia"/>
                      <w:color w:val="auto"/>
                      <w:highlight w:val="none"/>
                    </w:rPr>
                    <w:t>0.05%</w:t>
                  </w:r>
                </w:p>
              </w:tc>
            </w:tr>
            <w:tr w14:paraId="4694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68" w:type="dxa"/>
                  <w:noWrap/>
                  <w:vAlign w:val="center"/>
                </w:tcPr>
                <w:p w14:paraId="75D5C9E3">
                  <w:pPr>
                    <w:jc w:val="left"/>
                    <w:rPr>
                      <w:color w:val="auto"/>
                      <w:highlight w:val="none"/>
                    </w:rPr>
                  </w:pPr>
                  <w:r>
                    <w:rPr>
                      <w:rFonts w:hint="eastAsia"/>
                      <w:color w:val="auto"/>
                      <w:highlight w:val="none"/>
                    </w:rPr>
                    <w:t>5～10亿元</w:t>
                  </w:r>
                </w:p>
              </w:tc>
              <w:tc>
                <w:tcPr>
                  <w:tcW w:w="1055" w:type="dxa"/>
                  <w:noWrap/>
                  <w:vAlign w:val="center"/>
                </w:tcPr>
                <w:p w14:paraId="69A3A991">
                  <w:pPr>
                    <w:jc w:val="left"/>
                    <w:rPr>
                      <w:color w:val="auto"/>
                      <w:highlight w:val="none"/>
                    </w:rPr>
                  </w:pPr>
                  <w:r>
                    <w:rPr>
                      <w:rFonts w:hint="eastAsia"/>
                      <w:color w:val="auto"/>
                      <w:highlight w:val="none"/>
                    </w:rPr>
                    <w:t>0.035%</w:t>
                  </w:r>
                </w:p>
              </w:tc>
              <w:tc>
                <w:tcPr>
                  <w:tcW w:w="1124" w:type="dxa"/>
                  <w:noWrap/>
                  <w:vAlign w:val="center"/>
                </w:tcPr>
                <w:p w14:paraId="390CBE7A">
                  <w:pPr>
                    <w:jc w:val="left"/>
                    <w:rPr>
                      <w:color w:val="auto"/>
                      <w:highlight w:val="none"/>
                    </w:rPr>
                  </w:pPr>
                  <w:r>
                    <w:rPr>
                      <w:rFonts w:hint="eastAsia"/>
                      <w:color w:val="auto"/>
                      <w:highlight w:val="none"/>
                    </w:rPr>
                    <w:t>0.035%</w:t>
                  </w:r>
                </w:p>
              </w:tc>
              <w:tc>
                <w:tcPr>
                  <w:tcW w:w="1012" w:type="dxa"/>
                  <w:noWrap/>
                  <w:vAlign w:val="center"/>
                </w:tcPr>
                <w:p w14:paraId="6BC86B8C">
                  <w:pPr>
                    <w:jc w:val="left"/>
                    <w:rPr>
                      <w:color w:val="auto"/>
                      <w:highlight w:val="none"/>
                    </w:rPr>
                  </w:pPr>
                  <w:r>
                    <w:rPr>
                      <w:rFonts w:hint="eastAsia"/>
                      <w:color w:val="auto"/>
                      <w:highlight w:val="none"/>
                    </w:rPr>
                    <w:t>0.035%</w:t>
                  </w:r>
                </w:p>
              </w:tc>
            </w:tr>
          </w:tbl>
          <w:p w14:paraId="786DA038">
            <w:pPr>
              <w:jc w:val="left"/>
              <w:rPr>
                <w:color w:val="auto"/>
                <w:highlight w:val="none"/>
              </w:rPr>
            </w:pPr>
            <w:r>
              <w:rPr>
                <w:rFonts w:hint="eastAsia"/>
                <w:color w:val="auto"/>
                <w:highlight w:val="none"/>
              </w:rPr>
              <w:t>注：采购代理服务收费按差额定率累进法计算。</w:t>
            </w:r>
          </w:p>
          <w:p w14:paraId="0C8CBE12">
            <w:pPr>
              <w:jc w:val="left"/>
              <w:rPr>
                <w:color w:val="auto"/>
                <w:highlight w:val="none"/>
              </w:rPr>
            </w:pPr>
            <w:r>
              <w:rPr>
                <w:rFonts w:hint="eastAsia"/>
                <w:color w:val="auto"/>
                <w:highlight w:val="none"/>
              </w:rPr>
              <w:t>例如：广西税务系统某工程招标代理业务中标金额为6000万元，计算招标代理服务收费额如下：</w:t>
            </w:r>
          </w:p>
          <w:p w14:paraId="4EC6D54C">
            <w:pPr>
              <w:jc w:val="left"/>
              <w:rPr>
                <w:color w:val="auto"/>
                <w:highlight w:val="none"/>
              </w:rPr>
            </w:pPr>
            <w:r>
              <w:rPr>
                <w:rFonts w:hint="eastAsia"/>
                <w:color w:val="auto"/>
                <w:highlight w:val="none"/>
              </w:rPr>
              <w:t>100万元×1.0%=1万元</w:t>
            </w:r>
          </w:p>
          <w:p w14:paraId="758500DB">
            <w:pPr>
              <w:jc w:val="left"/>
              <w:rPr>
                <w:color w:val="auto"/>
                <w:highlight w:val="none"/>
              </w:rPr>
            </w:pPr>
            <w:r>
              <w:rPr>
                <w:rFonts w:hint="eastAsia"/>
                <w:color w:val="auto"/>
                <w:highlight w:val="none"/>
              </w:rPr>
              <w:t>（500-100）万元×0.7%=2.8万元</w:t>
            </w:r>
          </w:p>
          <w:p w14:paraId="02834A17">
            <w:pPr>
              <w:jc w:val="left"/>
              <w:rPr>
                <w:color w:val="auto"/>
                <w:highlight w:val="none"/>
              </w:rPr>
            </w:pPr>
            <w:r>
              <w:rPr>
                <w:rFonts w:hint="eastAsia"/>
                <w:color w:val="auto"/>
                <w:highlight w:val="none"/>
              </w:rPr>
              <w:t>（1000-500）万元×0.55%=2.75万元</w:t>
            </w:r>
          </w:p>
          <w:p w14:paraId="795F2819">
            <w:pPr>
              <w:jc w:val="left"/>
              <w:rPr>
                <w:color w:val="auto"/>
                <w:highlight w:val="none"/>
              </w:rPr>
            </w:pPr>
            <w:r>
              <w:rPr>
                <w:rFonts w:hint="eastAsia"/>
                <w:color w:val="auto"/>
                <w:highlight w:val="none"/>
              </w:rPr>
              <w:t>（5000-1000）万元×0.35%=14万元</w:t>
            </w:r>
          </w:p>
          <w:p w14:paraId="1676A25A">
            <w:pPr>
              <w:jc w:val="left"/>
              <w:rPr>
                <w:color w:val="auto"/>
                <w:highlight w:val="none"/>
              </w:rPr>
            </w:pPr>
            <w:r>
              <w:rPr>
                <w:rFonts w:hint="eastAsia"/>
                <w:color w:val="auto"/>
                <w:highlight w:val="none"/>
              </w:rPr>
              <w:t>（6000-5000）万元×0.2%=2万元</w:t>
            </w:r>
          </w:p>
          <w:p w14:paraId="19543280">
            <w:pPr>
              <w:jc w:val="left"/>
              <w:rPr>
                <w:color w:val="auto"/>
                <w:highlight w:val="none"/>
              </w:rPr>
            </w:pPr>
            <w:r>
              <w:rPr>
                <w:rFonts w:hint="eastAsia"/>
                <w:color w:val="auto"/>
                <w:highlight w:val="none"/>
              </w:rPr>
              <w:t>合计收费（标准费率）=1+2.8+2.75+14+2=22.55（万元）</w:t>
            </w:r>
          </w:p>
          <w:p w14:paraId="5F4061F7">
            <w:pPr>
              <w:jc w:val="left"/>
              <w:rPr>
                <w:color w:val="auto"/>
                <w:highlight w:val="none"/>
              </w:rPr>
            </w:pPr>
            <w:r>
              <w:rPr>
                <w:rFonts w:hint="eastAsia"/>
                <w:color w:val="auto"/>
                <w:highlight w:val="none"/>
              </w:rPr>
              <w:t>合计收费（标准费率下浮30%）=22.55×（1-30%）=15.785（万元）</w:t>
            </w:r>
          </w:p>
          <w:p w14:paraId="77B685A1">
            <w:pPr>
              <w:pStyle w:val="11"/>
              <w:jc w:val="left"/>
              <w:rPr>
                <w:color w:val="auto"/>
                <w:highlight w:val="none"/>
              </w:rPr>
            </w:pPr>
            <w:r>
              <w:rPr>
                <w:rFonts w:hint="eastAsia"/>
                <w:color w:val="auto"/>
                <w:highlight w:val="none"/>
              </w:rPr>
              <w:t>（3）代理费用汇到如下指定账户：</w:t>
            </w:r>
          </w:p>
          <w:p w14:paraId="515851B8">
            <w:pPr>
              <w:pStyle w:val="11"/>
              <w:jc w:val="left"/>
              <w:rPr>
                <w:color w:val="auto"/>
                <w:highlight w:val="none"/>
              </w:rPr>
            </w:pPr>
            <w:r>
              <w:rPr>
                <w:rFonts w:hint="eastAsia"/>
                <w:color w:val="auto"/>
                <w:highlight w:val="none"/>
              </w:rPr>
              <w:t>开户名称：广西众联工程项目管理有限公司</w:t>
            </w:r>
          </w:p>
          <w:p w14:paraId="207228BF">
            <w:pPr>
              <w:pStyle w:val="11"/>
              <w:jc w:val="left"/>
              <w:rPr>
                <w:color w:val="auto"/>
                <w:highlight w:val="none"/>
              </w:rPr>
            </w:pPr>
            <w:r>
              <w:rPr>
                <w:rFonts w:hint="eastAsia"/>
                <w:color w:val="auto"/>
                <w:highlight w:val="none"/>
              </w:rPr>
              <w:t>开户银行：中国光大银行股份有限公司南宁民主支行</w:t>
            </w:r>
          </w:p>
          <w:p w14:paraId="4405230E">
            <w:pPr>
              <w:jc w:val="left"/>
              <w:rPr>
                <w:color w:val="auto"/>
                <w:highlight w:val="none"/>
              </w:rPr>
            </w:pPr>
            <w:r>
              <w:rPr>
                <w:rFonts w:hint="eastAsia"/>
                <w:color w:val="auto"/>
                <w:highlight w:val="none"/>
              </w:rPr>
              <w:t>银行账号：78900188000167866</w:t>
            </w:r>
          </w:p>
        </w:tc>
      </w:tr>
      <w:tr w14:paraId="6D13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14:paraId="6ABA8FDF">
            <w:pPr>
              <w:rPr>
                <w:color w:val="auto"/>
                <w:highlight w:val="none"/>
              </w:rPr>
            </w:pPr>
            <w:r>
              <w:rPr>
                <w:rFonts w:hint="eastAsia"/>
                <w:color w:val="auto"/>
                <w:highlight w:val="none"/>
              </w:rPr>
              <w:t>31</w:t>
            </w:r>
          </w:p>
        </w:tc>
        <w:tc>
          <w:tcPr>
            <w:tcW w:w="1984" w:type="dxa"/>
            <w:noWrap/>
            <w:vAlign w:val="center"/>
          </w:tcPr>
          <w:p w14:paraId="70285B65">
            <w:pPr>
              <w:rPr>
                <w:color w:val="auto"/>
                <w:highlight w:val="none"/>
              </w:rPr>
            </w:pPr>
            <w:r>
              <w:rPr>
                <w:rFonts w:hint="eastAsia"/>
                <w:color w:val="auto"/>
                <w:highlight w:val="none"/>
              </w:rPr>
              <w:t>其他补充事项</w:t>
            </w:r>
          </w:p>
        </w:tc>
        <w:tc>
          <w:tcPr>
            <w:tcW w:w="6058" w:type="dxa"/>
            <w:gridSpan w:val="2"/>
            <w:noWrap/>
            <w:vAlign w:val="center"/>
          </w:tcPr>
          <w:p w14:paraId="38044FE0">
            <w:pPr>
              <w:pStyle w:val="11"/>
              <w:jc w:val="left"/>
              <w:rPr>
                <w:color w:val="auto"/>
                <w:highlight w:val="none"/>
              </w:rPr>
            </w:pPr>
            <w:r>
              <w:rPr>
                <w:rFonts w:hint="eastAsia"/>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3308FB4A">
            <w:pPr>
              <w:pStyle w:val="11"/>
              <w:jc w:val="left"/>
              <w:rPr>
                <w:color w:val="auto"/>
                <w:highlight w:val="none"/>
              </w:rPr>
            </w:pPr>
            <w:r>
              <w:rPr>
                <w:rFonts w:hint="eastAsia"/>
                <w:color w:val="auto"/>
                <w:highlight w:val="none"/>
              </w:rPr>
              <w:t>（2）本招标文件中描述投标人的“签字”是指投标人的法定代表人（负责人）或被授权人亲自在招标文件规定签署处亲笔写上个人的名字的行为，私章、签字章、印鉴、影印等其它形式均不能代替亲笔签字。</w:t>
            </w:r>
          </w:p>
          <w:p w14:paraId="347D8DC0">
            <w:pPr>
              <w:jc w:val="left"/>
              <w:rPr>
                <w:color w:val="auto"/>
                <w:highlight w:val="none"/>
              </w:rPr>
            </w:pPr>
            <w:r>
              <w:rPr>
                <w:rFonts w:hint="eastAsia"/>
                <w:color w:val="auto"/>
                <w:highlight w:val="none"/>
              </w:rPr>
              <w:t>（3）中标供应商享受中小企业扶持政策的，采购人、采购代理机构应当随中标结果公开中标供应商的《中小企业声明函》。</w:t>
            </w:r>
          </w:p>
          <w:p w14:paraId="008A21AC">
            <w:pPr>
              <w:jc w:val="left"/>
              <w:rPr>
                <w:color w:val="auto"/>
                <w:highlight w:val="none"/>
              </w:rPr>
            </w:pPr>
            <w:r>
              <w:rPr>
                <w:rFonts w:hint="eastAsia"/>
                <w:color w:val="auto"/>
                <w:highlight w:val="none"/>
              </w:rPr>
              <w:t>（4）中标供应商为残疾人福利性单位的，采购人或者其委托的采购代理机构应当随中标结果同时公告其《残疾人福利性单位声明函》，接受社会监督。</w:t>
            </w:r>
          </w:p>
        </w:tc>
      </w:tr>
      <w:bookmarkEnd w:id="34"/>
      <w:bookmarkEnd w:id="35"/>
    </w:tbl>
    <w:p w14:paraId="2F68205E">
      <w:pPr>
        <w:pStyle w:val="6"/>
        <w:rPr>
          <w:color w:val="auto"/>
          <w:highlight w:val="none"/>
        </w:rPr>
      </w:pPr>
    </w:p>
    <w:p w14:paraId="7B15290F">
      <w:pPr>
        <w:rPr>
          <w:color w:val="auto"/>
          <w:highlight w:val="none"/>
        </w:rPr>
      </w:pPr>
    </w:p>
    <w:p w14:paraId="1DBF1140">
      <w:pPr>
        <w:rPr>
          <w:color w:val="auto"/>
          <w:highlight w:val="none"/>
        </w:rPr>
        <w:sectPr>
          <w:footerReference r:id="rId10" w:type="first"/>
          <w:footerReference r:id="rId9" w:type="default"/>
          <w:pgSz w:w="11906" w:h="16838"/>
          <w:pgMar w:top="1417" w:right="1417" w:bottom="1417" w:left="1417" w:header="851" w:footer="992" w:gutter="0"/>
          <w:cols w:space="720" w:num="1"/>
          <w:titlePg/>
          <w:docGrid w:type="lines" w:linePitch="312" w:charSpace="0"/>
        </w:sectPr>
      </w:pPr>
    </w:p>
    <w:p w14:paraId="71F068D4">
      <w:pPr>
        <w:pStyle w:val="6"/>
        <w:ind w:left="0" w:leftChars="0" w:firstLine="0" w:firstLineChars="0"/>
        <w:jc w:val="center"/>
        <w:rPr>
          <w:rFonts w:asciiTheme="minorEastAsia" w:hAnsiTheme="minorEastAsia" w:eastAsiaTheme="minorEastAsia"/>
          <w:color w:val="auto"/>
          <w:szCs w:val="21"/>
          <w:highlight w:val="none"/>
        </w:rPr>
      </w:pPr>
      <w:bookmarkStart w:id="36" w:name="_Toc132880274"/>
      <w:bookmarkStart w:id="37" w:name="_Toc32474"/>
      <w:r>
        <w:rPr>
          <w:rFonts w:hint="eastAsia"/>
          <w:color w:val="auto"/>
          <w:highlight w:val="none"/>
        </w:rPr>
        <w:t>一、总则</w:t>
      </w:r>
      <w:bookmarkEnd w:id="36"/>
      <w:bookmarkEnd w:id="37"/>
    </w:p>
    <w:p w14:paraId="375D8EB8">
      <w:pPr>
        <w:jc w:val="left"/>
        <w:rPr>
          <w:color w:val="auto"/>
          <w:highlight w:val="none"/>
        </w:rPr>
      </w:pPr>
      <w:r>
        <w:rPr>
          <w:rFonts w:hint="eastAsia"/>
          <w:color w:val="auto"/>
          <w:highlight w:val="none"/>
        </w:rPr>
        <w:t>1.预算资金及来源</w:t>
      </w:r>
    </w:p>
    <w:p w14:paraId="0984FB6D">
      <w:pPr>
        <w:ind w:firstLine="420" w:firstLineChars="200"/>
        <w:jc w:val="left"/>
        <w:rPr>
          <w:color w:val="auto"/>
          <w:highlight w:val="none"/>
        </w:rPr>
      </w:pPr>
      <w:r>
        <w:rPr>
          <w:rFonts w:hint="eastAsia"/>
          <w:color w:val="auto"/>
          <w:highlight w:val="none"/>
        </w:rPr>
        <w:t>1.1 本项目已经</w:t>
      </w:r>
      <w:r>
        <w:rPr>
          <w:rFonts w:hint="eastAsia"/>
          <w:color w:val="auto"/>
          <w:highlight w:val="none"/>
          <w:lang w:eastAsia="zh-CN"/>
        </w:rPr>
        <w:t>国家税务总局来宾市兴宾区税务局</w:t>
      </w:r>
      <w:r>
        <w:rPr>
          <w:rFonts w:hint="eastAsia"/>
          <w:color w:val="auto"/>
          <w:highlight w:val="none"/>
        </w:rPr>
        <w:t>批准立项。</w:t>
      </w:r>
    </w:p>
    <w:p w14:paraId="498C10D9">
      <w:pPr>
        <w:ind w:firstLine="420" w:firstLineChars="200"/>
        <w:jc w:val="left"/>
        <w:rPr>
          <w:color w:val="auto"/>
          <w:highlight w:val="none"/>
        </w:rPr>
      </w:pPr>
      <w:r>
        <w:rPr>
          <w:rFonts w:hint="eastAsia"/>
          <w:color w:val="auto"/>
          <w:highlight w:val="none"/>
        </w:rPr>
        <w:t>1.2 本项目预算资金见投标人须知前附表，已列入</w:t>
      </w:r>
      <w:r>
        <w:rPr>
          <w:rFonts w:hint="eastAsia"/>
          <w:color w:val="auto"/>
          <w:highlight w:val="none"/>
          <w:lang w:eastAsia="zh-CN"/>
        </w:rPr>
        <w:t>国家税务总局来宾市兴宾区税务局</w:t>
      </w:r>
      <w:r>
        <w:rPr>
          <w:rFonts w:hint="eastAsia"/>
          <w:color w:val="auto"/>
          <w:highlight w:val="none"/>
        </w:rPr>
        <w:t>预算。</w:t>
      </w:r>
    </w:p>
    <w:p w14:paraId="1E026727">
      <w:pPr>
        <w:jc w:val="left"/>
        <w:rPr>
          <w:color w:val="auto"/>
          <w:highlight w:val="none"/>
        </w:rPr>
      </w:pPr>
      <w:r>
        <w:rPr>
          <w:rFonts w:hint="eastAsia"/>
          <w:color w:val="auto"/>
          <w:highlight w:val="none"/>
        </w:rPr>
        <w:t>2.合格的产品和服务</w:t>
      </w:r>
    </w:p>
    <w:p w14:paraId="0F04C67F">
      <w:pPr>
        <w:ind w:firstLine="420" w:firstLineChars="200"/>
        <w:jc w:val="left"/>
        <w:rPr>
          <w:color w:val="auto"/>
          <w:highlight w:val="none"/>
        </w:rPr>
      </w:pPr>
      <w:r>
        <w:rPr>
          <w:rFonts w:hint="eastAsia"/>
          <w:color w:val="auto"/>
          <w:highlight w:val="none"/>
        </w:rPr>
        <w:t>2.1 本项目所涉及的所有产品和服务均应来自中国境内（指关境内），合同总金额的支付也仅限于这些产品和服务。</w:t>
      </w:r>
    </w:p>
    <w:p w14:paraId="10A8A1B0">
      <w:pPr>
        <w:ind w:firstLine="420" w:firstLineChars="200"/>
        <w:jc w:val="left"/>
        <w:rPr>
          <w:color w:val="auto"/>
          <w:highlight w:val="none"/>
        </w:rPr>
      </w:pPr>
      <w:r>
        <w:rPr>
          <w:rFonts w:hint="eastAsia"/>
          <w:color w:val="auto"/>
          <w:highlight w:val="none"/>
        </w:rPr>
        <w:t>2.2 合格的产品和服务即采购需求见招标文件（技术部分）。</w:t>
      </w:r>
    </w:p>
    <w:p w14:paraId="7039B636">
      <w:pPr>
        <w:ind w:firstLine="420" w:firstLineChars="200"/>
        <w:jc w:val="left"/>
        <w:rPr>
          <w:color w:val="auto"/>
          <w:highlight w:val="none"/>
        </w:rPr>
      </w:pPr>
      <w:r>
        <w:rPr>
          <w:rFonts w:hint="eastAsia"/>
          <w:color w:val="auto"/>
          <w:highlight w:val="none"/>
        </w:rPr>
        <w:t>2.3 投标人应保证所提供的产品及服务免受第三方提出侵犯其知识产权（专利权、商标权、工业设计权及使用权）的请求及起诉。</w:t>
      </w:r>
    </w:p>
    <w:p w14:paraId="0CD7A152">
      <w:pPr>
        <w:jc w:val="left"/>
        <w:rPr>
          <w:color w:val="auto"/>
          <w:highlight w:val="none"/>
        </w:rPr>
      </w:pPr>
      <w:r>
        <w:rPr>
          <w:rFonts w:hint="eastAsia"/>
          <w:color w:val="auto"/>
          <w:highlight w:val="none"/>
        </w:rPr>
        <w:t>3.合格的投标人</w:t>
      </w:r>
    </w:p>
    <w:p w14:paraId="29FFC04E">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3.1一般规定</w:t>
      </w:r>
    </w:p>
    <w:p w14:paraId="19D4C249">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14:paraId="2C9731FE">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3.1.2投标人的资格要求及本项目的特定资格要求见</w:t>
      </w:r>
      <w:r>
        <w:rPr>
          <w:rFonts w:asciiTheme="minorEastAsia" w:hAnsiTheme="minorEastAsia" w:eastAsiaTheme="minorEastAsia" w:cstheme="minorEastAsia"/>
          <w:b/>
          <w:color w:val="auto"/>
          <w:sz w:val="21"/>
          <w:szCs w:val="21"/>
          <w:highlight w:val="none"/>
        </w:rPr>
        <w:t>投标人须知前附表</w:t>
      </w:r>
      <w:r>
        <w:rPr>
          <w:rFonts w:asciiTheme="minorEastAsia" w:hAnsiTheme="minorEastAsia" w:eastAsiaTheme="minorEastAsia" w:cstheme="minorEastAsia"/>
          <w:color w:val="auto"/>
          <w:sz w:val="21"/>
          <w:szCs w:val="21"/>
          <w:highlight w:val="none"/>
        </w:rPr>
        <w:t>。</w:t>
      </w:r>
    </w:p>
    <w:p w14:paraId="235AE581">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3.1.3资格条件中所称“重大违法记录”，是指投标人因违法经营受到刑事处罚或者责令停产停业、吊销许可证或者执照、较大数额罚款等行政处罚。</w:t>
      </w:r>
    </w:p>
    <w:p w14:paraId="4415AA77">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投标人在参加政府采购活动前3年内因违法经营被禁止在一定期限内参加政府采购活动，期限届满的，可以参加政府采购活动。</w:t>
      </w:r>
    </w:p>
    <w:p w14:paraId="37E7E574">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“较大数额罚款”认定为200万元以上的罚款，法律、行政法规以及国务院有关部门明确规定相关领域“较大数额罚款”标准高于200万元的，从其规定。</w:t>
      </w:r>
    </w:p>
    <w:p w14:paraId="21EE84C4">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3.1.4信用记录要求</w:t>
      </w:r>
    </w:p>
    <w:p w14:paraId="5637E80E">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14:paraId="47E372E3">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666678DB">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3.2联合体</w:t>
      </w:r>
    </w:p>
    <w:p w14:paraId="69B9CA4C">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3.2.1若本项目</w:t>
      </w:r>
      <w:r>
        <w:rPr>
          <w:rFonts w:hint="eastAsia" w:asciiTheme="minorEastAsia" w:hAnsiTheme="minorEastAsia" w:eastAsiaTheme="minorEastAsia" w:cstheme="minorEastAsia"/>
          <w:color w:val="auto"/>
          <w:sz w:val="21"/>
          <w:szCs w:val="21"/>
          <w:highlight w:val="none"/>
          <w:lang w:val="en-US" w:eastAsia="zh-CN"/>
        </w:rPr>
        <w:t>不</w:t>
      </w:r>
      <w:r>
        <w:rPr>
          <w:rFonts w:asciiTheme="minorEastAsia" w:hAnsiTheme="minorEastAsia" w:eastAsiaTheme="minorEastAsia" w:cstheme="minorEastAsia"/>
          <w:color w:val="auto"/>
          <w:sz w:val="21"/>
          <w:szCs w:val="21"/>
          <w:highlight w:val="none"/>
        </w:rPr>
        <w:t>接受联合体投标，则两个以上的自然人、法人或者其他组织可以组成一个联合体，以一个投标人的身份共同参加政府采购。</w:t>
      </w:r>
    </w:p>
    <w:p w14:paraId="79CE5CD8">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3.2.2以联合体形式参加投标的，联合体各方应按第二章要求提供资格条件材料。</w:t>
      </w:r>
    </w:p>
    <w:p w14:paraId="0B30B61A">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3.2.3联合体中有同类资质的投标人按照联合体分工承担相同工作的，应当按照资质等级较低的投标人确定资质等级。</w:t>
      </w:r>
    </w:p>
    <w:p w14:paraId="2B758F6F">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3.2.4联合体应当提交联合协议，载明联合体各方承担的工作和义务。</w:t>
      </w:r>
    </w:p>
    <w:p w14:paraId="27CEF6EF">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3.2.5联合体各方应当共同与采购人签订采购合同，就采购合同约定的事项对采购人承担连带责任。</w:t>
      </w:r>
    </w:p>
    <w:p w14:paraId="36776C6B">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3.2.6以联合体形式参加政府采购活动的，联合体各方不得再单独参加或者与其他投标人另外组成联合体参加同一合同项下的政府采购活动。</w:t>
      </w:r>
    </w:p>
    <w:p w14:paraId="46CAA93F">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3.3禁止规定</w:t>
      </w:r>
    </w:p>
    <w:p w14:paraId="2C6FC87C">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3.3.1单位负责人为同一人或者存在直接控股、管理关系的不同投标人，不得参加同一采购包的政府采购活动。</w:t>
      </w:r>
      <w:r>
        <w:rPr>
          <w:rFonts w:asciiTheme="minorEastAsia" w:hAnsiTheme="minorEastAsia" w:eastAsiaTheme="minorEastAsia" w:cstheme="minorEastAsia"/>
          <w:b/>
          <w:bCs/>
          <w:color w:val="auto"/>
          <w:sz w:val="21"/>
          <w:szCs w:val="21"/>
          <w:highlight w:val="none"/>
        </w:rPr>
        <w:t>否则投标均无效。</w:t>
      </w:r>
    </w:p>
    <w:p w14:paraId="35631DCD">
      <w:pPr>
        <w:pStyle w:val="28"/>
        <w:widowControl w:val="0"/>
        <w:spacing w:line="440" w:lineRule="exact"/>
        <w:ind w:firstLine="422"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14:paraId="6655D6D6">
      <w:pPr>
        <w:jc w:val="both"/>
        <w:rPr>
          <w:color w:val="auto"/>
          <w:highlight w:val="none"/>
        </w:rPr>
      </w:pPr>
      <w:r>
        <w:rPr>
          <w:rFonts w:hint="eastAsia"/>
          <w:color w:val="auto"/>
          <w:highlight w:val="none"/>
        </w:rPr>
        <w:t>4.投标费用</w:t>
      </w:r>
    </w:p>
    <w:p w14:paraId="2BFCE659">
      <w:pPr>
        <w:jc w:val="left"/>
        <w:rPr>
          <w:color w:val="auto"/>
          <w:highlight w:val="none"/>
        </w:rPr>
      </w:pPr>
      <w:r>
        <w:rPr>
          <w:rFonts w:hint="eastAsia"/>
          <w:color w:val="auto"/>
          <w:highlight w:val="none"/>
          <w:lang w:val="en-US" w:eastAsia="zh-CN"/>
        </w:rPr>
        <w:t xml:space="preserve">    </w:t>
      </w:r>
      <w:r>
        <w:rPr>
          <w:rFonts w:hint="eastAsia"/>
          <w:color w:val="auto"/>
          <w:highlight w:val="none"/>
        </w:rPr>
        <w:t>4.1 投标人应承担所有与编写、提交投标文件有关的费用，不论招标的结果如何，采购人在任何情况下均无义务和责任承担这些费用。</w:t>
      </w:r>
    </w:p>
    <w:p w14:paraId="0353542C">
      <w:pPr>
        <w:pStyle w:val="6"/>
        <w:ind w:left="0" w:leftChars="0" w:firstLine="0" w:firstLineChars="0"/>
        <w:jc w:val="center"/>
        <w:rPr>
          <w:color w:val="auto"/>
          <w:highlight w:val="none"/>
        </w:rPr>
      </w:pPr>
      <w:bookmarkStart w:id="38" w:name="_Toc20650"/>
      <w:bookmarkStart w:id="39" w:name="_Toc132880275"/>
      <w:r>
        <w:rPr>
          <w:rFonts w:hint="eastAsia"/>
          <w:color w:val="auto"/>
          <w:highlight w:val="none"/>
        </w:rPr>
        <w:t>二、招标文件</w:t>
      </w:r>
      <w:bookmarkEnd w:id="38"/>
      <w:bookmarkEnd w:id="39"/>
    </w:p>
    <w:p w14:paraId="367403D7">
      <w:pPr>
        <w:jc w:val="left"/>
        <w:rPr>
          <w:color w:val="auto"/>
          <w:highlight w:val="none"/>
        </w:rPr>
      </w:pPr>
      <w:r>
        <w:rPr>
          <w:rFonts w:hint="eastAsia"/>
          <w:color w:val="auto"/>
          <w:highlight w:val="none"/>
        </w:rPr>
        <w:t>5.招标文件构成</w:t>
      </w:r>
    </w:p>
    <w:p w14:paraId="57F8368E">
      <w:pPr>
        <w:ind w:firstLine="420" w:firstLineChars="200"/>
        <w:jc w:val="left"/>
        <w:rPr>
          <w:color w:val="auto"/>
          <w:highlight w:val="none"/>
        </w:rPr>
      </w:pPr>
      <w:r>
        <w:rPr>
          <w:rFonts w:hint="eastAsia"/>
          <w:color w:val="auto"/>
          <w:highlight w:val="none"/>
        </w:rPr>
        <w:t>第一部分 商务部分</w:t>
      </w:r>
    </w:p>
    <w:p w14:paraId="69A85B06">
      <w:pPr>
        <w:ind w:firstLine="420" w:firstLineChars="200"/>
        <w:jc w:val="left"/>
        <w:rPr>
          <w:color w:val="auto"/>
          <w:highlight w:val="none"/>
        </w:rPr>
      </w:pPr>
      <w:r>
        <w:rPr>
          <w:rFonts w:hint="eastAsia"/>
          <w:color w:val="auto"/>
          <w:highlight w:val="none"/>
        </w:rPr>
        <w:t>（1）投标邀请</w:t>
      </w:r>
    </w:p>
    <w:p w14:paraId="64927F21">
      <w:pPr>
        <w:ind w:firstLine="420" w:firstLineChars="200"/>
        <w:jc w:val="left"/>
        <w:rPr>
          <w:color w:val="auto"/>
          <w:highlight w:val="none"/>
        </w:rPr>
      </w:pPr>
      <w:r>
        <w:rPr>
          <w:rFonts w:hint="eastAsia"/>
          <w:color w:val="auto"/>
          <w:highlight w:val="none"/>
        </w:rPr>
        <w:t>（2）投标人须知</w:t>
      </w:r>
    </w:p>
    <w:p w14:paraId="3AAE79A7">
      <w:pPr>
        <w:ind w:firstLine="420" w:firstLineChars="200"/>
        <w:jc w:val="left"/>
        <w:rPr>
          <w:color w:val="auto"/>
          <w:highlight w:val="none"/>
        </w:rPr>
      </w:pPr>
      <w:r>
        <w:rPr>
          <w:rFonts w:hint="eastAsia"/>
          <w:color w:val="auto"/>
          <w:highlight w:val="none"/>
        </w:rPr>
        <w:t>（3）评标方法及标准</w:t>
      </w:r>
    </w:p>
    <w:p w14:paraId="4C4A6564">
      <w:pPr>
        <w:ind w:firstLine="420" w:firstLineChars="200"/>
        <w:jc w:val="left"/>
        <w:rPr>
          <w:color w:val="auto"/>
          <w:highlight w:val="none"/>
        </w:rPr>
      </w:pPr>
      <w:r>
        <w:rPr>
          <w:rFonts w:hint="eastAsia"/>
          <w:color w:val="auto"/>
          <w:highlight w:val="none"/>
        </w:rPr>
        <w:t>（4）政府采购合同文本</w:t>
      </w:r>
    </w:p>
    <w:p w14:paraId="08F10E06">
      <w:pPr>
        <w:ind w:firstLine="420" w:firstLineChars="200"/>
        <w:jc w:val="left"/>
        <w:rPr>
          <w:color w:val="auto"/>
          <w:highlight w:val="none"/>
        </w:rPr>
      </w:pPr>
      <w:r>
        <w:rPr>
          <w:rFonts w:hint="eastAsia"/>
          <w:color w:val="auto"/>
          <w:highlight w:val="none"/>
        </w:rPr>
        <w:t>（5）投标文件格式</w:t>
      </w:r>
    </w:p>
    <w:p w14:paraId="6490ED11">
      <w:pPr>
        <w:ind w:firstLine="420" w:firstLineChars="200"/>
        <w:jc w:val="left"/>
        <w:rPr>
          <w:color w:val="auto"/>
          <w:highlight w:val="none"/>
        </w:rPr>
      </w:pPr>
      <w:r>
        <w:rPr>
          <w:rFonts w:hint="eastAsia"/>
          <w:color w:val="auto"/>
          <w:highlight w:val="none"/>
        </w:rPr>
        <w:t>第二部分 技术部分</w:t>
      </w:r>
    </w:p>
    <w:p w14:paraId="318D489E">
      <w:pPr>
        <w:ind w:firstLine="420" w:firstLineChars="200"/>
        <w:jc w:val="left"/>
        <w:rPr>
          <w:color w:val="auto"/>
          <w:highlight w:val="none"/>
        </w:rPr>
      </w:pPr>
      <w:r>
        <w:rPr>
          <w:rFonts w:hint="eastAsia"/>
          <w:color w:val="auto"/>
          <w:highlight w:val="none"/>
        </w:rPr>
        <w:t>（6）项目采购需求</w:t>
      </w:r>
    </w:p>
    <w:p w14:paraId="17C13EB8">
      <w:pPr>
        <w:jc w:val="left"/>
        <w:rPr>
          <w:color w:val="auto"/>
          <w:highlight w:val="none"/>
        </w:rPr>
      </w:pPr>
      <w:r>
        <w:rPr>
          <w:rFonts w:hint="eastAsia"/>
          <w:color w:val="auto"/>
          <w:highlight w:val="none"/>
        </w:rPr>
        <w:t>6.招标文件询问、澄清或修改</w:t>
      </w:r>
    </w:p>
    <w:p w14:paraId="2F5EB278">
      <w:pPr>
        <w:ind w:firstLine="420" w:firstLineChars="200"/>
        <w:jc w:val="left"/>
        <w:rPr>
          <w:b/>
          <w:color w:val="auto"/>
          <w:highlight w:val="none"/>
        </w:rPr>
      </w:pPr>
      <w:r>
        <w:rPr>
          <w:rFonts w:hint="eastAsia"/>
          <w:color w:val="auto"/>
          <w:highlight w:val="none"/>
        </w:rPr>
        <w:t>6.1 投标人对招标文件如有疑问的，可以向采购人或者采购代理机构提出询问，采购人或者采购代理机构应当在3个工作日内作出答复，但答复的内容不得涉及商业秘密。如有必要，采购人或者采购代理机构可对招标文件进行澄清或者修改。</w:t>
      </w:r>
    </w:p>
    <w:p w14:paraId="66C32DE0">
      <w:pPr>
        <w:ind w:firstLine="420" w:firstLineChars="200"/>
        <w:jc w:val="left"/>
        <w:rPr>
          <w:color w:val="auto"/>
          <w:highlight w:val="none"/>
        </w:rPr>
      </w:pPr>
      <w:r>
        <w:rPr>
          <w:rFonts w:hint="eastAsia"/>
          <w:color w:val="auto"/>
          <w:highlight w:val="none"/>
        </w:rPr>
        <w:t>6.2 采购人或者采购代理机构可主动对招标文件进行必要的澄清或者修改，但不得改变采购标的和资格条件。</w:t>
      </w:r>
    </w:p>
    <w:p w14:paraId="5E19197E">
      <w:pPr>
        <w:ind w:firstLine="420" w:firstLineChars="200"/>
        <w:jc w:val="left"/>
        <w:rPr>
          <w:color w:val="auto"/>
          <w:highlight w:val="none"/>
        </w:rPr>
      </w:pPr>
      <w:r>
        <w:rPr>
          <w:rFonts w:hint="eastAsia"/>
          <w:color w:val="auto"/>
          <w:highlight w:val="none"/>
        </w:rPr>
        <w:t>6.3 澄清或者修改应当在原公告发布媒体上发布澄清公告，线上采购项目还应通过国家税务总局政府采购评审管理系统（以下简称“评审管理系统”）通知所有获取招标文件的潜在投标人。</w:t>
      </w:r>
    </w:p>
    <w:p w14:paraId="09E844AA">
      <w:pPr>
        <w:ind w:firstLine="420" w:firstLineChars="200"/>
        <w:jc w:val="left"/>
        <w:rPr>
          <w:color w:val="auto"/>
          <w:highlight w:val="none"/>
        </w:rPr>
      </w:pPr>
      <w:r>
        <w:rPr>
          <w:rFonts w:hint="eastAsia"/>
          <w:color w:val="auto"/>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14:paraId="0E1AB3D8">
      <w:pPr>
        <w:ind w:firstLine="420" w:firstLineChars="200"/>
        <w:jc w:val="left"/>
        <w:rPr>
          <w:color w:val="auto"/>
          <w:highlight w:val="none"/>
        </w:rPr>
      </w:pPr>
      <w:r>
        <w:rPr>
          <w:rFonts w:hint="eastAsia"/>
          <w:color w:val="auto"/>
          <w:highlight w:val="none"/>
        </w:rPr>
        <w:t>6.5 澄清或者修改的内容为招标文件的组成部分。</w:t>
      </w:r>
    </w:p>
    <w:p w14:paraId="72D15859">
      <w:pPr>
        <w:pStyle w:val="6"/>
        <w:ind w:left="0" w:leftChars="0" w:firstLine="0" w:firstLineChars="0"/>
        <w:jc w:val="center"/>
        <w:rPr>
          <w:color w:val="auto"/>
          <w:highlight w:val="none"/>
        </w:rPr>
      </w:pPr>
      <w:bookmarkStart w:id="40" w:name="_Toc132880276"/>
      <w:bookmarkStart w:id="41" w:name="_Toc10830"/>
      <w:r>
        <w:rPr>
          <w:rFonts w:hint="eastAsia"/>
          <w:color w:val="auto"/>
          <w:highlight w:val="none"/>
        </w:rPr>
        <w:t>三、投标文件</w:t>
      </w:r>
      <w:bookmarkEnd w:id="40"/>
      <w:bookmarkEnd w:id="41"/>
    </w:p>
    <w:p w14:paraId="1BF247B6">
      <w:pPr>
        <w:jc w:val="left"/>
        <w:rPr>
          <w:color w:val="auto"/>
          <w:highlight w:val="none"/>
        </w:rPr>
      </w:pPr>
      <w:r>
        <w:rPr>
          <w:rFonts w:hint="eastAsia"/>
          <w:color w:val="auto"/>
          <w:highlight w:val="none"/>
        </w:rPr>
        <w:t>7．投标文件编制</w:t>
      </w:r>
    </w:p>
    <w:p w14:paraId="1416323D">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7.1投标文件的编制</w:t>
      </w:r>
    </w:p>
    <w:p w14:paraId="7C92CE7B">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7.1.1投标人应先仔细阅读招标文件的全部内容后，再进行投标文件的编制。</w:t>
      </w:r>
    </w:p>
    <w:p w14:paraId="292D9A01">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14:paraId="2607545B">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7.2投标文件的语言</w:t>
      </w:r>
    </w:p>
    <w:p w14:paraId="646CCB1D">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7.2.1除招标文件另有规定外，投标文件应使用中文文本并使用中文简化字，若有不同文本，以中文简化字文本为准。</w:t>
      </w:r>
    </w:p>
    <w:p w14:paraId="53F4735B">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7.2.2投标文件提供的全部资料中，若属于非中文描述的，应同时提供中文简化字译本。</w:t>
      </w:r>
    </w:p>
    <w:p w14:paraId="159881AA">
      <w:pPr>
        <w:pStyle w:val="28"/>
        <w:widowControl w:val="0"/>
        <w:spacing w:line="440" w:lineRule="exact"/>
        <w:ind w:firstLine="420" w:firstLineChars="2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7.2.3除在招标文件的要求中另有规定外，投标文件计量单位应使用中华人民共和国法定计量单位。</w:t>
      </w:r>
    </w:p>
    <w:p w14:paraId="6C964EFA">
      <w:pPr>
        <w:pStyle w:val="28"/>
        <w:widowControl w:val="0"/>
        <w:spacing w:line="440" w:lineRule="exact"/>
        <w:ind w:firstLine="420" w:firstLineChars="2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14:paraId="319AB280">
      <w:pPr>
        <w:jc w:val="both"/>
        <w:rPr>
          <w:color w:val="auto"/>
          <w:highlight w:val="none"/>
        </w:rPr>
      </w:pPr>
      <w:r>
        <w:rPr>
          <w:rFonts w:hint="eastAsia"/>
          <w:color w:val="auto"/>
          <w:highlight w:val="none"/>
        </w:rPr>
        <w:t>8.投标文件的组成</w:t>
      </w:r>
    </w:p>
    <w:p w14:paraId="65931E59">
      <w:pPr>
        <w:ind w:firstLine="420" w:firstLineChars="200"/>
        <w:jc w:val="both"/>
        <w:rPr>
          <w:color w:val="auto"/>
          <w:highlight w:val="none"/>
        </w:rPr>
      </w:pPr>
      <w:r>
        <w:rPr>
          <w:rFonts w:hint="eastAsia"/>
          <w:color w:val="auto"/>
          <w:highlight w:val="none"/>
        </w:rPr>
        <w:t>8.1 投标文件包括商务部分和技术部分。</w:t>
      </w:r>
    </w:p>
    <w:p w14:paraId="0180C9FA">
      <w:pPr>
        <w:ind w:firstLine="420" w:firstLineChars="200"/>
        <w:jc w:val="both"/>
        <w:rPr>
          <w:color w:val="auto"/>
          <w:highlight w:val="none"/>
        </w:rPr>
      </w:pPr>
      <w:r>
        <w:rPr>
          <w:rFonts w:hint="eastAsia"/>
          <w:color w:val="auto"/>
          <w:highlight w:val="none"/>
        </w:rPr>
        <w:t>8.2 投标文件</w:t>
      </w:r>
      <w:r>
        <w:rPr>
          <w:rFonts w:hint="eastAsia"/>
          <w:b/>
          <w:color w:val="auto"/>
          <w:highlight w:val="none"/>
        </w:rPr>
        <w:t>商务部分</w:t>
      </w:r>
      <w:r>
        <w:rPr>
          <w:rFonts w:hint="eastAsia"/>
          <w:color w:val="auto"/>
          <w:highlight w:val="none"/>
        </w:rPr>
        <w:t>主要包括的文件和资料：</w:t>
      </w:r>
    </w:p>
    <w:p w14:paraId="65C9B44D">
      <w:pPr>
        <w:ind w:firstLine="420" w:firstLineChars="200"/>
        <w:jc w:val="both"/>
        <w:rPr>
          <w:color w:val="auto"/>
          <w:highlight w:val="none"/>
        </w:rPr>
      </w:pPr>
      <w:r>
        <w:rPr>
          <w:rFonts w:hint="eastAsia"/>
          <w:color w:val="auto"/>
          <w:highlight w:val="none"/>
        </w:rPr>
        <w:t>8.2.1 资格证明文件，见</w:t>
      </w:r>
      <w:r>
        <w:rPr>
          <w:rFonts w:hint="eastAsia"/>
          <w:b/>
          <w:color w:val="auto"/>
          <w:highlight w:val="none"/>
        </w:rPr>
        <w:t>投标人须知前附表。</w:t>
      </w:r>
    </w:p>
    <w:p w14:paraId="3838C49A">
      <w:pPr>
        <w:ind w:firstLine="420" w:firstLineChars="200"/>
        <w:jc w:val="both"/>
        <w:rPr>
          <w:color w:val="auto"/>
          <w:highlight w:val="none"/>
        </w:rPr>
      </w:pPr>
      <w:r>
        <w:rPr>
          <w:rFonts w:hint="eastAsia"/>
          <w:color w:val="auto"/>
          <w:highlight w:val="none"/>
        </w:rPr>
        <w:t>8.2.2 其他文件及资料，见</w:t>
      </w:r>
      <w:r>
        <w:rPr>
          <w:rFonts w:hint="eastAsia"/>
          <w:b/>
          <w:color w:val="auto"/>
          <w:highlight w:val="none"/>
        </w:rPr>
        <w:t>投标人须知前附表。</w:t>
      </w:r>
    </w:p>
    <w:p w14:paraId="6A0D43D9">
      <w:pPr>
        <w:ind w:firstLine="420" w:firstLineChars="200"/>
        <w:jc w:val="both"/>
        <w:rPr>
          <w:color w:val="auto"/>
          <w:highlight w:val="none"/>
        </w:rPr>
      </w:pPr>
      <w:r>
        <w:rPr>
          <w:rFonts w:hint="eastAsia"/>
          <w:color w:val="auto"/>
          <w:highlight w:val="none"/>
        </w:rPr>
        <w:t>8.3 投标文件</w:t>
      </w:r>
      <w:r>
        <w:rPr>
          <w:rFonts w:hint="eastAsia"/>
          <w:b/>
          <w:color w:val="auto"/>
          <w:highlight w:val="none"/>
        </w:rPr>
        <w:t>技术部分</w:t>
      </w:r>
      <w:r>
        <w:rPr>
          <w:rFonts w:hint="eastAsia"/>
          <w:color w:val="auto"/>
          <w:highlight w:val="none"/>
        </w:rPr>
        <w:t>主要包括的文件及资料，见</w:t>
      </w:r>
      <w:r>
        <w:rPr>
          <w:rFonts w:hint="eastAsia"/>
          <w:b/>
          <w:color w:val="auto"/>
          <w:highlight w:val="none"/>
        </w:rPr>
        <w:t>投标人须知前附表。</w:t>
      </w:r>
    </w:p>
    <w:p w14:paraId="0D086401">
      <w:pPr>
        <w:ind w:firstLine="420" w:firstLineChars="200"/>
        <w:jc w:val="both"/>
        <w:rPr>
          <w:color w:val="auto"/>
          <w:highlight w:val="none"/>
        </w:rPr>
      </w:pPr>
      <w:r>
        <w:rPr>
          <w:rFonts w:hint="eastAsia"/>
          <w:color w:val="auto"/>
          <w:highlight w:val="none"/>
        </w:rPr>
        <w:t>8.4 证明资料如标明有效期的，必须在有效期内。</w:t>
      </w:r>
    </w:p>
    <w:p w14:paraId="0EDAAD56">
      <w:pPr>
        <w:jc w:val="both"/>
        <w:rPr>
          <w:color w:val="auto"/>
          <w:highlight w:val="none"/>
        </w:rPr>
      </w:pPr>
      <w:r>
        <w:rPr>
          <w:rFonts w:hint="eastAsia"/>
          <w:color w:val="auto"/>
          <w:highlight w:val="none"/>
        </w:rPr>
        <w:t>9.报价要求</w:t>
      </w:r>
    </w:p>
    <w:p w14:paraId="4E2DDA3B">
      <w:pPr>
        <w:ind w:firstLine="420" w:firstLineChars="200"/>
        <w:jc w:val="left"/>
        <w:rPr>
          <w:color w:val="auto"/>
          <w:highlight w:val="none"/>
        </w:rPr>
      </w:pPr>
      <w:r>
        <w:rPr>
          <w:rFonts w:hint="eastAsia"/>
          <w:color w:val="auto"/>
          <w:highlight w:val="none"/>
        </w:rPr>
        <w:t>9.1 除招标文件另有规定外，投标应以人民币报价，线上采购项目还须按照投标工具的流程和提示编制并上传投标报价表。</w:t>
      </w:r>
    </w:p>
    <w:p w14:paraId="4874A4A9">
      <w:pPr>
        <w:ind w:firstLine="420" w:firstLineChars="200"/>
        <w:jc w:val="left"/>
        <w:rPr>
          <w:color w:val="auto"/>
          <w:highlight w:val="none"/>
        </w:rPr>
      </w:pPr>
      <w:r>
        <w:rPr>
          <w:rFonts w:hint="eastAsia"/>
          <w:color w:val="auto"/>
          <w:highlight w:val="none"/>
        </w:rPr>
        <w:t>9.2 本项目不接受任何形式的赠送、“零”报价和折扣报价。</w:t>
      </w:r>
    </w:p>
    <w:p w14:paraId="47A0CEB2">
      <w:pPr>
        <w:ind w:firstLine="420" w:firstLineChars="200"/>
        <w:jc w:val="left"/>
        <w:rPr>
          <w:color w:val="auto"/>
          <w:highlight w:val="none"/>
        </w:rPr>
      </w:pPr>
      <w:r>
        <w:rPr>
          <w:rFonts w:hint="eastAsia"/>
          <w:color w:val="auto"/>
          <w:highlight w:val="none"/>
        </w:rPr>
        <w:t>9.3 本项目以投标报价为依据计算价格分。投标报价应包括招标文件中要求投标人承担所有工作内容的全部费用。</w:t>
      </w:r>
    </w:p>
    <w:p w14:paraId="1258075F">
      <w:pPr>
        <w:ind w:firstLine="420" w:firstLineChars="200"/>
        <w:jc w:val="left"/>
        <w:rPr>
          <w:color w:val="auto"/>
          <w:highlight w:val="none"/>
        </w:rPr>
      </w:pPr>
      <w:r>
        <w:rPr>
          <w:rFonts w:hint="eastAsia"/>
          <w:color w:val="auto"/>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816A05">
      <w:pPr>
        <w:ind w:firstLine="420" w:firstLineChars="200"/>
        <w:jc w:val="left"/>
        <w:rPr>
          <w:color w:val="auto"/>
          <w:highlight w:val="none"/>
        </w:rPr>
      </w:pPr>
      <w:r>
        <w:rPr>
          <w:rFonts w:hint="eastAsia"/>
          <w:color w:val="auto"/>
          <w:highlight w:val="none"/>
        </w:rPr>
        <w:t>9.5 最低报价不能作为中标的保证。</w:t>
      </w:r>
    </w:p>
    <w:p w14:paraId="1A9C8CC0">
      <w:pPr>
        <w:jc w:val="left"/>
        <w:rPr>
          <w:color w:val="auto"/>
          <w:highlight w:val="none"/>
        </w:rPr>
      </w:pPr>
      <w:r>
        <w:rPr>
          <w:rFonts w:hint="eastAsia"/>
          <w:color w:val="auto"/>
          <w:highlight w:val="none"/>
        </w:rPr>
        <w:t>10.投标文件的书写、密封、签署、盖章</w:t>
      </w:r>
    </w:p>
    <w:p w14:paraId="1F005527">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10.1书写</w:t>
      </w:r>
    </w:p>
    <w:p w14:paraId="70DCB777">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10.1.1投标文件应使用不能擦去的墨料或墨水打印、书写。</w:t>
      </w:r>
    </w:p>
    <w:p w14:paraId="49E6FEBD">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10.1.2投标文件内容应没有涂改或行间插字。若有前述改动，在改动处应由单位负责人（投标人代表）签字确认或加盖投标人的单位公章。</w:t>
      </w:r>
    </w:p>
    <w:p w14:paraId="0B0BC262">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10.2密封</w:t>
      </w:r>
    </w:p>
    <w:p w14:paraId="46D31187">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10.2.1投标文件应胶装或装订成册，避免材料散装、脱落。</w:t>
      </w:r>
    </w:p>
    <w:p w14:paraId="609E00FF">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10.2.2投标文件（包括电子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002F4E30">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10.3签署、盖章</w:t>
      </w:r>
    </w:p>
    <w:p w14:paraId="1A491F24">
      <w:pPr>
        <w:ind w:firstLine="420" w:firstLineChars="200"/>
        <w:jc w:val="left"/>
        <w:rPr>
          <w:color w:val="auto"/>
          <w:highlight w:val="none"/>
        </w:rPr>
      </w:pPr>
      <w:r>
        <w:rPr>
          <w:rFonts w:hint="eastAsia"/>
          <w:color w:val="auto"/>
          <w:highlight w:val="none"/>
        </w:rPr>
        <w:t>10.3.1投标文件中要求签字处应由投标人的单位负责人（投标人代表）签字。</w:t>
      </w:r>
    </w:p>
    <w:p w14:paraId="1C971FE8">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10.3.2投标文件必须按照招标文件给出文件格式的签署要求进行签署。</w:t>
      </w:r>
    </w:p>
    <w:p w14:paraId="4CC18E03">
      <w:pPr>
        <w:ind w:firstLine="420" w:firstLineChars="200"/>
        <w:jc w:val="left"/>
        <w:rPr>
          <w:color w:val="auto"/>
          <w:highlight w:val="none"/>
        </w:rPr>
      </w:pPr>
      <w:r>
        <w:rPr>
          <w:rFonts w:hint="eastAsia"/>
          <w:color w:val="auto"/>
          <w:highlight w:val="none"/>
        </w:rPr>
        <w:t>10.3.3投标人在</w:t>
      </w:r>
      <w:r>
        <w:rPr>
          <w:rFonts w:hint="eastAsia"/>
          <w:b/>
          <w:color w:val="auto"/>
          <w:highlight w:val="none"/>
        </w:rPr>
        <w:t>“投标函”“法定代表人授权委托书”</w:t>
      </w:r>
      <w:r>
        <w:rPr>
          <w:rFonts w:hint="eastAsia"/>
          <w:color w:val="auto"/>
          <w:highlight w:val="none"/>
        </w:rPr>
        <w:t>上应当按格式要求加盖与投标人名称全称一致的标准公章，并按照招标文件第五章投标文件格式中的相应格式文件要求签署全名。</w:t>
      </w:r>
    </w:p>
    <w:p w14:paraId="3F7F5D83">
      <w:pPr>
        <w:ind w:firstLine="420" w:firstLineChars="200"/>
        <w:jc w:val="left"/>
        <w:rPr>
          <w:color w:val="auto"/>
          <w:highlight w:val="none"/>
        </w:rPr>
      </w:pPr>
      <w:r>
        <w:rPr>
          <w:rFonts w:hint="eastAsia"/>
          <w:color w:val="auto"/>
          <w:highlight w:val="none"/>
        </w:rPr>
        <w:t>10.3.4投标文件中的“盖章”指加盖投标人的“公章”，而非“合同专用章”、“投标专用章”等其他非公章。</w:t>
      </w:r>
    </w:p>
    <w:p w14:paraId="3CC428E2">
      <w:pPr>
        <w:ind w:firstLine="420" w:firstLineChars="200"/>
        <w:jc w:val="left"/>
        <w:rPr>
          <w:color w:val="auto"/>
          <w:highlight w:val="none"/>
        </w:rPr>
      </w:pPr>
      <w:r>
        <w:rPr>
          <w:rFonts w:hint="eastAsia"/>
          <w:color w:val="auto"/>
          <w:highlight w:val="none"/>
        </w:rPr>
        <w:t>10.3.5线上采购项目可以使用电子签章。</w:t>
      </w:r>
    </w:p>
    <w:p w14:paraId="1FA42F54">
      <w:pPr>
        <w:jc w:val="left"/>
        <w:rPr>
          <w:color w:val="auto"/>
          <w:highlight w:val="none"/>
        </w:rPr>
      </w:pPr>
      <w:r>
        <w:rPr>
          <w:rFonts w:hint="eastAsia"/>
          <w:color w:val="auto"/>
          <w:highlight w:val="none"/>
        </w:rPr>
        <w:t>11．投标有效期</w:t>
      </w:r>
    </w:p>
    <w:p w14:paraId="327EAD80">
      <w:pPr>
        <w:ind w:firstLine="420" w:firstLineChars="200"/>
        <w:jc w:val="left"/>
        <w:rPr>
          <w:color w:val="auto"/>
          <w:highlight w:val="none"/>
        </w:rPr>
      </w:pPr>
      <w:r>
        <w:rPr>
          <w:rFonts w:hint="eastAsia"/>
          <w:color w:val="auto"/>
          <w:highlight w:val="none"/>
        </w:rPr>
        <w:t>11.1 投标有效期见</w:t>
      </w:r>
      <w:r>
        <w:rPr>
          <w:rFonts w:hint="eastAsia"/>
          <w:b/>
          <w:color w:val="auto"/>
          <w:highlight w:val="none"/>
        </w:rPr>
        <w:t>投标人须知前附表</w:t>
      </w:r>
      <w:r>
        <w:rPr>
          <w:rFonts w:hint="eastAsia"/>
          <w:color w:val="auto"/>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14:paraId="25B5C911">
      <w:pPr>
        <w:ind w:firstLine="420" w:firstLineChars="200"/>
        <w:jc w:val="left"/>
        <w:rPr>
          <w:color w:val="auto"/>
          <w:highlight w:val="none"/>
        </w:rPr>
      </w:pPr>
      <w:r>
        <w:rPr>
          <w:rFonts w:hint="eastAsia"/>
          <w:color w:val="auto"/>
          <w:highlight w:val="none"/>
        </w:rPr>
        <w:t>11.2 特殊情况下，在原投标有效期期满之前，采购人或者采购代理机构可征得投标人同意延长投标有效期。</w:t>
      </w:r>
    </w:p>
    <w:p w14:paraId="3614C6C6">
      <w:pPr>
        <w:pStyle w:val="6"/>
        <w:ind w:left="0" w:leftChars="0" w:firstLine="0" w:firstLineChars="0"/>
        <w:jc w:val="center"/>
        <w:rPr>
          <w:color w:val="auto"/>
          <w:highlight w:val="none"/>
        </w:rPr>
      </w:pPr>
      <w:bookmarkStart w:id="42" w:name="_Toc132880277"/>
      <w:bookmarkStart w:id="43" w:name="_Toc18073"/>
      <w:r>
        <w:rPr>
          <w:rFonts w:hint="eastAsia"/>
          <w:color w:val="auto"/>
          <w:highlight w:val="none"/>
        </w:rPr>
        <w:t>四、投标文件递交</w:t>
      </w:r>
      <w:bookmarkEnd w:id="42"/>
      <w:bookmarkEnd w:id="43"/>
    </w:p>
    <w:p w14:paraId="6F9611C2">
      <w:pPr>
        <w:jc w:val="both"/>
        <w:rPr>
          <w:color w:val="auto"/>
          <w:highlight w:val="none"/>
        </w:rPr>
      </w:pPr>
      <w:r>
        <w:rPr>
          <w:rFonts w:hint="eastAsia"/>
          <w:color w:val="auto"/>
          <w:highlight w:val="none"/>
        </w:rPr>
        <w:t>12．投标文件递交</w:t>
      </w:r>
    </w:p>
    <w:p w14:paraId="7B7CA31C">
      <w:pPr>
        <w:ind w:firstLine="420" w:firstLineChars="200"/>
        <w:jc w:val="left"/>
        <w:rPr>
          <w:color w:val="auto"/>
          <w:highlight w:val="none"/>
        </w:rPr>
      </w:pPr>
      <w:r>
        <w:rPr>
          <w:rFonts w:hint="eastAsia"/>
          <w:color w:val="auto"/>
          <w:highlight w:val="none"/>
        </w:rPr>
        <w:t>12.1 投标人应当在</w:t>
      </w:r>
      <w:r>
        <w:rPr>
          <w:rFonts w:hint="eastAsia"/>
          <w:b/>
          <w:color w:val="auto"/>
          <w:highlight w:val="none"/>
        </w:rPr>
        <w:t>投标人须知前附表</w:t>
      </w:r>
      <w:r>
        <w:rPr>
          <w:rFonts w:hint="eastAsia"/>
          <w:color w:val="auto"/>
          <w:highlight w:val="none"/>
        </w:rPr>
        <w:t>要求提交投标文件截止时间前，根据《投标人须知前附表》载明方式提交投标文件。逾期送达或者未按照招标文件要求密封的投标文件将被拒绝。</w:t>
      </w:r>
    </w:p>
    <w:p w14:paraId="244814D1">
      <w:pPr>
        <w:ind w:firstLine="420" w:firstLineChars="200"/>
        <w:jc w:val="left"/>
        <w:rPr>
          <w:color w:val="auto"/>
          <w:highlight w:val="none"/>
        </w:rPr>
      </w:pPr>
      <w:r>
        <w:rPr>
          <w:rFonts w:hint="eastAsia"/>
          <w:color w:val="auto"/>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14:paraId="69198448">
      <w:pPr>
        <w:jc w:val="left"/>
        <w:rPr>
          <w:color w:val="auto"/>
          <w:highlight w:val="none"/>
        </w:rPr>
      </w:pPr>
      <w:r>
        <w:rPr>
          <w:rFonts w:hint="eastAsia"/>
          <w:color w:val="auto"/>
          <w:highlight w:val="none"/>
        </w:rPr>
        <w:t>13．投标文件补充、修改或撤回</w:t>
      </w:r>
    </w:p>
    <w:p w14:paraId="4175AB89">
      <w:pPr>
        <w:ind w:firstLine="420" w:firstLineChars="200"/>
        <w:jc w:val="left"/>
        <w:rPr>
          <w:color w:val="auto"/>
          <w:highlight w:val="none"/>
        </w:rPr>
      </w:pPr>
      <w:r>
        <w:rPr>
          <w:rFonts w:hint="eastAsia"/>
          <w:color w:val="auto"/>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63E9E62A">
      <w:pPr>
        <w:ind w:firstLine="420" w:firstLineChars="200"/>
        <w:jc w:val="left"/>
        <w:rPr>
          <w:color w:val="auto"/>
          <w:highlight w:val="none"/>
        </w:rPr>
      </w:pPr>
      <w:r>
        <w:rPr>
          <w:rFonts w:hint="eastAsia"/>
          <w:color w:val="auto"/>
          <w:highlight w:val="none"/>
        </w:rPr>
        <w:t>13.2 线上采购项目，投标人在投标截止时间前，可以登录评审管理系统对所提交的投标文件进行撤回、补充、修改、重新提交。补充、修改的内容应当按照招标文件要求签署、盖章。</w:t>
      </w:r>
    </w:p>
    <w:p w14:paraId="5A7FA705">
      <w:pPr>
        <w:ind w:firstLine="420" w:firstLineChars="200"/>
        <w:jc w:val="left"/>
        <w:rPr>
          <w:color w:val="auto"/>
          <w:highlight w:val="none"/>
        </w:rPr>
      </w:pPr>
      <w:r>
        <w:rPr>
          <w:rFonts w:hint="eastAsia"/>
          <w:color w:val="auto"/>
          <w:highlight w:val="none"/>
        </w:rPr>
        <w:t>13.3 提交投标文件截止时间后，不得对已提交的投标文件作任何补充、修改或者撤回。</w:t>
      </w:r>
    </w:p>
    <w:p w14:paraId="44185A1E">
      <w:pPr>
        <w:pStyle w:val="6"/>
        <w:ind w:left="0" w:leftChars="0" w:firstLine="0" w:firstLineChars="0"/>
        <w:jc w:val="center"/>
        <w:rPr>
          <w:rFonts w:asciiTheme="minorEastAsia" w:hAnsiTheme="minorEastAsia" w:eastAsiaTheme="minorEastAsia"/>
          <w:color w:val="auto"/>
          <w:szCs w:val="21"/>
          <w:highlight w:val="none"/>
        </w:rPr>
      </w:pPr>
      <w:bookmarkStart w:id="44" w:name="_Toc132880278"/>
      <w:bookmarkStart w:id="45" w:name="_Toc29378"/>
      <w:r>
        <w:rPr>
          <w:rFonts w:hint="eastAsia"/>
          <w:color w:val="auto"/>
          <w:highlight w:val="none"/>
        </w:rPr>
        <w:t>五、开标与评标</w:t>
      </w:r>
      <w:bookmarkEnd w:id="44"/>
      <w:bookmarkEnd w:id="45"/>
    </w:p>
    <w:p w14:paraId="3A5DCCAF">
      <w:pPr>
        <w:jc w:val="left"/>
        <w:rPr>
          <w:color w:val="auto"/>
          <w:highlight w:val="none"/>
        </w:rPr>
      </w:pPr>
      <w:r>
        <w:rPr>
          <w:rFonts w:hint="eastAsia"/>
          <w:color w:val="auto"/>
          <w:highlight w:val="none"/>
        </w:rPr>
        <w:t>14．开标</w:t>
      </w:r>
    </w:p>
    <w:p w14:paraId="3E94C818">
      <w:pPr>
        <w:ind w:firstLine="420" w:firstLineChars="200"/>
        <w:jc w:val="left"/>
        <w:rPr>
          <w:color w:val="auto"/>
          <w:highlight w:val="none"/>
        </w:rPr>
      </w:pPr>
      <w:r>
        <w:rPr>
          <w:rFonts w:hint="eastAsia"/>
          <w:color w:val="auto"/>
          <w:highlight w:val="none"/>
        </w:rPr>
        <w:t>14.1 开标在招标文件确定的提交投标文件截止时间的同一时间进行。开标地点详见</w:t>
      </w:r>
      <w:r>
        <w:rPr>
          <w:rFonts w:hint="eastAsia"/>
          <w:b/>
          <w:color w:val="auto"/>
          <w:highlight w:val="none"/>
        </w:rPr>
        <w:t>投标人须知前附表</w:t>
      </w:r>
      <w:r>
        <w:rPr>
          <w:rFonts w:hint="eastAsia"/>
          <w:color w:val="auto"/>
          <w:highlight w:val="none"/>
        </w:rPr>
        <w:t>。</w:t>
      </w:r>
    </w:p>
    <w:p w14:paraId="03B86DC2">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14.2 开标由采购人或者采购代理机构主持，邀请投标人参加。评标委员会成员不得参加开标活动。</w:t>
      </w:r>
    </w:p>
    <w:p w14:paraId="026D6E60">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14:paraId="4BD1B204">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14:paraId="5883A9E7">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68DD3">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14.6 在政府采购活动中，采购人员及相关人员与投标人有下列利害关系之一的，应当回避：</w:t>
      </w:r>
    </w:p>
    <w:p w14:paraId="3B9FD198">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（1）参加采购活动前3年内与投标人存在劳动关系；</w:t>
      </w:r>
    </w:p>
    <w:p w14:paraId="66E17E95">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（2）参加采购活动前3年内担任投标人的董事、监事；</w:t>
      </w:r>
    </w:p>
    <w:p w14:paraId="3ECF44D2">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（3）参加采购活动前3年内是投标人的控股股东或者实际控制人；</w:t>
      </w:r>
    </w:p>
    <w:p w14:paraId="4FF70F6B">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（4）与投标人的法定代表人或者负责人有夫妻、直系血亲、三代以内旁系血亲或者近姻亲关系；</w:t>
      </w:r>
    </w:p>
    <w:p w14:paraId="177BA144">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（5）与投标人有其他可能影响政府采购活动公平、公正进行的关系。</w:t>
      </w:r>
    </w:p>
    <w:p w14:paraId="779E8C48">
      <w:pPr>
        <w:pStyle w:val="28"/>
        <w:widowControl w:val="0"/>
        <w:spacing w:line="440" w:lineRule="exact"/>
        <w:ind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7E661869">
      <w:pPr>
        <w:jc w:val="left"/>
        <w:rPr>
          <w:color w:val="auto"/>
          <w:highlight w:val="none"/>
        </w:rPr>
      </w:pPr>
      <w:r>
        <w:rPr>
          <w:rFonts w:hint="eastAsia"/>
          <w:color w:val="auto"/>
          <w:highlight w:val="none"/>
          <w:lang w:val="en-US" w:eastAsia="zh-CN"/>
        </w:rPr>
        <w:t xml:space="preserve">    </w:t>
      </w:r>
      <w:r>
        <w:rPr>
          <w:rFonts w:hint="eastAsia"/>
          <w:color w:val="auto"/>
          <w:highlight w:val="none"/>
        </w:rPr>
        <w:t>14.7 对线上采购项目，采购人或者采购代理机构将在</w:t>
      </w:r>
      <w:r>
        <w:rPr>
          <w:rFonts w:hint="eastAsia"/>
          <w:b/>
          <w:color w:val="auto"/>
          <w:highlight w:val="none"/>
        </w:rPr>
        <w:t>投标人须知前附表</w:t>
      </w:r>
      <w:r>
        <w:rPr>
          <w:rFonts w:hint="eastAsia"/>
          <w:color w:val="auto"/>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14:paraId="5A9E1BED">
      <w:pPr>
        <w:jc w:val="left"/>
        <w:rPr>
          <w:color w:val="auto"/>
          <w:highlight w:val="none"/>
        </w:rPr>
      </w:pPr>
      <w:r>
        <w:rPr>
          <w:rFonts w:hint="eastAsia"/>
          <w:color w:val="auto"/>
          <w:highlight w:val="none"/>
        </w:rPr>
        <w:t>15．投标资格审查</w:t>
      </w:r>
    </w:p>
    <w:p w14:paraId="31C4AAA4">
      <w:pPr>
        <w:ind w:firstLine="420" w:firstLineChars="200"/>
        <w:jc w:val="left"/>
        <w:rPr>
          <w:color w:val="auto"/>
          <w:highlight w:val="none"/>
        </w:rPr>
      </w:pPr>
      <w:r>
        <w:rPr>
          <w:rFonts w:hint="eastAsia"/>
          <w:color w:val="auto"/>
          <w:highlight w:val="none"/>
        </w:rPr>
        <w:t>15.1 公开招标采购项目开标结束后，由采购人或者采购代理机构依法对投标人的资格进行审查，以确定投标人是否具备投标资格。</w:t>
      </w:r>
    </w:p>
    <w:p w14:paraId="772DFD77">
      <w:pPr>
        <w:ind w:firstLine="420" w:firstLineChars="200"/>
        <w:jc w:val="left"/>
        <w:rPr>
          <w:color w:val="auto"/>
          <w:highlight w:val="none"/>
        </w:rPr>
      </w:pPr>
      <w:r>
        <w:rPr>
          <w:rFonts w:hint="eastAsia"/>
          <w:color w:val="auto"/>
          <w:highlight w:val="none"/>
        </w:rPr>
        <w:t>15.1.1 审查投标人按照8.2.1提交的</w:t>
      </w:r>
      <w:r>
        <w:rPr>
          <w:rFonts w:hint="eastAsia"/>
          <w:b/>
          <w:color w:val="auto"/>
          <w:highlight w:val="none"/>
        </w:rPr>
        <w:t>“资格证明文件”</w:t>
      </w:r>
      <w:r>
        <w:rPr>
          <w:rFonts w:hint="eastAsia"/>
          <w:color w:val="auto"/>
          <w:highlight w:val="none"/>
        </w:rPr>
        <w:t>。</w:t>
      </w:r>
    </w:p>
    <w:p w14:paraId="5D912B6D">
      <w:pPr>
        <w:ind w:firstLine="420" w:firstLineChars="200"/>
        <w:jc w:val="left"/>
        <w:rPr>
          <w:b/>
          <w:color w:val="auto"/>
          <w:highlight w:val="none"/>
        </w:rPr>
      </w:pPr>
      <w:r>
        <w:rPr>
          <w:rFonts w:hint="eastAsia"/>
          <w:color w:val="auto"/>
          <w:highlight w:val="none"/>
        </w:rPr>
        <w:t>15.1.2 信用记录审查。</w:t>
      </w:r>
      <w:r>
        <w:rPr>
          <w:rFonts w:hint="eastAsia"/>
          <w:b/>
          <w:color w:val="auto"/>
          <w:highlight w:val="none"/>
        </w:rPr>
        <w:t>见投标人须知前附表。</w:t>
      </w:r>
    </w:p>
    <w:p w14:paraId="5B4A72AD">
      <w:pPr>
        <w:ind w:firstLine="420" w:firstLineChars="200"/>
        <w:jc w:val="left"/>
        <w:rPr>
          <w:color w:val="auto"/>
          <w:highlight w:val="none"/>
        </w:rPr>
      </w:pPr>
      <w:r>
        <w:rPr>
          <w:rFonts w:hint="eastAsia"/>
          <w:color w:val="auto"/>
          <w:highlight w:val="none"/>
        </w:rPr>
        <w:t>15.2 未通过资格审查的投标人，其投标无效。</w:t>
      </w:r>
    </w:p>
    <w:p w14:paraId="19A3FF28">
      <w:pPr>
        <w:ind w:firstLine="420" w:firstLineChars="200"/>
        <w:jc w:val="left"/>
        <w:rPr>
          <w:color w:val="auto"/>
          <w:highlight w:val="none"/>
        </w:rPr>
      </w:pPr>
      <w:r>
        <w:rPr>
          <w:rFonts w:hint="eastAsia"/>
          <w:color w:val="auto"/>
          <w:highlight w:val="none"/>
        </w:rPr>
        <w:t>15.3 合格投标人不足3家的，不得评标。</w:t>
      </w:r>
    </w:p>
    <w:p w14:paraId="157668D5">
      <w:pPr>
        <w:jc w:val="left"/>
        <w:rPr>
          <w:color w:val="auto"/>
          <w:highlight w:val="none"/>
        </w:rPr>
      </w:pPr>
      <w:r>
        <w:rPr>
          <w:rFonts w:hint="eastAsia"/>
          <w:color w:val="auto"/>
          <w:highlight w:val="none"/>
        </w:rPr>
        <w:t>16．评标委员会的组成</w:t>
      </w:r>
    </w:p>
    <w:p w14:paraId="207067E5">
      <w:pPr>
        <w:ind w:firstLine="420" w:firstLineChars="200"/>
        <w:jc w:val="left"/>
        <w:rPr>
          <w:color w:val="auto"/>
          <w:highlight w:val="none"/>
        </w:rPr>
      </w:pPr>
      <w:r>
        <w:rPr>
          <w:rFonts w:hint="eastAsia"/>
          <w:color w:val="auto"/>
          <w:highlight w:val="none"/>
        </w:rPr>
        <w:t>16.1 采购人或者采购代理机构根据有关法律法规规定组建评标委员会，评标委员会由采购人代表和评审专家组成。</w:t>
      </w:r>
    </w:p>
    <w:p w14:paraId="04B6F29C">
      <w:pPr>
        <w:jc w:val="left"/>
        <w:rPr>
          <w:color w:val="auto"/>
          <w:highlight w:val="none"/>
        </w:rPr>
      </w:pPr>
      <w:r>
        <w:rPr>
          <w:rFonts w:hint="eastAsia"/>
          <w:color w:val="auto"/>
          <w:highlight w:val="none"/>
        </w:rPr>
        <w:t>17．投标符合性审查</w:t>
      </w:r>
    </w:p>
    <w:p w14:paraId="05C8F851">
      <w:pPr>
        <w:ind w:firstLine="420" w:firstLineChars="200"/>
        <w:jc w:val="left"/>
        <w:rPr>
          <w:color w:val="auto"/>
          <w:highlight w:val="none"/>
        </w:rPr>
      </w:pPr>
      <w:r>
        <w:rPr>
          <w:rFonts w:hint="eastAsia"/>
          <w:color w:val="auto"/>
          <w:highlight w:val="none"/>
        </w:rPr>
        <w:t>17.1 评标委员会对符合资格的投标人的投标文件进行符合性审查，以确定其是否符合招标文件的商务、技术等实质性要求。</w:t>
      </w:r>
    </w:p>
    <w:p w14:paraId="77E8C6BA">
      <w:pPr>
        <w:ind w:firstLine="420" w:firstLineChars="200"/>
        <w:jc w:val="left"/>
        <w:rPr>
          <w:color w:val="auto"/>
          <w:highlight w:val="none"/>
        </w:rPr>
      </w:pPr>
      <w:r>
        <w:rPr>
          <w:rFonts w:hint="eastAsia"/>
          <w:color w:val="auto"/>
          <w:highlight w:val="none"/>
        </w:rPr>
        <w:t>17.2 未通过符合性审查的投标人，其投标无效。</w:t>
      </w:r>
    </w:p>
    <w:p w14:paraId="4BEE0661">
      <w:pPr>
        <w:ind w:firstLine="420" w:firstLineChars="200"/>
        <w:jc w:val="left"/>
        <w:rPr>
          <w:color w:val="auto"/>
          <w:highlight w:val="none"/>
        </w:rPr>
      </w:pPr>
      <w:r>
        <w:rPr>
          <w:rFonts w:hint="eastAsia"/>
          <w:color w:val="auto"/>
          <w:highlight w:val="none"/>
        </w:rPr>
        <w:t>17.3 通过符合性审查的投标人不足3家的，应予以废标。</w:t>
      </w:r>
    </w:p>
    <w:p w14:paraId="74B79E3F">
      <w:pPr>
        <w:jc w:val="both"/>
        <w:rPr>
          <w:color w:val="auto"/>
          <w:highlight w:val="none"/>
        </w:rPr>
      </w:pPr>
      <w:r>
        <w:rPr>
          <w:rFonts w:hint="eastAsia"/>
          <w:color w:val="auto"/>
          <w:highlight w:val="none"/>
        </w:rPr>
        <w:t>18．投标文件的澄清</w:t>
      </w:r>
    </w:p>
    <w:p w14:paraId="54E40863">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14:paraId="789375DA">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14:paraId="467EE2B4">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18.3关于投标描述（即投标文件中描述的内容）</w:t>
      </w:r>
    </w:p>
    <w:p w14:paraId="3D9FBDD7">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（1）投标描述前后不一致且不涉及证明材料的：按照本节第18.1条规定执行。</w:t>
      </w:r>
    </w:p>
    <w:p w14:paraId="35478A95">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（2）投标描述与证明材料不一致或多份证明材料之间不一致的：</w:t>
      </w:r>
    </w:p>
    <w:p w14:paraId="1168CE4C">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①评标委员会将要求投标人进行书面澄清，无法澄清的将按照不利于投标人的内容进行评标。</w:t>
      </w:r>
    </w:p>
    <w:p w14:paraId="66F52857">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881DC17">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3BBC960">
      <w:pPr>
        <w:ind w:firstLine="420" w:firstLineChars="200"/>
        <w:jc w:val="left"/>
        <w:rPr>
          <w:color w:val="auto"/>
          <w:highlight w:val="none"/>
        </w:rPr>
      </w:pPr>
      <w:r>
        <w:rPr>
          <w:rFonts w:hint="eastAsia"/>
          <w:color w:val="auto"/>
          <w:highlight w:val="none"/>
        </w:rPr>
        <w:t>18.4 除评标委员会要求投标人做出的澄清、说明或者补正以外，评标委员会不接受投标人的任何询问、说明、更改及文件。</w:t>
      </w:r>
    </w:p>
    <w:p w14:paraId="27B9F75A">
      <w:pPr>
        <w:ind w:firstLine="420" w:firstLineChars="200"/>
        <w:jc w:val="left"/>
        <w:rPr>
          <w:color w:val="auto"/>
          <w:highlight w:val="none"/>
        </w:rPr>
      </w:pPr>
      <w:r>
        <w:rPr>
          <w:rFonts w:hint="eastAsia"/>
          <w:color w:val="auto"/>
          <w:highlight w:val="none"/>
        </w:rPr>
        <w:t>18.5 投标人的澄清必须在规定的时间内提交。</w:t>
      </w:r>
    </w:p>
    <w:p w14:paraId="3647F0E2">
      <w:pPr>
        <w:jc w:val="left"/>
        <w:rPr>
          <w:color w:val="auto"/>
          <w:highlight w:val="none"/>
        </w:rPr>
      </w:pPr>
      <w:r>
        <w:rPr>
          <w:rFonts w:hint="eastAsia"/>
          <w:color w:val="auto"/>
          <w:highlight w:val="none"/>
        </w:rPr>
        <w:t>19．核价原则</w:t>
      </w:r>
    </w:p>
    <w:p w14:paraId="5C4161B2">
      <w:pPr>
        <w:ind w:firstLine="420" w:firstLineChars="200"/>
        <w:jc w:val="left"/>
        <w:rPr>
          <w:color w:val="auto"/>
          <w:highlight w:val="none"/>
        </w:rPr>
      </w:pPr>
      <w:r>
        <w:rPr>
          <w:rFonts w:hint="eastAsia"/>
          <w:color w:val="auto"/>
          <w:highlight w:val="none"/>
        </w:rPr>
        <w:t>19.1 投标文件报价出现前后不一致的，除招标文件另有规定外，按照下列规定修正：</w:t>
      </w:r>
    </w:p>
    <w:p w14:paraId="6C7053E5">
      <w:pPr>
        <w:ind w:firstLine="420" w:firstLineChars="200"/>
        <w:jc w:val="left"/>
        <w:rPr>
          <w:color w:val="auto"/>
          <w:highlight w:val="none"/>
        </w:rPr>
      </w:pPr>
      <w:r>
        <w:rPr>
          <w:rFonts w:hint="eastAsia"/>
          <w:color w:val="auto"/>
          <w:highlight w:val="none"/>
        </w:rPr>
        <w:t>（1）投标文件中开标一览表（总报价表）内容与投标文件中相应内容不一致的，以开标一览表（总报价表）为准；</w:t>
      </w:r>
    </w:p>
    <w:p w14:paraId="5CC4578C">
      <w:pPr>
        <w:ind w:firstLine="420" w:firstLineChars="200"/>
        <w:jc w:val="left"/>
        <w:rPr>
          <w:color w:val="auto"/>
          <w:highlight w:val="none"/>
        </w:rPr>
      </w:pPr>
      <w:r>
        <w:rPr>
          <w:rFonts w:hint="eastAsia"/>
          <w:color w:val="auto"/>
          <w:highlight w:val="none"/>
        </w:rPr>
        <w:t>（2）大写金额和小写金额不一致的，以大写金额为准；</w:t>
      </w:r>
    </w:p>
    <w:p w14:paraId="033E4E17">
      <w:pPr>
        <w:ind w:firstLine="420" w:firstLineChars="200"/>
        <w:jc w:val="left"/>
        <w:rPr>
          <w:color w:val="auto"/>
          <w:highlight w:val="none"/>
        </w:rPr>
      </w:pPr>
      <w:r>
        <w:rPr>
          <w:rFonts w:hint="eastAsia"/>
          <w:color w:val="auto"/>
          <w:highlight w:val="none"/>
        </w:rPr>
        <w:t>（3）单价金额小数点或者百分比有明显错位的，以开标一览表的总价为准，并修改单价；</w:t>
      </w:r>
    </w:p>
    <w:p w14:paraId="1F6FA51D">
      <w:pPr>
        <w:ind w:firstLine="420" w:firstLineChars="200"/>
        <w:jc w:val="left"/>
        <w:rPr>
          <w:color w:val="auto"/>
          <w:highlight w:val="none"/>
        </w:rPr>
      </w:pPr>
      <w:r>
        <w:rPr>
          <w:rFonts w:hint="eastAsia"/>
          <w:color w:val="auto"/>
          <w:highlight w:val="none"/>
        </w:rPr>
        <w:t>（4）总价金额与按单价汇总金额不一致的，以单价金额计算结果为准。</w:t>
      </w:r>
    </w:p>
    <w:p w14:paraId="448752E6">
      <w:pPr>
        <w:ind w:firstLine="420" w:firstLineChars="200"/>
        <w:jc w:val="left"/>
        <w:rPr>
          <w:color w:val="auto"/>
          <w:highlight w:val="none"/>
        </w:rPr>
      </w:pPr>
      <w:r>
        <w:rPr>
          <w:rFonts w:hint="eastAsia"/>
          <w:color w:val="auto"/>
          <w:highlight w:val="none"/>
        </w:rPr>
        <w:t>（5）同时出现两种以上不一致的，按照前款规定的顺序修正。修正后的报价按照18.2条的规定经投标人确认后产生约束力，投标人不确认的，其投标无效。</w:t>
      </w:r>
    </w:p>
    <w:p w14:paraId="72A5A4E3">
      <w:pPr>
        <w:jc w:val="left"/>
        <w:rPr>
          <w:color w:val="auto"/>
          <w:highlight w:val="none"/>
        </w:rPr>
      </w:pPr>
      <w:r>
        <w:rPr>
          <w:rFonts w:hint="eastAsia"/>
          <w:color w:val="auto"/>
          <w:highlight w:val="none"/>
        </w:rPr>
        <w:t>20．投标无效</w:t>
      </w:r>
    </w:p>
    <w:p w14:paraId="16995BBA">
      <w:pPr>
        <w:ind w:firstLine="420" w:firstLineChars="200"/>
        <w:jc w:val="left"/>
        <w:rPr>
          <w:color w:val="auto"/>
          <w:highlight w:val="none"/>
        </w:rPr>
      </w:pPr>
      <w:r>
        <w:rPr>
          <w:rFonts w:hint="eastAsia"/>
          <w:color w:val="auto"/>
          <w:highlight w:val="none"/>
        </w:rPr>
        <w:t>20.1 投标人及投标文件有下列情况之一的，应当在资格审查时按照投标无效处理：</w:t>
      </w:r>
    </w:p>
    <w:p w14:paraId="0AD7878D">
      <w:pPr>
        <w:ind w:firstLine="420" w:firstLineChars="200"/>
        <w:jc w:val="left"/>
        <w:rPr>
          <w:color w:val="auto"/>
          <w:highlight w:val="none"/>
        </w:rPr>
      </w:pPr>
      <w:r>
        <w:rPr>
          <w:rFonts w:hint="eastAsia"/>
          <w:color w:val="auto"/>
          <w:highlight w:val="none"/>
        </w:rPr>
        <w:t>（1） 不具备招标文件中规定的资格要求的；</w:t>
      </w:r>
    </w:p>
    <w:p w14:paraId="3DB0CAFE">
      <w:pPr>
        <w:ind w:firstLine="420" w:firstLineChars="200"/>
        <w:jc w:val="left"/>
        <w:rPr>
          <w:color w:val="auto"/>
          <w:highlight w:val="none"/>
        </w:rPr>
      </w:pPr>
      <w:r>
        <w:rPr>
          <w:rFonts w:hint="eastAsia"/>
          <w:color w:val="auto"/>
          <w:highlight w:val="none"/>
        </w:rPr>
        <w:t>（2） 投标文件组成中“资格证明文件”未提供或无效的；</w:t>
      </w:r>
    </w:p>
    <w:p w14:paraId="648CD545">
      <w:pPr>
        <w:ind w:firstLine="420" w:firstLineChars="200"/>
        <w:jc w:val="left"/>
        <w:rPr>
          <w:color w:val="auto"/>
          <w:highlight w:val="none"/>
        </w:rPr>
      </w:pPr>
      <w:r>
        <w:rPr>
          <w:rFonts w:hint="eastAsia"/>
          <w:color w:val="auto"/>
          <w:highlight w:val="none"/>
        </w:rPr>
        <w:t>（3） 未通过信用记录审查或未提供相关证明材料的。</w:t>
      </w:r>
    </w:p>
    <w:p w14:paraId="31E6F3A7">
      <w:pPr>
        <w:ind w:firstLine="420" w:firstLineChars="200"/>
        <w:jc w:val="left"/>
        <w:rPr>
          <w:color w:val="auto"/>
          <w:highlight w:val="none"/>
        </w:rPr>
      </w:pPr>
      <w:r>
        <w:rPr>
          <w:rFonts w:hint="eastAsia"/>
          <w:color w:val="auto"/>
          <w:highlight w:val="none"/>
        </w:rPr>
        <w:t>20.2 投标人及投标文件有下列情况之一的，应当在符合性审查时按照投标无效处理：</w:t>
      </w:r>
    </w:p>
    <w:p w14:paraId="4C887E1A">
      <w:pPr>
        <w:ind w:firstLine="420" w:firstLineChars="200"/>
        <w:jc w:val="left"/>
        <w:rPr>
          <w:color w:val="auto"/>
          <w:highlight w:val="none"/>
        </w:rPr>
      </w:pPr>
      <w:r>
        <w:rPr>
          <w:rFonts w:hint="eastAsia"/>
          <w:color w:val="auto"/>
          <w:highlight w:val="none"/>
        </w:rPr>
        <w:t>（1） 投标文件组成中除“资格证明文件”外，★条款相关文件及资料未提供或提供无效的；</w:t>
      </w:r>
    </w:p>
    <w:p w14:paraId="3EC03D5B">
      <w:pPr>
        <w:ind w:firstLine="420" w:firstLineChars="200"/>
        <w:jc w:val="left"/>
        <w:rPr>
          <w:color w:val="auto"/>
          <w:highlight w:val="none"/>
        </w:rPr>
      </w:pPr>
      <w:r>
        <w:rPr>
          <w:rFonts w:hint="eastAsia"/>
          <w:color w:val="auto"/>
          <w:highlight w:val="none"/>
        </w:rPr>
        <w:t>（2） 投标文件未按招标文件要求签署、盖章的；</w:t>
      </w:r>
    </w:p>
    <w:p w14:paraId="2BFF5863">
      <w:pPr>
        <w:ind w:firstLine="420" w:firstLineChars="200"/>
        <w:jc w:val="left"/>
        <w:rPr>
          <w:color w:val="auto"/>
          <w:highlight w:val="none"/>
        </w:rPr>
      </w:pPr>
      <w:r>
        <w:rPr>
          <w:rFonts w:hint="eastAsia"/>
          <w:color w:val="auto"/>
          <w:highlight w:val="none"/>
        </w:rPr>
        <w:t>（3） 投标报价超过招标文件中规定的预算金额或者最高限价的；</w:t>
      </w:r>
    </w:p>
    <w:p w14:paraId="59418F96">
      <w:pPr>
        <w:ind w:firstLine="420" w:firstLineChars="200"/>
        <w:jc w:val="left"/>
        <w:rPr>
          <w:color w:val="auto"/>
          <w:highlight w:val="none"/>
        </w:rPr>
      </w:pPr>
      <w:r>
        <w:rPr>
          <w:rFonts w:hint="eastAsia"/>
          <w:color w:val="auto"/>
          <w:highlight w:val="none"/>
        </w:rPr>
        <w:t>（4） 投标有效期不足的；</w:t>
      </w:r>
    </w:p>
    <w:p w14:paraId="5EF8253A">
      <w:pPr>
        <w:ind w:firstLine="420" w:firstLineChars="200"/>
        <w:jc w:val="left"/>
        <w:rPr>
          <w:color w:val="auto"/>
          <w:highlight w:val="none"/>
        </w:rPr>
      </w:pPr>
      <w:r>
        <w:rPr>
          <w:rFonts w:hint="eastAsia"/>
          <w:color w:val="auto"/>
          <w:highlight w:val="none"/>
        </w:rPr>
        <w:t>（5） 投标文件含有采购人不能接受的附加条件的；</w:t>
      </w:r>
    </w:p>
    <w:p w14:paraId="58F3B448">
      <w:pPr>
        <w:ind w:firstLine="420" w:firstLineChars="200"/>
        <w:jc w:val="left"/>
        <w:rPr>
          <w:color w:val="auto"/>
          <w:highlight w:val="none"/>
        </w:rPr>
      </w:pPr>
      <w:r>
        <w:rPr>
          <w:rFonts w:hint="eastAsia"/>
          <w:color w:val="auto"/>
          <w:highlight w:val="none"/>
        </w:rPr>
        <w:t>20.3 除20.1及20.2情形外，投标人及投标文件有下列情况之一的，应当按照投标无效处理：</w:t>
      </w:r>
    </w:p>
    <w:p w14:paraId="5242F0C1">
      <w:pPr>
        <w:ind w:firstLine="420" w:firstLineChars="200"/>
        <w:jc w:val="left"/>
        <w:rPr>
          <w:color w:val="auto"/>
          <w:highlight w:val="none"/>
        </w:rPr>
      </w:pPr>
      <w:r>
        <w:rPr>
          <w:rFonts w:hint="eastAsia"/>
          <w:color w:val="auto"/>
          <w:highlight w:val="none"/>
        </w:rPr>
        <w:t>（1） 提供虚假投标文件材料的；</w:t>
      </w:r>
    </w:p>
    <w:p w14:paraId="3A38B3DE">
      <w:pPr>
        <w:ind w:firstLine="420" w:firstLineChars="200"/>
        <w:jc w:val="left"/>
        <w:rPr>
          <w:color w:val="auto"/>
          <w:highlight w:val="none"/>
        </w:rPr>
      </w:pPr>
      <w:r>
        <w:rPr>
          <w:rFonts w:hint="eastAsia"/>
          <w:color w:val="auto"/>
          <w:highlight w:val="none"/>
        </w:rPr>
        <w:t>（2） 投标人串通投标的；</w:t>
      </w:r>
    </w:p>
    <w:p w14:paraId="0387C4FE">
      <w:pPr>
        <w:ind w:firstLine="420" w:firstLineChars="200"/>
        <w:jc w:val="left"/>
        <w:rPr>
          <w:color w:val="auto"/>
          <w:highlight w:val="none"/>
        </w:rPr>
      </w:pPr>
      <w:r>
        <w:rPr>
          <w:rFonts w:hint="eastAsia"/>
          <w:color w:val="auto"/>
          <w:highlight w:val="none"/>
        </w:rPr>
        <w:t>（3） 投标报价明显低于其他通过符合性审查投标人的报价，且不能证明其报价合理性的。</w:t>
      </w:r>
    </w:p>
    <w:p w14:paraId="6261593C">
      <w:pPr>
        <w:ind w:firstLine="420" w:firstLineChars="200"/>
        <w:jc w:val="left"/>
        <w:rPr>
          <w:color w:val="auto"/>
          <w:highlight w:val="none"/>
        </w:rPr>
      </w:pPr>
      <w:r>
        <w:rPr>
          <w:rFonts w:hint="eastAsia"/>
          <w:color w:val="auto"/>
          <w:highlight w:val="none"/>
        </w:rPr>
        <w:t>（4） 法律、法规和招标文件规定的其他无效情形。</w:t>
      </w:r>
    </w:p>
    <w:p w14:paraId="0AF7467B">
      <w:pPr>
        <w:jc w:val="left"/>
        <w:rPr>
          <w:color w:val="auto"/>
          <w:highlight w:val="none"/>
        </w:rPr>
      </w:pPr>
      <w:r>
        <w:rPr>
          <w:rFonts w:hint="eastAsia"/>
          <w:color w:val="auto"/>
          <w:highlight w:val="none"/>
        </w:rPr>
        <w:t>21．比较与评价</w:t>
      </w:r>
    </w:p>
    <w:p w14:paraId="12CEDA4B">
      <w:pPr>
        <w:ind w:firstLine="420" w:firstLineChars="200"/>
        <w:jc w:val="left"/>
        <w:rPr>
          <w:color w:val="auto"/>
          <w:highlight w:val="none"/>
        </w:rPr>
      </w:pPr>
      <w:r>
        <w:rPr>
          <w:rFonts w:hint="eastAsia"/>
          <w:color w:val="auto"/>
          <w:highlight w:val="none"/>
        </w:rPr>
        <w:t>21.1 评标委员会按照招标文件中规定的评标方法和标准，对符合性审查合格的投标文件进行商务和技术评估，综合比较与评价。</w:t>
      </w:r>
    </w:p>
    <w:p w14:paraId="45F819E0">
      <w:pPr>
        <w:ind w:firstLine="420" w:firstLineChars="200"/>
        <w:jc w:val="left"/>
        <w:rPr>
          <w:color w:val="auto"/>
          <w:highlight w:val="none"/>
        </w:rPr>
      </w:pPr>
      <w:r>
        <w:rPr>
          <w:rFonts w:hint="eastAsia"/>
          <w:color w:val="auto"/>
          <w:highlight w:val="none"/>
        </w:rPr>
        <w:t>21.2 价格分应当采用低价优先法计算。小型、微型企业和监狱企业、残疾人福利性单位的投标报价按照</w:t>
      </w:r>
      <w:r>
        <w:rPr>
          <w:rFonts w:hint="eastAsia"/>
          <w:b/>
          <w:color w:val="auto"/>
          <w:highlight w:val="none"/>
        </w:rPr>
        <w:t>投标人须知前附表</w:t>
      </w:r>
      <w:r>
        <w:rPr>
          <w:rFonts w:hint="eastAsia"/>
          <w:color w:val="auto"/>
          <w:highlight w:val="none"/>
        </w:rPr>
        <w:t>规定，分别给予扣除，并以扣除后的报价计算价格分。未提供《中小型企业声明函》、《监狱企业证明文件》、《残疾人福利性单位声明函》的，价格不予扣除。同一投标人不得重复享受价格扣除政策。</w:t>
      </w:r>
    </w:p>
    <w:p w14:paraId="56D140F8">
      <w:pPr>
        <w:ind w:firstLine="420" w:firstLineChars="200"/>
        <w:jc w:val="left"/>
        <w:rPr>
          <w:color w:val="auto"/>
          <w:highlight w:val="none"/>
        </w:rPr>
      </w:pPr>
      <w:r>
        <w:rPr>
          <w:rFonts w:hint="eastAsia"/>
          <w:color w:val="auto"/>
          <w:highlight w:val="none"/>
        </w:rPr>
        <w:t>21.3 评标委员会各成员独立对每个投标人的投标文件进行评价，并汇总得出每个投标人的评审得分。</w:t>
      </w:r>
    </w:p>
    <w:p w14:paraId="3E34F46E">
      <w:pPr>
        <w:ind w:firstLine="420" w:firstLineChars="200"/>
        <w:jc w:val="left"/>
        <w:rPr>
          <w:color w:val="auto"/>
          <w:highlight w:val="none"/>
        </w:rPr>
      </w:pPr>
      <w:r>
        <w:rPr>
          <w:rFonts w:hint="eastAsia"/>
          <w:color w:val="auto"/>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1D6970">
      <w:pPr>
        <w:ind w:firstLine="420" w:firstLineChars="200"/>
        <w:jc w:val="left"/>
        <w:rPr>
          <w:color w:val="auto"/>
          <w:highlight w:val="none"/>
        </w:rPr>
      </w:pPr>
      <w:r>
        <w:rPr>
          <w:rFonts w:hint="eastAsia"/>
          <w:color w:val="auto"/>
          <w:highlight w:val="none"/>
        </w:rPr>
        <w:t>21.5 评标方法及标准详见招标文件商务部分第三章。</w:t>
      </w:r>
    </w:p>
    <w:p w14:paraId="3FD0597B">
      <w:pPr>
        <w:ind w:firstLine="420" w:firstLineChars="200"/>
        <w:jc w:val="left"/>
        <w:rPr>
          <w:color w:val="auto"/>
          <w:highlight w:val="none"/>
        </w:rPr>
      </w:pPr>
      <w:r>
        <w:rPr>
          <w:rFonts w:hint="eastAsia"/>
          <w:color w:val="auto"/>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6C917C7A">
      <w:pPr>
        <w:jc w:val="left"/>
        <w:rPr>
          <w:color w:val="auto"/>
          <w:highlight w:val="none"/>
        </w:rPr>
      </w:pPr>
      <w:r>
        <w:rPr>
          <w:rFonts w:hint="eastAsia"/>
          <w:color w:val="auto"/>
          <w:highlight w:val="none"/>
        </w:rPr>
        <w:t>22．废标</w:t>
      </w:r>
    </w:p>
    <w:p w14:paraId="66CD17FC">
      <w:pPr>
        <w:ind w:firstLine="420" w:firstLineChars="200"/>
        <w:jc w:val="left"/>
        <w:rPr>
          <w:color w:val="auto"/>
          <w:highlight w:val="none"/>
        </w:rPr>
      </w:pPr>
      <w:r>
        <w:rPr>
          <w:rFonts w:hint="eastAsia"/>
          <w:color w:val="auto"/>
          <w:highlight w:val="none"/>
        </w:rPr>
        <w:t>22.1 在招标采购中，出现下列情形之一的，应予废标：</w:t>
      </w:r>
    </w:p>
    <w:p w14:paraId="28F5DC3D">
      <w:pPr>
        <w:ind w:firstLine="420" w:firstLineChars="200"/>
        <w:jc w:val="left"/>
        <w:rPr>
          <w:color w:val="auto"/>
          <w:highlight w:val="none"/>
        </w:rPr>
      </w:pPr>
      <w:r>
        <w:rPr>
          <w:rFonts w:hint="eastAsia"/>
          <w:color w:val="auto"/>
          <w:highlight w:val="none"/>
        </w:rPr>
        <w:t>（1）符合专业条件的供应商或者对招标文件作实质响应的供应商不足三家的；</w:t>
      </w:r>
    </w:p>
    <w:p w14:paraId="310F67AE">
      <w:pPr>
        <w:ind w:firstLine="420" w:firstLineChars="200"/>
        <w:jc w:val="left"/>
        <w:rPr>
          <w:color w:val="auto"/>
          <w:highlight w:val="none"/>
        </w:rPr>
      </w:pPr>
      <w:r>
        <w:rPr>
          <w:rFonts w:hint="eastAsia"/>
          <w:color w:val="auto"/>
          <w:highlight w:val="none"/>
        </w:rPr>
        <w:t>（2）出现影响采购公正的违法、违规行为的；</w:t>
      </w:r>
    </w:p>
    <w:p w14:paraId="019949F7">
      <w:pPr>
        <w:ind w:firstLine="420" w:firstLineChars="200"/>
        <w:jc w:val="left"/>
        <w:rPr>
          <w:color w:val="auto"/>
          <w:highlight w:val="none"/>
        </w:rPr>
      </w:pPr>
      <w:r>
        <w:rPr>
          <w:rFonts w:hint="eastAsia"/>
          <w:color w:val="auto"/>
          <w:highlight w:val="none"/>
        </w:rPr>
        <w:t>（3）投标人的报价均超过了采购预算，采购人不能支付的；</w:t>
      </w:r>
    </w:p>
    <w:p w14:paraId="4EE82B72">
      <w:pPr>
        <w:ind w:firstLine="420" w:firstLineChars="200"/>
        <w:jc w:val="left"/>
        <w:rPr>
          <w:color w:val="auto"/>
          <w:highlight w:val="none"/>
        </w:rPr>
      </w:pPr>
      <w:r>
        <w:rPr>
          <w:rFonts w:hint="eastAsia"/>
          <w:color w:val="auto"/>
          <w:highlight w:val="none"/>
        </w:rPr>
        <w:t>（4）因重大变故，采购任务取消的。</w:t>
      </w:r>
    </w:p>
    <w:p w14:paraId="39A904DF">
      <w:pPr>
        <w:ind w:firstLine="420" w:firstLineChars="200"/>
        <w:jc w:val="left"/>
        <w:rPr>
          <w:color w:val="auto"/>
          <w:highlight w:val="none"/>
        </w:rPr>
      </w:pPr>
      <w:r>
        <w:rPr>
          <w:rFonts w:hint="eastAsia"/>
          <w:color w:val="auto"/>
          <w:highlight w:val="none"/>
        </w:rPr>
        <w:t>22.2 废标后，采购人或者采购代理机构将废标理由通知所有投标人。</w:t>
      </w:r>
    </w:p>
    <w:p w14:paraId="06104155">
      <w:pPr>
        <w:pStyle w:val="6"/>
        <w:rPr>
          <w:rFonts w:asciiTheme="minorEastAsia" w:hAnsiTheme="minorEastAsia" w:eastAsiaTheme="minorEastAsia"/>
          <w:color w:val="auto"/>
          <w:szCs w:val="21"/>
          <w:highlight w:val="none"/>
        </w:rPr>
      </w:pPr>
      <w:bookmarkStart w:id="46" w:name="_Toc13594"/>
      <w:bookmarkStart w:id="47" w:name="_Toc132880279"/>
      <w:r>
        <w:rPr>
          <w:rFonts w:hint="eastAsia"/>
          <w:color w:val="auto"/>
          <w:highlight w:val="none"/>
        </w:rPr>
        <w:t>六、中标和合同</w:t>
      </w:r>
      <w:bookmarkEnd w:id="46"/>
      <w:bookmarkEnd w:id="47"/>
    </w:p>
    <w:p w14:paraId="2D4CE4B2">
      <w:pPr>
        <w:jc w:val="left"/>
        <w:rPr>
          <w:color w:val="auto"/>
          <w:highlight w:val="none"/>
        </w:rPr>
      </w:pPr>
      <w:r>
        <w:rPr>
          <w:rFonts w:hint="eastAsia"/>
          <w:color w:val="auto"/>
          <w:highlight w:val="none"/>
        </w:rPr>
        <w:t>23．中标</w:t>
      </w:r>
    </w:p>
    <w:p w14:paraId="425BB0D2">
      <w:pPr>
        <w:ind w:firstLine="420" w:firstLineChars="200"/>
        <w:jc w:val="left"/>
        <w:rPr>
          <w:color w:val="auto"/>
          <w:highlight w:val="none"/>
        </w:rPr>
      </w:pPr>
      <w:r>
        <w:rPr>
          <w:rFonts w:hint="eastAsia"/>
          <w:color w:val="auto"/>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FBF3E3C">
      <w:pPr>
        <w:ind w:firstLine="420" w:firstLineChars="200"/>
        <w:jc w:val="left"/>
        <w:rPr>
          <w:color w:val="auto"/>
          <w:highlight w:val="none"/>
        </w:rPr>
      </w:pPr>
      <w:r>
        <w:rPr>
          <w:rFonts w:hint="eastAsia"/>
          <w:color w:val="auto"/>
          <w:highlight w:val="none"/>
        </w:rPr>
        <w:t>采购人自行组织招标的，采购人应当在评标结束后5个工作日内，按评标报告推荐的中标候选人顺序确定中标人。</w:t>
      </w:r>
    </w:p>
    <w:p w14:paraId="6EF398DB">
      <w:pPr>
        <w:ind w:firstLine="420" w:firstLineChars="200"/>
        <w:jc w:val="left"/>
        <w:rPr>
          <w:color w:val="auto"/>
          <w:highlight w:val="none"/>
        </w:rPr>
      </w:pPr>
      <w:r>
        <w:rPr>
          <w:rFonts w:hint="eastAsia"/>
          <w:color w:val="auto"/>
          <w:highlight w:val="none"/>
        </w:rPr>
        <w:t>23.2 采购人或者采购代理机构应当自中标人确定之日起2个工作日内，在</w:t>
      </w:r>
      <w:r>
        <w:rPr>
          <w:rFonts w:hint="eastAsia"/>
          <w:b/>
          <w:color w:val="auto"/>
          <w:highlight w:val="none"/>
        </w:rPr>
        <w:t>投标人须知前附表</w:t>
      </w:r>
      <w:r>
        <w:rPr>
          <w:rFonts w:hint="eastAsia"/>
          <w:color w:val="auto"/>
          <w:highlight w:val="none"/>
        </w:rPr>
        <w:t>规定的媒体上公告中标结果，招标文件应随中标结果同时公告。中标公告期限为1个工作日。</w:t>
      </w:r>
    </w:p>
    <w:p w14:paraId="472FFF92">
      <w:pPr>
        <w:ind w:firstLine="420" w:firstLineChars="200"/>
        <w:jc w:val="left"/>
        <w:rPr>
          <w:color w:val="auto"/>
          <w:highlight w:val="none"/>
        </w:rPr>
      </w:pPr>
      <w:r>
        <w:rPr>
          <w:rFonts w:hint="eastAsia"/>
          <w:color w:val="auto"/>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14:paraId="551CC4DE">
      <w:pPr>
        <w:ind w:firstLine="420" w:firstLineChars="200"/>
        <w:jc w:val="left"/>
        <w:rPr>
          <w:color w:val="auto"/>
          <w:highlight w:val="none"/>
        </w:rPr>
      </w:pPr>
      <w:r>
        <w:rPr>
          <w:rFonts w:hint="eastAsia"/>
          <w:color w:val="auto"/>
          <w:highlight w:val="none"/>
        </w:rPr>
        <w:t>23.4 中标通知书发出后，采购人或者采购代理机构不得违法改变中标结果，中标人无正当理由不得放弃中标。</w:t>
      </w:r>
    </w:p>
    <w:p w14:paraId="48F5B5E5">
      <w:pPr>
        <w:ind w:firstLine="420" w:firstLineChars="200"/>
        <w:jc w:val="left"/>
        <w:rPr>
          <w:color w:val="auto"/>
          <w:highlight w:val="none"/>
        </w:rPr>
      </w:pPr>
      <w:r>
        <w:rPr>
          <w:rFonts w:hint="eastAsia"/>
          <w:color w:val="auto"/>
          <w:highlight w:val="none"/>
        </w:rPr>
        <w:t>23.5 中标通知书对采购人和中标人具有同等法律效力。</w:t>
      </w:r>
    </w:p>
    <w:p w14:paraId="4C848A1C">
      <w:pPr>
        <w:jc w:val="left"/>
        <w:rPr>
          <w:color w:val="auto"/>
          <w:highlight w:val="none"/>
        </w:rPr>
      </w:pPr>
      <w:r>
        <w:rPr>
          <w:rFonts w:hint="eastAsia"/>
          <w:color w:val="auto"/>
          <w:highlight w:val="none"/>
        </w:rPr>
        <w:t>24．签订合同</w:t>
      </w:r>
    </w:p>
    <w:p w14:paraId="5261DC21">
      <w:pPr>
        <w:ind w:firstLine="420" w:firstLineChars="200"/>
        <w:jc w:val="left"/>
        <w:rPr>
          <w:color w:val="auto"/>
          <w:highlight w:val="none"/>
        </w:rPr>
      </w:pPr>
      <w:r>
        <w:rPr>
          <w:rFonts w:hint="eastAsia"/>
          <w:color w:val="auto"/>
          <w:highlight w:val="none"/>
        </w:rPr>
        <w:t>24.1 采购人应当自中标通知书发出之日起30日内，按照招标文件和中标人投标文件的规定，与中标人签订合同。</w:t>
      </w:r>
      <w:r>
        <w:rPr>
          <w:rFonts w:hint="eastAsia"/>
          <w:color w:val="auto"/>
          <w:highlight w:val="none"/>
          <w:u w:val="single"/>
        </w:rPr>
        <w:t>线上采购项目可通过评审管理系统签订合同</w:t>
      </w:r>
      <w:r>
        <w:rPr>
          <w:rFonts w:hint="eastAsia"/>
          <w:color w:val="auto"/>
          <w:highlight w:val="none"/>
        </w:rPr>
        <w:t>。</w:t>
      </w:r>
    </w:p>
    <w:p w14:paraId="0B8807E2">
      <w:pPr>
        <w:ind w:firstLine="420" w:firstLineChars="200"/>
        <w:jc w:val="left"/>
        <w:rPr>
          <w:color w:val="auto"/>
          <w:highlight w:val="none"/>
        </w:rPr>
      </w:pPr>
      <w:r>
        <w:rPr>
          <w:rFonts w:hint="eastAsia"/>
          <w:color w:val="auto"/>
          <w:highlight w:val="none"/>
        </w:rPr>
        <w:t>24.2 所签订的合同不得对招标文件确定的事项和中标人投标文件作实质性修改。</w:t>
      </w:r>
    </w:p>
    <w:p w14:paraId="5E078C6C">
      <w:pPr>
        <w:ind w:firstLine="420" w:firstLineChars="200"/>
        <w:jc w:val="left"/>
        <w:rPr>
          <w:color w:val="auto"/>
          <w:highlight w:val="none"/>
        </w:rPr>
      </w:pPr>
      <w:r>
        <w:rPr>
          <w:rFonts w:hint="eastAsia"/>
          <w:color w:val="auto"/>
          <w:highlight w:val="none"/>
        </w:rPr>
        <w:t>24.3 采购人不得向中标人提出任何不合理的要求作为签订合同的条件。</w:t>
      </w:r>
    </w:p>
    <w:p w14:paraId="1F44B76A">
      <w:pPr>
        <w:ind w:firstLine="420" w:firstLineChars="200"/>
        <w:jc w:val="left"/>
        <w:rPr>
          <w:color w:val="auto"/>
          <w:highlight w:val="none"/>
        </w:rPr>
      </w:pPr>
      <w:r>
        <w:rPr>
          <w:rFonts w:hint="eastAsia"/>
          <w:color w:val="auto"/>
          <w:highlight w:val="none"/>
        </w:rPr>
        <w:t>24.4 中标人拒绝与采购人签订合同的，采购人可以按照评审报告推荐的中标候选人名单排序，确定下一候选人为中标人，也可以重新开展政府采购活动。</w:t>
      </w:r>
    </w:p>
    <w:p w14:paraId="0321253F">
      <w:pPr>
        <w:jc w:val="left"/>
        <w:rPr>
          <w:color w:val="auto"/>
          <w:highlight w:val="none"/>
        </w:rPr>
      </w:pPr>
      <w:r>
        <w:rPr>
          <w:rFonts w:hint="eastAsia"/>
          <w:color w:val="auto"/>
          <w:highlight w:val="none"/>
        </w:rPr>
        <w:t>25．履约保证金</w:t>
      </w:r>
    </w:p>
    <w:p w14:paraId="4F65CD91">
      <w:pPr>
        <w:ind w:firstLine="420" w:firstLineChars="200"/>
        <w:jc w:val="left"/>
        <w:rPr>
          <w:color w:val="auto"/>
          <w:highlight w:val="none"/>
        </w:rPr>
      </w:pPr>
      <w:r>
        <w:rPr>
          <w:rFonts w:hint="eastAsia"/>
          <w:color w:val="auto"/>
          <w:highlight w:val="none"/>
        </w:rPr>
        <w:t>25.1 需提交履约保证金的项目，中标人应按照</w:t>
      </w:r>
      <w:r>
        <w:rPr>
          <w:rFonts w:hint="eastAsia"/>
          <w:b/>
          <w:color w:val="auto"/>
          <w:highlight w:val="none"/>
        </w:rPr>
        <w:t>投标人须知前附表</w:t>
      </w:r>
      <w:r>
        <w:rPr>
          <w:rFonts w:hint="eastAsia"/>
          <w:color w:val="auto"/>
          <w:highlight w:val="none"/>
        </w:rPr>
        <w:t>的规定，向采购人提交履约保证金。</w:t>
      </w:r>
    </w:p>
    <w:p w14:paraId="560953CA">
      <w:pPr>
        <w:pStyle w:val="6"/>
        <w:ind w:left="0" w:leftChars="0" w:firstLine="0" w:firstLineChars="0"/>
        <w:jc w:val="center"/>
        <w:rPr>
          <w:rFonts w:asciiTheme="minorEastAsia" w:hAnsiTheme="minorEastAsia" w:eastAsiaTheme="minorEastAsia"/>
          <w:color w:val="auto"/>
          <w:szCs w:val="21"/>
          <w:highlight w:val="none"/>
        </w:rPr>
      </w:pPr>
      <w:bookmarkStart w:id="48" w:name="_Toc31691"/>
      <w:bookmarkStart w:id="49" w:name="_Toc132880280"/>
      <w:r>
        <w:rPr>
          <w:rFonts w:hint="eastAsia"/>
          <w:color w:val="auto"/>
          <w:highlight w:val="none"/>
        </w:rPr>
        <w:t>七、询问和质疑</w:t>
      </w:r>
      <w:bookmarkEnd w:id="48"/>
      <w:bookmarkEnd w:id="49"/>
    </w:p>
    <w:p w14:paraId="7CA5D8C0">
      <w:pPr>
        <w:jc w:val="left"/>
        <w:rPr>
          <w:color w:val="auto"/>
          <w:highlight w:val="none"/>
        </w:rPr>
      </w:pPr>
      <w:r>
        <w:rPr>
          <w:rFonts w:hint="eastAsia"/>
          <w:color w:val="auto"/>
          <w:highlight w:val="none"/>
        </w:rPr>
        <w:t>26. 询问</w:t>
      </w:r>
    </w:p>
    <w:p w14:paraId="6EB08449">
      <w:pPr>
        <w:ind w:firstLine="420" w:firstLineChars="200"/>
        <w:jc w:val="left"/>
        <w:rPr>
          <w:color w:val="auto"/>
          <w:highlight w:val="none"/>
        </w:rPr>
      </w:pPr>
      <w:r>
        <w:rPr>
          <w:rFonts w:hint="eastAsia"/>
          <w:color w:val="auto"/>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14:paraId="46F76425">
      <w:pPr>
        <w:jc w:val="left"/>
        <w:rPr>
          <w:color w:val="auto"/>
          <w:highlight w:val="none"/>
        </w:rPr>
      </w:pPr>
      <w:r>
        <w:rPr>
          <w:rFonts w:hint="eastAsia"/>
          <w:color w:val="auto"/>
          <w:highlight w:val="none"/>
        </w:rPr>
        <w:t>27．质疑</w:t>
      </w:r>
    </w:p>
    <w:p w14:paraId="5AC05D36">
      <w:pPr>
        <w:ind w:firstLine="420" w:firstLineChars="200"/>
        <w:jc w:val="left"/>
        <w:rPr>
          <w:color w:val="auto"/>
          <w:highlight w:val="none"/>
        </w:rPr>
      </w:pPr>
      <w:r>
        <w:rPr>
          <w:rFonts w:hint="eastAsia"/>
          <w:color w:val="auto"/>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b/>
          <w:color w:val="auto"/>
          <w:highlight w:val="none"/>
        </w:rPr>
        <w:t>见投标人须知前附表</w:t>
      </w:r>
      <w:r>
        <w:rPr>
          <w:rFonts w:hint="eastAsia"/>
          <w:color w:val="auto"/>
          <w:highlight w:val="none"/>
        </w:rPr>
        <w:t>。</w:t>
      </w:r>
    </w:p>
    <w:p w14:paraId="31B97806">
      <w:pPr>
        <w:ind w:firstLine="420" w:firstLineChars="200"/>
        <w:jc w:val="left"/>
        <w:rPr>
          <w:color w:val="auto"/>
          <w:highlight w:val="none"/>
        </w:rPr>
      </w:pPr>
      <w:r>
        <w:rPr>
          <w:rFonts w:hint="eastAsia"/>
          <w:color w:val="auto"/>
          <w:highlight w:val="none"/>
        </w:rPr>
        <w:t>27.2在法定质疑期内，针对同一采购程序环节的质疑应一次性提出。</w:t>
      </w:r>
    </w:p>
    <w:p w14:paraId="1C028478">
      <w:pPr>
        <w:ind w:firstLine="420" w:firstLineChars="200"/>
        <w:jc w:val="left"/>
        <w:rPr>
          <w:color w:val="auto"/>
          <w:highlight w:val="none"/>
        </w:rPr>
      </w:pPr>
      <w:r>
        <w:rPr>
          <w:rFonts w:hint="eastAsia"/>
          <w:color w:val="auto"/>
          <w:highlight w:val="none"/>
        </w:rPr>
        <w:t xml:space="preserve">27.3质疑人应知其权益受到损害之日，是指： </w:t>
      </w:r>
    </w:p>
    <w:p w14:paraId="1541BA4D">
      <w:pPr>
        <w:ind w:firstLine="420" w:firstLineChars="200"/>
        <w:jc w:val="left"/>
        <w:rPr>
          <w:color w:val="auto"/>
          <w:highlight w:val="none"/>
        </w:rPr>
      </w:pPr>
      <w:r>
        <w:rPr>
          <w:rFonts w:hint="eastAsia"/>
          <w:color w:val="auto"/>
          <w:highlight w:val="none"/>
        </w:rPr>
        <w:t>（1）对可以质疑的采购文件提出质疑的，为收到采购文件之日或者采购文件公告期限届满之日；</w:t>
      </w:r>
    </w:p>
    <w:p w14:paraId="1B9185C1">
      <w:pPr>
        <w:ind w:firstLine="420" w:firstLineChars="200"/>
        <w:jc w:val="left"/>
        <w:rPr>
          <w:color w:val="auto"/>
          <w:highlight w:val="none"/>
        </w:rPr>
      </w:pPr>
      <w:r>
        <w:rPr>
          <w:rFonts w:hint="eastAsia"/>
          <w:color w:val="auto"/>
          <w:highlight w:val="none"/>
        </w:rPr>
        <w:t>（2）对采购过程提出质疑的，为各采购程序环节结束之日；</w:t>
      </w:r>
    </w:p>
    <w:p w14:paraId="3FA170A2">
      <w:pPr>
        <w:ind w:firstLine="420" w:firstLineChars="200"/>
        <w:jc w:val="left"/>
        <w:rPr>
          <w:color w:val="auto"/>
          <w:highlight w:val="none"/>
        </w:rPr>
      </w:pPr>
      <w:r>
        <w:rPr>
          <w:rFonts w:hint="eastAsia"/>
          <w:color w:val="auto"/>
          <w:highlight w:val="none"/>
        </w:rPr>
        <w:t>（3）对中标结果提出质疑的，为中标结果公告期限届满之日。</w:t>
      </w:r>
    </w:p>
    <w:p w14:paraId="4B9B6D6A">
      <w:pPr>
        <w:ind w:firstLine="420" w:firstLineChars="200"/>
        <w:jc w:val="left"/>
        <w:rPr>
          <w:color w:val="auto"/>
          <w:highlight w:val="none"/>
        </w:rPr>
      </w:pPr>
      <w:r>
        <w:rPr>
          <w:rFonts w:hint="eastAsia"/>
          <w:color w:val="auto"/>
          <w:highlight w:val="none"/>
        </w:rPr>
        <w:t>27.4质疑应当有明确的请求和必要的证明材料。供应商为自然人的，应当由本人签字；供应商为法人或者其他组织的，应当由法定代表人、主要负责人，或者其授权代表签字，并加盖公章。</w:t>
      </w:r>
    </w:p>
    <w:p w14:paraId="22C86BF8">
      <w:pPr>
        <w:ind w:firstLine="420" w:firstLineChars="200"/>
        <w:jc w:val="left"/>
        <w:rPr>
          <w:color w:val="auto"/>
          <w:highlight w:val="none"/>
        </w:rPr>
      </w:pPr>
      <w:r>
        <w:rPr>
          <w:rFonts w:hint="eastAsia"/>
          <w:color w:val="auto"/>
          <w:highlight w:val="none"/>
        </w:rPr>
        <w:t>27.5 采购人或者代理机构应当在收到供应商的质疑函后7个工作日内，对质疑内容作出答复，书面形式通知质疑供应商和其他有关供应商，但答复内容不得涉及商业秘密。</w:t>
      </w:r>
    </w:p>
    <w:p w14:paraId="5F361210">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14:paraId="105E2AAA">
      <w:pPr>
        <w:pStyle w:val="28"/>
        <w:widowControl w:val="0"/>
        <w:spacing w:line="440" w:lineRule="exact"/>
        <w:ind w:firstLine="420" w:firstLineChars="200"/>
        <w:jc w:val="left"/>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27.7投诉应当有明确的请求和必要的证明材料。投诉的事项不得超出已质疑事项的范围。</w:t>
      </w:r>
    </w:p>
    <w:p w14:paraId="08B21F1C">
      <w:pPr>
        <w:pStyle w:val="6"/>
        <w:ind w:left="0" w:leftChars="0" w:firstLine="0" w:firstLineChars="0"/>
        <w:jc w:val="center"/>
        <w:rPr>
          <w:color w:val="auto"/>
          <w:highlight w:val="none"/>
        </w:rPr>
      </w:pPr>
      <w:bookmarkStart w:id="50" w:name="_Toc132880281"/>
      <w:bookmarkStart w:id="51" w:name="_Toc6144"/>
      <w:r>
        <w:rPr>
          <w:rFonts w:hint="eastAsia"/>
          <w:color w:val="auto"/>
          <w:highlight w:val="none"/>
        </w:rPr>
        <w:t>八、其他</w:t>
      </w:r>
      <w:bookmarkEnd w:id="50"/>
      <w:bookmarkEnd w:id="51"/>
    </w:p>
    <w:p w14:paraId="7C38A295">
      <w:pPr>
        <w:jc w:val="left"/>
        <w:rPr>
          <w:color w:val="auto"/>
          <w:highlight w:val="none"/>
        </w:rPr>
      </w:pPr>
      <w:bookmarkStart w:id="52" w:name="_Toc319519285"/>
      <w:bookmarkStart w:id="53" w:name="_Toc233181902"/>
      <w:bookmarkStart w:id="54" w:name="_Toc217989361"/>
      <w:bookmarkStart w:id="55" w:name="_Toc262111390"/>
      <w:r>
        <w:rPr>
          <w:rFonts w:hint="eastAsia"/>
          <w:color w:val="auto"/>
          <w:highlight w:val="none"/>
        </w:rPr>
        <w:t>28．保密</w:t>
      </w:r>
    </w:p>
    <w:p w14:paraId="1A37CFB8">
      <w:pPr>
        <w:ind w:firstLine="420" w:firstLineChars="200"/>
        <w:jc w:val="left"/>
        <w:rPr>
          <w:color w:val="auto"/>
          <w:highlight w:val="none"/>
        </w:rPr>
      </w:pPr>
      <w:r>
        <w:rPr>
          <w:rFonts w:hint="eastAsia"/>
          <w:color w:val="auto"/>
          <w:highlight w:val="none"/>
        </w:rPr>
        <w:t>28.1采购人、采购代理机构应当采取必要措施，保证评标在严格保密的情况下进行。除采购人代表、评标现场组织人员外，采购人的其他工作人员以及与评标工作无关的人员不得进入评标现场。</w:t>
      </w:r>
    </w:p>
    <w:p w14:paraId="14D78FB9">
      <w:pPr>
        <w:ind w:firstLine="420" w:firstLineChars="200"/>
        <w:jc w:val="left"/>
        <w:rPr>
          <w:color w:val="auto"/>
          <w:highlight w:val="none"/>
        </w:rPr>
      </w:pPr>
      <w:r>
        <w:rPr>
          <w:rFonts w:hint="eastAsia"/>
          <w:color w:val="auto"/>
          <w:highlight w:val="none"/>
        </w:rPr>
        <w:t>28.2 评标委员会成员和参与评标工作的有关人员对评标情况以及在评标过程中获悉的国家秘密、商业秘密负有保密责任。</w:t>
      </w:r>
    </w:p>
    <w:p w14:paraId="53D98AB4">
      <w:pPr>
        <w:jc w:val="left"/>
        <w:rPr>
          <w:color w:val="auto"/>
          <w:highlight w:val="none"/>
        </w:rPr>
      </w:pPr>
      <w:r>
        <w:rPr>
          <w:rFonts w:hint="eastAsia"/>
          <w:color w:val="auto"/>
          <w:highlight w:val="none"/>
        </w:rPr>
        <w:t>29. 知识产权与规避专利、版权纠纷</w:t>
      </w:r>
      <w:bookmarkEnd w:id="52"/>
      <w:bookmarkEnd w:id="53"/>
      <w:bookmarkEnd w:id="54"/>
      <w:bookmarkEnd w:id="55"/>
    </w:p>
    <w:p w14:paraId="53FF953C">
      <w:pPr>
        <w:ind w:firstLine="420" w:firstLineChars="200"/>
        <w:jc w:val="left"/>
        <w:rPr>
          <w:color w:val="auto"/>
          <w:highlight w:val="none"/>
        </w:rPr>
      </w:pPr>
      <w:r>
        <w:rPr>
          <w:rFonts w:hint="eastAsia"/>
          <w:color w:val="auto"/>
          <w:highlight w:val="none"/>
        </w:rPr>
        <w:t>29.1 知识产权</w:t>
      </w:r>
    </w:p>
    <w:p w14:paraId="23885A06">
      <w:pPr>
        <w:ind w:firstLine="420" w:firstLineChars="200"/>
        <w:jc w:val="left"/>
        <w:rPr>
          <w:color w:val="auto"/>
          <w:highlight w:val="none"/>
        </w:rPr>
      </w:pPr>
      <w:r>
        <w:rPr>
          <w:rFonts w:hint="eastAsia"/>
          <w:color w:val="auto"/>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75EA50F3">
      <w:pPr>
        <w:ind w:firstLine="420" w:firstLineChars="200"/>
        <w:jc w:val="left"/>
        <w:rPr>
          <w:color w:val="auto"/>
          <w:highlight w:val="none"/>
        </w:rPr>
      </w:pPr>
      <w:r>
        <w:rPr>
          <w:rFonts w:hint="eastAsia"/>
          <w:color w:val="auto"/>
          <w:highlight w:val="none"/>
        </w:rPr>
        <w:t>29.2 规避专利、版权纠纷</w:t>
      </w:r>
    </w:p>
    <w:p w14:paraId="22AAABAB">
      <w:pPr>
        <w:ind w:firstLine="420" w:firstLineChars="200"/>
        <w:jc w:val="left"/>
        <w:rPr>
          <w:color w:val="auto"/>
          <w:highlight w:val="none"/>
        </w:rPr>
      </w:pPr>
      <w:r>
        <w:rPr>
          <w:rFonts w:hint="eastAsia"/>
          <w:color w:val="auto"/>
          <w:highlight w:val="none"/>
        </w:rPr>
        <w:t>29.2.1 投标人应保证其投标方案中的有关软件、文件、图纸等没有违反有关专利和版权等知识产权的规定。</w:t>
      </w:r>
    </w:p>
    <w:p w14:paraId="1E0D2FF2">
      <w:pPr>
        <w:ind w:firstLine="420" w:firstLineChars="200"/>
        <w:jc w:val="left"/>
        <w:rPr>
          <w:color w:val="auto"/>
          <w:highlight w:val="none"/>
        </w:rPr>
      </w:pPr>
      <w:r>
        <w:rPr>
          <w:rFonts w:hint="eastAsia"/>
          <w:color w:val="auto"/>
          <w:highlight w:val="none"/>
        </w:rPr>
        <w:t>29.2.2 中标人应保证采购人在中华人民共和国使用本项目成果任何一部分、或接受乙方服务时，免受第三方提出的侵犯其专利权、商标权或工业设计权等知识产权的索赔或起诉。</w:t>
      </w:r>
    </w:p>
    <w:p w14:paraId="06AA82AF">
      <w:pPr>
        <w:ind w:firstLine="420" w:firstLineChars="200"/>
        <w:jc w:val="left"/>
        <w:rPr>
          <w:color w:val="auto"/>
          <w:highlight w:val="none"/>
        </w:rPr>
      </w:pPr>
      <w:r>
        <w:rPr>
          <w:rFonts w:hint="eastAsia"/>
          <w:color w:val="auto"/>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36B85FA6">
      <w:pPr>
        <w:ind w:firstLine="420" w:firstLineChars="200"/>
        <w:jc w:val="left"/>
        <w:rPr>
          <w:color w:val="auto"/>
          <w:highlight w:val="none"/>
        </w:rPr>
      </w:pPr>
      <w:r>
        <w:rPr>
          <w:rFonts w:hint="eastAsia"/>
          <w:color w:val="auto"/>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14:paraId="14BD957A">
      <w:pPr>
        <w:jc w:val="left"/>
        <w:rPr>
          <w:color w:val="auto"/>
          <w:highlight w:val="none"/>
        </w:rPr>
        <w:sectPr>
          <w:pgSz w:w="11906" w:h="16838"/>
          <w:pgMar w:top="1417" w:right="1417" w:bottom="1417" w:left="1417" w:header="851" w:footer="992" w:gutter="0"/>
          <w:cols w:space="720" w:num="1"/>
          <w:titlePg/>
          <w:docGrid w:type="lines" w:linePitch="312" w:charSpace="0"/>
        </w:sectPr>
      </w:pPr>
    </w:p>
    <w:p w14:paraId="6C73AA61">
      <w:pPr>
        <w:pStyle w:val="5"/>
        <w:rPr>
          <w:rFonts w:ascii="黑体" w:hAnsi="黑体" w:eastAsia="黑体" w:cs="黑体"/>
          <w:color w:val="auto"/>
          <w:szCs w:val="32"/>
          <w:highlight w:val="none"/>
        </w:rPr>
      </w:pPr>
      <w:bookmarkStart w:id="56" w:name="_Toc1762322514"/>
      <w:bookmarkStart w:id="57" w:name="_Toc525052846"/>
      <w:bookmarkStart w:id="58" w:name="_Toc1380332034"/>
      <w:bookmarkStart w:id="59" w:name="_Toc937455070"/>
      <w:bookmarkStart w:id="60" w:name="_Toc1481241717"/>
      <w:bookmarkStart w:id="61" w:name="_Toc38030149"/>
      <w:bookmarkStart w:id="62" w:name="_Toc26165"/>
      <w:bookmarkStart w:id="63" w:name="_Toc1168671576"/>
      <w:bookmarkStart w:id="64" w:name="_Toc132880282"/>
      <w:bookmarkStart w:id="65" w:name="_Toc1298913388"/>
      <w:r>
        <w:rPr>
          <w:rFonts w:hint="eastAsia"/>
          <w:color w:val="auto"/>
          <w:highlight w:val="none"/>
        </w:rPr>
        <w:t>第三章  评标方法及标准</w:t>
      </w:r>
      <w:bookmarkEnd w:id="56"/>
      <w:bookmarkEnd w:id="57"/>
      <w:bookmarkEnd w:id="58"/>
      <w:bookmarkEnd w:id="59"/>
      <w:bookmarkEnd w:id="60"/>
      <w:bookmarkEnd w:id="61"/>
      <w:bookmarkEnd w:id="62"/>
      <w:bookmarkEnd w:id="63"/>
      <w:bookmarkEnd w:id="64"/>
      <w:bookmarkEnd w:id="65"/>
    </w:p>
    <w:p w14:paraId="761878A6">
      <w:pPr>
        <w:jc w:val="left"/>
        <w:rPr>
          <w:b/>
          <w:bCs w:val="0"/>
          <w:color w:val="auto"/>
          <w:highlight w:val="none"/>
        </w:rPr>
      </w:pPr>
      <w:r>
        <w:rPr>
          <w:b/>
          <w:bCs w:val="0"/>
          <w:color w:val="auto"/>
          <w:highlight w:val="none"/>
        </w:rPr>
        <w:t>1.</w:t>
      </w:r>
      <w:r>
        <w:rPr>
          <w:rFonts w:hint="eastAsia"/>
          <w:b/>
          <w:bCs w:val="0"/>
          <w:color w:val="auto"/>
          <w:highlight w:val="none"/>
        </w:rPr>
        <w:t>评标方法</w:t>
      </w:r>
    </w:p>
    <w:p w14:paraId="04C51933">
      <w:pPr>
        <w:ind w:firstLine="420" w:firstLineChars="200"/>
        <w:jc w:val="left"/>
        <w:rPr>
          <w:color w:val="auto"/>
          <w:highlight w:val="none"/>
        </w:rPr>
      </w:pPr>
      <w:r>
        <w:rPr>
          <w:color w:val="auto"/>
          <w:highlight w:val="none"/>
        </w:rPr>
        <w:t xml:space="preserve">1.1 </w:t>
      </w:r>
      <w:r>
        <w:rPr>
          <w:rFonts w:hint="eastAsia"/>
          <w:color w:val="auto"/>
          <w:highlight w:val="none"/>
        </w:rPr>
        <w:t>本项目评标方法：</w:t>
      </w:r>
      <w:r>
        <w:rPr>
          <w:rFonts w:hint="eastAsia"/>
          <w:b/>
          <w:color w:val="auto"/>
          <w:highlight w:val="none"/>
          <w:u w:val="single"/>
        </w:rPr>
        <w:t>采用综合评分法</w:t>
      </w:r>
    </w:p>
    <w:p w14:paraId="610E94A1">
      <w:pPr>
        <w:jc w:val="left"/>
        <w:rPr>
          <w:b/>
          <w:bCs w:val="0"/>
          <w:color w:val="auto"/>
          <w:highlight w:val="none"/>
        </w:rPr>
      </w:pPr>
      <w:r>
        <w:rPr>
          <w:b/>
          <w:bCs w:val="0"/>
          <w:color w:val="auto"/>
          <w:highlight w:val="none"/>
        </w:rPr>
        <w:t>2.</w:t>
      </w:r>
      <w:r>
        <w:rPr>
          <w:rFonts w:hint="eastAsia"/>
          <w:b/>
          <w:bCs w:val="0"/>
          <w:color w:val="auto"/>
          <w:highlight w:val="none"/>
        </w:rPr>
        <w:t>评标标准</w:t>
      </w:r>
    </w:p>
    <w:p w14:paraId="64BED8AD">
      <w:pPr>
        <w:ind w:firstLine="420" w:firstLineChars="200"/>
        <w:jc w:val="left"/>
        <w:rPr>
          <w:color w:val="auto"/>
          <w:highlight w:val="none"/>
        </w:rPr>
      </w:pPr>
      <w:r>
        <w:rPr>
          <w:color w:val="auto"/>
          <w:highlight w:val="none"/>
        </w:rPr>
        <w:t xml:space="preserve">2.1 </w:t>
      </w:r>
      <w:r>
        <w:rPr>
          <w:rFonts w:hint="eastAsia"/>
          <w:color w:val="auto"/>
          <w:highlight w:val="none"/>
        </w:rPr>
        <w:t>本项目</w:t>
      </w:r>
      <w:r>
        <w:rPr>
          <w:rFonts w:hint="eastAsia"/>
          <w:b/>
          <w:color w:val="auto"/>
          <w:highlight w:val="none"/>
          <w:u w:val="single"/>
        </w:rPr>
        <w:t>采用百分制综合评分法</w:t>
      </w:r>
      <w:r>
        <w:rPr>
          <w:rFonts w:hint="eastAsia"/>
          <w:color w:val="auto"/>
          <w:highlight w:val="none"/>
        </w:rPr>
        <w:t>进行评标，综合评分法是指投标文件满足招标文件全部实质性要求，且按照评审因素的量化指标评审得分最高的投标人为中标候选人的评标方法。评审因素主要内容如下表。</w:t>
      </w:r>
    </w:p>
    <w:p w14:paraId="7E656E95">
      <w:pPr>
        <w:pStyle w:val="11"/>
        <w:ind w:firstLine="420" w:firstLineChars="200"/>
        <w:jc w:val="left"/>
        <w:rPr>
          <w:color w:val="auto"/>
          <w:highlight w:val="none"/>
        </w:rPr>
      </w:pPr>
      <w:r>
        <w:rPr>
          <w:rFonts w:hint="eastAsia"/>
          <w:color w:val="auto"/>
          <w:highlight w:val="none"/>
        </w:rPr>
        <w:t>2.2 本项目价格分值为</w:t>
      </w:r>
      <w:r>
        <w:rPr>
          <w:rFonts w:hint="eastAsia"/>
          <w:color w:val="auto"/>
          <w:highlight w:val="none"/>
          <w:u w:val="single"/>
          <w:lang w:val="en-US" w:eastAsia="zh-CN"/>
        </w:rPr>
        <w:t>2</w:t>
      </w:r>
      <w:r>
        <w:rPr>
          <w:rFonts w:hint="eastAsia"/>
          <w:color w:val="auto"/>
          <w:highlight w:val="none"/>
          <w:u w:val="single"/>
        </w:rPr>
        <w:t>0</w:t>
      </w:r>
      <w:r>
        <w:rPr>
          <w:rFonts w:hint="eastAsia"/>
          <w:color w:val="auto"/>
          <w:highlight w:val="none"/>
        </w:rPr>
        <w:t>分，其余评审因素分值为</w:t>
      </w:r>
      <w:r>
        <w:rPr>
          <w:rFonts w:hint="eastAsia"/>
          <w:color w:val="auto"/>
          <w:highlight w:val="none"/>
          <w:u w:val="single"/>
          <w:lang w:val="en-US" w:eastAsia="zh-CN"/>
        </w:rPr>
        <w:t>8</w:t>
      </w:r>
      <w:r>
        <w:rPr>
          <w:rFonts w:hint="eastAsia"/>
          <w:color w:val="auto"/>
          <w:highlight w:val="none"/>
          <w:u w:val="single"/>
        </w:rPr>
        <w:t>0</w:t>
      </w:r>
      <w:r>
        <w:rPr>
          <w:rFonts w:hint="eastAsia"/>
          <w:color w:val="auto"/>
          <w:highlight w:val="none"/>
        </w:rPr>
        <w:t>分，按四舍五入取至百分位。</w:t>
      </w:r>
    </w:p>
    <w:p w14:paraId="5609B124">
      <w:pPr>
        <w:jc w:val="left"/>
        <w:rPr>
          <w:b/>
          <w:bCs w:val="0"/>
          <w:color w:val="auto"/>
          <w:highlight w:val="none"/>
        </w:rPr>
      </w:pPr>
      <w:r>
        <w:rPr>
          <w:rFonts w:hint="eastAsia"/>
          <w:b/>
          <w:bCs w:val="0"/>
          <w:color w:val="auto"/>
          <w:highlight w:val="none"/>
        </w:rPr>
        <w:t>3</w:t>
      </w:r>
      <w:r>
        <w:rPr>
          <w:b/>
          <w:bCs w:val="0"/>
          <w:color w:val="auto"/>
          <w:highlight w:val="none"/>
        </w:rPr>
        <w:t>.</w:t>
      </w:r>
      <w:r>
        <w:rPr>
          <w:rFonts w:hint="eastAsia"/>
          <w:b/>
          <w:bCs w:val="0"/>
          <w:color w:val="auto"/>
          <w:highlight w:val="none"/>
        </w:rPr>
        <w:t>评委构成：</w:t>
      </w:r>
    </w:p>
    <w:p w14:paraId="56B5F23A">
      <w:pPr>
        <w:ind w:firstLine="420" w:firstLineChars="200"/>
        <w:jc w:val="left"/>
        <w:rPr>
          <w:rFonts w:cs="宋体"/>
          <w:color w:val="auto"/>
          <w:highlight w:val="none"/>
        </w:rPr>
      </w:pPr>
      <w:r>
        <w:rPr>
          <w:rFonts w:hint="eastAsia"/>
          <w:color w:val="auto"/>
          <w:highlight w:val="none"/>
        </w:rPr>
        <w:t>本项目评标委员会由采购人代表和评审专家组成，成员人数为</w:t>
      </w:r>
      <w:r>
        <w:rPr>
          <w:rFonts w:hint="eastAsia"/>
          <w:color w:val="auto"/>
          <w:highlight w:val="none"/>
          <w:lang w:val="en-US" w:eastAsia="zh-CN"/>
        </w:rPr>
        <w:t>5</w:t>
      </w:r>
      <w:r>
        <w:rPr>
          <w:rFonts w:hint="eastAsia"/>
          <w:color w:val="auto"/>
          <w:highlight w:val="none"/>
        </w:rPr>
        <w:t>人单数，其中评审专家不得少于成员总数的三分之二。</w:t>
      </w:r>
    </w:p>
    <w:p w14:paraId="7167BB0B">
      <w:pPr>
        <w:ind w:firstLine="420" w:firstLineChars="200"/>
        <w:jc w:val="left"/>
        <w:rPr>
          <w:color w:val="auto"/>
          <w:highlight w:val="none"/>
        </w:rPr>
      </w:pPr>
      <w:r>
        <w:rPr>
          <w:rFonts w:hint="eastAsia"/>
          <w:color w:val="auto"/>
          <w:highlight w:val="none"/>
        </w:rPr>
        <w:t>本办法所称的“以上”“以下”“内”“以内”，包括本数；所称的“不足”，不包括本数。</w:t>
      </w:r>
    </w:p>
    <w:p w14:paraId="77AA2BF3">
      <w:pPr>
        <w:jc w:val="left"/>
        <w:rPr>
          <w:color w:val="auto"/>
          <w:highlight w:val="none"/>
        </w:rPr>
      </w:pPr>
      <w:r>
        <w:rPr>
          <w:rFonts w:hint="eastAsia"/>
          <w:color w:val="auto"/>
          <w:highlight w:val="none"/>
        </w:rPr>
        <w:t>评审标准如下表：</w:t>
      </w:r>
    </w:p>
    <w:tbl>
      <w:tblPr>
        <w:tblStyle w:val="1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44"/>
        <w:gridCol w:w="1129"/>
        <w:gridCol w:w="5304"/>
        <w:gridCol w:w="772"/>
      </w:tblGrid>
      <w:tr w14:paraId="49B8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noWrap/>
            <w:vAlign w:val="center"/>
          </w:tcPr>
          <w:p w14:paraId="037A2B6D">
            <w:pPr>
              <w:rPr>
                <w:color w:val="auto"/>
                <w:highlight w:val="none"/>
              </w:rPr>
            </w:pPr>
            <w:r>
              <w:rPr>
                <w:rFonts w:hint="eastAsia"/>
                <w:color w:val="auto"/>
                <w:highlight w:val="none"/>
              </w:rPr>
              <w:t>序号</w:t>
            </w:r>
          </w:p>
        </w:tc>
        <w:tc>
          <w:tcPr>
            <w:tcW w:w="1144" w:type="dxa"/>
            <w:noWrap/>
            <w:vAlign w:val="center"/>
          </w:tcPr>
          <w:p w14:paraId="783CA40F">
            <w:pPr>
              <w:rPr>
                <w:color w:val="auto"/>
                <w:highlight w:val="none"/>
              </w:rPr>
            </w:pPr>
            <w:r>
              <w:rPr>
                <w:rFonts w:hint="eastAsia"/>
                <w:color w:val="auto"/>
                <w:highlight w:val="none"/>
              </w:rPr>
              <w:t>评审因素</w:t>
            </w:r>
          </w:p>
        </w:tc>
        <w:tc>
          <w:tcPr>
            <w:tcW w:w="1129" w:type="dxa"/>
            <w:noWrap/>
            <w:vAlign w:val="center"/>
          </w:tcPr>
          <w:p w14:paraId="6A6186A1">
            <w:pPr>
              <w:rPr>
                <w:color w:val="auto"/>
                <w:highlight w:val="none"/>
              </w:rPr>
            </w:pPr>
            <w:r>
              <w:rPr>
                <w:rFonts w:hint="eastAsia"/>
                <w:color w:val="auto"/>
                <w:highlight w:val="none"/>
              </w:rPr>
              <w:t>主要内容</w:t>
            </w:r>
          </w:p>
        </w:tc>
        <w:tc>
          <w:tcPr>
            <w:tcW w:w="5304" w:type="dxa"/>
            <w:noWrap/>
            <w:vAlign w:val="center"/>
          </w:tcPr>
          <w:p w14:paraId="1DD56207">
            <w:pPr>
              <w:rPr>
                <w:color w:val="auto"/>
                <w:highlight w:val="none"/>
              </w:rPr>
            </w:pPr>
            <w:r>
              <w:rPr>
                <w:rFonts w:hint="eastAsia"/>
                <w:color w:val="auto"/>
                <w:highlight w:val="none"/>
              </w:rPr>
              <w:t>指标要求</w:t>
            </w:r>
          </w:p>
        </w:tc>
        <w:tc>
          <w:tcPr>
            <w:tcW w:w="772" w:type="dxa"/>
            <w:noWrap/>
            <w:vAlign w:val="center"/>
          </w:tcPr>
          <w:p w14:paraId="19C1ED96">
            <w:pPr>
              <w:rPr>
                <w:color w:val="auto"/>
                <w:highlight w:val="none"/>
              </w:rPr>
            </w:pPr>
            <w:r>
              <w:rPr>
                <w:rFonts w:hint="eastAsia"/>
                <w:color w:val="auto"/>
                <w:highlight w:val="none"/>
              </w:rPr>
              <w:t>细项</w:t>
            </w:r>
          </w:p>
          <w:p w14:paraId="38EDA453">
            <w:pPr>
              <w:rPr>
                <w:color w:val="auto"/>
                <w:highlight w:val="none"/>
              </w:rPr>
            </w:pPr>
            <w:r>
              <w:rPr>
                <w:rFonts w:hint="eastAsia"/>
                <w:color w:val="auto"/>
                <w:highlight w:val="none"/>
              </w:rPr>
              <w:t>分值</w:t>
            </w:r>
          </w:p>
        </w:tc>
      </w:tr>
      <w:tr w14:paraId="5FB3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noWrap/>
            <w:vAlign w:val="center"/>
          </w:tcPr>
          <w:p w14:paraId="5F8AB598">
            <w:pPr>
              <w:rPr>
                <w:color w:val="auto"/>
                <w:highlight w:val="none"/>
              </w:rPr>
            </w:pPr>
            <w:r>
              <w:rPr>
                <w:rFonts w:hint="eastAsia"/>
                <w:color w:val="auto"/>
                <w:highlight w:val="none"/>
              </w:rPr>
              <w:t>1</w:t>
            </w:r>
          </w:p>
        </w:tc>
        <w:tc>
          <w:tcPr>
            <w:tcW w:w="1144" w:type="dxa"/>
            <w:noWrap/>
            <w:vAlign w:val="center"/>
          </w:tcPr>
          <w:p w14:paraId="06021C5D">
            <w:pPr>
              <w:rPr>
                <w:color w:val="auto"/>
                <w:highlight w:val="none"/>
                <w:lang w:val="zh-CN"/>
              </w:rPr>
            </w:pPr>
            <w:r>
              <w:rPr>
                <w:rFonts w:hint="eastAsia"/>
                <w:color w:val="auto"/>
                <w:highlight w:val="none"/>
                <w:lang w:val="zh-CN"/>
              </w:rPr>
              <w:t>投标报价</w:t>
            </w:r>
          </w:p>
          <w:p w14:paraId="409AC145">
            <w:pPr>
              <w:pStyle w:val="9"/>
              <w:rPr>
                <w:color w:val="auto"/>
                <w:highlight w:val="none"/>
              </w:rPr>
            </w:pPr>
            <w:r>
              <w:rPr>
                <w:rFonts w:hint="eastAsia"/>
                <w:color w:val="auto"/>
                <w:highlight w:val="none"/>
              </w:rPr>
              <w:t>（满分</w:t>
            </w:r>
            <w:r>
              <w:rPr>
                <w:rFonts w:hint="eastAsia"/>
                <w:color w:val="auto"/>
                <w:highlight w:val="none"/>
                <w:lang w:val="en-US" w:eastAsia="zh-CN"/>
              </w:rPr>
              <w:t>2</w:t>
            </w:r>
            <w:r>
              <w:rPr>
                <w:rFonts w:hint="eastAsia"/>
                <w:color w:val="auto"/>
                <w:highlight w:val="none"/>
              </w:rPr>
              <w:t>0分）</w:t>
            </w:r>
          </w:p>
        </w:tc>
        <w:tc>
          <w:tcPr>
            <w:tcW w:w="1129" w:type="dxa"/>
            <w:noWrap/>
            <w:vAlign w:val="center"/>
          </w:tcPr>
          <w:p w14:paraId="6E260912">
            <w:pPr>
              <w:rPr>
                <w:color w:val="auto"/>
                <w:highlight w:val="none"/>
                <w:lang w:val="zh-CN"/>
              </w:rPr>
            </w:pPr>
            <w:r>
              <w:rPr>
                <w:rFonts w:hint="eastAsia"/>
                <w:color w:val="auto"/>
                <w:highlight w:val="none"/>
                <w:lang w:val="zh-CN"/>
              </w:rPr>
              <w:t>价 格（</w:t>
            </w:r>
            <w:r>
              <w:rPr>
                <w:rFonts w:hint="eastAsia"/>
                <w:color w:val="auto"/>
                <w:highlight w:val="none"/>
                <w:lang w:val="en-US" w:eastAsia="zh-CN"/>
              </w:rPr>
              <w:t>20分</w:t>
            </w:r>
            <w:r>
              <w:rPr>
                <w:rFonts w:hint="eastAsia"/>
                <w:color w:val="auto"/>
                <w:highlight w:val="none"/>
                <w:lang w:val="zh-CN"/>
              </w:rPr>
              <w:t>）</w:t>
            </w:r>
          </w:p>
          <w:p w14:paraId="70D7E403">
            <w:pPr>
              <w:pStyle w:val="9"/>
              <w:rPr>
                <w:color w:val="auto"/>
                <w:highlight w:val="none"/>
              </w:rPr>
            </w:pPr>
          </w:p>
        </w:tc>
        <w:tc>
          <w:tcPr>
            <w:tcW w:w="5304" w:type="dxa"/>
            <w:noWrap/>
            <w:vAlign w:val="center"/>
          </w:tcPr>
          <w:p w14:paraId="707CA0CB">
            <w:pPr>
              <w:pStyle w:val="28"/>
              <w:widowControl w:val="0"/>
              <w:spacing w:line="360" w:lineRule="auto"/>
              <w:ind w:firstLine="210" w:firstLineChars="1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投标报价得分=（评标基准价／投标报价）× 满分值</w:t>
            </w:r>
          </w:p>
          <w:p w14:paraId="7FDDD7FA">
            <w:pPr>
              <w:pStyle w:val="28"/>
              <w:widowControl w:val="0"/>
              <w:spacing w:line="360" w:lineRule="auto"/>
              <w:ind w:firstLine="210" w:firstLineChars="100"/>
              <w:jc w:val="both"/>
              <w:rPr>
                <w:rFonts w:hint="default" w:asciiTheme="minorEastAsia" w:hAnsiTheme="minorEastAsia" w:eastAsiaTheme="minorEastAsia" w:cstheme="minorEastAsia"/>
                <w:color w:val="auto"/>
                <w:sz w:val="21"/>
                <w:szCs w:val="21"/>
                <w:highlight w:val="none"/>
                <w:lang w:val="zh-CN"/>
              </w:rPr>
            </w:pPr>
            <w:r>
              <w:rPr>
                <w:rFonts w:hint="default" w:ascii="Times New Roman" w:hAnsi="Times New Roman"/>
                <w:color w:val="auto"/>
                <w:sz w:val="21"/>
                <w:szCs w:val="21"/>
                <w:highlight w:val="none"/>
              </w:rPr>
              <w:t>评标基准价是指满足招标文件要求且投标价格最低的投标报价。</w:t>
            </w:r>
          </w:p>
        </w:tc>
        <w:tc>
          <w:tcPr>
            <w:tcW w:w="772" w:type="dxa"/>
            <w:noWrap/>
            <w:vAlign w:val="center"/>
          </w:tcPr>
          <w:p w14:paraId="089C8CF5">
            <w:pPr>
              <w:rPr>
                <w:color w:val="auto"/>
                <w:highlight w:val="none"/>
              </w:rPr>
            </w:pPr>
            <w:r>
              <w:rPr>
                <w:rFonts w:hint="eastAsia"/>
                <w:color w:val="auto"/>
                <w:highlight w:val="none"/>
                <w:lang w:val="en-US" w:eastAsia="zh-CN"/>
              </w:rPr>
              <w:t>2</w:t>
            </w:r>
            <w:r>
              <w:rPr>
                <w:rFonts w:hint="eastAsia"/>
                <w:color w:val="auto"/>
                <w:highlight w:val="none"/>
              </w:rPr>
              <w:t>0分</w:t>
            </w:r>
          </w:p>
        </w:tc>
      </w:tr>
      <w:tr w14:paraId="76C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restart"/>
            <w:noWrap/>
            <w:vAlign w:val="center"/>
          </w:tcPr>
          <w:p w14:paraId="0FC81681">
            <w:pPr>
              <w:rPr>
                <w:rFonts w:hint="eastAsia" w:eastAsiaTheme="minorEastAsia"/>
                <w:color w:val="auto"/>
                <w:highlight w:val="none"/>
                <w:lang w:val="en-US" w:eastAsia="zh-CN"/>
              </w:rPr>
            </w:pPr>
            <w:r>
              <w:rPr>
                <w:rFonts w:hint="eastAsia"/>
                <w:color w:val="auto"/>
                <w:highlight w:val="none"/>
                <w:lang w:val="en-US" w:eastAsia="zh-CN"/>
              </w:rPr>
              <w:t>2</w:t>
            </w:r>
          </w:p>
        </w:tc>
        <w:tc>
          <w:tcPr>
            <w:tcW w:w="1144" w:type="dxa"/>
            <w:vMerge w:val="restart"/>
            <w:noWrap/>
            <w:vAlign w:val="center"/>
          </w:tcPr>
          <w:p w14:paraId="5E4141E7">
            <w:pPr>
              <w:rPr>
                <w:color w:val="auto"/>
                <w:highlight w:val="none"/>
                <w:lang w:val="zh-CN"/>
              </w:rPr>
            </w:pPr>
            <w:r>
              <w:rPr>
                <w:rFonts w:hint="eastAsia"/>
                <w:color w:val="auto"/>
                <w:highlight w:val="none"/>
                <w:lang w:val="zh-CN"/>
              </w:rPr>
              <w:t>技术因素</w:t>
            </w:r>
          </w:p>
          <w:p w14:paraId="53EE0FA4">
            <w:pPr>
              <w:pStyle w:val="9"/>
              <w:rPr>
                <w:color w:val="auto"/>
                <w:highlight w:val="none"/>
              </w:rPr>
            </w:pPr>
            <w:r>
              <w:rPr>
                <w:rFonts w:hint="eastAsia"/>
                <w:color w:val="auto"/>
                <w:highlight w:val="none"/>
              </w:rPr>
              <w:t>（满分</w:t>
            </w:r>
            <w:r>
              <w:rPr>
                <w:rFonts w:hint="eastAsia"/>
                <w:color w:val="auto"/>
                <w:highlight w:val="none"/>
                <w:lang w:val="en-US" w:eastAsia="zh-CN"/>
              </w:rPr>
              <w:t>64</w:t>
            </w:r>
            <w:r>
              <w:rPr>
                <w:rFonts w:hint="eastAsia"/>
                <w:color w:val="auto"/>
                <w:highlight w:val="none"/>
              </w:rPr>
              <w:t>分）</w:t>
            </w:r>
          </w:p>
        </w:tc>
        <w:tc>
          <w:tcPr>
            <w:tcW w:w="1129" w:type="dxa"/>
            <w:noWrap/>
            <w:vAlign w:val="center"/>
          </w:tcPr>
          <w:p w14:paraId="5870FE2C">
            <w:pPr>
              <w:rPr>
                <w:rFonts w:hint="eastAsia" w:eastAsiaTheme="minorEastAsia"/>
                <w:color w:val="auto"/>
                <w:highlight w:val="none"/>
                <w:lang w:val="zh-CN" w:eastAsia="zh-CN"/>
              </w:rPr>
            </w:pPr>
            <w:r>
              <w:rPr>
                <w:rFonts w:hint="eastAsia"/>
                <w:snapToGrid w:val="0"/>
                <w:color w:val="auto"/>
                <w:highlight w:val="none"/>
              </w:rPr>
              <w:t>项目需求理解</w:t>
            </w:r>
            <w:r>
              <w:rPr>
                <w:rFonts w:hint="eastAsia"/>
                <w:snapToGrid w:val="0"/>
                <w:color w:val="auto"/>
                <w:highlight w:val="none"/>
                <w:lang w:eastAsia="zh-CN"/>
              </w:rPr>
              <w:t>（</w:t>
            </w:r>
            <w:r>
              <w:rPr>
                <w:rFonts w:hint="eastAsia"/>
                <w:snapToGrid w:val="0"/>
                <w:color w:val="auto"/>
                <w:highlight w:val="none"/>
                <w:lang w:val="en-US" w:eastAsia="zh-CN"/>
              </w:rPr>
              <w:t>9分</w:t>
            </w:r>
            <w:r>
              <w:rPr>
                <w:rFonts w:hint="eastAsia"/>
                <w:snapToGrid w:val="0"/>
                <w:color w:val="auto"/>
                <w:highlight w:val="none"/>
                <w:lang w:eastAsia="zh-CN"/>
              </w:rPr>
              <w:t>）</w:t>
            </w:r>
          </w:p>
        </w:tc>
        <w:tc>
          <w:tcPr>
            <w:tcW w:w="5304" w:type="dxa"/>
            <w:noWrap/>
          </w:tcPr>
          <w:p w14:paraId="55B86C69">
            <w:pPr>
              <w:pStyle w:val="29"/>
              <w:ind w:left="0" w:leftChars="0" w:firstLine="420" w:firstLineChars="200"/>
              <w:jc w:val="left"/>
              <w:rPr>
                <w:color w:val="auto"/>
                <w:sz w:val="21"/>
                <w:szCs w:val="21"/>
                <w:highlight w:val="none"/>
              </w:rPr>
            </w:pPr>
            <w:r>
              <w:rPr>
                <w:color w:val="auto"/>
                <w:sz w:val="21"/>
                <w:szCs w:val="21"/>
                <w:highlight w:val="none"/>
              </w:rPr>
              <w:t>由评标委员会根据投标</w:t>
            </w:r>
            <w:r>
              <w:rPr>
                <w:rFonts w:hint="eastAsia"/>
                <w:color w:val="auto"/>
                <w:sz w:val="21"/>
                <w:szCs w:val="21"/>
                <w:highlight w:val="none"/>
                <w:lang w:val="en-US" w:eastAsia="zh-CN"/>
              </w:rPr>
              <w:t>人对项目</w:t>
            </w:r>
            <w:r>
              <w:rPr>
                <w:rFonts w:hint="eastAsia" w:ascii="宋体" w:hAnsi="宋体" w:cs="宋体"/>
                <w:snapToGrid w:val="0"/>
                <w:color w:val="auto"/>
                <w:sz w:val="21"/>
                <w:szCs w:val="21"/>
                <w:highlight w:val="none"/>
                <w:lang w:val="en-US" w:eastAsia="zh-CN"/>
              </w:rPr>
              <w:t>采购需求中的</w:t>
            </w:r>
            <w:r>
              <w:rPr>
                <w:rFonts w:hint="eastAsia"/>
                <w:color w:val="auto"/>
                <w:sz w:val="21"/>
                <w:szCs w:val="21"/>
                <w:highlight w:val="none"/>
              </w:rPr>
              <w:t>工作要求、</w:t>
            </w:r>
            <w:r>
              <w:rPr>
                <w:rFonts w:hint="eastAsia"/>
                <w:color w:val="auto"/>
                <w:sz w:val="21"/>
                <w:szCs w:val="21"/>
                <w:highlight w:val="none"/>
                <w:lang w:val="en-US" w:eastAsia="zh-CN"/>
              </w:rPr>
              <w:t>业务流程、</w:t>
            </w:r>
            <w:r>
              <w:rPr>
                <w:color w:val="auto"/>
                <w:sz w:val="21"/>
                <w:szCs w:val="21"/>
                <w:highlight w:val="none"/>
              </w:rPr>
              <w:t>项目实施的</w:t>
            </w:r>
            <w:r>
              <w:rPr>
                <w:rFonts w:hint="eastAsia"/>
                <w:color w:val="auto"/>
                <w:sz w:val="21"/>
                <w:szCs w:val="21"/>
                <w:highlight w:val="none"/>
              </w:rPr>
              <w:t>重点及难点</w:t>
            </w:r>
            <w:r>
              <w:rPr>
                <w:color w:val="auto"/>
                <w:sz w:val="21"/>
                <w:szCs w:val="21"/>
                <w:highlight w:val="none"/>
              </w:rPr>
              <w:t>等</w:t>
            </w:r>
            <w:r>
              <w:rPr>
                <w:rFonts w:hint="eastAsia"/>
                <w:color w:val="auto"/>
                <w:sz w:val="21"/>
                <w:szCs w:val="21"/>
                <w:highlight w:val="none"/>
              </w:rPr>
              <w:t>的理解</w:t>
            </w:r>
            <w:r>
              <w:rPr>
                <w:rFonts w:hint="eastAsia"/>
                <w:color w:val="auto"/>
                <w:sz w:val="21"/>
                <w:szCs w:val="21"/>
                <w:highlight w:val="none"/>
                <w:lang w:val="en-US" w:eastAsia="zh-CN"/>
              </w:rPr>
              <w:t>程度及响应</w:t>
            </w:r>
            <w:r>
              <w:rPr>
                <w:color w:val="auto"/>
                <w:sz w:val="21"/>
                <w:szCs w:val="21"/>
                <w:highlight w:val="none"/>
              </w:rPr>
              <w:t>进行评审，以下各项不重复计分：</w:t>
            </w:r>
          </w:p>
          <w:p w14:paraId="21B10C45">
            <w:pPr>
              <w:pStyle w:val="29"/>
              <w:ind w:left="0" w:leftChars="0" w:firstLine="420" w:firstLineChars="200"/>
              <w:jc w:val="left"/>
              <w:rPr>
                <w:color w:val="auto"/>
                <w:sz w:val="21"/>
                <w:szCs w:val="21"/>
                <w:highlight w:val="none"/>
              </w:rPr>
            </w:pPr>
            <w:r>
              <w:rPr>
                <w:rFonts w:hint="eastAsia" w:ascii="宋体" w:hAnsi="宋体" w:eastAsia="宋体" w:cs="宋体"/>
                <w:color w:val="auto"/>
                <w:sz w:val="21"/>
                <w:szCs w:val="21"/>
                <w:highlight w:val="none"/>
              </w:rPr>
              <w:t>①</w:t>
            </w:r>
            <w:r>
              <w:rPr>
                <w:rFonts w:hint="eastAsia"/>
                <w:color w:val="auto"/>
                <w:sz w:val="21"/>
                <w:szCs w:val="21"/>
                <w:highlight w:val="none"/>
              </w:rPr>
              <w:t>投标人能对</w:t>
            </w:r>
            <w:r>
              <w:rPr>
                <w:rFonts w:hint="eastAsia"/>
                <w:color w:val="auto"/>
                <w:sz w:val="21"/>
                <w:szCs w:val="21"/>
                <w:highlight w:val="none"/>
                <w:lang w:eastAsia="zh-CN"/>
              </w:rPr>
              <w:t>本项目的</w:t>
            </w:r>
            <w:r>
              <w:rPr>
                <w:rFonts w:hint="eastAsia" w:ascii="宋体" w:hAnsi="宋体" w:cs="宋体"/>
                <w:snapToGrid w:val="0"/>
                <w:color w:val="auto"/>
                <w:sz w:val="21"/>
                <w:szCs w:val="21"/>
                <w:highlight w:val="none"/>
                <w:lang w:val="en-US" w:eastAsia="zh-CN"/>
              </w:rPr>
              <w:t>采购需求</w:t>
            </w:r>
            <w:r>
              <w:rPr>
                <w:rFonts w:hint="eastAsia"/>
                <w:color w:val="auto"/>
                <w:sz w:val="21"/>
                <w:szCs w:val="21"/>
                <w:highlight w:val="none"/>
              </w:rPr>
              <w:t>基本情况进行描述，内容</w:t>
            </w:r>
            <w:r>
              <w:rPr>
                <w:rFonts w:hint="eastAsia"/>
                <w:color w:val="auto"/>
                <w:sz w:val="21"/>
                <w:szCs w:val="21"/>
                <w:highlight w:val="none"/>
                <w:lang w:val="en-US" w:eastAsia="zh-CN"/>
              </w:rPr>
              <w:t>基本</w:t>
            </w:r>
            <w:r>
              <w:rPr>
                <w:rFonts w:hint="eastAsia"/>
                <w:color w:val="auto"/>
                <w:sz w:val="21"/>
                <w:szCs w:val="21"/>
                <w:highlight w:val="none"/>
              </w:rPr>
              <w:t>完整，对本项目需求理解思路正确的</w:t>
            </w:r>
            <w:r>
              <w:rPr>
                <w:color w:val="auto"/>
                <w:sz w:val="21"/>
                <w:szCs w:val="21"/>
                <w:highlight w:val="none"/>
              </w:rPr>
              <w:t>，得</w:t>
            </w:r>
            <w:r>
              <w:rPr>
                <w:rFonts w:hint="eastAsia"/>
                <w:color w:val="auto"/>
                <w:sz w:val="21"/>
                <w:szCs w:val="21"/>
                <w:highlight w:val="none"/>
                <w:lang w:val="en-US" w:eastAsia="zh-CN"/>
              </w:rPr>
              <w:t>3</w:t>
            </w:r>
            <w:r>
              <w:rPr>
                <w:color w:val="auto"/>
                <w:sz w:val="21"/>
                <w:szCs w:val="21"/>
                <w:highlight w:val="none"/>
              </w:rPr>
              <w:t>分；</w:t>
            </w:r>
          </w:p>
          <w:p w14:paraId="7FC9E4D4">
            <w:pPr>
              <w:pStyle w:val="29"/>
              <w:ind w:left="0" w:leftChars="0" w:firstLine="420" w:firstLineChars="200"/>
              <w:jc w:val="left"/>
              <w:rPr>
                <w:color w:val="auto"/>
                <w:sz w:val="21"/>
                <w:szCs w:val="21"/>
                <w:highlight w:val="none"/>
              </w:rPr>
            </w:pPr>
            <w:r>
              <w:rPr>
                <w:rFonts w:hint="eastAsia"/>
                <w:color w:val="auto"/>
                <w:sz w:val="21"/>
                <w:szCs w:val="21"/>
                <w:highlight w:val="none"/>
              </w:rPr>
              <w:t>②在本项①基础上，投标人能对本项目</w:t>
            </w:r>
            <w:r>
              <w:rPr>
                <w:rFonts w:hint="eastAsia" w:ascii="宋体" w:hAnsi="宋体" w:cs="宋体"/>
                <w:snapToGrid w:val="0"/>
                <w:color w:val="auto"/>
                <w:sz w:val="21"/>
                <w:szCs w:val="21"/>
                <w:highlight w:val="none"/>
                <w:lang w:val="en-US" w:eastAsia="zh-CN"/>
              </w:rPr>
              <w:t>采购需求</w:t>
            </w:r>
            <w:r>
              <w:rPr>
                <w:rFonts w:hint="eastAsia"/>
                <w:color w:val="auto"/>
                <w:sz w:val="21"/>
                <w:szCs w:val="21"/>
                <w:highlight w:val="none"/>
              </w:rPr>
              <w:t>的基本情况把握及理解情况进行描述，内容完整</w:t>
            </w:r>
            <w:r>
              <w:rPr>
                <w:rFonts w:hint="eastAsia"/>
                <w:color w:val="auto"/>
                <w:sz w:val="21"/>
                <w:szCs w:val="21"/>
                <w:highlight w:val="none"/>
                <w:lang w:eastAsia="zh-CN"/>
              </w:rPr>
              <w:t>；对采购人拟定的</w:t>
            </w:r>
            <w:r>
              <w:rPr>
                <w:rFonts w:hint="eastAsia"/>
                <w:color w:val="auto"/>
                <w:sz w:val="21"/>
                <w:szCs w:val="21"/>
                <w:highlight w:val="none"/>
              </w:rPr>
              <w:t>各项工作</w:t>
            </w:r>
            <w:r>
              <w:rPr>
                <w:rFonts w:hint="eastAsia"/>
                <w:color w:val="auto"/>
                <w:sz w:val="21"/>
                <w:szCs w:val="21"/>
                <w:highlight w:val="none"/>
                <w:lang w:eastAsia="zh-CN"/>
              </w:rPr>
              <w:t>内容</w:t>
            </w:r>
            <w:r>
              <w:rPr>
                <w:rFonts w:hint="eastAsia"/>
                <w:color w:val="auto"/>
                <w:sz w:val="21"/>
                <w:szCs w:val="21"/>
                <w:highlight w:val="none"/>
              </w:rPr>
              <w:t>和要求</w:t>
            </w:r>
            <w:r>
              <w:rPr>
                <w:rFonts w:hint="eastAsia"/>
                <w:color w:val="auto"/>
                <w:sz w:val="21"/>
                <w:szCs w:val="21"/>
                <w:highlight w:val="none"/>
                <w:lang w:eastAsia="zh-CN"/>
              </w:rPr>
              <w:t>，能提出预见性的建议、方案</w:t>
            </w:r>
            <w:r>
              <w:rPr>
                <w:rFonts w:hint="eastAsia"/>
                <w:color w:val="auto"/>
                <w:sz w:val="21"/>
                <w:szCs w:val="21"/>
                <w:highlight w:val="none"/>
              </w:rPr>
              <w:t>，符合本项目采购需求</w:t>
            </w:r>
            <w:r>
              <w:rPr>
                <w:rFonts w:hint="eastAsia"/>
                <w:color w:val="auto"/>
                <w:sz w:val="21"/>
                <w:szCs w:val="21"/>
                <w:highlight w:val="none"/>
                <w:lang w:val="en-US" w:eastAsia="zh-CN"/>
              </w:rPr>
              <w:t>；熟悉本项目需求的业务流程，</w:t>
            </w:r>
            <w:r>
              <w:rPr>
                <w:rFonts w:hint="eastAsia"/>
                <w:color w:val="auto"/>
                <w:sz w:val="21"/>
                <w:szCs w:val="21"/>
                <w:highlight w:val="none"/>
              </w:rPr>
              <w:t>得</w:t>
            </w:r>
            <w:r>
              <w:rPr>
                <w:rFonts w:hint="eastAsia"/>
                <w:color w:val="auto"/>
                <w:sz w:val="21"/>
                <w:szCs w:val="21"/>
                <w:highlight w:val="none"/>
                <w:lang w:val="en-US" w:eastAsia="zh-CN"/>
              </w:rPr>
              <w:t>6</w:t>
            </w:r>
            <w:r>
              <w:rPr>
                <w:rFonts w:hint="eastAsia"/>
                <w:color w:val="auto"/>
                <w:sz w:val="21"/>
                <w:szCs w:val="21"/>
                <w:highlight w:val="none"/>
              </w:rPr>
              <w:t>分；</w:t>
            </w:r>
          </w:p>
          <w:p w14:paraId="0DDC5B37">
            <w:pPr>
              <w:pStyle w:val="29"/>
              <w:ind w:left="0" w:leftChars="0" w:firstLine="420" w:firstLineChars="200"/>
              <w:jc w:val="left"/>
              <w:rPr>
                <w:color w:val="auto"/>
                <w:sz w:val="21"/>
                <w:szCs w:val="21"/>
                <w:highlight w:val="none"/>
              </w:rPr>
            </w:pPr>
            <w:r>
              <w:rPr>
                <w:rFonts w:asciiTheme="minorEastAsia" w:hAnsiTheme="minorEastAsia"/>
                <w:color w:val="auto"/>
                <w:sz w:val="21"/>
                <w:szCs w:val="21"/>
                <w:highlight w:val="none"/>
              </w:rPr>
              <w:t>③</w:t>
            </w:r>
            <w:r>
              <w:rPr>
                <w:color w:val="auto"/>
                <w:sz w:val="21"/>
                <w:szCs w:val="21"/>
                <w:highlight w:val="none"/>
              </w:rPr>
              <w:t>在本项</w:t>
            </w:r>
            <w:r>
              <w:rPr>
                <w:rFonts w:asciiTheme="minorEastAsia" w:hAnsiTheme="minorEastAsia"/>
                <w:color w:val="auto"/>
                <w:sz w:val="21"/>
                <w:szCs w:val="21"/>
                <w:highlight w:val="none"/>
              </w:rPr>
              <w:t>②</w:t>
            </w:r>
            <w:r>
              <w:rPr>
                <w:color w:val="auto"/>
                <w:sz w:val="21"/>
                <w:szCs w:val="21"/>
                <w:highlight w:val="none"/>
              </w:rPr>
              <w:t>基础上，投标人能根据项目实际要求进行详细的需求分析，陈述项目实施的重点及难点，并具有对应可行的针对性措施的，得</w:t>
            </w:r>
            <w:r>
              <w:rPr>
                <w:rFonts w:hint="eastAsia"/>
                <w:color w:val="auto"/>
                <w:sz w:val="21"/>
                <w:szCs w:val="21"/>
                <w:highlight w:val="none"/>
                <w:lang w:val="en-US" w:eastAsia="zh-CN"/>
              </w:rPr>
              <w:t>9</w:t>
            </w:r>
            <w:r>
              <w:rPr>
                <w:color w:val="auto"/>
                <w:sz w:val="21"/>
                <w:szCs w:val="21"/>
                <w:highlight w:val="none"/>
              </w:rPr>
              <w:t>分。</w:t>
            </w:r>
          </w:p>
          <w:p w14:paraId="0475DB0C">
            <w:pPr>
              <w:pStyle w:val="29"/>
              <w:ind w:firstLine="420"/>
              <w:jc w:val="left"/>
              <w:rPr>
                <w:color w:val="auto"/>
                <w:sz w:val="21"/>
                <w:szCs w:val="21"/>
                <w:highlight w:val="none"/>
                <w:lang w:val="zh-CN"/>
              </w:rPr>
            </w:pPr>
            <w:r>
              <w:rPr>
                <w:color w:val="auto"/>
                <w:sz w:val="21"/>
                <w:szCs w:val="21"/>
                <w:highlight w:val="none"/>
              </w:rPr>
              <w:t>注：未提供</w:t>
            </w:r>
            <w:r>
              <w:rPr>
                <w:rFonts w:hint="eastAsia" w:ascii="宋体" w:hAnsi="宋体" w:cs="宋体"/>
                <w:snapToGrid w:val="0"/>
                <w:color w:val="auto"/>
                <w:sz w:val="21"/>
                <w:szCs w:val="21"/>
                <w:highlight w:val="none"/>
              </w:rPr>
              <w:t>项目需求理解</w:t>
            </w:r>
            <w:r>
              <w:rPr>
                <w:color w:val="auto"/>
                <w:sz w:val="21"/>
                <w:szCs w:val="21"/>
                <w:highlight w:val="none"/>
              </w:rPr>
              <w:t>或</w:t>
            </w:r>
            <w:r>
              <w:rPr>
                <w:rFonts w:hint="eastAsia" w:ascii="宋体" w:hAnsi="宋体" w:cs="宋体"/>
                <w:snapToGrid w:val="0"/>
                <w:color w:val="auto"/>
                <w:sz w:val="21"/>
                <w:szCs w:val="21"/>
                <w:highlight w:val="none"/>
              </w:rPr>
              <w:t>项目需求理解未</w:t>
            </w:r>
            <w:r>
              <w:rPr>
                <w:color w:val="auto"/>
                <w:sz w:val="21"/>
                <w:szCs w:val="21"/>
                <w:highlight w:val="none"/>
              </w:rPr>
              <w:t>达到</w:t>
            </w:r>
            <w:r>
              <w:rPr>
                <w:rFonts w:hint="eastAsia" w:ascii="宋体" w:hAnsi="宋体" w:eastAsia="宋体" w:cs="宋体"/>
                <w:color w:val="auto"/>
                <w:sz w:val="21"/>
                <w:szCs w:val="21"/>
                <w:highlight w:val="none"/>
              </w:rPr>
              <w:t>①</w:t>
            </w:r>
            <w:r>
              <w:rPr>
                <w:color w:val="auto"/>
                <w:sz w:val="21"/>
                <w:szCs w:val="21"/>
                <w:highlight w:val="none"/>
              </w:rPr>
              <w:t>标准</w:t>
            </w:r>
            <w:r>
              <w:rPr>
                <w:rFonts w:hint="eastAsia"/>
                <w:color w:val="auto"/>
                <w:sz w:val="21"/>
                <w:szCs w:val="21"/>
                <w:highlight w:val="none"/>
              </w:rPr>
              <w:t>要求</w:t>
            </w:r>
            <w:r>
              <w:rPr>
                <w:color w:val="auto"/>
                <w:sz w:val="21"/>
                <w:szCs w:val="21"/>
                <w:highlight w:val="none"/>
              </w:rPr>
              <w:t>的计0分。</w:t>
            </w:r>
          </w:p>
        </w:tc>
        <w:tc>
          <w:tcPr>
            <w:tcW w:w="772" w:type="dxa"/>
            <w:noWrap/>
            <w:vAlign w:val="center"/>
          </w:tcPr>
          <w:p w14:paraId="0FCA53A9">
            <w:pPr>
              <w:rPr>
                <w:color w:val="auto"/>
                <w:highlight w:val="none"/>
              </w:rPr>
            </w:pPr>
            <w:r>
              <w:rPr>
                <w:rFonts w:hint="eastAsia"/>
                <w:color w:val="auto"/>
                <w:highlight w:val="none"/>
                <w:lang w:val="en-US" w:eastAsia="zh-CN"/>
              </w:rPr>
              <w:t>9</w:t>
            </w:r>
            <w:r>
              <w:rPr>
                <w:rFonts w:hint="eastAsia"/>
                <w:color w:val="auto"/>
                <w:highlight w:val="none"/>
              </w:rPr>
              <w:t>分</w:t>
            </w:r>
          </w:p>
        </w:tc>
      </w:tr>
      <w:tr w14:paraId="2D53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noWrap/>
            <w:vAlign w:val="center"/>
          </w:tcPr>
          <w:p w14:paraId="05AAA1F5">
            <w:pPr>
              <w:rPr>
                <w:color w:val="auto"/>
                <w:highlight w:val="none"/>
              </w:rPr>
            </w:pPr>
          </w:p>
        </w:tc>
        <w:tc>
          <w:tcPr>
            <w:tcW w:w="1144" w:type="dxa"/>
            <w:vMerge w:val="continue"/>
            <w:noWrap/>
            <w:vAlign w:val="center"/>
          </w:tcPr>
          <w:p w14:paraId="06864AF3">
            <w:pPr>
              <w:pStyle w:val="9"/>
              <w:rPr>
                <w:color w:val="auto"/>
                <w:highlight w:val="none"/>
              </w:rPr>
            </w:pPr>
          </w:p>
        </w:tc>
        <w:tc>
          <w:tcPr>
            <w:tcW w:w="1129" w:type="dxa"/>
            <w:noWrap/>
            <w:vAlign w:val="center"/>
          </w:tcPr>
          <w:p w14:paraId="357F489D">
            <w:pPr>
              <w:rPr>
                <w:rFonts w:hint="eastAsia" w:asciiTheme="minorEastAsia" w:hAnsiTheme="minorEastAsia" w:eastAsiaTheme="minorEastAsia" w:cstheme="minorEastAsia"/>
                <w:bCs/>
                <w:color w:val="auto"/>
                <w:sz w:val="21"/>
                <w:szCs w:val="21"/>
                <w:highlight w:val="none"/>
                <w:lang w:val="en-US" w:eastAsia="zh-CN" w:bidi="ar-SA"/>
              </w:rPr>
            </w:pPr>
            <w:r>
              <w:rPr>
                <w:rFonts w:hint="eastAsia"/>
                <w:snapToGrid w:val="0"/>
                <w:color w:val="auto"/>
                <w:highlight w:val="none"/>
                <w:lang w:val="en-US" w:eastAsia="zh-CN"/>
              </w:rPr>
              <w:t>服务</w:t>
            </w:r>
            <w:r>
              <w:rPr>
                <w:rFonts w:hint="eastAsia"/>
                <w:snapToGrid w:val="0"/>
                <w:color w:val="auto"/>
                <w:highlight w:val="none"/>
              </w:rPr>
              <w:t>方案</w:t>
            </w:r>
            <w:r>
              <w:rPr>
                <w:rFonts w:hint="eastAsia"/>
                <w:snapToGrid w:val="0"/>
                <w:color w:val="auto"/>
                <w:highlight w:val="none"/>
                <w:lang w:eastAsia="zh-CN"/>
              </w:rPr>
              <w:t>（</w:t>
            </w:r>
            <w:r>
              <w:rPr>
                <w:rFonts w:hint="eastAsia"/>
                <w:snapToGrid w:val="0"/>
                <w:color w:val="auto"/>
                <w:highlight w:val="none"/>
                <w:lang w:val="en-US" w:eastAsia="zh-CN"/>
              </w:rPr>
              <w:t>9分</w:t>
            </w:r>
            <w:r>
              <w:rPr>
                <w:rFonts w:hint="eastAsia"/>
                <w:snapToGrid w:val="0"/>
                <w:color w:val="auto"/>
                <w:highlight w:val="none"/>
                <w:lang w:eastAsia="zh-CN"/>
              </w:rPr>
              <w:t>）</w:t>
            </w:r>
          </w:p>
        </w:tc>
        <w:tc>
          <w:tcPr>
            <w:tcW w:w="5304" w:type="dxa"/>
            <w:noWrap/>
            <w:vAlign w:val="top"/>
          </w:tcPr>
          <w:p w14:paraId="538E6445">
            <w:pPr>
              <w:pStyle w:val="29"/>
              <w:ind w:left="0" w:leftChars="0" w:firstLine="420" w:firstLineChars="200"/>
              <w:jc w:val="left"/>
              <w:rPr>
                <w:color w:val="auto"/>
                <w:sz w:val="21"/>
                <w:szCs w:val="21"/>
                <w:highlight w:val="none"/>
              </w:rPr>
            </w:pPr>
            <w:r>
              <w:rPr>
                <w:color w:val="auto"/>
                <w:sz w:val="21"/>
                <w:szCs w:val="21"/>
                <w:highlight w:val="none"/>
              </w:rPr>
              <w:t>由评标委员会根据投标人提供的</w:t>
            </w:r>
            <w:r>
              <w:rPr>
                <w:rFonts w:hint="eastAsia"/>
                <w:color w:val="auto"/>
                <w:sz w:val="21"/>
                <w:szCs w:val="21"/>
                <w:highlight w:val="none"/>
                <w:lang w:val="en-US" w:eastAsia="zh-CN"/>
              </w:rPr>
              <w:t>服务</w:t>
            </w:r>
            <w:r>
              <w:rPr>
                <w:color w:val="auto"/>
                <w:sz w:val="21"/>
                <w:szCs w:val="21"/>
                <w:highlight w:val="none"/>
              </w:rPr>
              <w:t>方案，</w:t>
            </w:r>
            <w:r>
              <w:rPr>
                <w:rFonts w:hint="eastAsia" w:ascii="宋体" w:hAnsi="宋体" w:cs="宋体"/>
                <w:snapToGrid w:val="0"/>
                <w:color w:val="auto"/>
                <w:sz w:val="21"/>
                <w:szCs w:val="21"/>
                <w:highlight w:val="none"/>
              </w:rPr>
              <w:t>包括但不限于</w:t>
            </w:r>
            <w:r>
              <w:rPr>
                <w:rFonts w:hint="eastAsia" w:ascii="宋体" w:hAnsi="宋体" w:cs="宋体"/>
                <w:snapToGrid w:val="0"/>
                <w:color w:val="auto"/>
                <w:sz w:val="21"/>
                <w:szCs w:val="21"/>
                <w:highlight w:val="none"/>
                <w:lang w:val="en-US" w:eastAsia="zh-CN"/>
              </w:rPr>
              <w:t>对非执法类辅助性和综合管理服务方案</w:t>
            </w:r>
            <w:r>
              <w:rPr>
                <w:rFonts w:hint="eastAsia" w:ascii="宋体" w:hAnsi="宋体" w:cs="宋体"/>
                <w:snapToGrid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机关后勤服务</w:t>
            </w:r>
            <w:r>
              <w:rPr>
                <w:rFonts w:hint="eastAsia" w:ascii="宋体" w:hAnsi="宋体" w:cs="宋体"/>
                <w:snapToGrid w:val="0"/>
                <w:color w:val="auto"/>
                <w:sz w:val="21"/>
                <w:szCs w:val="21"/>
                <w:highlight w:val="none"/>
                <w:lang w:val="en-US" w:eastAsia="zh-CN"/>
              </w:rPr>
              <w:t>方案、</w:t>
            </w:r>
            <w:r>
              <w:rPr>
                <w:rFonts w:hint="eastAsia" w:ascii="宋体" w:hAnsi="宋体" w:eastAsia="宋体" w:cs="宋体"/>
                <w:b w:val="0"/>
                <w:bCs w:val="0"/>
                <w:color w:val="auto"/>
                <w:kern w:val="0"/>
                <w:sz w:val="21"/>
                <w:szCs w:val="21"/>
                <w:highlight w:val="none"/>
              </w:rPr>
              <w:t>档案管理服务</w:t>
            </w:r>
            <w:r>
              <w:rPr>
                <w:rFonts w:hint="eastAsia" w:ascii="宋体" w:hAnsi="宋体" w:eastAsia="宋体" w:cs="宋体"/>
                <w:b w:val="0"/>
                <w:bCs w:val="0"/>
                <w:color w:val="auto"/>
                <w:kern w:val="0"/>
                <w:sz w:val="21"/>
                <w:szCs w:val="21"/>
                <w:highlight w:val="none"/>
                <w:lang w:eastAsia="zh-CN"/>
              </w:rPr>
              <w:t>方案</w:t>
            </w:r>
            <w:r>
              <w:rPr>
                <w:color w:val="auto"/>
                <w:sz w:val="21"/>
                <w:szCs w:val="21"/>
                <w:highlight w:val="none"/>
              </w:rPr>
              <w:t>等内容进行综合评审，以下各项不得重复计分。</w:t>
            </w:r>
          </w:p>
          <w:p w14:paraId="25B878F8">
            <w:pPr>
              <w:pStyle w:val="29"/>
              <w:ind w:left="0" w:leftChars="0" w:firstLine="420" w:firstLineChars="200"/>
              <w:jc w:val="left"/>
              <w:rPr>
                <w:color w:val="auto"/>
                <w:sz w:val="21"/>
                <w:szCs w:val="21"/>
                <w:highlight w:val="none"/>
              </w:rPr>
            </w:pPr>
            <w:r>
              <w:rPr>
                <w:rFonts w:asciiTheme="minorEastAsia" w:hAnsiTheme="minorEastAsia"/>
                <w:color w:val="auto"/>
                <w:sz w:val="21"/>
                <w:szCs w:val="21"/>
                <w:highlight w:val="none"/>
              </w:rPr>
              <w:t>①</w:t>
            </w:r>
            <w:r>
              <w:rPr>
                <w:color w:val="auto"/>
                <w:sz w:val="21"/>
                <w:szCs w:val="21"/>
                <w:highlight w:val="none"/>
              </w:rPr>
              <w:t>投标人提供</w:t>
            </w:r>
            <w:r>
              <w:rPr>
                <w:rFonts w:hint="eastAsia"/>
                <w:color w:val="auto"/>
                <w:sz w:val="21"/>
                <w:szCs w:val="21"/>
                <w:highlight w:val="none"/>
                <w:lang w:eastAsia="zh-CN"/>
              </w:rPr>
              <w:t>的</w:t>
            </w:r>
            <w:r>
              <w:rPr>
                <w:rFonts w:hint="eastAsia" w:ascii="宋体" w:hAnsi="宋体" w:cs="宋体"/>
                <w:snapToGrid w:val="0"/>
                <w:color w:val="auto"/>
                <w:sz w:val="21"/>
                <w:szCs w:val="21"/>
                <w:highlight w:val="none"/>
                <w:lang w:val="en-US" w:eastAsia="zh-CN"/>
              </w:rPr>
              <w:t>非执法类辅助性和综合管理服务方案</w:t>
            </w:r>
            <w:r>
              <w:rPr>
                <w:rFonts w:hint="eastAsia" w:ascii="宋体" w:hAnsi="宋体" w:cs="宋体"/>
                <w:snapToGrid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机关后勤服务</w:t>
            </w:r>
            <w:r>
              <w:rPr>
                <w:rFonts w:hint="eastAsia" w:ascii="宋体" w:hAnsi="宋体" w:cs="宋体"/>
                <w:snapToGrid w:val="0"/>
                <w:color w:val="auto"/>
                <w:sz w:val="21"/>
                <w:szCs w:val="21"/>
                <w:highlight w:val="none"/>
                <w:lang w:val="en-US" w:eastAsia="zh-CN"/>
              </w:rPr>
              <w:t>方案、</w:t>
            </w:r>
            <w:r>
              <w:rPr>
                <w:rFonts w:hint="eastAsia" w:ascii="宋体" w:hAnsi="宋体" w:eastAsia="宋体" w:cs="宋体"/>
                <w:b w:val="0"/>
                <w:bCs w:val="0"/>
                <w:color w:val="auto"/>
                <w:kern w:val="0"/>
                <w:sz w:val="21"/>
                <w:szCs w:val="21"/>
                <w:highlight w:val="none"/>
              </w:rPr>
              <w:t>档案管理服务</w:t>
            </w:r>
            <w:r>
              <w:rPr>
                <w:rFonts w:hint="eastAsia" w:ascii="宋体" w:hAnsi="宋体" w:eastAsia="宋体" w:cs="宋体"/>
                <w:b w:val="0"/>
                <w:bCs w:val="0"/>
                <w:color w:val="auto"/>
                <w:kern w:val="0"/>
                <w:sz w:val="21"/>
                <w:szCs w:val="21"/>
                <w:highlight w:val="none"/>
                <w:lang w:eastAsia="zh-CN"/>
              </w:rPr>
              <w:t>方案</w:t>
            </w:r>
            <w:r>
              <w:rPr>
                <w:color w:val="auto"/>
                <w:sz w:val="21"/>
                <w:szCs w:val="21"/>
                <w:highlight w:val="none"/>
              </w:rPr>
              <w:t>等内容</w:t>
            </w:r>
            <w:r>
              <w:rPr>
                <w:rFonts w:hint="eastAsia"/>
                <w:color w:val="auto"/>
                <w:sz w:val="21"/>
                <w:szCs w:val="21"/>
                <w:highlight w:val="none"/>
              </w:rPr>
              <w:t>满足项目需求，</w:t>
            </w:r>
            <w:r>
              <w:rPr>
                <w:rFonts w:hint="eastAsia"/>
                <w:color w:val="auto"/>
                <w:sz w:val="21"/>
                <w:szCs w:val="21"/>
                <w:highlight w:val="none"/>
                <w:lang w:eastAsia="zh-CN"/>
              </w:rPr>
              <w:t>整体</w:t>
            </w:r>
            <w:r>
              <w:rPr>
                <w:rFonts w:hint="eastAsia"/>
                <w:color w:val="auto"/>
                <w:sz w:val="21"/>
                <w:szCs w:val="21"/>
                <w:highlight w:val="none"/>
                <w:lang w:val="en-US" w:eastAsia="zh-CN"/>
              </w:rPr>
              <w:t>服务</w:t>
            </w:r>
            <w:r>
              <w:rPr>
                <w:color w:val="auto"/>
                <w:sz w:val="21"/>
                <w:szCs w:val="21"/>
                <w:highlight w:val="none"/>
              </w:rPr>
              <w:t>方案内容表述完整</w:t>
            </w:r>
            <w:r>
              <w:rPr>
                <w:rFonts w:hint="eastAsia" w:ascii="Times New Roman" w:hAnsi="Times New Roman"/>
                <w:color w:val="auto"/>
                <w:sz w:val="21"/>
                <w:szCs w:val="21"/>
                <w:highlight w:val="none"/>
                <w:lang w:eastAsia="zh-CN"/>
              </w:rPr>
              <w:t>，得</w:t>
            </w:r>
            <w:r>
              <w:rPr>
                <w:rFonts w:hint="eastAsia"/>
                <w:color w:val="auto"/>
                <w:sz w:val="21"/>
                <w:szCs w:val="21"/>
                <w:highlight w:val="none"/>
                <w:lang w:val="en-US" w:eastAsia="zh-CN"/>
              </w:rPr>
              <w:t>3</w:t>
            </w:r>
            <w:r>
              <w:rPr>
                <w:rFonts w:hint="eastAsia" w:ascii="Times New Roman" w:hAnsi="Times New Roman"/>
                <w:color w:val="auto"/>
                <w:sz w:val="21"/>
                <w:szCs w:val="21"/>
                <w:highlight w:val="none"/>
                <w:lang w:eastAsia="zh-CN"/>
              </w:rPr>
              <w:t>分；</w:t>
            </w:r>
          </w:p>
          <w:p w14:paraId="3E4F3229">
            <w:pPr>
              <w:pStyle w:val="29"/>
              <w:ind w:left="0" w:leftChars="0" w:firstLine="420" w:firstLineChars="200"/>
              <w:jc w:val="left"/>
              <w:rPr>
                <w:color w:val="auto"/>
                <w:sz w:val="21"/>
                <w:szCs w:val="21"/>
                <w:highlight w:val="none"/>
              </w:rPr>
            </w:pPr>
            <w:r>
              <w:rPr>
                <w:rFonts w:hint="eastAsia" w:ascii="宋体" w:hAnsi="宋体" w:eastAsia="宋体" w:cs="宋体"/>
                <w:color w:val="auto"/>
                <w:sz w:val="21"/>
                <w:szCs w:val="21"/>
                <w:highlight w:val="none"/>
              </w:rPr>
              <w:t>②</w:t>
            </w:r>
            <w:r>
              <w:rPr>
                <w:color w:val="auto"/>
                <w:sz w:val="21"/>
                <w:szCs w:val="21"/>
                <w:highlight w:val="none"/>
              </w:rPr>
              <w:t>在本项</w:t>
            </w:r>
            <w:r>
              <w:rPr>
                <w:rFonts w:hint="eastAsia" w:ascii="宋体" w:hAnsi="宋体" w:eastAsia="宋体" w:cs="宋体"/>
                <w:color w:val="auto"/>
                <w:sz w:val="21"/>
                <w:szCs w:val="21"/>
                <w:highlight w:val="none"/>
              </w:rPr>
              <w:t>①</w:t>
            </w:r>
            <w:r>
              <w:rPr>
                <w:color w:val="auto"/>
                <w:sz w:val="21"/>
                <w:szCs w:val="21"/>
                <w:highlight w:val="none"/>
              </w:rPr>
              <w:t>基础上， 投标人针对</w:t>
            </w:r>
            <w:r>
              <w:rPr>
                <w:rFonts w:hint="eastAsia"/>
                <w:color w:val="auto"/>
                <w:sz w:val="21"/>
                <w:szCs w:val="21"/>
                <w:highlight w:val="none"/>
                <w:lang w:eastAsia="zh-CN"/>
              </w:rPr>
              <w:t>项目需求的</w:t>
            </w:r>
            <w:r>
              <w:rPr>
                <w:color w:val="auto"/>
                <w:sz w:val="21"/>
                <w:szCs w:val="21"/>
                <w:highlight w:val="none"/>
              </w:rPr>
              <w:t>各项</w:t>
            </w:r>
            <w:r>
              <w:rPr>
                <w:rFonts w:hint="eastAsia"/>
                <w:color w:val="auto"/>
                <w:sz w:val="21"/>
                <w:szCs w:val="21"/>
                <w:highlight w:val="none"/>
                <w:lang w:val="en-US" w:eastAsia="zh-CN"/>
              </w:rPr>
              <w:t>服务</w:t>
            </w:r>
            <w:r>
              <w:rPr>
                <w:rFonts w:hint="eastAsia"/>
                <w:color w:val="auto"/>
                <w:sz w:val="21"/>
                <w:szCs w:val="21"/>
                <w:highlight w:val="none"/>
                <w:lang w:eastAsia="zh-CN"/>
              </w:rPr>
              <w:t>工作</w:t>
            </w:r>
            <w:r>
              <w:rPr>
                <w:color w:val="auto"/>
                <w:sz w:val="21"/>
                <w:szCs w:val="21"/>
                <w:highlight w:val="none"/>
              </w:rPr>
              <w:t>有详细</w:t>
            </w:r>
            <w:r>
              <w:rPr>
                <w:rFonts w:hint="eastAsia"/>
                <w:color w:val="auto"/>
                <w:sz w:val="21"/>
                <w:szCs w:val="21"/>
                <w:highlight w:val="none"/>
                <w:lang w:val="en-US" w:eastAsia="zh-CN"/>
              </w:rPr>
              <w:t>服务</w:t>
            </w:r>
            <w:r>
              <w:rPr>
                <w:rFonts w:hint="eastAsia"/>
                <w:color w:val="auto"/>
                <w:sz w:val="21"/>
                <w:szCs w:val="21"/>
                <w:highlight w:val="none"/>
                <w:lang w:eastAsia="zh-CN"/>
              </w:rPr>
              <w:t>方案</w:t>
            </w:r>
            <w:r>
              <w:rPr>
                <w:color w:val="auto"/>
                <w:sz w:val="21"/>
                <w:szCs w:val="21"/>
                <w:highlight w:val="none"/>
              </w:rPr>
              <w:t>描述，</w:t>
            </w:r>
            <w:r>
              <w:rPr>
                <w:rFonts w:hint="eastAsia"/>
                <w:color w:val="auto"/>
                <w:sz w:val="21"/>
                <w:szCs w:val="21"/>
                <w:highlight w:val="none"/>
                <w:lang w:val="en-US" w:eastAsia="zh-CN"/>
              </w:rPr>
              <w:t>组建的实施团队</w:t>
            </w:r>
            <w:r>
              <w:rPr>
                <w:rFonts w:hint="eastAsia"/>
                <w:color w:val="auto"/>
                <w:sz w:val="21"/>
                <w:szCs w:val="21"/>
                <w:highlight w:val="none"/>
              </w:rPr>
              <w:t>符合项目实际</w:t>
            </w:r>
            <w:r>
              <w:rPr>
                <w:rFonts w:hint="eastAsia"/>
                <w:color w:val="auto"/>
                <w:sz w:val="21"/>
                <w:szCs w:val="21"/>
                <w:highlight w:val="none"/>
                <w:lang w:val="en-US" w:eastAsia="zh-CN"/>
              </w:rPr>
              <w:t>情况</w:t>
            </w:r>
            <w:r>
              <w:rPr>
                <w:rFonts w:hint="eastAsia"/>
                <w:color w:val="auto"/>
                <w:sz w:val="21"/>
                <w:szCs w:val="21"/>
                <w:highlight w:val="none"/>
                <w:lang w:eastAsia="zh-CN"/>
              </w:rPr>
              <w:t>，</w:t>
            </w:r>
            <w:r>
              <w:rPr>
                <w:rFonts w:hint="default"/>
                <w:color w:val="auto"/>
                <w:sz w:val="21"/>
                <w:szCs w:val="21"/>
                <w:highlight w:val="none"/>
                <w:lang w:val="en-US"/>
              </w:rPr>
              <w:t>有利于人员协调</w:t>
            </w:r>
            <w:r>
              <w:rPr>
                <w:rFonts w:hint="default"/>
                <w:color w:val="auto"/>
                <w:sz w:val="21"/>
                <w:szCs w:val="21"/>
                <w:highlight w:val="none"/>
                <w:lang w:val="en-US" w:eastAsia="zh-CN"/>
              </w:rPr>
              <w:t>，</w:t>
            </w:r>
            <w:r>
              <w:rPr>
                <w:rFonts w:hint="eastAsia"/>
                <w:color w:val="auto"/>
                <w:sz w:val="21"/>
                <w:szCs w:val="21"/>
                <w:highlight w:val="none"/>
                <w:lang w:eastAsia="zh-CN"/>
              </w:rPr>
              <w:t>对</w:t>
            </w:r>
            <w:r>
              <w:rPr>
                <w:rFonts w:hint="eastAsia"/>
                <w:color w:val="auto"/>
                <w:sz w:val="21"/>
                <w:szCs w:val="21"/>
                <w:highlight w:val="none"/>
                <w:lang w:val="en-US" w:eastAsia="zh-CN"/>
              </w:rPr>
              <w:t>各项</w:t>
            </w:r>
            <w:r>
              <w:rPr>
                <w:rFonts w:hint="eastAsia"/>
                <w:color w:val="auto"/>
                <w:sz w:val="21"/>
                <w:szCs w:val="21"/>
                <w:highlight w:val="none"/>
                <w:lang w:eastAsia="zh-CN"/>
              </w:rPr>
              <w:t>工作进行明细分工，责任到人</w:t>
            </w:r>
            <w:r>
              <w:rPr>
                <w:rFonts w:hint="eastAsia"/>
                <w:color w:val="auto"/>
                <w:sz w:val="21"/>
                <w:szCs w:val="21"/>
                <w:highlight w:val="none"/>
              </w:rPr>
              <w:t>；针对</w:t>
            </w:r>
            <w:r>
              <w:rPr>
                <w:color w:val="auto"/>
                <w:sz w:val="21"/>
                <w:szCs w:val="21"/>
                <w:highlight w:val="none"/>
              </w:rPr>
              <w:t>各项</w:t>
            </w:r>
            <w:r>
              <w:rPr>
                <w:rFonts w:hint="eastAsia"/>
                <w:color w:val="auto"/>
                <w:sz w:val="21"/>
                <w:szCs w:val="21"/>
                <w:highlight w:val="none"/>
                <w:lang w:val="en-US" w:eastAsia="zh-CN"/>
              </w:rPr>
              <w:t>服务需求</w:t>
            </w:r>
            <w:r>
              <w:rPr>
                <w:rFonts w:hint="eastAsia"/>
                <w:color w:val="auto"/>
                <w:sz w:val="21"/>
                <w:szCs w:val="21"/>
                <w:highlight w:val="none"/>
              </w:rPr>
              <w:t>制订</w:t>
            </w:r>
            <w:r>
              <w:rPr>
                <w:rFonts w:hint="eastAsia"/>
                <w:color w:val="auto"/>
                <w:sz w:val="21"/>
                <w:szCs w:val="21"/>
                <w:highlight w:val="none"/>
                <w:lang w:eastAsia="zh-CN"/>
              </w:rPr>
              <w:t>有</w:t>
            </w:r>
            <w:r>
              <w:rPr>
                <w:rFonts w:hint="eastAsia"/>
                <w:color w:val="auto"/>
                <w:sz w:val="21"/>
                <w:szCs w:val="21"/>
                <w:highlight w:val="none"/>
                <w:lang w:val="en-US" w:eastAsia="zh-CN"/>
              </w:rPr>
              <w:t>详细的</w:t>
            </w:r>
            <w:r>
              <w:rPr>
                <w:rFonts w:hint="eastAsia" w:ascii="宋体" w:hAnsi="宋体" w:cs="宋体"/>
                <w:snapToGrid w:val="0"/>
                <w:color w:val="auto"/>
                <w:sz w:val="21"/>
                <w:szCs w:val="21"/>
                <w:highlight w:val="none"/>
                <w:lang w:val="en-US" w:eastAsia="zh-CN"/>
              </w:rPr>
              <w:t>服务</w:t>
            </w:r>
            <w:r>
              <w:rPr>
                <w:rFonts w:hint="eastAsia" w:ascii="宋体" w:hAnsi="宋体" w:cs="宋体"/>
                <w:snapToGrid w:val="0"/>
                <w:color w:val="auto"/>
                <w:sz w:val="21"/>
                <w:szCs w:val="21"/>
                <w:highlight w:val="none"/>
              </w:rPr>
              <w:t>流程，</w:t>
            </w:r>
            <w:r>
              <w:rPr>
                <w:color w:val="auto"/>
                <w:sz w:val="21"/>
                <w:szCs w:val="21"/>
                <w:highlight w:val="none"/>
              </w:rPr>
              <w:t>得</w:t>
            </w:r>
            <w:r>
              <w:rPr>
                <w:rFonts w:hint="eastAsia"/>
                <w:color w:val="auto"/>
                <w:sz w:val="21"/>
                <w:szCs w:val="21"/>
                <w:highlight w:val="none"/>
                <w:lang w:val="en-US" w:eastAsia="zh-CN"/>
              </w:rPr>
              <w:t>6</w:t>
            </w:r>
            <w:r>
              <w:rPr>
                <w:color w:val="auto"/>
                <w:sz w:val="21"/>
                <w:szCs w:val="21"/>
                <w:highlight w:val="none"/>
              </w:rPr>
              <w:t>分；</w:t>
            </w:r>
          </w:p>
          <w:p w14:paraId="06D58BF6">
            <w:pPr>
              <w:pStyle w:val="29"/>
              <w:ind w:left="0" w:leftChars="0" w:firstLine="420" w:firstLineChars="200"/>
              <w:jc w:val="left"/>
              <w:rPr>
                <w:color w:val="auto"/>
                <w:sz w:val="21"/>
                <w:szCs w:val="21"/>
                <w:highlight w:val="none"/>
              </w:rPr>
            </w:pPr>
            <w:r>
              <w:rPr>
                <w:rFonts w:hint="eastAsia" w:ascii="宋体" w:hAnsi="宋体" w:eastAsia="宋体" w:cs="宋体"/>
                <w:color w:val="auto"/>
                <w:sz w:val="21"/>
                <w:szCs w:val="21"/>
                <w:highlight w:val="none"/>
              </w:rPr>
              <w:t>③</w:t>
            </w:r>
            <w:r>
              <w:rPr>
                <w:color w:val="auto"/>
                <w:sz w:val="21"/>
                <w:szCs w:val="21"/>
                <w:highlight w:val="none"/>
              </w:rPr>
              <w:t>在本项</w:t>
            </w:r>
            <w:r>
              <w:rPr>
                <w:rFonts w:hint="eastAsia" w:ascii="宋体" w:hAnsi="宋体" w:eastAsia="宋体" w:cs="宋体"/>
                <w:color w:val="auto"/>
                <w:sz w:val="21"/>
                <w:szCs w:val="21"/>
                <w:highlight w:val="none"/>
              </w:rPr>
              <w:t>②</w:t>
            </w:r>
            <w:r>
              <w:rPr>
                <w:color w:val="auto"/>
                <w:sz w:val="21"/>
                <w:szCs w:val="21"/>
                <w:highlight w:val="none"/>
              </w:rPr>
              <w:t>基础上，</w:t>
            </w:r>
            <w:r>
              <w:rPr>
                <w:rFonts w:hint="eastAsia"/>
                <w:color w:val="auto"/>
                <w:sz w:val="21"/>
                <w:szCs w:val="21"/>
                <w:highlight w:val="none"/>
                <w:lang w:val="en-US" w:eastAsia="zh-CN"/>
              </w:rPr>
              <w:t>针对各项服务需求制订具体的服务质量标准要求及质量保证措施，</w:t>
            </w:r>
            <w:r>
              <w:rPr>
                <w:rFonts w:hint="eastAsia" w:ascii="宋体" w:hAnsi="宋体" w:eastAsia="宋体" w:cs="宋体"/>
                <w:iCs/>
                <w:color w:val="auto"/>
                <w:sz w:val="21"/>
                <w:szCs w:val="21"/>
                <w:highlight w:val="none"/>
                <w:lang w:eastAsia="zh-CN"/>
              </w:rPr>
              <w:t>确保服务过程得到有效运行、控制和服务质量的持续改进</w:t>
            </w:r>
            <w:r>
              <w:rPr>
                <w:rFonts w:hint="eastAsia"/>
                <w:color w:val="auto"/>
                <w:sz w:val="21"/>
                <w:szCs w:val="21"/>
                <w:highlight w:val="none"/>
                <w:lang w:val="en-US" w:eastAsia="zh-CN"/>
              </w:rPr>
              <w:t>；服务质量管理体系完善、可操作性强，</w:t>
            </w:r>
            <w:r>
              <w:rPr>
                <w:color w:val="auto"/>
                <w:sz w:val="21"/>
                <w:szCs w:val="21"/>
                <w:highlight w:val="none"/>
              </w:rPr>
              <w:t>得</w:t>
            </w:r>
            <w:r>
              <w:rPr>
                <w:rFonts w:hint="eastAsia"/>
                <w:color w:val="auto"/>
                <w:sz w:val="21"/>
                <w:szCs w:val="21"/>
                <w:highlight w:val="none"/>
                <w:lang w:val="en-US" w:eastAsia="zh-CN"/>
              </w:rPr>
              <w:t>9</w:t>
            </w:r>
            <w:r>
              <w:rPr>
                <w:color w:val="auto"/>
                <w:sz w:val="21"/>
                <w:szCs w:val="21"/>
                <w:highlight w:val="none"/>
              </w:rPr>
              <w:t>分。</w:t>
            </w:r>
          </w:p>
          <w:p w14:paraId="0645C604">
            <w:pPr>
              <w:pStyle w:val="29"/>
              <w:ind w:firstLine="420" w:firstLineChars="200"/>
              <w:jc w:val="left"/>
              <w:rPr>
                <w:color w:val="auto"/>
                <w:sz w:val="21"/>
                <w:szCs w:val="21"/>
                <w:highlight w:val="none"/>
                <w:lang w:val="en-US" w:eastAsia="zh-CN"/>
              </w:rPr>
            </w:pPr>
            <w:r>
              <w:rPr>
                <w:color w:val="auto"/>
                <w:sz w:val="21"/>
                <w:szCs w:val="21"/>
                <w:highlight w:val="none"/>
              </w:rPr>
              <w:t>注：未提供</w:t>
            </w:r>
            <w:r>
              <w:rPr>
                <w:rFonts w:hint="eastAsia"/>
                <w:color w:val="auto"/>
                <w:sz w:val="21"/>
                <w:szCs w:val="21"/>
                <w:highlight w:val="none"/>
                <w:lang w:val="en-US" w:eastAsia="zh-CN"/>
              </w:rPr>
              <w:t>服务</w:t>
            </w:r>
            <w:r>
              <w:rPr>
                <w:rFonts w:hint="eastAsia"/>
                <w:snapToGrid w:val="0"/>
                <w:color w:val="auto"/>
                <w:sz w:val="21"/>
                <w:szCs w:val="21"/>
                <w:highlight w:val="none"/>
              </w:rPr>
              <w:t>方案</w:t>
            </w:r>
            <w:r>
              <w:rPr>
                <w:color w:val="auto"/>
                <w:sz w:val="21"/>
                <w:szCs w:val="21"/>
                <w:highlight w:val="none"/>
              </w:rPr>
              <w:t>或</w:t>
            </w:r>
            <w:r>
              <w:rPr>
                <w:rFonts w:hint="eastAsia"/>
                <w:color w:val="auto"/>
                <w:sz w:val="21"/>
                <w:szCs w:val="21"/>
                <w:highlight w:val="none"/>
                <w:lang w:val="en-US" w:eastAsia="zh-CN"/>
              </w:rPr>
              <w:t>服务</w:t>
            </w:r>
            <w:r>
              <w:rPr>
                <w:rFonts w:hint="eastAsia"/>
                <w:snapToGrid w:val="0"/>
                <w:color w:val="auto"/>
                <w:sz w:val="21"/>
                <w:szCs w:val="21"/>
                <w:highlight w:val="none"/>
              </w:rPr>
              <w:t>方案</w:t>
            </w:r>
            <w:r>
              <w:rPr>
                <w:color w:val="auto"/>
                <w:sz w:val="21"/>
                <w:szCs w:val="21"/>
                <w:highlight w:val="none"/>
              </w:rPr>
              <w:t>达不到</w:t>
            </w:r>
            <w:r>
              <w:rPr>
                <w:rFonts w:hint="eastAsia" w:ascii="宋体" w:hAnsi="宋体" w:eastAsia="宋体" w:cs="宋体"/>
                <w:color w:val="auto"/>
                <w:sz w:val="21"/>
                <w:szCs w:val="21"/>
                <w:highlight w:val="none"/>
              </w:rPr>
              <w:t>①</w:t>
            </w:r>
            <w:r>
              <w:rPr>
                <w:color w:val="auto"/>
                <w:sz w:val="21"/>
                <w:szCs w:val="21"/>
                <w:highlight w:val="none"/>
              </w:rPr>
              <w:t>标准</w:t>
            </w:r>
            <w:r>
              <w:rPr>
                <w:rFonts w:hint="eastAsia"/>
                <w:color w:val="auto"/>
                <w:sz w:val="21"/>
                <w:szCs w:val="21"/>
                <w:highlight w:val="none"/>
              </w:rPr>
              <w:t>要求</w:t>
            </w:r>
            <w:r>
              <w:rPr>
                <w:color w:val="auto"/>
                <w:sz w:val="21"/>
                <w:szCs w:val="21"/>
                <w:highlight w:val="none"/>
              </w:rPr>
              <w:t>的计0分。</w:t>
            </w:r>
          </w:p>
        </w:tc>
        <w:tc>
          <w:tcPr>
            <w:tcW w:w="772" w:type="dxa"/>
            <w:noWrap/>
            <w:vAlign w:val="center"/>
          </w:tcPr>
          <w:p w14:paraId="13299B14">
            <w:pPr>
              <w:rPr>
                <w:rFonts w:hint="eastAsia" w:asciiTheme="minorEastAsia" w:hAnsiTheme="minorEastAsia" w:eastAsiaTheme="minorEastAsia" w:cstheme="minorEastAsia"/>
                <w:bCs/>
                <w:color w:val="auto"/>
                <w:sz w:val="21"/>
                <w:szCs w:val="21"/>
                <w:highlight w:val="none"/>
                <w:lang w:val="en-US" w:eastAsia="zh-CN" w:bidi="ar-SA"/>
              </w:rPr>
            </w:pPr>
            <w:r>
              <w:rPr>
                <w:rFonts w:hint="eastAsia"/>
                <w:color w:val="auto"/>
                <w:highlight w:val="none"/>
                <w:lang w:val="en-US" w:eastAsia="zh-CN"/>
              </w:rPr>
              <w:t>9</w:t>
            </w:r>
            <w:r>
              <w:rPr>
                <w:rFonts w:hint="eastAsia"/>
                <w:color w:val="auto"/>
                <w:highlight w:val="none"/>
              </w:rPr>
              <w:t>分</w:t>
            </w:r>
          </w:p>
        </w:tc>
      </w:tr>
      <w:tr w14:paraId="01E6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noWrap/>
            <w:vAlign w:val="center"/>
          </w:tcPr>
          <w:p w14:paraId="27FAB54A">
            <w:pPr>
              <w:rPr>
                <w:color w:val="auto"/>
                <w:highlight w:val="none"/>
              </w:rPr>
            </w:pPr>
          </w:p>
        </w:tc>
        <w:tc>
          <w:tcPr>
            <w:tcW w:w="1144" w:type="dxa"/>
            <w:vMerge w:val="continue"/>
            <w:noWrap/>
            <w:vAlign w:val="center"/>
          </w:tcPr>
          <w:p w14:paraId="291B032E">
            <w:pPr>
              <w:pStyle w:val="9"/>
              <w:rPr>
                <w:color w:val="auto"/>
                <w:highlight w:val="none"/>
              </w:rPr>
            </w:pPr>
          </w:p>
        </w:tc>
        <w:tc>
          <w:tcPr>
            <w:tcW w:w="1129" w:type="dxa"/>
            <w:noWrap/>
            <w:vAlign w:val="center"/>
          </w:tcPr>
          <w:p w14:paraId="68097A48">
            <w:pPr>
              <w:rPr>
                <w:rFonts w:hint="eastAsia"/>
                <w:snapToGrid w:val="0"/>
                <w:color w:val="auto"/>
                <w:highlight w:val="none"/>
              </w:rPr>
            </w:pPr>
            <w:r>
              <w:rPr>
                <w:rFonts w:hint="eastAsia"/>
                <w:snapToGrid w:val="0"/>
                <w:color w:val="auto"/>
                <w:highlight w:val="none"/>
                <w:lang w:val="en-US" w:eastAsia="zh-CN"/>
              </w:rPr>
              <w:t>应急预案</w:t>
            </w:r>
            <w:r>
              <w:rPr>
                <w:rFonts w:hint="eastAsia"/>
                <w:snapToGrid w:val="0"/>
                <w:color w:val="auto"/>
                <w:highlight w:val="none"/>
                <w:lang w:eastAsia="zh-CN"/>
              </w:rPr>
              <w:t>（</w:t>
            </w:r>
            <w:r>
              <w:rPr>
                <w:rFonts w:hint="eastAsia"/>
                <w:snapToGrid w:val="0"/>
                <w:color w:val="auto"/>
                <w:highlight w:val="none"/>
                <w:lang w:val="en-US" w:eastAsia="zh-CN"/>
              </w:rPr>
              <w:t>6分</w:t>
            </w:r>
            <w:r>
              <w:rPr>
                <w:rFonts w:hint="eastAsia"/>
                <w:snapToGrid w:val="0"/>
                <w:color w:val="auto"/>
                <w:highlight w:val="none"/>
                <w:lang w:eastAsia="zh-CN"/>
              </w:rPr>
              <w:t>）</w:t>
            </w:r>
          </w:p>
        </w:tc>
        <w:tc>
          <w:tcPr>
            <w:tcW w:w="5304" w:type="dxa"/>
            <w:noWrap/>
            <w:vAlign w:val="top"/>
          </w:tcPr>
          <w:p w14:paraId="77C4774D">
            <w:pPr>
              <w:pStyle w:val="29"/>
              <w:ind w:left="0" w:leftChars="0" w:firstLine="420" w:firstLineChars="200"/>
              <w:jc w:val="left"/>
              <w:rPr>
                <w:color w:val="auto"/>
                <w:sz w:val="21"/>
                <w:szCs w:val="21"/>
                <w:highlight w:val="none"/>
              </w:rPr>
            </w:pPr>
            <w:r>
              <w:rPr>
                <w:color w:val="auto"/>
                <w:sz w:val="21"/>
                <w:szCs w:val="21"/>
                <w:highlight w:val="none"/>
              </w:rPr>
              <w:t>由评标委员会根据投标人提供的</w:t>
            </w:r>
            <w:r>
              <w:rPr>
                <w:rFonts w:hint="eastAsia"/>
                <w:color w:val="auto"/>
                <w:sz w:val="21"/>
                <w:szCs w:val="21"/>
                <w:highlight w:val="none"/>
                <w:lang w:val="en-US" w:eastAsia="zh-CN"/>
              </w:rPr>
              <w:t>应急预案</w:t>
            </w:r>
            <w:r>
              <w:rPr>
                <w:color w:val="auto"/>
                <w:sz w:val="21"/>
                <w:szCs w:val="21"/>
                <w:highlight w:val="none"/>
              </w:rPr>
              <w:t>，</w:t>
            </w:r>
            <w:r>
              <w:rPr>
                <w:rFonts w:hint="eastAsia" w:ascii="宋体" w:hAnsi="宋体" w:cs="宋体"/>
                <w:snapToGrid w:val="0"/>
                <w:color w:val="auto"/>
                <w:sz w:val="21"/>
                <w:szCs w:val="21"/>
                <w:highlight w:val="none"/>
              </w:rPr>
              <w:t>包括但不限于</w:t>
            </w:r>
            <w:r>
              <w:rPr>
                <w:rFonts w:hint="eastAsia" w:ascii="宋体" w:hAnsi="宋体" w:eastAsia="宋体" w:cs="宋体"/>
                <w:iCs/>
                <w:color w:val="auto"/>
                <w:sz w:val="21"/>
                <w:szCs w:val="21"/>
                <w:highlight w:val="none"/>
                <w:lang w:eastAsia="zh-CN"/>
              </w:rPr>
              <w:t>舆情事件应急处理</w:t>
            </w:r>
            <w:r>
              <w:rPr>
                <w:rFonts w:hint="eastAsia"/>
                <w:color w:val="auto"/>
                <w:sz w:val="21"/>
                <w:szCs w:val="21"/>
                <w:highlight w:val="none"/>
                <w:lang w:val="en-US" w:eastAsia="zh-CN"/>
              </w:rPr>
              <w:t>预案</w:t>
            </w:r>
            <w:r>
              <w:rPr>
                <w:rFonts w:hint="eastAsia" w:ascii="宋体" w:hAnsi="宋体" w:eastAsia="宋体" w:cs="宋体"/>
                <w:iCs/>
                <w:color w:val="auto"/>
                <w:sz w:val="21"/>
                <w:szCs w:val="21"/>
                <w:highlight w:val="none"/>
                <w:lang w:eastAsia="zh-CN"/>
              </w:rPr>
              <w:t>、大厅纠纷应急预案</w:t>
            </w:r>
            <w:r>
              <w:rPr>
                <w:color w:val="auto"/>
                <w:sz w:val="21"/>
                <w:szCs w:val="21"/>
                <w:highlight w:val="none"/>
              </w:rPr>
              <w:t>等内容进行综合评审，以下各项不得重复计分。</w:t>
            </w:r>
          </w:p>
          <w:p w14:paraId="02D4D0FF">
            <w:pPr>
              <w:pStyle w:val="29"/>
              <w:ind w:left="0" w:leftChars="0" w:firstLine="420" w:firstLineChars="200"/>
              <w:jc w:val="left"/>
              <w:rPr>
                <w:color w:val="auto"/>
                <w:sz w:val="21"/>
                <w:szCs w:val="21"/>
                <w:highlight w:val="none"/>
              </w:rPr>
            </w:pPr>
            <w:r>
              <w:rPr>
                <w:rFonts w:asciiTheme="minorEastAsia" w:hAnsiTheme="minorEastAsia"/>
                <w:color w:val="auto"/>
                <w:sz w:val="21"/>
                <w:szCs w:val="21"/>
                <w:highlight w:val="none"/>
              </w:rPr>
              <w:t>①</w:t>
            </w:r>
            <w:r>
              <w:rPr>
                <w:color w:val="auto"/>
                <w:sz w:val="21"/>
                <w:szCs w:val="21"/>
                <w:highlight w:val="none"/>
              </w:rPr>
              <w:t>投标人提供</w:t>
            </w:r>
            <w:r>
              <w:rPr>
                <w:rFonts w:hint="eastAsia"/>
                <w:color w:val="auto"/>
                <w:sz w:val="21"/>
                <w:szCs w:val="21"/>
                <w:highlight w:val="none"/>
                <w:lang w:eastAsia="zh-CN"/>
              </w:rPr>
              <w:t>的应急处理预案</w:t>
            </w:r>
            <w:r>
              <w:rPr>
                <w:rFonts w:hint="eastAsia"/>
                <w:color w:val="auto"/>
                <w:sz w:val="21"/>
                <w:szCs w:val="21"/>
                <w:highlight w:val="none"/>
                <w:lang w:val="en-US" w:eastAsia="zh-CN"/>
              </w:rPr>
              <w:t>有</w:t>
            </w:r>
            <w:r>
              <w:rPr>
                <w:rFonts w:hint="eastAsia" w:ascii="宋体" w:hAnsi="宋体" w:eastAsia="宋体" w:cs="宋体"/>
                <w:iCs/>
                <w:color w:val="auto"/>
                <w:sz w:val="21"/>
                <w:szCs w:val="21"/>
                <w:highlight w:val="none"/>
                <w:lang w:eastAsia="zh-CN"/>
              </w:rPr>
              <w:t>舆情事件应急处理</w:t>
            </w:r>
            <w:r>
              <w:rPr>
                <w:rFonts w:hint="eastAsia"/>
                <w:color w:val="auto"/>
                <w:sz w:val="21"/>
                <w:szCs w:val="21"/>
                <w:highlight w:val="none"/>
                <w:lang w:val="en-US" w:eastAsia="zh-CN"/>
              </w:rPr>
              <w:t>预案</w:t>
            </w:r>
            <w:r>
              <w:rPr>
                <w:rFonts w:hint="eastAsia" w:ascii="宋体" w:hAnsi="宋体" w:eastAsia="宋体" w:cs="宋体"/>
                <w:iCs/>
                <w:color w:val="auto"/>
                <w:sz w:val="21"/>
                <w:szCs w:val="21"/>
                <w:highlight w:val="none"/>
                <w:lang w:eastAsia="zh-CN"/>
              </w:rPr>
              <w:t>、大厅纠纷应急预案</w:t>
            </w:r>
            <w:r>
              <w:rPr>
                <w:rFonts w:hint="eastAsia" w:ascii="宋体" w:hAnsi="宋体" w:cs="宋体"/>
                <w:snapToGrid w:val="0"/>
                <w:color w:val="auto"/>
                <w:sz w:val="21"/>
                <w:szCs w:val="21"/>
                <w:highlight w:val="none"/>
                <w:lang w:val="en-US" w:eastAsia="zh-CN"/>
              </w:rPr>
              <w:t>，</w:t>
            </w:r>
            <w:r>
              <w:rPr>
                <w:rFonts w:hint="eastAsia"/>
                <w:color w:val="auto"/>
                <w:sz w:val="21"/>
                <w:szCs w:val="21"/>
                <w:highlight w:val="none"/>
              </w:rPr>
              <w:t>满足项目需求，</w:t>
            </w:r>
            <w:r>
              <w:rPr>
                <w:color w:val="auto"/>
                <w:sz w:val="21"/>
                <w:szCs w:val="21"/>
                <w:highlight w:val="none"/>
              </w:rPr>
              <w:t>表述</w:t>
            </w:r>
            <w:r>
              <w:rPr>
                <w:rFonts w:hint="eastAsia"/>
                <w:color w:val="auto"/>
                <w:sz w:val="21"/>
                <w:szCs w:val="21"/>
                <w:highlight w:val="none"/>
                <w:lang w:eastAsia="zh-CN"/>
              </w:rPr>
              <w:t>基本</w:t>
            </w:r>
            <w:r>
              <w:rPr>
                <w:color w:val="auto"/>
                <w:sz w:val="21"/>
                <w:szCs w:val="21"/>
                <w:highlight w:val="none"/>
              </w:rPr>
              <w:t>完整</w:t>
            </w:r>
            <w:r>
              <w:rPr>
                <w:rFonts w:hint="eastAsia" w:ascii="Times New Roman" w:hAnsi="Times New Roman"/>
                <w:color w:val="auto"/>
                <w:sz w:val="21"/>
                <w:szCs w:val="21"/>
                <w:highlight w:val="none"/>
                <w:lang w:eastAsia="zh-CN"/>
              </w:rPr>
              <w:t>，得</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eastAsia="zh-CN"/>
              </w:rPr>
              <w:t>分；</w:t>
            </w:r>
          </w:p>
          <w:p w14:paraId="30C02DB8">
            <w:pPr>
              <w:pStyle w:val="29"/>
              <w:ind w:left="0" w:leftChars="0" w:firstLine="420" w:firstLineChars="200"/>
              <w:jc w:val="left"/>
              <w:rPr>
                <w:color w:val="auto"/>
                <w:sz w:val="21"/>
                <w:szCs w:val="21"/>
                <w:highlight w:val="none"/>
              </w:rPr>
            </w:pPr>
            <w:r>
              <w:rPr>
                <w:rFonts w:hint="eastAsia" w:ascii="宋体" w:hAnsi="宋体" w:eastAsia="宋体" w:cs="宋体"/>
                <w:color w:val="auto"/>
                <w:sz w:val="21"/>
                <w:szCs w:val="21"/>
                <w:highlight w:val="none"/>
              </w:rPr>
              <w:t>②</w:t>
            </w:r>
            <w:r>
              <w:rPr>
                <w:color w:val="auto"/>
                <w:sz w:val="21"/>
                <w:szCs w:val="21"/>
                <w:highlight w:val="none"/>
              </w:rPr>
              <w:t>在本项</w:t>
            </w:r>
            <w:r>
              <w:rPr>
                <w:rFonts w:hint="eastAsia" w:ascii="宋体" w:hAnsi="宋体" w:eastAsia="宋体" w:cs="宋体"/>
                <w:color w:val="auto"/>
                <w:sz w:val="21"/>
                <w:szCs w:val="21"/>
                <w:highlight w:val="none"/>
              </w:rPr>
              <w:t>①</w:t>
            </w:r>
            <w:r>
              <w:rPr>
                <w:color w:val="auto"/>
                <w:sz w:val="21"/>
                <w:szCs w:val="21"/>
                <w:highlight w:val="none"/>
              </w:rPr>
              <w:t>基础上， 投标人</w:t>
            </w:r>
            <w:r>
              <w:rPr>
                <w:rFonts w:hint="eastAsia"/>
                <w:color w:val="auto"/>
                <w:sz w:val="21"/>
                <w:szCs w:val="21"/>
                <w:highlight w:val="none"/>
                <w:lang w:eastAsia="zh-CN"/>
              </w:rPr>
              <w:t>的应急处理预案</w:t>
            </w:r>
            <w:r>
              <w:rPr>
                <w:color w:val="auto"/>
                <w:sz w:val="21"/>
                <w:szCs w:val="21"/>
                <w:highlight w:val="none"/>
              </w:rPr>
              <w:t>针对</w:t>
            </w:r>
            <w:r>
              <w:rPr>
                <w:rFonts w:hint="eastAsia"/>
                <w:color w:val="auto"/>
                <w:sz w:val="21"/>
                <w:szCs w:val="21"/>
                <w:highlight w:val="none"/>
                <w:lang w:val="en-US" w:eastAsia="zh-CN"/>
              </w:rPr>
              <w:t>各种突发情况</w:t>
            </w:r>
            <w:r>
              <w:rPr>
                <w:rFonts w:hint="eastAsia"/>
                <w:color w:val="auto"/>
                <w:sz w:val="21"/>
                <w:szCs w:val="21"/>
                <w:highlight w:val="none"/>
                <w:lang w:eastAsia="zh-CN"/>
              </w:rPr>
              <w:t>处理措施、流程和处置预案详细具体，方案可行性良好</w:t>
            </w:r>
            <w:r>
              <w:rPr>
                <w:rFonts w:hint="eastAsia" w:ascii="宋体" w:hAnsi="宋体" w:cs="宋体"/>
                <w:snapToGrid w:val="0"/>
                <w:color w:val="auto"/>
                <w:sz w:val="21"/>
                <w:szCs w:val="21"/>
                <w:highlight w:val="none"/>
              </w:rPr>
              <w:t>，</w:t>
            </w:r>
            <w:r>
              <w:rPr>
                <w:color w:val="auto"/>
                <w:sz w:val="21"/>
                <w:szCs w:val="21"/>
                <w:highlight w:val="none"/>
              </w:rPr>
              <w:t>得</w:t>
            </w:r>
            <w:r>
              <w:rPr>
                <w:rFonts w:hint="eastAsia"/>
                <w:color w:val="auto"/>
                <w:sz w:val="21"/>
                <w:szCs w:val="21"/>
                <w:highlight w:val="none"/>
                <w:lang w:val="en-US" w:eastAsia="zh-CN"/>
              </w:rPr>
              <w:t>4</w:t>
            </w:r>
            <w:r>
              <w:rPr>
                <w:color w:val="auto"/>
                <w:sz w:val="21"/>
                <w:szCs w:val="21"/>
                <w:highlight w:val="none"/>
              </w:rPr>
              <w:t>分；</w:t>
            </w:r>
          </w:p>
          <w:p w14:paraId="2B4B9C34">
            <w:pPr>
              <w:pStyle w:val="29"/>
              <w:ind w:left="0" w:leftChars="0" w:firstLine="420" w:firstLineChars="200"/>
              <w:jc w:val="left"/>
              <w:rPr>
                <w:color w:val="auto"/>
                <w:sz w:val="21"/>
                <w:szCs w:val="21"/>
                <w:highlight w:val="none"/>
              </w:rPr>
            </w:pPr>
            <w:r>
              <w:rPr>
                <w:rFonts w:hint="eastAsia" w:ascii="宋体" w:hAnsi="宋体" w:eastAsia="宋体" w:cs="宋体"/>
                <w:color w:val="auto"/>
                <w:sz w:val="21"/>
                <w:szCs w:val="21"/>
                <w:highlight w:val="none"/>
              </w:rPr>
              <w:t>③</w:t>
            </w:r>
            <w:r>
              <w:rPr>
                <w:color w:val="auto"/>
                <w:sz w:val="21"/>
                <w:szCs w:val="21"/>
                <w:highlight w:val="none"/>
              </w:rPr>
              <w:t>在本项</w:t>
            </w:r>
            <w:r>
              <w:rPr>
                <w:rFonts w:hint="eastAsia" w:ascii="宋体" w:hAnsi="宋体" w:eastAsia="宋体" w:cs="宋体"/>
                <w:color w:val="auto"/>
                <w:sz w:val="21"/>
                <w:szCs w:val="21"/>
                <w:highlight w:val="none"/>
              </w:rPr>
              <w:t>②</w:t>
            </w:r>
            <w:r>
              <w:rPr>
                <w:color w:val="auto"/>
                <w:sz w:val="21"/>
                <w:szCs w:val="21"/>
                <w:highlight w:val="none"/>
              </w:rPr>
              <w:t>基础上，</w:t>
            </w:r>
            <w:r>
              <w:rPr>
                <w:rFonts w:hint="eastAsia"/>
                <w:color w:val="auto"/>
                <w:sz w:val="21"/>
                <w:szCs w:val="21"/>
                <w:highlight w:val="none"/>
                <w:lang w:val="en-US" w:eastAsia="zh-CN"/>
              </w:rPr>
              <w:t>各种措施有深入的分析，针对突发事件的处理措施、流程和处置预案贴合实际，能将影响控制到最低，方案可行性强</w:t>
            </w:r>
            <w:r>
              <w:rPr>
                <w:rFonts w:hint="eastAsia"/>
                <w:color w:val="auto"/>
                <w:sz w:val="21"/>
                <w:szCs w:val="21"/>
                <w:highlight w:val="none"/>
              </w:rPr>
              <w:t>，</w:t>
            </w:r>
            <w:r>
              <w:rPr>
                <w:color w:val="auto"/>
                <w:sz w:val="21"/>
                <w:szCs w:val="21"/>
                <w:highlight w:val="none"/>
              </w:rPr>
              <w:t>得</w:t>
            </w:r>
            <w:r>
              <w:rPr>
                <w:rFonts w:hint="eastAsia"/>
                <w:color w:val="auto"/>
                <w:sz w:val="21"/>
                <w:szCs w:val="21"/>
                <w:highlight w:val="none"/>
                <w:lang w:val="en-US" w:eastAsia="zh-CN"/>
              </w:rPr>
              <w:t>6</w:t>
            </w:r>
            <w:r>
              <w:rPr>
                <w:color w:val="auto"/>
                <w:sz w:val="21"/>
                <w:szCs w:val="21"/>
                <w:highlight w:val="none"/>
              </w:rPr>
              <w:t>分。</w:t>
            </w:r>
          </w:p>
          <w:p w14:paraId="35E96CC0">
            <w:pPr>
              <w:pStyle w:val="29"/>
              <w:ind w:firstLine="420" w:firstLineChars="200"/>
              <w:jc w:val="left"/>
              <w:rPr>
                <w:color w:val="auto"/>
                <w:sz w:val="21"/>
                <w:szCs w:val="21"/>
                <w:highlight w:val="none"/>
                <w:lang w:val="en-US" w:eastAsia="zh-CN"/>
              </w:rPr>
            </w:pPr>
            <w:r>
              <w:rPr>
                <w:color w:val="auto"/>
                <w:sz w:val="21"/>
                <w:szCs w:val="21"/>
                <w:highlight w:val="none"/>
              </w:rPr>
              <w:t>注：未提</w:t>
            </w:r>
            <w:r>
              <w:rPr>
                <w:rFonts w:ascii="Times New Roman" w:hAnsi="Times New Roman"/>
                <w:color w:val="auto"/>
                <w:sz w:val="21"/>
                <w:szCs w:val="21"/>
                <w:highlight w:val="none"/>
              </w:rPr>
              <w:t>供</w:t>
            </w:r>
            <w:r>
              <w:rPr>
                <w:rFonts w:hint="default" w:ascii="Times New Roman" w:hAnsi="Times New Roman"/>
                <w:snapToGrid/>
                <w:color w:val="auto"/>
                <w:sz w:val="21"/>
                <w:szCs w:val="21"/>
                <w:highlight w:val="none"/>
                <w:lang w:val="en-US" w:eastAsia="zh-CN"/>
              </w:rPr>
              <w:t>应急预案</w:t>
            </w:r>
            <w:r>
              <w:rPr>
                <w:rFonts w:ascii="Times New Roman" w:hAnsi="Times New Roman"/>
                <w:color w:val="auto"/>
                <w:sz w:val="21"/>
                <w:szCs w:val="21"/>
                <w:highlight w:val="none"/>
              </w:rPr>
              <w:t>或</w:t>
            </w:r>
            <w:r>
              <w:rPr>
                <w:rFonts w:hint="default" w:ascii="Times New Roman" w:hAnsi="Times New Roman"/>
                <w:snapToGrid/>
                <w:color w:val="auto"/>
                <w:sz w:val="21"/>
                <w:szCs w:val="21"/>
                <w:highlight w:val="none"/>
                <w:lang w:val="en-US" w:eastAsia="zh-CN"/>
              </w:rPr>
              <w:t>应急预案</w:t>
            </w:r>
            <w:r>
              <w:rPr>
                <w:rFonts w:ascii="Times New Roman" w:hAnsi="Times New Roman"/>
                <w:color w:val="auto"/>
                <w:sz w:val="21"/>
                <w:szCs w:val="21"/>
                <w:highlight w:val="none"/>
              </w:rPr>
              <w:t>达不到</w:t>
            </w:r>
            <w:r>
              <w:rPr>
                <w:rFonts w:hint="eastAsia" w:ascii="宋体" w:hAnsi="宋体" w:eastAsia="宋体" w:cs="宋体"/>
                <w:color w:val="auto"/>
                <w:sz w:val="21"/>
                <w:szCs w:val="21"/>
                <w:highlight w:val="none"/>
              </w:rPr>
              <w:t>①</w:t>
            </w:r>
            <w:r>
              <w:rPr>
                <w:color w:val="auto"/>
                <w:sz w:val="21"/>
                <w:szCs w:val="21"/>
                <w:highlight w:val="none"/>
              </w:rPr>
              <w:t>标准</w:t>
            </w:r>
            <w:r>
              <w:rPr>
                <w:rFonts w:hint="eastAsia"/>
                <w:color w:val="auto"/>
                <w:sz w:val="21"/>
                <w:szCs w:val="21"/>
                <w:highlight w:val="none"/>
              </w:rPr>
              <w:t>要求</w:t>
            </w:r>
            <w:r>
              <w:rPr>
                <w:color w:val="auto"/>
                <w:sz w:val="21"/>
                <w:szCs w:val="21"/>
                <w:highlight w:val="none"/>
              </w:rPr>
              <w:t>的计0分。</w:t>
            </w:r>
          </w:p>
        </w:tc>
        <w:tc>
          <w:tcPr>
            <w:tcW w:w="772" w:type="dxa"/>
            <w:noWrap/>
            <w:vAlign w:val="center"/>
          </w:tcPr>
          <w:p w14:paraId="0A4FE3F6">
            <w:pPr>
              <w:rPr>
                <w:rFonts w:hint="eastAsia"/>
                <w:color w:val="auto"/>
                <w:highlight w:val="none"/>
                <w:lang w:val="en-US" w:eastAsia="zh-CN"/>
              </w:rPr>
            </w:pPr>
            <w:r>
              <w:rPr>
                <w:rFonts w:hint="eastAsia"/>
                <w:color w:val="auto"/>
                <w:highlight w:val="none"/>
                <w:lang w:val="en-US" w:eastAsia="zh-CN"/>
              </w:rPr>
              <w:t>6</w:t>
            </w:r>
            <w:r>
              <w:rPr>
                <w:rFonts w:hint="eastAsia"/>
                <w:color w:val="auto"/>
                <w:highlight w:val="none"/>
              </w:rPr>
              <w:t>分</w:t>
            </w:r>
          </w:p>
        </w:tc>
      </w:tr>
      <w:tr w14:paraId="310A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noWrap/>
            <w:vAlign w:val="center"/>
          </w:tcPr>
          <w:p w14:paraId="12C135E3">
            <w:pPr>
              <w:rPr>
                <w:color w:val="auto"/>
                <w:highlight w:val="none"/>
              </w:rPr>
            </w:pPr>
          </w:p>
        </w:tc>
        <w:tc>
          <w:tcPr>
            <w:tcW w:w="1144" w:type="dxa"/>
            <w:vMerge w:val="continue"/>
            <w:noWrap/>
          </w:tcPr>
          <w:p w14:paraId="3E6F7CB4">
            <w:pPr>
              <w:rPr>
                <w:color w:val="auto"/>
                <w:highlight w:val="none"/>
                <w:lang w:val="zh-CN"/>
              </w:rPr>
            </w:pPr>
          </w:p>
        </w:tc>
        <w:tc>
          <w:tcPr>
            <w:tcW w:w="1129" w:type="dxa"/>
            <w:noWrap/>
            <w:vAlign w:val="center"/>
          </w:tcPr>
          <w:p w14:paraId="51501B3A">
            <w:pPr>
              <w:rPr>
                <w:color w:val="auto"/>
                <w:sz w:val="21"/>
                <w:szCs w:val="21"/>
                <w:highlight w:val="none"/>
                <w:lang w:val="zh-CN"/>
              </w:rPr>
            </w:pPr>
            <w:r>
              <w:rPr>
                <w:rFonts w:hint="eastAsia"/>
                <w:snapToGrid w:val="0"/>
                <w:color w:val="auto"/>
                <w:sz w:val="21"/>
                <w:szCs w:val="21"/>
                <w:highlight w:val="none"/>
                <w:lang w:eastAsia="zh-CN"/>
              </w:rPr>
              <w:t>管理方</w:t>
            </w:r>
            <w:r>
              <w:rPr>
                <w:rFonts w:hint="eastAsia"/>
                <w:snapToGrid w:val="0"/>
                <w:color w:val="auto"/>
                <w:sz w:val="21"/>
                <w:szCs w:val="21"/>
                <w:highlight w:val="none"/>
              </w:rPr>
              <w:t>案</w:t>
            </w:r>
            <w:r>
              <w:rPr>
                <w:rFonts w:hint="eastAsia"/>
                <w:snapToGrid w:val="0"/>
                <w:color w:val="auto"/>
                <w:sz w:val="21"/>
                <w:szCs w:val="21"/>
                <w:highlight w:val="none"/>
                <w:lang w:eastAsia="zh-CN"/>
              </w:rPr>
              <w:t>（</w:t>
            </w:r>
            <w:r>
              <w:rPr>
                <w:rFonts w:hint="eastAsia"/>
                <w:snapToGrid w:val="0"/>
                <w:color w:val="auto"/>
                <w:sz w:val="21"/>
                <w:szCs w:val="21"/>
                <w:highlight w:val="none"/>
                <w:lang w:val="en-US" w:eastAsia="zh-CN"/>
              </w:rPr>
              <w:t>6分</w:t>
            </w:r>
            <w:r>
              <w:rPr>
                <w:rFonts w:hint="eastAsia"/>
                <w:snapToGrid w:val="0"/>
                <w:color w:val="auto"/>
                <w:sz w:val="21"/>
                <w:szCs w:val="21"/>
                <w:highlight w:val="none"/>
                <w:lang w:eastAsia="zh-CN"/>
              </w:rPr>
              <w:t>）</w:t>
            </w:r>
          </w:p>
        </w:tc>
        <w:tc>
          <w:tcPr>
            <w:tcW w:w="5304" w:type="dxa"/>
            <w:noWrap/>
            <w:vAlign w:val="top"/>
          </w:tcPr>
          <w:p w14:paraId="5ADDDB23">
            <w:pPr>
              <w:pStyle w:val="29"/>
              <w:ind w:left="0" w:leftChars="0" w:firstLine="420" w:firstLineChars="200"/>
              <w:jc w:val="left"/>
              <w:rPr>
                <w:rFonts w:hint="eastAsia"/>
                <w:color w:val="auto"/>
                <w:sz w:val="21"/>
                <w:szCs w:val="21"/>
                <w:highlight w:val="none"/>
              </w:rPr>
            </w:pPr>
            <w:r>
              <w:rPr>
                <w:color w:val="auto"/>
                <w:sz w:val="21"/>
                <w:szCs w:val="21"/>
                <w:highlight w:val="none"/>
              </w:rPr>
              <w:t>由评标委员会根据投标人提供的</w:t>
            </w:r>
            <w:r>
              <w:rPr>
                <w:rFonts w:hint="eastAsia"/>
                <w:snapToGrid w:val="0"/>
                <w:color w:val="auto"/>
                <w:sz w:val="21"/>
                <w:szCs w:val="21"/>
                <w:highlight w:val="none"/>
                <w:lang w:eastAsia="zh-CN"/>
              </w:rPr>
              <w:t>管理方</w:t>
            </w:r>
            <w:r>
              <w:rPr>
                <w:rFonts w:hint="eastAsia"/>
                <w:snapToGrid w:val="0"/>
                <w:color w:val="auto"/>
                <w:sz w:val="21"/>
                <w:szCs w:val="21"/>
                <w:highlight w:val="none"/>
              </w:rPr>
              <w:t>案</w:t>
            </w:r>
            <w:r>
              <w:rPr>
                <w:rFonts w:hint="eastAsia"/>
                <w:snapToGrid w:val="0"/>
                <w:color w:val="auto"/>
                <w:sz w:val="21"/>
                <w:szCs w:val="21"/>
                <w:highlight w:val="none"/>
                <w:lang w:val="en-US" w:eastAsia="zh-CN"/>
              </w:rPr>
              <w:t>中</w:t>
            </w:r>
            <w:r>
              <w:rPr>
                <w:rFonts w:hint="eastAsia"/>
                <w:color w:val="auto"/>
                <w:sz w:val="21"/>
                <w:szCs w:val="21"/>
                <w:highlight w:val="none"/>
              </w:rPr>
              <w:t>关于</w:t>
            </w:r>
            <w:r>
              <w:rPr>
                <w:rFonts w:hint="eastAsia" w:ascii="宋体" w:hAnsi="宋体" w:eastAsia="宋体" w:cs="宋体"/>
                <w:iCs/>
                <w:color w:val="auto"/>
                <w:sz w:val="21"/>
                <w:szCs w:val="21"/>
                <w:highlight w:val="none"/>
                <w:lang w:eastAsia="zh-CN"/>
              </w:rPr>
              <w:t>人员管理制度、人员行为规范（包括但不限于仪表仪容整洁）、岗位工作标准、安全操作</w:t>
            </w:r>
            <w:r>
              <w:rPr>
                <w:rFonts w:hint="eastAsia" w:ascii="宋体" w:hAnsi="宋体" w:eastAsia="宋体" w:cs="宋体"/>
                <w:iCs/>
                <w:color w:val="auto"/>
                <w:sz w:val="21"/>
                <w:szCs w:val="21"/>
                <w:highlight w:val="none"/>
                <w:lang w:val="en-US" w:eastAsia="zh-CN"/>
              </w:rPr>
              <w:t>规程、</w:t>
            </w:r>
            <w:r>
              <w:rPr>
                <w:rFonts w:hint="eastAsia" w:ascii="宋体" w:hAnsi="宋体" w:eastAsia="宋体" w:cs="宋体"/>
                <w:b w:val="0"/>
                <w:bCs w:val="0"/>
                <w:iCs/>
                <w:color w:val="auto"/>
                <w:sz w:val="21"/>
                <w:szCs w:val="21"/>
                <w:highlight w:val="none"/>
                <w:lang w:eastAsia="zh-CN"/>
              </w:rPr>
              <w:t>资产管理制度、</w:t>
            </w:r>
            <w:r>
              <w:rPr>
                <w:rFonts w:hint="eastAsia" w:ascii="宋体" w:hAnsi="宋体" w:eastAsia="宋体" w:cs="宋体"/>
                <w:iCs/>
                <w:color w:val="auto"/>
                <w:sz w:val="21"/>
                <w:szCs w:val="21"/>
                <w:highlight w:val="none"/>
                <w:lang w:eastAsia="zh-CN"/>
              </w:rPr>
              <w:t>泄密处理条例、</w:t>
            </w:r>
            <w:r>
              <w:rPr>
                <w:rFonts w:hint="eastAsia" w:ascii="宋体" w:hAnsi="宋体" w:eastAsia="宋体" w:cs="宋体"/>
                <w:b w:val="0"/>
                <w:bCs w:val="0"/>
                <w:i w:val="0"/>
                <w:iCs w:val="0"/>
                <w:snapToGrid w:val="0"/>
                <w:color w:val="auto"/>
                <w:kern w:val="0"/>
                <w:sz w:val="21"/>
                <w:szCs w:val="21"/>
                <w:highlight w:val="none"/>
                <w:lang w:val="en-US" w:eastAsia="zh-CN" w:bidi="ar-SA"/>
              </w:rPr>
              <w:t>财务管理制度，</w:t>
            </w:r>
            <w:r>
              <w:rPr>
                <w:rFonts w:hint="eastAsia" w:ascii="宋体" w:hAnsi="宋体" w:eastAsia="宋体" w:cs="宋体"/>
                <w:b w:val="0"/>
                <w:bCs w:val="0"/>
                <w:iCs/>
                <w:color w:val="auto"/>
                <w:sz w:val="21"/>
                <w:szCs w:val="21"/>
                <w:highlight w:val="none"/>
                <w:lang w:eastAsia="zh-CN"/>
              </w:rPr>
              <w:t>人员保障方案、</w:t>
            </w:r>
            <w:r>
              <w:rPr>
                <w:rFonts w:hint="eastAsia" w:ascii="宋体" w:hAnsi="宋体" w:eastAsia="宋体" w:cs="宋体"/>
                <w:iCs/>
                <w:color w:val="auto"/>
                <w:sz w:val="21"/>
                <w:szCs w:val="21"/>
                <w:highlight w:val="none"/>
                <w:lang w:eastAsia="zh-CN"/>
              </w:rPr>
              <w:t>培训管理方案</w:t>
            </w:r>
            <w:r>
              <w:rPr>
                <w:color w:val="auto"/>
                <w:sz w:val="21"/>
                <w:szCs w:val="21"/>
                <w:highlight w:val="none"/>
              </w:rPr>
              <w:t>等</w:t>
            </w:r>
            <w:r>
              <w:rPr>
                <w:rFonts w:hint="eastAsia"/>
                <w:color w:val="auto"/>
                <w:sz w:val="21"/>
                <w:szCs w:val="21"/>
                <w:highlight w:val="none"/>
                <w:lang w:eastAsia="zh-CN"/>
              </w:rPr>
              <w:t>相关</w:t>
            </w:r>
            <w:r>
              <w:rPr>
                <w:color w:val="auto"/>
                <w:sz w:val="21"/>
                <w:szCs w:val="21"/>
                <w:highlight w:val="none"/>
              </w:rPr>
              <w:t>内容进行综合评审，以下各项不得重复计分</w:t>
            </w:r>
            <w:r>
              <w:rPr>
                <w:rFonts w:hint="eastAsia"/>
                <w:color w:val="auto"/>
                <w:sz w:val="21"/>
                <w:szCs w:val="21"/>
                <w:highlight w:val="none"/>
              </w:rPr>
              <w:t>：</w:t>
            </w:r>
          </w:p>
          <w:p w14:paraId="06B0F5F8">
            <w:pPr>
              <w:pStyle w:val="29"/>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①投标人提供了</w:t>
            </w:r>
            <w:r>
              <w:rPr>
                <w:rFonts w:hint="eastAsia"/>
                <w:snapToGrid w:val="0"/>
                <w:color w:val="auto"/>
                <w:sz w:val="21"/>
                <w:szCs w:val="21"/>
                <w:highlight w:val="none"/>
                <w:lang w:eastAsia="zh-CN"/>
              </w:rPr>
              <w:t>管理方</w:t>
            </w:r>
            <w:r>
              <w:rPr>
                <w:rFonts w:hint="eastAsia"/>
                <w:snapToGrid w:val="0"/>
                <w:color w:val="auto"/>
                <w:sz w:val="21"/>
                <w:szCs w:val="21"/>
                <w:highlight w:val="none"/>
              </w:rPr>
              <w:t>案</w:t>
            </w:r>
            <w:r>
              <w:rPr>
                <w:rFonts w:hint="eastAsia" w:ascii="宋体" w:hAnsi="宋体" w:eastAsia="宋体" w:cs="宋体"/>
                <w:color w:val="auto"/>
                <w:sz w:val="21"/>
                <w:szCs w:val="21"/>
                <w:highlight w:val="none"/>
              </w:rPr>
              <w:t>，包含但不限于</w:t>
            </w:r>
            <w:r>
              <w:rPr>
                <w:rFonts w:hint="eastAsia" w:ascii="宋体" w:hAnsi="宋体" w:eastAsia="宋体" w:cs="宋体"/>
                <w:iCs/>
                <w:color w:val="auto"/>
                <w:sz w:val="21"/>
                <w:szCs w:val="21"/>
                <w:highlight w:val="none"/>
                <w:lang w:eastAsia="zh-CN"/>
              </w:rPr>
              <w:t>人员管理制度、人员行为规范（包括但不限于仪表仪容整洁）、岗位工作标准、安全操作</w:t>
            </w:r>
            <w:r>
              <w:rPr>
                <w:rFonts w:hint="eastAsia" w:ascii="宋体" w:hAnsi="宋体" w:eastAsia="宋体" w:cs="宋体"/>
                <w:iCs/>
                <w:color w:val="auto"/>
                <w:sz w:val="21"/>
                <w:szCs w:val="21"/>
                <w:highlight w:val="none"/>
                <w:lang w:val="en-US" w:eastAsia="zh-CN"/>
              </w:rPr>
              <w:t>规程、</w:t>
            </w:r>
            <w:r>
              <w:rPr>
                <w:rFonts w:hint="eastAsia" w:ascii="宋体" w:hAnsi="宋体" w:eastAsia="宋体" w:cs="宋体"/>
                <w:b w:val="0"/>
                <w:bCs w:val="0"/>
                <w:iCs/>
                <w:color w:val="auto"/>
                <w:sz w:val="21"/>
                <w:szCs w:val="21"/>
                <w:highlight w:val="none"/>
                <w:lang w:eastAsia="zh-CN"/>
              </w:rPr>
              <w:t>资产管理制度、</w:t>
            </w:r>
            <w:r>
              <w:rPr>
                <w:rFonts w:hint="eastAsia" w:ascii="宋体" w:hAnsi="宋体" w:eastAsia="宋体" w:cs="宋体"/>
                <w:iCs/>
                <w:color w:val="auto"/>
                <w:sz w:val="21"/>
                <w:szCs w:val="21"/>
                <w:highlight w:val="none"/>
                <w:lang w:eastAsia="zh-CN"/>
              </w:rPr>
              <w:t>泄密处理条例、</w:t>
            </w:r>
            <w:r>
              <w:rPr>
                <w:rFonts w:hint="eastAsia" w:ascii="宋体" w:hAnsi="宋体" w:eastAsia="宋体" w:cs="宋体"/>
                <w:b w:val="0"/>
                <w:bCs w:val="0"/>
                <w:i w:val="0"/>
                <w:iCs w:val="0"/>
                <w:snapToGrid w:val="0"/>
                <w:color w:val="auto"/>
                <w:kern w:val="0"/>
                <w:sz w:val="21"/>
                <w:szCs w:val="21"/>
                <w:highlight w:val="none"/>
                <w:lang w:val="en-US" w:eastAsia="zh-CN" w:bidi="ar-SA"/>
              </w:rPr>
              <w:t>财务管理制度</w:t>
            </w:r>
            <w:r>
              <w:rPr>
                <w:color w:val="auto"/>
                <w:sz w:val="21"/>
                <w:szCs w:val="21"/>
                <w:highlight w:val="none"/>
              </w:rPr>
              <w:t>等</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，且各项</w:t>
            </w: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内容表述完整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满足本项目采购需求</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B3FC90D">
            <w:pPr>
              <w:pStyle w:val="29"/>
              <w:ind w:left="0" w:lef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在本项</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的基础上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投标人能根据项目采购需求中的</w:t>
            </w:r>
            <w:r>
              <w:rPr>
                <w:rFonts w:hint="eastAsia" w:ascii="宋体" w:hAnsi="宋体" w:eastAsia="宋体" w:cs="宋体"/>
                <w:color w:val="auto"/>
                <w:sz w:val="21"/>
                <w:szCs w:val="21"/>
                <w:highlight w:val="none"/>
                <w:lang w:val="en-US" w:eastAsia="zh-CN"/>
              </w:rPr>
              <w:t>人员培训</w:t>
            </w:r>
            <w:r>
              <w:rPr>
                <w:rFonts w:hint="eastAsia" w:ascii="宋体" w:hAnsi="宋体" w:eastAsia="宋体" w:cs="宋体"/>
                <w:color w:val="auto"/>
                <w:sz w:val="21"/>
                <w:szCs w:val="21"/>
                <w:highlight w:val="none"/>
                <w:lang w:eastAsia="zh-CN"/>
              </w:rPr>
              <w:t>要求制订相应</w:t>
            </w:r>
            <w:r>
              <w:rPr>
                <w:rFonts w:hint="eastAsia" w:ascii="宋体" w:hAnsi="宋体" w:eastAsia="宋体" w:cs="宋体"/>
                <w:color w:val="auto"/>
                <w:sz w:val="21"/>
                <w:szCs w:val="21"/>
                <w:highlight w:val="none"/>
                <w:lang w:val="en-US" w:eastAsia="zh-CN"/>
              </w:rPr>
              <w:t>培训计划、培训流程、培训内容、培训成果考核，有利于提高服务人员的服务</w:t>
            </w:r>
            <w:r>
              <w:rPr>
                <w:rFonts w:hint="eastAsia" w:asciiTheme="minorEastAsia" w:hAnsiTheme="minorEastAsia" w:eastAsiaTheme="minorEastAsia" w:cstheme="minorEastAsia"/>
                <w:b w:val="0"/>
                <w:color w:val="auto"/>
                <w:sz w:val="21"/>
                <w:szCs w:val="21"/>
                <w:highlight w:val="none"/>
              </w:rPr>
              <w:t>质量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9890D0E">
            <w:pPr>
              <w:pStyle w:val="29"/>
              <w:ind w:left="0" w:leftChars="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w:t>
            </w:r>
            <w:r>
              <w:rPr>
                <w:color w:val="auto"/>
                <w:sz w:val="21"/>
                <w:szCs w:val="21"/>
                <w:highlight w:val="none"/>
              </w:rPr>
              <w:t>在本项</w:t>
            </w:r>
            <w:r>
              <w:rPr>
                <w:rFonts w:hint="eastAsia" w:ascii="宋体" w:hAnsi="宋体" w:eastAsia="宋体" w:cs="宋体"/>
                <w:color w:val="auto"/>
                <w:sz w:val="21"/>
                <w:szCs w:val="21"/>
                <w:highlight w:val="none"/>
              </w:rPr>
              <w:t>②</w:t>
            </w:r>
            <w:r>
              <w:rPr>
                <w:color w:val="auto"/>
                <w:sz w:val="21"/>
                <w:szCs w:val="21"/>
                <w:highlight w:val="none"/>
              </w:rPr>
              <w:t>基础上，</w:t>
            </w:r>
            <w:r>
              <w:rPr>
                <w:rFonts w:hint="eastAsia"/>
                <w:color w:val="auto"/>
                <w:sz w:val="21"/>
                <w:szCs w:val="21"/>
                <w:highlight w:val="none"/>
                <w:lang w:eastAsia="zh-CN"/>
              </w:rPr>
              <w:t>制定</w:t>
            </w:r>
            <w:r>
              <w:rPr>
                <w:rFonts w:hint="eastAsia"/>
                <w:color w:val="auto"/>
                <w:sz w:val="21"/>
                <w:szCs w:val="21"/>
                <w:highlight w:val="none"/>
                <w:lang w:val="en-US" w:eastAsia="zh-CN"/>
              </w:rPr>
              <w:t>有</w:t>
            </w:r>
            <w:r>
              <w:rPr>
                <w:rFonts w:hint="eastAsia" w:ascii="宋体" w:hAnsi="宋体" w:eastAsia="宋体" w:cs="宋体"/>
                <w:iCs/>
                <w:color w:val="auto"/>
                <w:sz w:val="21"/>
                <w:szCs w:val="21"/>
                <w:highlight w:val="none"/>
                <w:lang w:eastAsia="zh-CN"/>
              </w:rPr>
              <w:t>人员激励及处罚机制、</w:t>
            </w:r>
            <w:r>
              <w:rPr>
                <w:rFonts w:hint="eastAsia"/>
                <w:color w:val="auto"/>
                <w:sz w:val="21"/>
                <w:szCs w:val="21"/>
                <w:highlight w:val="none"/>
                <w:lang w:val="en-US" w:eastAsia="zh-CN"/>
              </w:rPr>
              <w:t>人员考核、</w:t>
            </w:r>
            <w:r>
              <w:rPr>
                <w:rFonts w:hint="eastAsia" w:ascii="宋体" w:hAnsi="宋体" w:eastAsia="宋体" w:cs="宋体"/>
                <w:iCs/>
                <w:color w:val="auto"/>
                <w:sz w:val="21"/>
                <w:szCs w:val="21"/>
                <w:highlight w:val="none"/>
                <w:lang w:eastAsia="zh-CN"/>
              </w:rPr>
              <w:t>人员补替</w:t>
            </w:r>
            <w:r>
              <w:rPr>
                <w:rFonts w:hint="eastAsia"/>
                <w:color w:val="auto"/>
                <w:sz w:val="21"/>
                <w:szCs w:val="21"/>
                <w:highlight w:val="none"/>
                <w:lang w:val="en-US" w:eastAsia="zh-CN"/>
              </w:rPr>
              <w:t>等人员</w:t>
            </w:r>
            <w:r>
              <w:rPr>
                <w:rFonts w:hint="eastAsia" w:ascii="宋体" w:hAnsi="宋体" w:eastAsia="宋体" w:cs="宋体"/>
                <w:b w:val="0"/>
                <w:bCs w:val="0"/>
                <w:iCs/>
                <w:color w:val="auto"/>
                <w:sz w:val="21"/>
                <w:szCs w:val="21"/>
                <w:highlight w:val="none"/>
                <w:lang w:eastAsia="zh-CN"/>
              </w:rPr>
              <w:t>保障</w:t>
            </w:r>
            <w:r>
              <w:rPr>
                <w:rFonts w:hint="eastAsia"/>
                <w:color w:val="auto"/>
                <w:sz w:val="21"/>
                <w:szCs w:val="21"/>
                <w:highlight w:val="none"/>
                <w:lang w:val="en-US" w:eastAsia="zh-CN"/>
              </w:rPr>
              <w:t>方案，保障人员的稳定及持续，</w:t>
            </w:r>
            <w:r>
              <w:rPr>
                <w:rFonts w:hint="eastAsia" w:ascii="宋体" w:hAnsi="宋体" w:eastAsia="宋体" w:cs="宋体"/>
                <w:iCs/>
                <w:color w:val="auto"/>
                <w:sz w:val="21"/>
                <w:szCs w:val="21"/>
                <w:highlight w:val="none"/>
                <w:lang w:eastAsia="zh-CN"/>
              </w:rPr>
              <w:t>确保服务过程得到有效运行</w:t>
            </w:r>
            <w:r>
              <w:rPr>
                <w:rFonts w:hint="eastAsia" w:asciiTheme="minorEastAsia" w:hAnsiTheme="minorEastAsia" w:cstheme="minorEastAsia"/>
                <w:b w:val="0"/>
                <w:color w:val="auto"/>
                <w:sz w:val="21"/>
                <w:szCs w:val="21"/>
                <w:highlight w:val="none"/>
                <w:lang w:eastAsia="zh-CN"/>
              </w:rPr>
              <w:t>，</w:t>
            </w:r>
            <w:r>
              <w:rPr>
                <w:rFonts w:hint="eastAsia"/>
                <w:color w:val="auto"/>
                <w:sz w:val="21"/>
                <w:szCs w:val="21"/>
                <w:highlight w:val="none"/>
              </w:rPr>
              <w:t>得</w:t>
            </w:r>
            <w:r>
              <w:rPr>
                <w:rFonts w:hint="eastAsia"/>
                <w:color w:val="auto"/>
                <w:sz w:val="21"/>
                <w:szCs w:val="21"/>
                <w:highlight w:val="none"/>
                <w:lang w:val="en-US" w:eastAsia="zh-CN"/>
              </w:rPr>
              <w:t>6</w:t>
            </w:r>
            <w:r>
              <w:rPr>
                <w:rFonts w:hint="eastAsia"/>
                <w:color w:val="auto"/>
                <w:sz w:val="21"/>
                <w:szCs w:val="21"/>
                <w:highlight w:val="none"/>
              </w:rPr>
              <w:t>分。</w:t>
            </w:r>
          </w:p>
          <w:p w14:paraId="0544C90B">
            <w:pPr>
              <w:pStyle w:val="29"/>
              <w:ind w:firstLine="420"/>
              <w:jc w:val="left"/>
              <w:rPr>
                <w:color w:val="auto"/>
                <w:sz w:val="21"/>
                <w:szCs w:val="21"/>
                <w:highlight w:val="none"/>
                <w:lang w:val="zh-CN"/>
              </w:rPr>
            </w:pPr>
            <w:r>
              <w:rPr>
                <w:color w:val="auto"/>
                <w:sz w:val="21"/>
                <w:szCs w:val="21"/>
                <w:highlight w:val="none"/>
              </w:rPr>
              <w:t>注：未提供</w:t>
            </w:r>
            <w:r>
              <w:rPr>
                <w:rFonts w:hint="eastAsia"/>
                <w:snapToGrid w:val="0"/>
                <w:color w:val="auto"/>
                <w:sz w:val="21"/>
                <w:szCs w:val="21"/>
                <w:highlight w:val="none"/>
                <w:lang w:eastAsia="zh-CN"/>
              </w:rPr>
              <w:t>管理方</w:t>
            </w:r>
            <w:r>
              <w:rPr>
                <w:rFonts w:hint="eastAsia"/>
                <w:snapToGrid w:val="0"/>
                <w:color w:val="auto"/>
                <w:sz w:val="21"/>
                <w:szCs w:val="21"/>
                <w:highlight w:val="none"/>
              </w:rPr>
              <w:t>案</w:t>
            </w:r>
            <w:r>
              <w:rPr>
                <w:color w:val="auto"/>
                <w:sz w:val="21"/>
                <w:szCs w:val="21"/>
                <w:highlight w:val="none"/>
              </w:rPr>
              <w:t>或</w:t>
            </w:r>
            <w:r>
              <w:rPr>
                <w:rFonts w:hint="eastAsia"/>
                <w:snapToGrid w:val="0"/>
                <w:color w:val="auto"/>
                <w:sz w:val="21"/>
                <w:szCs w:val="21"/>
                <w:highlight w:val="none"/>
                <w:lang w:eastAsia="zh-CN"/>
              </w:rPr>
              <w:t>管理方</w:t>
            </w:r>
            <w:r>
              <w:rPr>
                <w:rFonts w:hint="eastAsia"/>
                <w:snapToGrid w:val="0"/>
                <w:color w:val="auto"/>
                <w:sz w:val="21"/>
                <w:szCs w:val="21"/>
                <w:highlight w:val="none"/>
              </w:rPr>
              <w:t>案</w:t>
            </w:r>
            <w:r>
              <w:rPr>
                <w:color w:val="auto"/>
                <w:sz w:val="21"/>
                <w:szCs w:val="21"/>
                <w:highlight w:val="none"/>
              </w:rPr>
              <w:t>达不到</w:t>
            </w:r>
            <w:r>
              <w:rPr>
                <w:rFonts w:hint="eastAsia" w:ascii="宋体" w:hAnsi="宋体" w:eastAsia="宋体" w:cs="宋体"/>
                <w:color w:val="auto"/>
                <w:sz w:val="21"/>
                <w:szCs w:val="21"/>
                <w:highlight w:val="none"/>
              </w:rPr>
              <w:t>①</w:t>
            </w:r>
            <w:r>
              <w:rPr>
                <w:color w:val="auto"/>
                <w:sz w:val="21"/>
                <w:szCs w:val="21"/>
                <w:highlight w:val="none"/>
              </w:rPr>
              <w:t>标准</w:t>
            </w:r>
            <w:r>
              <w:rPr>
                <w:rFonts w:hint="eastAsia"/>
                <w:color w:val="auto"/>
                <w:sz w:val="21"/>
                <w:szCs w:val="21"/>
                <w:highlight w:val="none"/>
              </w:rPr>
              <w:t>要求</w:t>
            </w:r>
            <w:r>
              <w:rPr>
                <w:color w:val="auto"/>
                <w:sz w:val="21"/>
                <w:szCs w:val="21"/>
                <w:highlight w:val="none"/>
              </w:rPr>
              <w:t>的计0分。</w:t>
            </w:r>
          </w:p>
        </w:tc>
        <w:tc>
          <w:tcPr>
            <w:tcW w:w="772" w:type="dxa"/>
            <w:noWrap/>
            <w:vAlign w:val="center"/>
          </w:tcPr>
          <w:p w14:paraId="3CD808C2">
            <w:pPr>
              <w:rPr>
                <w:color w:val="auto"/>
                <w:highlight w:val="none"/>
              </w:rPr>
            </w:pPr>
            <w:r>
              <w:rPr>
                <w:rFonts w:hint="eastAsia"/>
                <w:color w:val="auto"/>
                <w:highlight w:val="none"/>
                <w:lang w:val="en-US" w:eastAsia="zh-CN"/>
              </w:rPr>
              <w:t>6</w:t>
            </w:r>
            <w:r>
              <w:rPr>
                <w:rFonts w:hint="eastAsia"/>
                <w:color w:val="auto"/>
                <w:highlight w:val="none"/>
              </w:rPr>
              <w:t>分</w:t>
            </w:r>
          </w:p>
        </w:tc>
      </w:tr>
      <w:tr w14:paraId="70CE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noWrap/>
            <w:vAlign w:val="center"/>
          </w:tcPr>
          <w:p w14:paraId="562E2611">
            <w:pPr>
              <w:rPr>
                <w:color w:val="auto"/>
                <w:highlight w:val="none"/>
              </w:rPr>
            </w:pPr>
          </w:p>
        </w:tc>
        <w:tc>
          <w:tcPr>
            <w:tcW w:w="1144" w:type="dxa"/>
            <w:vMerge w:val="continue"/>
            <w:noWrap/>
          </w:tcPr>
          <w:p w14:paraId="698C014C">
            <w:pPr>
              <w:rPr>
                <w:color w:val="auto"/>
                <w:highlight w:val="none"/>
                <w:lang w:val="zh-CN"/>
              </w:rPr>
            </w:pPr>
          </w:p>
        </w:tc>
        <w:tc>
          <w:tcPr>
            <w:tcW w:w="1129" w:type="dxa"/>
            <w:noWrap/>
            <w:vAlign w:val="center"/>
          </w:tcPr>
          <w:p w14:paraId="13420714">
            <w:pPr>
              <w:rPr>
                <w:color w:val="auto"/>
                <w:highlight w:val="none"/>
              </w:rPr>
            </w:pPr>
            <w:r>
              <w:rPr>
                <w:color w:val="auto"/>
                <w:highlight w:val="none"/>
              </w:rPr>
              <w:t>技术力量</w:t>
            </w:r>
            <w:r>
              <w:rPr>
                <w:rFonts w:hint="eastAsia"/>
                <w:snapToGrid w:val="0"/>
                <w:color w:val="auto"/>
                <w:highlight w:val="none"/>
                <w:lang w:eastAsia="zh-CN"/>
              </w:rPr>
              <w:t>（</w:t>
            </w:r>
            <w:r>
              <w:rPr>
                <w:rFonts w:hint="eastAsia"/>
                <w:snapToGrid w:val="0"/>
                <w:color w:val="auto"/>
                <w:highlight w:val="none"/>
                <w:lang w:val="en-US" w:eastAsia="zh-CN"/>
              </w:rPr>
              <w:t>34分</w:t>
            </w:r>
            <w:r>
              <w:rPr>
                <w:rFonts w:hint="eastAsia"/>
                <w:snapToGrid w:val="0"/>
                <w:color w:val="auto"/>
                <w:highlight w:val="none"/>
                <w:lang w:eastAsia="zh-CN"/>
              </w:rPr>
              <w:t>）</w:t>
            </w:r>
          </w:p>
        </w:tc>
        <w:tc>
          <w:tcPr>
            <w:tcW w:w="5304" w:type="dxa"/>
            <w:noWrap/>
          </w:tcPr>
          <w:p w14:paraId="6B48779C">
            <w:pPr>
              <w:keepNext w:val="0"/>
              <w:keepLines w:val="0"/>
              <w:pageBreakBefore w:val="0"/>
              <w:widowControl/>
              <w:kinsoku/>
              <w:wordWrap/>
              <w:overflowPunct w:val="0"/>
              <w:topLinePunct w:val="0"/>
              <w:autoSpaceDE w:val="0"/>
              <w:autoSpaceDN w:val="0"/>
              <w:bidi w:val="0"/>
              <w:adjustRightInd w:val="0"/>
              <w:snapToGrid/>
              <w:spacing w:line="440" w:lineRule="exact"/>
              <w:ind w:firstLine="420" w:firstLineChars="200"/>
              <w:jc w:val="left"/>
              <w:textAlignment w:val="baseline"/>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投标人拟</w:t>
            </w:r>
            <w:r>
              <w:rPr>
                <w:rFonts w:hint="eastAsia" w:ascii="宋体" w:hAnsi="宋体" w:eastAsia="宋体" w:cs="宋体"/>
                <w:color w:val="auto"/>
                <w:szCs w:val="21"/>
                <w:highlight w:val="none"/>
                <w:lang w:val="en-US"/>
              </w:rPr>
              <w:t>投入本项目的人员数量、专业化程度、人员的相关工作经验等</w:t>
            </w:r>
            <w:r>
              <w:rPr>
                <w:rFonts w:hint="eastAsia" w:ascii="宋体" w:hAnsi="宋体" w:eastAsia="宋体" w:cs="宋体"/>
                <w:b w:val="0"/>
                <w:bCs/>
                <w:color w:val="auto"/>
                <w:szCs w:val="21"/>
                <w:highlight w:val="none"/>
                <w:lang w:val="en-US"/>
              </w:rPr>
              <w:t>在满足本项目采购需求的基础上</w:t>
            </w:r>
            <w:r>
              <w:rPr>
                <w:rFonts w:hint="eastAsia" w:ascii="宋体" w:hAnsi="宋体" w:eastAsia="宋体" w:cs="宋体"/>
                <w:color w:val="auto"/>
                <w:szCs w:val="21"/>
                <w:highlight w:val="none"/>
                <w:lang w:val="en-US"/>
              </w:rPr>
              <w:t>，对下列指标进行考核打分：</w:t>
            </w:r>
          </w:p>
          <w:p w14:paraId="5DCCA243">
            <w:pPr>
              <w:pStyle w:val="26"/>
              <w:ind w:left="210" w:leftChars="100" w:firstLine="210" w:firstLineChars="100"/>
              <w:rPr>
                <w:rFonts w:hint="eastAsia" w:ascii="宋体" w:hAnsi="宋体" w:eastAsia="宋体" w:cs="宋体"/>
                <w:bCs/>
                <w:i w:val="0"/>
                <w:iCs w:val="0"/>
                <w:snapToGrid/>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bidi="ar-SA"/>
              </w:rPr>
              <w:t>（1）非执法类办税服务厅辅助服务人员（24人）：具</w:t>
            </w:r>
            <w:r>
              <w:rPr>
                <w:rFonts w:hint="eastAsia" w:ascii="宋体" w:hAnsi="宋体" w:eastAsia="宋体" w:cs="宋体"/>
                <w:bCs/>
                <w:i w:val="0"/>
                <w:iCs w:val="0"/>
                <w:snapToGrid/>
                <w:color w:val="auto"/>
                <w:kern w:val="0"/>
                <w:sz w:val="21"/>
                <w:szCs w:val="21"/>
                <w:highlight w:val="none"/>
                <w:lang w:val="en-US" w:eastAsia="zh-CN"/>
              </w:rPr>
              <w:t>有</w:t>
            </w:r>
            <w:r>
              <w:rPr>
                <w:rFonts w:hint="eastAsia" w:ascii="宋体" w:hAnsi="宋体" w:cs="宋体"/>
                <w:bCs/>
                <w:i w:val="0"/>
                <w:iCs w:val="0"/>
                <w:snapToGrid/>
                <w:color w:val="auto"/>
                <w:kern w:val="0"/>
                <w:sz w:val="21"/>
                <w:szCs w:val="21"/>
                <w:highlight w:val="none"/>
                <w:lang w:val="en-US" w:eastAsia="zh-CN"/>
              </w:rPr>
              <w:t>2</w:t>
            </w:r>
            <w:r>
              <w:rPr>
                <w:rFonts w:hint="eastAsia" w:ascii="宋体" w:hAnsi="宋体" w:eastAsia="宋体" w:cs="宋体"/>
                <w:bCs/>
                <w:i w:val="0"/>
                <w:iCs w:val="0"/>
                <w:snapToGrid/>
                <w:color w:val="auto"/>
                <w:kern w:val="0"/>
                <w:sz w:val="21"/>
                <w:szCs w:val="21"/>
                <w:highlight w:val="none"/>
                <w:lang w:val="en-US" w:eastAsia="zh-CN"/>
              </w:rPr>
              <w:t>年</w:t>
            </w:r>
            <w:r>
              <w:rPr>
                <w:rFonts w:hint="eastAsia" w:ascii="宋体" w:hAnsi="宋体" w:cs="宋体"/>
                <w:bCs/>
                <w:i w:val="0"/>
                <w:iCs w:val="0"/>
                <w:snapToGrid/>
                <w:color w:val="auto"/>
                <w:kern w:val="0"/>
                <w:sz w:val="21"/>
                <w:szCs w:val="21"/>
                <w:highlight w:val="none"/>
                <w:lang w:val="en-US" w:eastAsia="zh-CN"/>
              </w:rPr>
              <w:t>以上</w:t>
            </w:r>
            <w:r>
              <w:rPr>
                <w:rFonts w:hint="eastAsia" w:ascii="宋体" w:hAnsi="宋体" w:eastAsia="宋体" w:cs="宋体"/>
                <w:bCs/>
                <w:i w:val="0"/>
                <w:iCs w:val="0"/>
                <w:snapToGrid/>
                <w:color w:val="auto"/>
                <w:kern w:val="0"/>
                <w:sz w:val="21"/>
                <w:szCs w:val="21"/>
                <w:highlight w:val="none"/>
                <w:lang w:val="en-US" w:eastAsia="zh-CN"/>
              </w:rPr>
              <w:t>相关工作经验，</w:t>
            </w:r>
            <w:r>
              <w:rPr>
                <w:rFonts w:hint="eastAsia" w:ascii="宋体" w:hAnsi="宋体" w:cs="宋体"/>
                <w:bCs/>
                <w:i w:val="0"/>
                <w:iCs w:val="0"/>
                <w:snapToGrid/>
                <w:color w:val="auto"/>
                <w:kern w:val="0"/>
                <w:sz w:val="21"/>
                <w:szCs w:val="21"/>
                <w:highlight w:val="none"/>
                <w:lang w:val="en-US" w:eastAsia="zh-CN"/>
              </w:rPr>
              <w:t>每人得1分，</w:t>
            </w:r>
            <w:r>
              <w:rPr>
                <w:rFonts w:hint="eastAsia" w:ascii="宋体" w:hAnsi="宋体" w:eastAsia="宋体" w:cs="宋体"/>
                <w:bCs/>
                <w:i w:val="0"/>
                <w:iCs w:val="0"/>
                <w:snapToGrid/>
                <w:color w:val="auto"/>
                <w:kern w:val="0"/>
                <w:sz w:val="21"/>
                <w:szCs w:val="21"/>
                <w:highlight w:val="none"/>
                <w:lang w:val="en-US" w:eastAsia="zh-CN"/>
              </w:rPr>
              <w:t>满分20分；</w:t>
            </w:r>
          </w:p>
          <w:p w14:paraId="7E9CD70F">
            <w:pPr>
              <w:pStyle w:val="26"/>
              <w:ind w:left="210" w:leftChars="100" w:firstLine="210" w:firstLineChars="1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bidi="ar-SA"/>
              </w:rPr>
              <w:t>非执法类税费管理辅助服务人员（11人）：具有</w:t>
            </w:r>
            <w:r>
              <w:rPr>
                <w:rFonts w:hint="eastAsia" w:ascii="宋体" w:hAnsi="宋体" w:cs="宋体"/>
                <w:bCs/>
                <w:i w:val="0"/>
                <w:iCs w:val="0"/>
                <w:snapToGrid/>
                <w:color w:val="auto"/>
                <w:kern w:val="0"/>
                <w:sz w:val="21"/>
                <w:szCs w:val="21"/>
                <w:highlight w:val="none"/>
                <w:lang w:val="en-US" w:eastAsia="zh-CN"/>
              </w:rPr>
              <w:t>2</w:t>
            </w:r>
            <w:r>
              <w:rPr>
                <w:rFonts w:hint="eastAsia" w:ascii="宋体" w:hAnsi="宋体" w:eastAsia="宋体" w:cs="宋体"/>
                <w:bCs/>
                <w:i w:val="0"/>
                <w:iCs w:val="0"/>
                <w:snapToGrid/>
                <w:color w:val="auto"/>
                <w:kern w:val="0"/>
                <w:sz w:val="21"/>
                <w:szCs w:val="21"/>
                <w:highlight w:val="none"/>
                <w:lang w:val="en-US" w:eastAsia="zh-CN"/>
              </w:rPr>
              <w:t>年</w:t>
            </w:r>
            <w:r>
              <w:rPr>
                <w:rFonts w:hint="eastAsia" w:ascii="宋体" w:hAnsi="宋体" w:cs="宋体"/>
                <w:bCs/>
                <w:i w:val="0"/>
                <w:iCs w:val="0"/>
                <w:snapToGrid/>
                <w:color w:val="auto"/>
                <w:kern w:val="0"/>
                <w:sz w:val="21"/>
                <w:szCs w:val="21"/>
                <w:highlight w:val="none"/>
                <w:lang w:val="en-US" w:eastAsia="zh-CN"/>
              </w:rPr>
              <w:t>以上</w:t>
            </w:r>
            <w:r>
              <w:rPr>
                <w:rFonts w:hint="eastAsia" w:ascii="宋体" w:hAnsi="宋体" w:eastAsia="宋体" w:cs="宋体"/>
                <w:bCs/>
                <w:i w:val="0"/>
                <w:iCs w:val="0"/>
                <w:snapToGrid/>
                <w:color w:val="auto"/>
                <w:kern w:val="0"/>
                <w:sz w:val="21"/>
                <w:szCs w:val="21"/>
                <w:highlight w:val="none"/>
                <w:lang w:val="en-US" w:eastAsia="zh-CN"/>
              </w:rPr>
              <w:t>相关工作经验</w:t>
            </w:r>
            <w:r>
              <w:rPr>
                <w:rFonts w:hint="eastAsia" w:ascii="宋体" w:hAnsi="宋体" w:cs="宋体"/>
                <w:bCs/>
                <w:i w:val="0"/>
                <w:iCs w:val="0"/>
                <w:snapToGrid/>
                <w:color w:val="auto"/>
                <w:kern w:val="0"/>
                <w:sz w:val="21"/>
                <w:szCs w:val="21"/>
                <w:highlight w:val="none"/>
                <w:lang w:val="en-US" w:eastAsia="zh-CN"/>
              </w:rPr>
              <w:t>，每人得1分，</w:t>
            </w:r>
            <w:r>
              <w:rPr>
                <w:rFonts w:hint="eastAsia" w:ascii="宋体" w:hAnsi="宋体" w:eastAsia="宋体" w:cs="宋体"/>
                <w:bCs/>
                <w:i w:val="0"/>
                <w:iCs w:val="0"/>
                <w:snapToGrid/>
                <w:color w:val="auto"/>
                <w:kern w:val="0"/>
                <w:sz w:val="21"/>
                <w:szCs w:val="21"/>
                <w:highlight w:val="none"/>
                <w:lang w:val="en-US" w:eastAsia="zh-CN"/>
              </w:rPr>
              <w:t>满分8分</w:t>
            </w:r>
            <w:r>
              <w:rPr>
                <w:rFonts w:hint="eastAsia" w:ascii="宋体" w:hAnsi="宋体" w:eastAsia="宋体" w:cs="宋体"/>
                <w:bCs/>
                <w:color w:val="auto"/>
                <w:sz w:val="21"/>
                <w:szCs w:val="21"/>
                <w:highlight w:val="none"/>
                <w:lang w:val="en-US" w:eastAsia="zh-CN" w:bidi="ar-SA"/>
              </w:rPr>
              <w:t>；</w:t>
            </w:r>
          </w:p>
          <w:p w14:paraId="381D3934">
            <w:pPr>
              <w:pStyle w:val="26"/>
              <w:ind w:left="0" w:leftChars="0"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（3）非执法类综合管理服务人员（6人）：具有</w:t>
            </w:r>
            <w:r>
              <w:rPr>
                <w:rFonts w:hint="eastAsia" w:ascii="宋体" w:hAnsi="宋体" w:cs="宋体"/>
                <w:bCs/>
                <w:i w:val="0"/>
                <w:iCs w:val="0"/>
                <w:snapToGrid/>
                <w:color w:val="auto"/>
                <w:kern w:val="0"/>
                <w:sz w:val="21"/>
                <w:szCs w:val="21"/>
                <w:highlight w:val="none"/>
                <w:lang w:val="en-US" w:eastAsia="zh-CN"/>
              </w:rPr>
              <w:t>2</w:t>
            </w:r>
            <w:r>
              <w:rPr>
                <w:rFonts w:hint="eastAsia" w:ascii="宋体" w:hAnsi="宋体" w:eastAsia="宋体" w:cs="宋体"/>
                <w:bCs/>
                <w:i w:val="0"/>
                <w:iCs w:val="0"/>
                <w:snapToGrid/>
                <w:color w:val="auto"/>
                <w:kern w:val="0"/>
                <w:sz w:val="21"/>
                <w:szCs w:val="21"/>
                <w:highlight w:val="none"/>
                <w:lang w:val="en-US" w:eastAsia="zh-CN"/>
              </w:rPr>
              <w:t>年</w:t>
            </w:r>
            <w:r>
              <w:rPr>
                <w:rFonts w:hint="eastAsia" w:ascii="宋体" w:hAnsi="宋体" w:cs="宋体"/>
                <w:bCs/>
                <w:i w:val="0"/>
                <w:iCs w:val="0"/>
                <w:snapToGrid/>
                <w:color w:val="auto"/>
                <w:kern w:val="0"/>
                <w:sz w:val="21"/>
                <w:szCs w:val="21"/>
                <w:highlight w:val="none"/>
                <w:lang w:val="en-US" w:eastAsia="zh-CN"/>
              </w:rPr>
              <w:t>以上</w:t>
            </w:r>
            <w:r>
              <w:rPr>
                <w:rFonts w:hint="eastAsia" w:ascii="宋体" w:hAnsi="宋体" w:eastAsia="宋体" w:cs="宋体"/>
                <w:bCs/>
                <w:i w:val="0"/>
                <w:iCs w:val="0"/>
                <w:snapToGrid/>
                <w:color w:val="auto"/>
                <w:kern w:val="0"/>
                <w:sz w:val="21"/>
                <w:szCs w:val="21"/>
                <w:highlight w:val="none"/>
                <w:lang w:val="en-US" w:eastAsia="zh-CN"/>
              </w:rPr>
              <w:t>相关工作经验，</w:t>
            </w:r>
            <w:r>
              <w:rPr>
                <w:rFonts w:hint="eastAsia" w:ascii="宋体" w:hAnsi="宋体" w:cs="宋体"/>
                <w:bCs/>
                <w:i w:val="0"/>
                <w:iCs w:val="0"/>
                <w:snapToGrid/>
                <w:color w:val="auto"/>
                <w:kern w:val="0"/>
                <w:sz w:val="21"/>
                <w:szCs w:val="21"/>
                <w:highlight w:val="none"/>
                <w:lang w:val="en-US" w:eastAsia="zh-CN"/>
              </w:rPr>
              <w:t>每人得1分，</w:t>
            </w:r>
            <w:r>
              <w:rPr>
                <w:rFonts w:hint="eastAsia" w:ascii="宋体" w:hAnsi="宋体" w:eastAsia="宋体" w:cs="宋体"/>
                <w:bCs/>
                <w:i w:val="0"/>
                <w:iCs w:val="0"/>
                <w:snapToGrid/>
                <w:color w:val="auto"/>
                <w:kern w:val="0"/>
                <w:sz w:val="21"/>
                <w:szCs w:val="21"/>
                <w:highlight w:val="none"/>
                <w:lang w:val="en-US" w:eastAsia="zh-CN"/>
              </w:rPr>
              <w:t>满分3分</w:t>
            </w:r>
            <w:r>
              <w:rPr>
                <w:rFonts w:hint="eastAsia" w:ascii="宋体" w:hAnsi="宋体" w:eastAsia="宋体" w:cs="宋体"/>
                <w:bCs/>
                <w:color w:val="auto"/>
                <w:sz w:val="21"/>
                <w:szCs w:val="21"/>
                <w:highlight w:val="none"/>
                <w:lang w:val="en-US" w:eastAsia="zh-CN" w:bidi="ar-SA"/>
              </w:rPr>
              <w:t>；</w:t>
            </w:r>
          </w:p>
          <w:p w14:paraId="40C22057">
            <w:pPr>
              <w:pStyle w:val="26"/>
              <w:ind w:left="0" w:leftChars="0"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（4）司勤服务人员（1人）：</w:t>
            </w:r>
            <w:r>
              <w:rPr>
                <w:rFonts w:hint="eastAsia"/>
                <w:color w:val="auto"/>
                <w:sz w:val="21"/>
                <w:szCs w:val="21"/>
                <w:highlight w:val="none"/>
                <w:lang w:val="en-US" w:eastAsia="zh-CN"/>
              </w:rPr>
              <w:t>取得驾驶证时间</w:t>
            </w:r>
            <w:r>
              <w:rPr>
                <w:rFonts w:hint="eastAsia" w:ascii="宋体" w:hAnsi="宋体" w:eastAsia="宋体" w:cs="宋体"/>
                <w:bCs/>
                <w:i w:val="0"/>
                <w:iCs w:val="0"/>
                <w:snapToGrid/>
                <w:color w:val="auto"/>
                <w:kern w:val="0"/>
                <w:sz w:val="21"/>
                <w:szCs w:val="21"/>
                <w:highlight w:val="none"/>
                <w:lang w:val="en-US" w:eastAsia="zh-CN"/>
              </w:rPr>
              <w:t>4年以上，得1分</w:t>
            </w:r>
            <w:r>
              <w:rPr>
                <w:rFonts w:hint="eastAsia" w:ascii="宋体" w:hAnsi="宋体" w:eastAsia="宋体" w:cs="宋体"/>
                <w:bCs/>
                <w:color w:val="auto"/>
                <w:sz w:val="21"/>
                <w:szCs w:val="21"/>
                <w:highlight w:val="none"/>
                <w:lang w:val="en-US" w:eastAsia="zh-CN" w:bidi="ar-SA"/>
              </w:rPr>
              <w:t>；</w:t>
            </w:r>
          </w:p>
          <w:p w14:paraId="41A3A1C3">
            <w:pPr>
              <w:pStyle w:val="26"/>
              <w:ind w:left="0" w:leftChars="0"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（5）会议服务人员（1人）：</w:t>
            </w:r>
            <w:r>
              <w:rPr>
                <w:rFonts w:hint="eastAsia" w:ascii="宋体" w:hAnsi="宋体" w:eastAsia="宋体" w:cs="宋体"/>
                <w:bCs/>
                <w:i w:val="0"/>
                <w:iCs w:val="0"/>
                <w:snapToGrid/>
                <w:color w:val="auto"/>
                <w:kern w:val="0"/>
                <w:sz w:val="21"/>
                <w:szCs w:val="21"/>
                <w:highlight w:val="none"/>
                <w:lang w:val="en-US" w:eastAsia="zh-CN"/>
              </w:rPr>
              <w:t>有2年以上相关工作经验，得1分</w:t>
            </w:r>
            <w:r>
              <w:rPr>
                <w:rFonts w:hint="eastAsia" w:ascii="宋体" w:hAnsi="宋体" w:eastAsia="宋体" w:cs="宋体"/>
                <w:bCs/>
                <w:color w:val="auto"/>
                <w:sz w:val="21"/>
                <w:szCs w:val="21"/>
                <w:highlight w:val="none"/>
                <w:lang w:val="en-US" w:eastAsia="zh-CN" w:bidi="ar-SA"/>
              </w:rPr>
              <w:t>；</w:t>
            </w:r>
          </w:p>
          <w:p w14:paraId="636FF917">
            <w:pPr>
              <w:pStyle w:val="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sz w:val="21"/>
                <w:szCs w:val="21"/>
                <w:highlight w:val="none"/>
                <w:lang w:val="en-US" w:eastAsia="zh-CN" w:bidi="ar-SA"/>
              </w:rPr>
              <w:t>（6）档案管理服务人员（1人）：具有</w:t>
            </w:r>
            <w:r>
              <w:rPr>
                <w:rFonts w:hint="eastAsia" w:ascii="宋体" w:hAnsi="宋体" w:eastAsia="宋体" w:cs="宋体"/>
                <w:bCs/>
                <w:i w:val="0"/>
                <w:iCs w:val="0"/>
                <w:snapToGrid/>
                <w:color w:val="auto"/>
                <w:kern w:val="0"/>
                <w:sz w:val="21"/>
                <w:szCs w:val="21"/>
                <w:highlight w:val="none"/>
                <w:lang w:val="en-US" w:eastAsia="zh-CN"/>
              </w:rPr>
              <w:t>1年以上相关工作经验，得1分，满分1分</w:t>
            </w:r>
            <w:r>
              <w:rPr>
                <w:rFonts w:hint="eastAsia" w:ascii="宋体" w:hAnsi="宋体" w:eastAsia="宋体" w:cs="宋体"/>
                <w:bCs/>
                <w:color w:val="auto"/>
                <w:sz w:val="21"/>
                <w:szCs w:val="21"/>
                <w:highlight w:val="none"/>
                <w:lang w:val="en-US" w:eastAsia="zh-CN" w:bidi="ar-SA"/>
              </w:rPr>
              <w:t>。</w:t>
            </w:r>
          </w:p>
          <w:p w14:paraId="0733416E">
            <w:pPr>
              <w:pStyle w:val="8"/>
              <w:spacing w:line="360" w:lineRule="auto"/>
              <w:ind w:firstLine="420" w:firstLineChars="200"/>
              <w:rPr>
                <w:rFonts w:hint="eastAsia" w:ascii="宋体" w:hAnsi="宋体" w:cs="宋体" w:eastAsiaTheme="minorEastAsia"/>
                <w:color w:val="auto"/>
                <w:sz w:val="21"/>
                <w:szCs w:val="21"/>
                <w:highlight w:val="none"/>
                <w:lang w:val="en-US" w:eastAsia="zh-CN"/>
              </w:rPr>
            </w:pPr>
            <w:r>
              <w:rPr>
                <w:rFonts w:hint="eastAsia" w:ascii="Times New Roman" w:hAnsi="Times New Roman" w:eastAsia="宋体" w:cs="Times New Roman"/>
                <w:color w:val="auto"/>
                <w:highlight w:val="none"/>
                <w:lang w:val="zh-CN" w:eastAsia="zh-CN"/>
              </w:rPr>
              <w:t>注：投标人需提供拟投入技术力量一览表、拟投入人员清单及投入人员的学历、相关资格证书（如驾驶证）、工作年限履历（简历）或其他工作年限证明等复印件，以及拟投入人员与投标人签署的劳动合同（截止本项目开标当天合同仍在有效期内）复印件。以上材料均需加盖公章（投标人如能够在线查询的材料，请提供查询网址链接，可以不用同时提供纸质材料）</w:t>
            </w:r>
            <w:r>
              <w:rPr>
                <w:rFonts w:hint="eastAsia" w:hAnsi="宋体"/>
                <w:color w:val="auto"/>
                <w:highlight w:val="none"/>
                <w:lang w:eastAsia="zh-CN"/>
              </w:rPr>
              <w:t>。</w:t>
            </w:r>
          </w:p>
        </w:tc>
        <w:tc>
          <w:tcPr>
            <w:tcW w:w="772" w:type="dxa"/>
            <w:noWrap/>
            <w:vAlign w:val="center"/>
          </w:tcPr>
          <w:p w14:paraId="0C8F213A">
            <w:pPr>
              <w:rPr>
                <w:color w:val="auto"/>
                <w:highlight w:val="none"/>
              </w:rPr>
            </w:pPr>
            <w:r>
              <w:rPr>
                <w:rFonts w:hint="eastAsia"/>
                <w:color w:val="auto"/>
                <w:highlight w:val="none"/>
                <w:lang w:val="en-US" w:eastAsia="zh-CN"/>
              </w:rPr>
              <w:t>34</w:t>
            </w:r>
            <w:r>
              <w:rPr>
                <w:rFonts w:hint="eastAsia"/>
                <w:color w:val="auto"/>
                <w:highlight w:val="none"/>
              </w:rPr>
              <w:t>分</w:t>
            </w:r>
          </w:p>
        </w:tc>
      </w:tr>
      <w:tr w14:paraId="0ED6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restart"/>
            <w:noWrap/>
            <w:vAlign w:val="center"/>
          </w:tcPr>
          <w:p w14:paraId="2EDB0892">
            <w:pPr>
              <w:rPr>
                <w:color w:val="auto"/>
                <w:highlight w:val="none"/>
              </w:rPr>
            </w:pPr>
            <w:r>
              <w:rPr>
                <w:rFonts w:hint="eastAsia"/>
                <w:color w:val="auto"/>
                <w:highlight w:val="none"/>
              </w:rPr>
              <w:t>3</w:t>
            </w:r>
          </w:p>
        </w:tc>
        <w:tc>
          <w:tcPr>
            <w:tcW w:w="1144" w:type="dxa"/>
            <w:vMerge w:val="restart"/>
            <w:noWrap/>
            <w:vAlign w:val="center"/>
          </w:tcPr>
          <w:p w14:paraId="753236DB">
            <w:pPr>
              <w:rPr>
                <w:color w:val="auto"/>
                <w:highlight w:val="none"/>
                <w:lang w:val="zh-CN"/>
              </w:rPr>
            </w:pPr>
            <w:r>
              <w:rPr>
                <w:rFonts w:hint="eastAsia"/>
                <w:color w:val="auto"/>
                <w:highlight w:val="none"/>
                <w:lang w:val="zh-CN"/>
              </w:rPr>
              <w:t>商务因素</w:t>
            </w:r>
          </w:p>
          <w:p w14:paraId="54C6F3B8">
            <w:pPr>
              <w:pStyle w:val="9"/>
              <w:rPr>
                <w:color w:val="auto"/>
                <w:highlight w:val="none"/>
              </w:rPr>
            </w:pPr>
            <w:r>
              <w:rPr>
                <w:rFonts w:hint="eastAsia"/>
                <w:color w:val="auto"/>
                <w:highlight w:val="none"/>
              </w:rPr>
              <w:t>（满分</w:t>
            </w:r>
            <w:r>
              <w:rPr>
                <w:rFonts w:hint="eastAsia"/>
                <w:color w:val="auto"/>
                <w:highlight w:val="none"/>
                <w:lang w:val="en-US" w:eastAsia="zh-CN"/>
              </w:rPr>
              <w:t>16</w:t>
            </w:r>
            <w:r>
              <w:rPr>
                <w:rFonts w:hint="eastAsia"/>
                <w:color w:val="auto"/>
                <w:highlight w:val="none"/>
              </w:rPr>
              <w:t>分）</w:t>
            </w:r>
          </w:p>
        </w:tc>
        <w:tc>
          <w:tcPr>
            <w:tcW w:w="1129" w:type="dxa"/>
            <w:noWrap/>
            <w:vAlign w:val="center"/>
          </w:tcPr>
          <w:p w14:paraId="30E9FD90">
            <w:pPr>
              <w:rPr>
                <w:color w:val="auto"/>
                <w:highlight w:val="none"/>
                <w:lang w:val="zh-CN"/>
              </w:rPr>
            </w:pPr>
            <w:r>
              <w:rPr>
                <w:rFonts w:hint="eastAsia"/>
                <w:color w:val="auto"/>
                <w:highlight w:val="none"/>
                <w:lang w:val="zh-CN"/>
              </w:rPr>
              <w:t>企业认证证书</w:t>
            </w:r>
            <w:r>
              <w:rPr>
                <w:rFonts w:hint="eastAsia"/>
                <w:snapToGrid w:val="0"/>
                <w:color w:val="auto"/>
                <w:highlight w:val="none"/>
                <w:lang w:eastAsia="zh-CN"/>
              </w:rPr>
              <w:t>（</w:t>
            </w:r>
            <w:r>
              <w:rPr>
                <w:rFonts w:hint="eastAsia"/>
                <w:snapToGrid w:val="0"/>
                <w:color w:val="auto"/>
                <w:highlight w:val="none"/>
                <w:lang w:val="en-US" w:eastAsia="zh-CN"/>
              </w:rPr>
              <w:t>6分</w:t>
            </w:r>
            <w:r>
              <w:rPr>
                <w:rFonts w:hint="eastAsia"/>
                <w:snapToGrid w:val="0"/>
                <w:color w:val="auto"/>
                <w:highlight w:val="none"/>
                <w:lang w:eastAsia="zh-CN"/>
              </w:rPr>
              <w:t>）</w:t>
            </w:r>
          </w:p>
        </w:tc>
        <w:tc>
          <w:tcPr>
            <w:tcW w:w="5304" w:type="dxa"/>
            <w:noWrap/>
            <w:vAlign w:val="center"/>
          </w:tcPr>
          <w:p w14:paraId="5426122C">
            <w:pPr>
              <w:ind w:firstLine="420" w:firstLineChars="200"/>
              <w:jc w:val="left"/>
              <w:rPr>
                <w:color w:val="auto"/>
                <w:highlight w:val="none"/>
                <w:lang w:val="zh-CN"/>
              </w:rPr>
            </w:pPr>
            <w:r>
              <w:rPr>
                <w:rFonts w:hint="eastAsia"/>
                <w:color w:val="auto"/>
                <w:highlight w:val="none"/>
              </w:rPr>
              <w:t>投标人具有有效期内的</w:t>
            </w:r>
            <w:r>
              <w:rPr>
                <w:rFonts w:hint="eastAsia"/>
                <w:color w:val="auto"/>
                <w:highlight w:val="none"/>
                <w:lang w:val="en-US" w:eastAsia="zh-CN"/>
              </w:rPr>
              <w:t>质量管理体系认证(GB/T19001/ISO9001)证书、环境管理体系认证（ISO14001或GB/T24001）证书、职业健康安全管理体系认证（ISO45001或OHSAS18001或GB/T45001）证书的</w:t>
            </w:r>
            <w:r>
              <w:rPr>
                <w:rFonts w:hint="eastAsia" w:hAnsi="宋体"/>
                <w:color w:val="auto"/>
                <w:highlight w:val="none"/>
              </w:rPr>
              <w:t>，每个得</w:t>
            </w:r>
            <w:r>
              <w:rPr>
                <w:rFonts w:hint="eastAsia" w:hAnsi="宋体"/>
                <w:color w:val="auto"/>
                <w:highlight w:val="none"/>
                <w:lang w:val="en-US" w:eastAsia="zh-CN"/>
              </w:rPr>
              <w:t>2</w:t>
            </w:r>
            <w:r>
              <w:rPr>
                <w:rFonts w:hint="eastAsia" w:hAnsi="宋体"/>
                <w:color w:val="auto"/>
                <w:highlight w:val="none"/>
              </w:rPr>
              <w:t>分，满分</w:t>
            </w:r>
            <w:r>
              <w:rPr>
                <w:rFonts w:hint="eastAsia" w:hAnsi="宋体"/>
                <w:color w:val="auto"/>
                <w:highlight w:val="none"/>
                <w:lang w:val="en-US" w:eastAsia="zh-CN"/>
              </w:rPr>
              <w:t>6</w:t>
            </w:r>
            <w:r>
              <w:rPr>
                <w:rFonts w:hint="eastAsia" w:hAnsi="宋体"/>
                <w:color w:val="auto"/>
                <w:highlight w:val="none"/>
              </w:rPr>
              <w:t>分</w:t>
            </w:r>
            <w:r>
              <w:rPr>
                <w:rFonts w:hint="eastAsia"/>
                <w:color w:val="auto"/>
                <w:highlight w:val="none"/>
              </w:rPr>
              <w:t>（投标文件中提供证书复印件并加盖单位公章）</w:t>
            </w:r>
            <w:r>
              <w:rPr>
                <w:rFonts w:hint="eastAsia"/>
                <w:color w:val="auto"/>
                <w:highlight w:val="none"/>
                <w:lang w:val="zh-CN"/>
              </w:rPr>
              <w:t>。</w:t>
            </w:r>
          </w:p>
        </w:tc>
        <w:tc>
          <w:tcPr>
            <w:tcW w:w="772" w:type="dxa"/>
            <w:noWrap/>
            <w:vAlign w:val="center"/>
          </w:tcPr>
          <w:p w14:paraId="59ED45C2">
            <w:pPr>
              <w:rPr>
                <w:color w:val="auto"/>
                <w:highlight w:val="none"/>
                <w:lang w:val="zh-CN"/>
              </w:rPr>
            </w:pPr>
            <w:r>
              <w:rPr>
                <w:rFonts w:hint="eastAsia"/>
                <w:color w:val="auto"/>
                <w:highlight w:val="none"/>
              </w:rPr>
              <w:t>6分</w:t>
            </w:r>
          </w:p>
        </w:tc>
      </w:tr>
      <w:tr w14:paraId="33AB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0" w:type="dxa"/>
            <w:vMerge w:val="continue"/>
            <w:noWrap/>
            <w:vAlign w:val="center"/>
          </w:tcPr>
          <w:p w14:paraId="1C3AA19A">
            <w:pPr>
              <w:rPr>
                <w:color w:val="auto"/>
                <w:highlight w:val="none"/>
              </w:rPr>
            </w:pPr>
          </w:p>
        </w:tc>
        <w:tc>
          <w:tcPr>
            <w:tcW w:w="1144" w:type="dxa"/>
            <w:vMerge w:val="continue"/>
            <w:noWrap/>
          </w:tcPr>
          <w:p w14:paraId="2CBDAC94">
            <w:pPr>
              <w:rPr>
                <w:color w:val="auto"/>
                <w:highlight w:val="none"/>
                <w:lang w:val="zh-CN"/>
              </w:rPr>
            </w:pPr>
          </w:p>
        </w:tc>
        <w:tc>
          <w:tcPr>
            <w:tcW w:w="1129" w:type="dxa"/>
            <w:noWrap/>
            <w:vAlign w:val="center"/>
          </w:tcPr>
          <w:p w14:paraId="1FCEC606">
            <w:pPr>
              <w:rPr>
                <w:color w:val="auto"/>
                <w:highlight w:val="none"/>
                <w:lang w:val="zh-CN"/>
              </w:rPr>
            </w:pPr>
            <w:r>
              <w:rPr>
                <w:rFonts w:hint="eastAsia"/>
                <w:color w:val="auto"/>
                <w:highlight w:val="none"/>
              </w:rPr>
              <w:t>类似项目业绩</w:t>
            </w:r>
            <w:r>
              <w:rPr>
                <w:rFonts w:hint="eastAsia"/>
                <w:snapToGrid w:val="0"/>
                <w:color w:val="auto"/>
                <w:highlight w:val="none"/>
                <w:lang w:eastAsia="zh-CN"/>
              </w:rPr>
              <w:t>（</w:t>
            </w:r>
            <w:r>
              <w:rPr>
                <w:rFonts w:hint="eastAsia"/>
                <w:snapToGrid w:val="0"/>
                <w:color w:val="auto"/>
                <w:highlight w:val="none"/>
                <w:lang w:val="en-US" w:eastAsia="zh-CN"/>
              </w:rPr>
              <w:t>10分</w:t>
            </w:r>
            <w:r>
              <w:rPr>
                <w:rFonts w:hint="eastAsia"/>
                <w:snapToGrid w:val="0"/>
                <w:color w:val="auto"/>
                <w:highlight w:val="none"/>
                <w:lang w:eastAsia="zh-CN"/>
              </w:rPr>
              <w:t>）</w:t>
            </w:r>
          </w:p>
        </w:tc>
        <w:tc>
          <w:tcPr>
            <w:tcW w:w="5304" w:type="dxa"/>
            <w:noWrap/>
            <w:vAlign w:val="center"/>
          </w:tcPr>
          <w:p w14:paraId="623F9E73">
            <w:pPr>
              <w:pStyle w:val="11"/>
              <w:ind w:firstLine="420" w:firstLineChars="200"/>
              <w:jc w:val="left"/>
              <w:rPr>
                <w:color w:val="auto"/>
                <w:highlight w:val="none"/>
              </w:rPr>
            </w:pPr>
            <w:r>
              <w:rPr>
                <w:rFonts w:hint="eastAsia"/>
                <w:color w:val="auto"/>
                <w:highlight w:val="none"/>
                <w:lang w:val="en-US" w:eastAsia="zh-CN"/>
              </w:rPr>
              <w:t>对</w:t>
            </w:r>
            <w:r>
              <w:rPr>
                <w:rFonts w:hint="eastAsia"/>
                <w:color w:val="auto"/>
                <w:highlight w:val="none"/>
              </w:rPr>
              <w:t>投标人2021年</w:t>
            </w:r>
            <w:r>
              <w:rPr>
                <w:rFonts w:hint="eastAsia"/>
                <w:color w:val="auto"/>
                <w:highlight w:val="none"/>
                <w:lang w:val="en-US" w:eastAsia="zh-CN"/>
              </w:rPr>
              <w:t>7月</w:t>
            </w:r>
            <w:r>
              <w:rPr>
                <w:rFonts w:hint="eastAsia"/>
                <w:color w:val="auto"/>
                <w:highlight w:val="none"/>
              </w:rPr>
              <w:t>1日至投标截止时间止（以合同签订时间为准）承接</w:t>
            </w:r>
            <w:r>
              <w:rPr>
                <w:rFonts w:hint="eastAsia"/>
                <w:color w:val="auto"/>
                <w:highlight w:val="none"/>
                <w:lang w:val="en-US" w:eastAsia="zh-CN"/>
              </w:rPr>
              <w:t>过</w:t>
            </w:r>
            <w:r>
              <w:rPr>
                <w:rFonts w:hint="eastAsia"/>
                <w:color w:val="auto"/>
                <w:highlight w:val="none"/>
              </w:rPr>
              <w:t>的类似项目业绩的有效证明文件进行评价，</w:t>
            </w:r>
            <w:r>
              <w:rPr>
                <w:rFonts w:hint="eastAsia"/>
                <w:color w:val="auto"/>
                <w:highlight w:val="none"/>
                <w:lang w:val="en-US" w:eastAsia="zh-CN"/>
              </w:rPr>
              <w:t>提供</w:t>
            </w:r>
            <w:r>
              <w:rPr>
                <w:rFonts w:hint="eastAsia"/>
                <w:color w:val="auto"/>
                <w:highlight w:val="none"/>
              </w:rPr>
              <w:t>有效证明文件包括该业绩的采购合同文本复印件（同一个项目签订多份合同的只能计算一次，不重复计分），每有一项得2分，满分</w:t>
            </w:r>
            <w:r>
              <w:rPr>
                <w:rFonts w:hint="eastAsia"/>
                <w:color w:val="auto"/>
                <w:highlight w:val="none"/>
                <w:lang w:val="en-US" w:eastAsia="zh-CN"/>
              </w:rPr>
              <w:t>10</w:t>
            </w:r>
            <w:r>
              <w:rPr>
                <w:rFonts w:hint="eastAsia"/>
                <w:color w:val="auto"/>
                <w:highlight w:val="none"/>
              </w:rPr>
              <w:t>分。</w:t>
            </w:r>
          </w:p>
          <w:p w14:paraId="02834401">
            <w:pPr>
              <w:ind w:firstLine="420" w:firstLineChars="200"/>
              <w:jc w:val="left"/>
              <w:rPr>
                <w:color w:val="auto"/>
                <w:highlight w:val="none"/>
                <w:lang w:val="zh-CN"/>
              </w:rPr>
            </w:pPr>
            <w:r>
              <w:rPr>
                <w:rFonts w:hint="eastAsia"/>
                <w:color w:val="auto"/>
                <w:highlight w:val="none"/>
              </w:rPr>
              <w:t>注：以上评分因素中，类似项目是</w:t>
            </w:r>
            <w:r>
              <w:rPr>
                <w:rFonts w:hint="eastAsia"/>
                <w:color w:val="auto"/>
                <w:highlight w:val="none"/>
                <w:lang w:val="en-US" w:eastAsia="zh-CN"/>
              </w:rPr>
              <w:t>指为国家机关提供</w:t>
            </w:r>
            <w:r>
              <w:rPr>
                <w:rFonts w:hint="eastAsia"/>
                <w:color w:val="auto"/>
                <w:highlight w:val="none"/>
                <w:u w:val="single"/>
                <w:lang w:val="en-US" w:eastAsia="zh-CN"/>
              </w:rPr>
              <w:t>购买</w:t>
            </w:r>
            <w:r>
              <w:rPr>
                <w:rFonts w:hint="eastAsia"/>
                <w:color w:val="auto"/>
                <w:highlight w:val="none"/>
                <w:lang w:val="en-US" w:eastAsia="zh-CN"/>
              </w:rPr>
              <w:t>服务的项目（非执法辅助服务、档案管理服务、驾驶、会务</w:t>
            </w:r>
            <w:r>
              <w:rPr>
                <w:rFonts w:hint="eastAsia"/>
                <w:color w:val="auto"/>
                <w:highlight w:val="none"/>
                <w:lang w:eastAsia="zh-CN"/>
              </w:rPr>
              <w:t>等项目，任一</w:t>
            </w:r>
            <w:r>
              <w:rPr>
                <w:rFonts w:hint="eastAsia"/>
                <w:color w:val="auto"/>
                <w:highlight w:val="none"/>
              </w:rPr>
              <w:t>）</w:t>
            </w:r>
            <w:r>
              <w:rPr>
                <w:rFonts w:hint="eastAsia"/>
                <w:color w:val="auto"/>
                <w:highlight w:val="none"/>
                <w:lang w:eastAsia="zh-CN"/>
              </w:rPr>
              <w:t>，应提供</w:t>
            </w:r>
            <w:r>
              <w:rPr>
                <w:rFonts w:hint="eastAsia"/>
                <w:color w:val="auto"/>
                <w:highlight w:val="none"/>
              </w:rPr>
              <w:t>合同复印件</w:t>
            </w:r>
            <w:r>
              <w:rPr>
                <w:rFonts w:hint="eastAsia"/>
                <w:color w:val="auto"/>
                <w:highlight w:val="none"/>
                <w:lang w:eastAsia="zh-CN"/>
              </w:rPr>
              <w:t>（线上采购项目提供扫描件）。合同复印件</w:t>
            </w:r>
            <w:r>
              <w:rPr>
                <w:rFonts w:hint="eastAsia"/>
                <w:color w:val="auto"/>
                <w:highlight w:val="none"/>
              </w:rPr>
              <w:t>应能清晰体现合同甲乙双方、合同时间、合同总金额、合同主要内容等，否则不能获得相应分值。</w:t>
            </w:r>
          </w:p>
        </w:tc>
        <w:tc>
          <w:tcPr>
            <w:tcW w:w="772" w:type="dxa"/>
            <w:noWrap/>
            <w:vAlign w:val="center"/>
          </w:tcPr>
          <w:p w14:paraId="67549AC7">
            <w:pPr>
              <w:rPr>
                <w:color w:val="auto"/>
                <w:highlight w:val="none"/>
              </w:rPr>
            </w:pPr>
            <w:r>
              <w:rPr>
                <w:rFonts w:hint="eastAsia"/>
                <w:color w:val="auto"/>
                <w:highlight w:val="none"/>
                <w:lang w:val="en-US" w:eastAsia="zh-CN"/>
              </w:rPr>
              <w:t>10</w:t>
            </w:r>
            <w:r>
              <w:rPr>
                <w:rFonts w:hint="eastAsia"/>
                <w:color w:val="auto"/>
                <w:highlight w:val="none"/>
              </w:rPr>
              <w:t>分</w:t>
            </w:r>
          </w:p>
        </w:tc>
      </w:tr>
      <w:tr w14:paraId="0566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7" w:type="dxa"/>
            <w:gridSpan w:val="4"/>
            <w:noWrap/>
            <w:vAlign w:val="center"/>
          </w:tcPr>
          <w:p w14:paraId="7B5EA334">
            <w:pPr>
              <w:rPr>
                <w:color w:val="auto"/>
                <w:highlight w:val="none"/>
              </w:rPr>
            </w:pPr>
            <w:r>
              <w:rPr>
                <w:rFonts w:hint="eastAsia"/>
                <w:color w:val="auto"/>
                <w:highlight w:val="none"/>
              </w:rPr>
              <w:t>合     计</w:t>
            </w:r>
          </w:p>
        </w:tc>
        <w:tc>
          <w:tcPr>
            <w:tcW w:w="772" w:type="dxa"/>
            <w:noWrap/>
            <w:vAlign w:val="center"/>
          </w:tcPr>
          <w:p w14:paraId="72486B33">
            <w:pPr>
              <w:rPr>
                <w:color w:val="auto"/>
                <w:highlight w:val="none"/>
              </w:rPr>
            </w:pPr>
            <w:r>
              <w:rPr>
                <w:rFonts w:hint="eastAsia"/>
                <w:color w:val="auto"/>
                <w:highlight w:val="none"/>
              </w:rPr>
              <w:t xml:space="preserve">100 </w:t>
            </w:r>
          </w:p>
        </w:tc>
      </w:tr>
    </w:tbl>
    <w:p w14:paraId="08622612">
      <w:pPr>
        <w:rPr>
          <w:color w:val="auto"/>
          <w:highlight w:val="none"/>
        </w:rPr>
      </w:pPr>
    </w:p>
    <w:p w14:paraId="17919C58">
      <w:pPr>
        <w:ind w:firstLine="210" w:firstLineChars="100"/>
        <w:jc w:val="both"/>
        <w:rPr>
          <w:rFonts w:hint="eastAsia" w:eastAsiaTheme="minorEastAsia"/>
          <w:color w:val="auto"/>
          <w:highlight w:val="none"/>
          <w:lang w:val="en-US" w:eastAsia="zh-CN"/>
        </w:rPr>
      </w:pPr>
      <w:r>
        <w:rPr>
          <w:rFonts w:hint="eastAsia"/>
          <w:color w:val="auto"/>
          <w:highlight w:val="none"/>
        </w:rPr>
        <w:t>2.3 落实政府采购政策进行价格调整的规则：</w:t>
      </w:r>
    </w:p>
    <w:tbl>
      <w:tblPr>
        <w:tblStyle w:val="19"/>
        <w:tblW w:w="8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0"/>
        <w:gridCol w:w="3913"/>
        <w:gridCol w:w="2911"/>
      </w:tblGrid>
      <w:tr w14:paraId="5542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14:paraId="485F7A8A">
            <w:pPr>
              <w:pStyle w:val="28"/>
              <w:widowControl w:val="0"/>
              <w:spacing w:line="440" w:lineRule="exact"/>
              <w:jc w:val="center"/>
              <w:rPr>
                <w:rFonts w:hint="default" w:asciiTheme="minorEastAsia" w:hAnsiTheme="minorEastAsia" w:eastAsiaTheme="minorEastAsia" w:cstheme="minorEastAsia"/>
                <w:b/>
                <w:color w:val="auto"/>
                <w:kern w:val="2"/>
                <w:sz w:val="21"/>
                <w:szCs w:val="21"/>
                <w:highlight w:val="none"/>
              </w:rPr>
            </w:pPr>
            <w:r>
              <w:rPr>
                <w:rFonts w:asciiTheme="minorEastAsia" w:hAnsiTheme="minorEastAsia" w:eastAsiaTheme="minorEastAsia" w:cstheme="minorEastAsia"/>
                <w:b/>
                <w:color w:val="auto"/>
                <w:kern w:val="2"/>
                <w:sz w:val="21"/>
                <w:szCs w:val="21"/>
                <w:highlight w:val="none"/>
              </w:rPr>
              <w:t>政府采购政策</w:t>
            </w:r>
          </w:p>
        </w:tc>
        <w:tc>
          <w:tcPr>
            <w:tcW w:w="3913" w:type="dxa"/>
            <w:noWrap/>
            <w:vAlign w:val="center"/>
          </w:tcPr>
          <w:p w14:paraId="55B1E0A1">
            <w:pPr>
              <w:pStyle w:val="28"/>
              <w:widowControl w:val="0"/>
              <w:spacing w:line="440" w:lineRule="exact"/>
              <w:jc w:val="center"/>
              <w:rPr>
                <w:rFonts w:hint="default" w:asciiTheme="minorEastAsia" w:hAnsiTheme="minorEastAsia" w:eastAsiaTheme="minorEastAsia" w:cstheme="minorEastAsia"/>
                <w:b/>
                <w:color w:val="auto"/>
                <w:kern w:val="2"/>
                <w:sz w:val="21"/>
                <w:szCs w:val="21"/>
                <w:highlight w:val="none"/>
              </w:rPr>
            </w:pPr>
            <w:r>
              <w:rPr>
                <w:rFonts w:asciiTheme="minorEastAsia" w:hAnsiTheme="minorEastAsia" w:eastAsiaTheme="minorEastAsia" w:cstheme="minorEastAsia"/>
                <w:b/>
                <w:color w:val="auto"/>
                <w:kern w:val="2"/>
                <w:sz w:val="21"/>
                <w:szCs w:val="21"/>
                <w:highlight w:val="none"/>
              </w:rPr>
              <w:t>价格扣除规则</w:t>
            </w:r>
          </w:p>
        </w:tc>
        <w:tc>
          <w:tcPr>
            <w:tcW w:w="2911" w:type="dxa"/>
            <w:noWrap/>
            <w:vAlign w:val="center"/>
          </w:tcPr>
          <w:p w14:paraId="222F5EE8">
            <w:pPr>
              <w:pStyle w:val="28"/>
              <w:widowControl w:val="0"/>
              <w:spacing w:line="440" w:lineRule="exact"/>
              <w:jc w:val="center"/>
              <w:rPr>
                <w:rFonts w:hint="default" w:asciiTheme="minorEastAsia" w:hAnsiTheme="minorEastAsia" w:eastAsiaTheme="minorEastAsia" w:cstheme="minorEastAsia"/>
                <w:b/>
                <w:color w:val="auto"/>
                <w:kern w:val="2"/>
                <w:sz w:val="21"/>
                <w:szCs w:val="21"/>
                <w:highlight w:val="none"/>
              </w:rPr>
            </w:pPr>
            <w:r>
              <w:rPr>
                <w:rFonts w:asciiTheme="minorEastAsia" w:hAnsiTheme="minorEastAsia" w:eastAsiaTheme="minorEastAsia" w:cstheme="minorEastAsia"/>
                <w:b/>
                <w:color w:val="auto"/>
                <w:kern w:val="2"/>
                <w:sz w:val="21"/>
                <w:szCs w:val="21"/>
                <w:highlight w:val="none"/>
              </w:rPr>
              <w:t>享受价格扣除的条件</w:t>
            </w:r>
          </w:p>
        </w:tc>
      </w:tr>
      <w:tr w14:paraId="797C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14:paraId="1C9FF249">
            <w:pPr>
              <w:pStyle w:val="28"/>
              <w:widowControl w:val="0"/>
              <w:spacing w:line="440" w:lineRule="exact"/>
              <w:jc w:val="center"/>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节约能源政策</w:t>
            </w:r>
          </w:p>
        </w:tc>
        <w:tc>
          <w:tcPr>
            <w:tcW w:w="3913" w:type="dxa"/>
            <w:noWrap/>
            <w:vAlign w:val="center"/>
          </w:tcPr>
          <w:p w14:paraId="6B9D5CCA">
            <w:pPr>
              <w:pStyle w:val="28"/>
              <w:widowControl w:val="0"/>
              <w:spacing w:line="440" w:lineRule="exact"/>
              <w:jc w:val="center"/>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w:t>
            </w:r>
          </w:p>
        </w:tc>
        <w:tc>
          <w:tcPr>
            <w:tcW w:w="2911" w:type="dxa"/>
            <w:noWrap/>
            <w:vAlign w:val="center"/>
          </w:tcPr>
          <w:p w14:paraId="50D0FE7E">
            <w:pPr>
              <w:pStyle w:val="28"/>
              <w:widowControl w:val="0"/>
              <w:spacing w:line="440" w:lineRule="exact"/>
              <w:jc w:val="center"/>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w:t>
            </w:r>
          </w:p>
        </w:tc>
      </w:tr>
      <w:tr w14:paraId="05C6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14:paraId="11096933">
            <w:pPr>
              <w:pStyle w:val="28"/>
              <w:widowControl w:val="0"/>
              <w:spacing w:line="440" w:lineRule="exact"/>
              <w:jc w:val="center"/>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保护环境政策</w:t>
            </w:r>
          </w:p>
        </w:tc>
        <w:tc>
          <w:tcPr>
            <w:tcW w:w="3913" w:type="dxa"/>
            <w:noWrap/>
            <w:vAlign w:val="center"/>
          </w:tcPr>
          <w:p w14:paraId="51BE532F">
            <w:pPr>
              <w:pStyle w:val="28"/>
              <w:widowControl w:val="0"/>
              <w:spacing w:line="440" w:lineRule="exact"/>
              <w:jc w:val="center"/>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w:t>
            </w:r>
          </w:p>
        </w:tc>
        <w:tc>
          <w:tcPr>
            <w:tcW w:w="2911" w:type="dxa"/>
            <w:noWrap/>
            <w:vAlign w:val="center"/>
          </w:tcPr>
          <w:p w14:paraId="1D75DD7F">
            <w:pPr>
              <w:pStyle w:val="28"/>
              <w:widowControl w:val="0"/>
              <w:spacing w:line="440" w:lineRule="exact"/>
              <w:jc w:val="center"/>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w:t>
            </w:r>
          </w:p>
        </w:tc>
      </w:tr>
      <w:tr w14:paraId="18589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14:paraId="5BE9CAEA">
            <w:pPr>
              <w:pStyle w:val="28"/>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促进中小企业</w:t>
            </w:r>
          </w:p>
          <w:p w14:paraId="76E2BC2A">
            <w:pPr>
              <w:pStyle w:val="28"/>
              <w:widowControl w:val="0"/>
              <w:spacing w:line="360" w:lineRule="auto"/>
              <w:jc w:val="center"/>
              <w:rPr>
                <w:rFonts w:hint="default" w:asciiTheme="minorEastAsia" w:hAnsiTheme="minorEastAsia" w:eastAsiaTheme="minorEastAsia" w:cstheme="minorEastAsia"/>
                <w:color w:val="auto"/>
                <w:kern w:val="2"/>
                <w:sz w:val="21"/>
                <w:szCs w:val="21"/>
                <w:highlight w:val="none"/>
              </w:rPr>
            </w:pPr>
            <w:r>
              <w:rPr>
                <w:rFonts w:ascii="宋体" w:hAnsi="宋体"/>
                <w:color w:val="auto"/>
                <w:kern w:val="2"/>
                <w:sz w:val="21"/>
                <w:szCs w:val="21"/>
                <w:highlight w:val="none"/>
              </w:rPr>
              <w:t>发展政策</w:t>
            </w:r>
          </w:p>
        </w:tc>
        <w:tc>
          <w:tcPr>
            <w:tcW w:w="3913" w:type="dxa"/>
            <w:noWrap/>
            <w:vAlign w:val="center"/>
          </w:tcPr>
          <w:p w14:paraId="4A8857CC">
            <w:pPr>
              <w:pStyle w:val="11"/>
              <w:jc w:val="left"/>
              <w:rPr>
                <w:rFonts w:asciiTheme="minorEastAsia" w:hAnsi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本项目为专门面向小</w:t>
            </w:r>
            <w:r>
              <w:rPr>
                <w:rFonts w:hint="eastAsia" w:asciiTheme="minorEastAsia" w:hAnsiTheme="minorEastAsia" w:cstheme="minorEastAsia"/>
                <w:color w:val="auto"/>
                <w:sz w:val="21"/>
                <w:szCs w:val="21"/>
                <w:highlight w:val="none"/>
                <w:lang w:val="en-US" w:eastAsia="zh-CN"/>
              </w:rPr>
              <w:t>微</w:t>
            </w:r>
            <w:r>
              <w:rPr>
                <w:rFonts w:hint="eastAsia" w:asciiTheme="minorEastAsia" w:hAnsiTheme="minorEastAsia" w:eastAsiaTheme="minorEastAsia" w:cstheme="minorEastAsia"/>
                <w:color w:val="auto"/>
                <w:sz w:val="21"/>
                <w:szCs w:val="21"/>
                <w:highlight w:val="none"/>
              </w:rPr>
              <w:t>企业采购项目，按照《政府采购促进中小企业发展管理办法》（财库〔2020〕46号）规定，小微企业不再执行价格评审优惠的扶持政策。</w:t>
            </w:r>
          </w:p>
        </w:tc>
        <w:tc>
          <w:tcPr>
            <w:tcW w:w="2911" w:type="dxa"/>
            <w:noWrap/>
            <w:vAlign w:val="center"/>
          </w:tcPr>
          <w:p w14:paraId="571637D4">
            <w:pPr>
              <w:pStyle w:val="28"/>
              <w:widowControl w:val="0"/>
              <w:spacing w:line="360" w:lineRule="auto"/>
              <w:jc w:val="center"/>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w:t>
            </w:r>
          </w:p>
        </w:tc>
      </w:tr>
      <w:tr w14:paraId="0B8E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14:paraId="65A1BC51">
            <w:pPr>
              <w:pStyle w:val="28"/>
              <w:widowControl w:val="0"/>
              <w:spacing w:line="360" w:lineRule="auto"/>
              <w:jc w:val="center"/>
              <w:rPr>
                <w:rFonts w:hint="default" w:asciiTheme="minorEastAsia" w:hAnsiTheme="minorEastAsia" w:eastAsiaTheme="minorEastAsia" w:cstheme="minorEastAsia"/>
                <w:color w:val="auto"/>
                <w:kern w:val="2"/>
                <w:sz w:val="21"/>
                <w:szCs w:val="21"/>
                <w:highlight w:val="none"/>
              </w:rPr>
            </w:pPr>
            <w:r>
              <w:rPr>
                <w:rFonts w:ascii="宋体" w:hAnsi="宋体"/>
                <w:color w:val="auto"/>
                <w:kern w:val="2"/>
                <w:sz w:val="21"/>
                <w:szCs w:val="21"/>
                <w:highlight w:val="none"/>
              </w:rPr>
              <w:t>促进残疾人就业政策</w:t>
            </w:r>
          </w:p>
        </w:tc>
        <w:tc>
          <w:tcPr>
            <w:tcW w:w="3913" w:type="dxa"/>
            <w:noWrap/>
            <w:vAlign w:val="center"/>
          </w:tcPr>
          <w:p w14:paraId="716A93B5">
            <w:pPr>
              <w:pStyle w:val="28"/>
              <w:keepNext w:val="0"/>
              <w:keepLines w:val="0"/>
              <w:pageBreakBefore w:val="0"/>
              <w:widowControl w:val="0"/>
              <w:kinsoku/>
              <w:wordWrap/>
              <w:bidi w:val="0"/>
              <w:spacing w:line="440" w:lineRule="exact"/>
              <w:jc w:val="left"/>
              <w:rPr>
                <w:rFonts w:hint="default"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本项目为专门面向</w:t>
            </w:r>
            <w:r>
              <w:rPr>
                <w:rFonts w:hint="eastAsia" w:asciiTheme="minorEastAsia" w:hAnsiTheme="minorEastAsia" w:eastAsiaTheme="minorEastAsia" w:cstheme="minorEastAsia"/>
                <w:color w:val="auto"/>
                <w:sz w:val="21"/>
                <w:szCs w:val="21"/>
                <w:highlight w:val="none"/>
              </w:rPr>
              <w:t>小</w:t>
            </w:r>
            <w:r>
              <w:rPr>
                <w:rFonts w:hint="eastAsia" w:asciiTheme="minorEastAsia" w:hAnsiTheme="minorEastAsia" w:cstheme="minorEastAsia"/>
                <w:color w:val="auto"/>
                <w:sz w:val="21"/>
                <w:szCs w:val="21"/>
                <w:highlight w:val="none"/>
                <w:lang w:val="en-US" w:eastAsia="zh-CN"/>
              </w:rPr>
              <w:t>微</w:t>
            </w:r>
            <w:r>
              <w:rPr>
                <w:rFonts w:hint="eastAsia" w:asciiTheme="minorEastAsia" w:hAnsiTheme="minorEastAsia" w:eastAsiaTheme="minorEastAsia" w:cstheme="minorEastAsia"/>
                <w:color w:val="auto"/>
                <w:kern w:val="2"/>
                <w:sz w:val="21"/>
                <w:szCs w:val="21"/>
                <w:highlight w:val="none"/>
                <w:lang w:val="en-US" w:eastAsia="zh-CN" w:bidi="ar-SA"/>
              </w:rPr>
              <w:t>企业采购项目，按照《政府采购促进中小企业发展管理办法》（财库〔2020〕46号）规定，残疾人福利性单位不再执行价格评审优惠的扶持政策。</w:t>
            </w:r>
          </w:p>
        </w:tc>
        <w:tc>
          <w:tcPr>
            <w:tcW w:w="2911" w:type="dxa"/>
            <w:noWrap/>
            <w:vAlign w:val="center"/>
          </w:tcPr>
          <w:p w14:paraId="23EEFC0C">
            <w:pPr>
              <w:pStyle w:val="28"/>
              <w:widowControl w:val="0"/>
              <w:spacing w:line="360" w:lineRule="auto"/>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w:t>
            </w:r>
          </w:p>
        </w:tc>
      </w:tr>
      <w:tr w14:paraId="66FF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14:paraId="32EB700B">
            <w:pPr>
              <w:pStyle w:val="28"/>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支持监狱企业</w:t>
            </w:r>
          </w:p>
          <w:p w14:paraId="64BE806E">
            <w:pPr>
              <w:pStyle w:val="28"/>
              <w:widowControl w:val="0"/>
              <w:spacing w:line="360" w:lineRule="auto"/>
              <w:jc w:val="center"/>
              <w:rPr>
                <w:rFonts w:hint="default" w:asciiTheme="minorEastAsia" w:hAnsiTheme="minorEastAsia" w:eastAsiaTheme="minorEastAsia" w:cstheme="minorEastAsia"/>
                <w:color w:val="auto"/>
                <w:kern w:val="2"/>
                <w:sz w:val="21"/>
                <w:szCs w:val="21"/>
                <w:highlight w:val="none"/>
              </w:rPr>
            </w:pPr>
            <w:r>
              <w:rPr>
                <w:rFonts w:ascii="宋体" w:hAnsi="宋体"/>
                <w:color w:val="auto"/>
                <w:kern w:val="2"/>
                <w:sz w:val="21"/>
                <w:szCs w:val="21"/>
                <w:highlight w:val="none"/>
              </w:rPr>
              <w:t>发展政策</w:t>
            </w:r>
          </w:p>
        </w:tc>
        <w:tc>
          <w:tcPr>
            <w:tcW w:w="3913" w:type="dxa"/>
            <w:noWrap/>
            <w:vAlign w:val="center"/>
          </w:tcPr>
          <w:p w14:paraId="5B7B1C75">
            <w:pPr>
              <w:pStyle w:val="28"/>
              <w:keepNext w:val="0"/>
              <w:keepLines w:val="0"/>
              <w:pageBreakBefore w:val="0"/>
              <w:widowControl w:val="0"/>
              <w:kinsoku/>
              <w:wordWrap/>
              <w:bidi w:val="0"/>
              <w:spacing w:line="440" w:lineRule="exact"/>
              <w:jc w:val="left"/>
              <w:rPr>
                <w:rFonts w:hint="default"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本项目为专门面向</w:t>
            </w:r>
            <w:r>
              <w:rPr>
                <w:rFonts w:hint="eastAsia" w:asciiTheme="minorEastAsia" w:hAnsiTheme="minorEastAsia" w:eastAsiaTheme="minorEastAsia" w:cstheme="minorEastAsia"/>
                <w:color w:val="auto"/>
                <w:sz w:val="21"/>
                <w:szCs w:val="21"/>
                <w:highlight w:val="none"/>
              </w:rPr>
              <w:t>小</w:t>
            </w:r>
            <w:r>
              <w:rPr>
                <w:rFonts w:hint="eastAsia" w:asciiTheme="minorEastAsia" w:hAnsiTheme="minorEastAsia" w:cstheme="minorEastAsia"/>
                <w:color w:val="auto"/>
                <w:sz w:val="21"/>
                <w:szCs w:val="21"/>
                <w:highlight w:val="none"/>
                <w:lang w:val="en-US" w:eastAsia="zh-CN"/>
              </w:rPr>
              <w:t>微</w:t>
            </w:r>
            <w:r>
              <w:rPr>
                <w:rFonts w:hint="eastAsia" w:asciiTheme="minorEastAsia" w:hAnsiTheme="minorEastAsia" w:eastAsiaTheme="minorEastAsia" w:cstheme="minorEastAsia"/>
                <w:color w:val="auto"/>
                <w:kern w:val="2"/>
                <w:sz w:val="21"/>
                <w:szCs w:val="21"/>
                <w:highlight w:val="none"/>
                <w:lang w:val="en-US" w:eastAsia="zh-CN" w:bidi="ar-SA"/>
              </w:rPr>
              <w:t>企业采购项目，按照《政府采购促进中小企业发展管理办法》（财库〔2020〕46号）规定，监狱企业不再执行价格评审优惠的扶持政策。</w:t>
            </w:r>
          </w:p>
        </w:tc>
        <w:tc>
          <w:tcPr>
            <w:tcW w:w="2911" w:type="dxa"/>
            <w:noWrap/>
            <w:vAlign w:val="center"/>
          </w:tcPr>
          <w:p w14:paraId="30B48F1D">
            <w:pPr>
              <w:pStyle w:val="28"/>
              <w:widowControl w:val="0"/>
              <w:spacing w:line="360" w:lineRule="auto"/>
              <w:jc w:val="center"/>
              <w:rPr>
                <w:rFonts w:hint="default" w:asciiTheme="minorEastAsia" w:hAnsiTheme="minorEastAsia" w:eastAsiaTheme="minorEastAsia" w:cstheme="minorEastAsia"/>
                <w:color w:val="auto"/>
                <w:kern w:val="2"/>
                <w:sz w:val="21"/>
                <w:szCs w:val="21"/>
                <w:highlight w:val="none"/>
              </w:rPr>
            </w:pPr>
            <w:r>
              <w:rPr>
                <w:rFonts w:hint="eastAsia" w:ascii="宋体" w:hAnsi="宋体" w:cs="Courier New"/>
                <w:color w:val="auto"/>
                <w:kern w:val="2"/>
                <w:sz w:val="21"/>
                <w:szCs w:val="21"/>
                <w:highlight w:val="none"/>
                <w:lang w:val="en-US" w:eastAsia="zh-CN"/>
              </w:rPr>
              <w:t>/</w:t>
            </w:r>
          </w:p>
        </w:tc>
      </w:tr>
    </w:tbl>
    <w:p w14:paraId="2D8E600B">
      <w:pPr>
        <w:pStyle w:val="28"/>
        <w:widowControl w:val="0"/>
        <w:spacing w:line="440" w:lineRule="exact"/>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2.4推荐中标候选人</w:t>
      </w:r>
    </w:p>
    <w:p w14:paraId="2C48E716">
      <w:pPr>
        <w:ind w:firstLine="420" w:firstLineChars="200"/>
        <w:jc w:val="left"/>
        <w:rPr>
          <w:color w:val="auto"/>
          <w:highlight w:val="none"/>
        </w:rPr>
      </w:pPr>
      <w:r>
        <w:rPr>
          <w:rFonts w:hint="eastAsia"/>
          <w:color w:val="auto"/>
          <w:highlight w:val="none"/>
        </w:rPr>
        <w:t>2.4.1按评审后得分由高到低顺序排列。得分相同的，按投标报价由低到高顺序排列。得分且投标报价相同的并列。</w:t>
      </w:r>
    </w:p>
    <w:p w14:paraId="06DC8069">
      <w:pPr>
        <w:ind w:firstLine="420" w:firstLineChars="200"/>
        <w:jc w:val="left"/>
        <w:rPr>
          <w:color w:val="auto"/>
          <w:highlight w:val="none"/>
        </w:rPr>
      </w:pPr>
      <w:r>
        <w:rPr>
          <w:rFonts w:hint="eastAsia"/>
          <w:color w:val="auto"/>
          <w:highlight w:val="none"/>
        </w:rPr>
        <w:t>2.4.2本采购包推荐中标候选人的数量：</w:t>
      </w:r>
      <w:r>
        <w:rPr>
          <w:rFonts w:hint="eastAsia"/>
          <w:color w:val="auto"/>
          <w:highlight w:val="none"/>
          <w:u w:val="single"/>
        </w:rPr>
        <w:t>3</w:t>
      </w:r>
      <w:r>
        <w:rPr>
          <w:rFonts w:hint="eastAsia"/>
          <w:color w:val="auto"/>
          <w:highlight w:val="none"/>
        </w:rPr>
        <w:t>家。</w:t>
      </w:r>
    </w:p>
    <w:p w14:paraId="4A97D3EF">
      <w:pPr>
        <w:ind w:firstLine="420" w:firstLineChars="200"/>
        <w:jc w:val="left"/>
        <w:rPr>
          <w:color w:val="auto"/>
          <w:highlight w:val="none"/>
        </w:rPr>
      </w:pPr>
      <w:r>
        <w:rPr>
          <w:rFonts w:hint="eastAsia"/>
          <w:color w:val="auto"/>
          <w:highlight w:val="none"/>
        </w:rPr>
        <w:t>2.4.3中标人数量：</w:t>
      </w:r>
      <w:r>
        <w:rPr>
          <w:rFonts w:hint="eastAsia"/>
          <w:color w:val="auto"/>
          <w:highlight w:val="none"/>
          <w:u w:val="single"/>
        </w:rPr>
        <w:t>1</w:t>
      </w:r>
      <w:r>
        <w:rPr>
          <w:rFonts w:hint="eastAsia"/>
          <w:color w:val="auto"/>
          <w:highlight w:val="none"/>
        </w:rPr>
        <w:t>家。</w:t>
      </w:r>
    </w:p>
    <w:p w14:paraId="16F03B39">
      <w:pPr>
        <w:ind w:firstLine="420" w:firstLineChars="200"/>
        <w:jc w:val="left"/>
        <w:rPr>
          <w:color w:val="auto"/>
          <w:highlight w:val="none"/>
        </w:rPr>
      </w:pPr>
      <w:r>
        <w:rPr>
          <w:rFonts w:hint="eastAsia"/>
          <w:color w:val="auto"/>
          <w:highlight w:val="none"/>
        </w:rPr>
        <w:t>中标候选人并列的，按照</w:t>
      </w:r>
      <w:r>
        <w:rPr>
          <w:rFonts w:hint="eastAsia"/>
          <w:color w:val="auto"/>
          <w:highlight w:val="none"/>
          <w:u w:val="single"/>
        </w:rPr>
        <w:t>技术指标优劣顺序排列</w:t>
      </w:r>
      <w:r>
        <w:rPr>
          <w:rFonts w:hint="eastAsia"/>
          <w:color w:val="auto"/>
          <w:highlight w:val="none"/>
        </w:rPr>
        <w:t>的方式确定中标人。</w:t>
      </w:r>
    </w:p>
    <w:p w14:paraId="1A3CFE67">
      <w:pPr>
        <w:jc w:val="left"/>
        <w:rPr>
          <w:color w:val="auto"/>
          <w:highlight w:val="none"/>
        </w:rPr>
        <w:sectPr>
          <w:pgSz w:w="11906" w:h="16838"/>
          <w:pgMar w:top="1417" w:right="1417" w:bottom="1417" w:left="1417" w:header="851" w:footer="992" w:gutter="0"/>
          <w:cols w:space="720" w:num="1"/>
          <w:titlePg/>
          <w:docGrid w:type="lines" w:linePitch="312" w:charSpace="0"/>
        </w:sectPr>
      </w:pPr>
    </w:p>
    <w:p w14:paraId="43B3C814">
      <w:pPr>
        <w:pStyle w:val="5"/>
        <w:rPr>
          <w:color w:val="auto"/>
          <w:highlight w:val="none"/>
        </w:rPr>
      </w:pPr>
      <w:bookmarkStart w:id="66" w:name="_Toc38030150"/>
      <w:bookmarkStart w:id="67" w:name="_Toc1406510925"/>
      <w:bookmarkStart w:id="68" w:name="_Toc1505390621"/>
      <w:bookmarkStart w:id="69" w:name="_Toc1914430521"/>
      <w:bookmarkStart w:id="70" w:name="_Toc614538032"/>
      <w:bookmarkStart w:id="71" w:name="_Toc1484421284"/>
      <w:bookmarkStart w:id="72" w:name="_Toc132880283"/>
      <w:bookmarkStart w:id="73" w:name="_Toc18784"/>
      <w:bookmarkStart w:id="74" w:name="_Toc525052847"/>
      <w:bookmarkStart w:id="75" w:name="_Toc353483817"/>
      <w:r>
        <w:rPr>
          <w:rFonts w:hint="eastAsia"/>
          <w:color w:val="auto"/>
          <w:highlight w:val="none"/>
        </w:rPr>
        <w:t>第四章  政府采购合同文本</w:t>
      </w:r>
      <w:bookmarkEnd w:id="66"/>
      <w:bookmarkEnd w:id="67"/>
      <w:bookmarkEnd w:id="68"/>
      <w:bookmarkEnd w:id="69"/>
      <w:bookmarkEnd w:id="70"/>
      <w:bookmarkEnd w:id="71"/>
      <w:bookmarkEnd w:id="72"/>
      <w:bookmarkEnd w:id="73"/>
      <w:bookmarkEnd w:id="74"/>
      <w:bookmarkEnd w:id="75"/>
    </w:p>
    <w:p w14:paraId="6CC3C1C6">
      <w:pPr>
        <w:pStyle w:val="11"/>
        <w:rPr>
          <w:color w:val="auto"/>
          <w:highlight w:val="none"/>
        </w:rPr>
      </w:pPr>
    </w:p>
    <w:p w14:paraId="1739F84B">
      <w:pPr>
        <w:pStyle w:val="11"/>
        <w:rPr>
          <w:color w:val="auto"/>
          <w:highlight w:val="none"/>
        </w:rPr>
      </w:pPr>
    </w:p>
    <w:p w14:paraId="3ECBA6E4">
      <w:pPr>
        <w:pStyle w:val="11"/>
        <w:rPr>
          <w:color w:val="auto"/>
          <w:highlight w:val="none"/>
        </w:rPr>
      </w:pPr>
    </w:p>
    <w:p w14:paraId="55C1EF1A">
      <w:pPr>
        <w:pStyle w:val="11"/>
        <w:rPr>
          <w:color w:val="auto"/>
          <w:highlight w:val="none"/>
        </w:rPr>
      </w:pPr>
    </w:p>
    <w:p w14:paraId="3B233288">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14:paraId="49FC6494">
      <w:pPr>
        <w:pStyle w:val="11"/>
        <w:jc w:val="both"/>
        <w:rPr>
          <w:color w:val="auto"/>
          <w:highlight w:val="none"/>
        </w:rPr>
      </w:pPr>
    </w:p>
    <w:p w14:paraId="5BDFF067">
      <w:pPr>
        <w:rPr>
          <w:color w:val="auto"/>
          <w:highlight w:val="none"/>
        </w:rPr>
      </w:pPr>
    </w:p>
    <w:p w14:paraId="3CA991F1">
      <w:pPr>
        <w:rPr>
          <w:color w:val="auto"/>
          <w:highlight w:val="none"/>
        </w:rPr>
      </w:pPr>
    </w:p>
    <w:p w14:paraId="1DCB92F8">
      <w:pPr>
        <w:rPr>
          <w:color w:val="auto"/>
          <w:highlight w:val="none"/>
        </w:rPr>
      </w:pPr>
    </w:p>
    <w:p w14:paraId="0CE26EDE">
      <w:pPr>
        <w:rPr>
          <w:color w:val="auto"/>
          <w:highlight w:val="none"/>
        </w:rPr>
      </w:pPr>
    </w:p>
    <w:p w14:paraId="42C77903">
      <w:pPr>
        <w:spacing w:line="360" w:lineRule="auto"/>
        <w:ind w:firstLine="3080" w:firstLineChars="1100"/>
        <w:jc w:val="left"/>
        <w:rPr>
          <w:rFonts w:hint="eastAsia"/>
          <w:color w:val="auto"/>
          <w:sz w:val="28"/>
          <w:szCs w:val="28"/>
          <w:highlight w:val="none"/>
          <w:u w:val="single"/>
          <w:lang w:val="en-US" w:eastAsia="zh-CN"/>
        </w:rPr>
      </w:pPr>
      <w:r>
        <w:rPr>
          <w:rFonts w:hint="eastAsia"/>
          <w:color w:val="auto"/>
          <w:sz w:val="28"/>
          <w:szCs w:val="28"/>
          <w:highlight w:val="none"/>
        </w:rPr>
        <w:t>项目名称：</w:t>
      </w:r>
      <w:r>
        <w:rPr>
          <w:rFonts w:hint="eastAsia"/>
          <w:color w:val="auto"/>
          <w:sz w:val="28"/>
          <w:szCs w:val="28"/>
          <w:highlight w:val="none"/>
          <w:u w:val="single"/>
          <w:lang w:val="en-US" w:eastAsia="zh-CN"/>
        </w:rPr>
        <w:t xml:space="preserve">             </w:t>
      </w:r>
    </w:p>
    <w:p w14:paraId="0E638063">
      <w:pPr>
        <w:spacing w:line="360" w:lineRule="auto"/>
        <w:ind w:firstLine="3080" w:firstLineChars="1100"/>
        <w:jc w:val="left"/>
        <w:rPr>
          <w:rFonts w:hint="default"/>
          <w:color w:val="auto"/>
          <w:sz w:val="28"/>
          <w:szCs w:val="28"/>
          <w:highlight w:val="none"/>
          <w:u w:val="single"/>
          <w:lang w:val="en-US" w:eastAsia="zh-CN"/>
        </w:rPr>
      </w:pPr>
      <w:r>
        <w:rPr>
          <w:rFonts w:hint="eastAsia"/>
          <w:color w:val="auto"/>
          <w:sz w:val="28"/>
          <w:szCs w:val="28"/>
          <w:highlight w:val="none"/>
        </w:rPr>
        <w:t>包号：</w:t>
      </w:r>
      <w:r>
        <w:rPr>
          <w:rFonts w:hint="eastAsia"/>
          <w:color w:val="auto"/>
          <w:sz w:val="28"/>
          <w:szCs w:val="28"/>
          <w:highlight w:val="none"/>
          <w:u w:val="single"/>
          <w:lang w:val="en-US" w:eastAsia="zh-CN"/>
        </w:rPr>
        <w:t xml:space="preserve">                 </w:t>
      </w:r>
    </w:p>
    <w:p w14:paraId="5BBFBD0C">
      <w:pPr>
        <w:spacing w:line="360" w:lineRule="auto"/>
        <w:ind w:firstLine="3080" w:firstLineChars="1100"/>
        <w:jc w:val="left"/>
        <w:rPr>
          <w:rFonts w:hint="eastAsia"/>
          <w:color w:val="auto"/>
          <w:sz w:val="28"/>
          <w:szCs w:val="28"/>
          <w:highlight w:val="none"/>
          <w:u w:val="single"/>
          <w:lang w:val="en-US" w:eastAsia="zh-CN"/>
        </w:rPr>
      </w:pPr>
      <w:r>
        <w:rPr>
          <w:rFonts w:hint="eastAsia"/>
          <w:color w:val="auto"/>
          <w:sz w:val="28"/>
          <w:szCs w:val="28"/>
          <w:highlight w:val="none"/>
        </w:rPr>
        <w:t>合同编号：</w:t>
      </w:r>
      <w:r>
        <w:rPr>
          <w:rFonts w:hint="eastAsia"/>
          <w:color w:val="auto"/>
          <w:sz w:val="28"/>
          <w:szCs w:val="28"/>
          <w:highlight w:val="none"/>
          <w:u w:val="single"/>
          <w:lang w:val="en-US" w:eastAsia="zh-CN"/>
        </w:rPr>
        <w:t xml:space="preserve">             </w:t>
      </w:r>
    </w:p>
    <w:p w14:paraId="72BE5BC0">
      <w:pPr>
        <w:spacing w:line="360" w:lineRule="auto"/>
        <w:ind w:firstLine="3080" w:firstLineChars="1100"/>
        <w:jc w:val="left"/>
        <w:rPr>
          <w:color w:val="auto"/>
          <w:sz w:val="28"/>
          <w:szCs w:val="28"/>
          <w:highlight w:val="none"/>
        </w:rPr>
      </w:pPr>
    </w:p>
    <w:p w14:paraId="71F4772C">
      <w:pPr>
        <w:spacing w:line="360" w:lineRule="auto"/>
        <w:rPr>
          <w:color w:val="auto"/>
          <w:sz w:val="28"/>
          <w:szCs w:val="28"/>
          <w:highlight w:val="none"/>
        </w:rPr>
      </w:pPr>
    </w:p>
    <w:p w14:paraId="1FFC4E77">
      <w:pPr>
        <w:pStyle w:val="11"/>
        <w:rPr>
          <w:color w:val="auto"/>
          <w:sz w:val="28"/>
          <w:szCs w:val="28"/>
          <w:highlight w:val="none"/>
        </w:rPr>
      </w:pPr>
    </w:p>
    <w:p w14:paraId="07B8AE33">
      <w:pPr>
        <w:pStyle w:val="11"/>
        <w:rPr>
          <w:color w:val="auto"/>
          <w:sz w:val="28"/>
          <w:szCs w:val="28"/>
          <w:highlight w:val="none"/>
        </w:rPr>
      </w:pPr>
      <w:r>
        <w:rPr>
          <w:rFonts w:hint="eastAsia"/>
          <w:color w:val="auto"/>
          <w:sz w:val="28"/>
          <w:szCs w:val="28"/>
          <w:highlight w:val="none"/>
        </w:rPr>
        <w:tab/>
      </w:r>
    </w:p>
    <w:p w14:paraId="27FDAE8B">
      <w:pPr>
        <w:pStyle w:val="11"/>
        <w:rPr>
          <w:color w:val="auto"/>
          <w:sz w:val="28"/>
          <w:szCs w:val="28"/>
          <w:highlight w:val="none"/>
        </w:rPr>
      </w:pPr>
    </w:p>
    <w:p w14:paraId="7068A3CA">
      <w:pPr>
        <w:pStyle w:val="11"/>
        <w:rPr>
          <w:color w:val="auto"/>
          <w:sz w:val="28"/>
          <w:szCs w:val="28"/>
          <w:highlight w:val="none"/>
        </w:rPr>
      </w:pPr>
    </w:p>
    <w:p w14:paraId="157B8FB5">
      <w:pPr>
        <w:spacing w:line="480" w:lineRule="auto"/>
        <w:rPr>
          <w:rFonts w:hint="eastAsia" w:eastAsiaTheme="minorEastAsia"/>
          <w:color w:val="auto"/>
          <w:sz w:val="28"/>
          <w:szCs w:val="28"/>
          <w:highlight w:val="none"/>
          <w:lang w:eastAsia="zh-CN"/>
        </w:rPr>
      </w:pPr>
      <w:r>
        <w:rPr>
          <w:rFonts w:hint="eastAsia"/>
          <w:color w:val="auto"/>
          <w:sz w:val="28"/>
          <w:szCs w:val="28"/>
          <w:highlight w:val="none"/>
          <w:lang w:val="en-US" w:eastAsia="zh-CN"/>
        </w:rPr>
        <w:t xml:space="preserve">  </w:t>
      </w:r>
      <w:r>
        <w:rPr>
          <w:rFonts w:hint="eastAsia"/>
          <w:color w:val="auto"/>
          <w:sz w:val="28"/>
          <w:szCs w:val="28"/>
          <w:highlight w:val="none"/>
        </w:rPr>
        <w:t xml:space="preserve">甲    方： </w:t>
      </w:r>
      <w:r>
        <w:rPr>
          <w:rFonts w:hint="eastAsia"/>
          <w:color w:val="auto"/>
          <w:sz w:val="28"/>
          <w:szCs w:val="28"/>
          <w:highlight w:val="none"/>
          <w:u w:val="single"/>
          <w:lang w:eastAsia="zh-CN"/>
        </w:rPr>
        <w:t>国家税务总局来宾市兴宾区税务局</w:t>
      </w:r>
    </w:p>
    <w:p w14:paraId="6C196415">
      <w:pPr>
        <w:spacing w:line="480" w:lineRule="auto"/>
        <w:ind w:firstLine="1839" w:firstLineChars="657"/>
        <w:jc w:val="both"/>
        <w:rPr>
          <w:rFonts w:hint="default" w:eastAsiaTheme="minorEastAsia"/>
          <w:color w:val="auto"/>
          <w:sz w:val="28"/>
          <w:szCs w:val="28"/>
          <w:highlight w:val="none"/>
          <w:lang w:val="en-US" w:eastAsia="zh-CN"/>
        </w:rPr>
      </w:pPr>
      <w:r>
        <w:rPr>
          <w:rFonts w:hint="eastAsia"/>
          <w:color w:val="auto"/>
          <w:sz w:val="28"/>
          <w:szCs w:val="28"/>
          <w:highlight w:val="none"/>
        </w:rPr>
        <w:t xml:space="preserve">乙    方： </w:t>
      </w:r>
      <w:r>
        <w:rPr>
          <w:rFonts w:hint="eastAsia"/>
          <w:color w:val="auto"/>
          <w:sz w:val="28"/>
          <w:szCs w:val="28"/>
          <w:highlight w:val="none"/>
          <w:u w:val="single"/>
          <w:lang w:val="en-US" w:eastAsia="zh-CN"/>
        </w:rPr>
        <w:t xml:space="preserve">                             </w:t>
      </w:r>
    </w:p>
    <w:p w14:paraId="5F5A25EB">
      <w:pPr>
        <w:spacing w:line="480" w:lineRule="auto"/>
        <w:ind w:firstLine="1797" w:firstLineChars="642"/>
        <w:jc w:val="both"/>
        <w:rPr>
          <w:rFonts w:hint="eastAsia"/>
          <w:color w:val="auto"/>
          <w:sz w:val="28"/>
          <w:szCs w:val="28"/>
          <w:highlight w:val="none"/>
        </w:rPr>
      </w:pPr>
      <w:r>
        <w:rPr>
          <w:rFonts w:hint="eastAsia"/>
          <w:color w:val="auto"/>
          <w:sz w:val="28"/>
          <w:szCs w:val="28"/>
          <w:highlight w:val="none"/>
        </w:rPr>
        <w:t xml:space="preserve">日    期： </w:t>
      </w:r>
      <w:r>
        <w:rPr>
          <w:rFonts w:hint="eastAsia"/>
          <w:color w:val="auto"/>
          <w:sz w:val="28"/>
          <w:szCs w:val="28"/>
          <w:highlight w:val="none"/>
          <w:u w:val="single"/>
        </w:rPr>
        <w:t xml:space="preserve">2024年    月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日</w:t>
      </w:r>
    </w:p>
    <w:p w14:paraId="0C34A818">
      <w:pPr>
        <w:rPr>
          <w:b/>
          <w:bCs w:val="0"/>
          <w:color w:val="auto"/>
          <w:sz w:val="32"/>
          <w:szCs w:val="32"/>
          <w:highlight w:val="none"/>
        </w:rPr>
      </w:pPr>
      <w:r>
        <w:rPr>
          <w:color w:val="auto"/>
          <w:sz w:val="28"/>
          <w:szCs w:val="28"/>
          <w:highlight w:val="none"/>
          <w:u w:val="single"/>
        </w:rPr>
        <w:br w:type="page"/>
      </w:r>
      <w:r>
        <w:rPr>
          <w:rFonts w:hint="eastAsia"/>
          <w:b/>
          <w:bCs w:val="0"/>
          <w:color w:val="auto"/>
          <w:sz w:val="32"/>
          <w:szCs w:val="32"/>
          <w:highlight w:val="none"/>
        </w:rPr>
        <w:t>合同条款前附表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379"/>
      </w:tblGrid>
      <w:tr w14:paraId="79DB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1F37481A">
            <w:pPr>
              <w:rPr>
                <w:color w:val="auto"/>
                <w:highlight w:val="none"/>
              </w:rPr>
            </w:pPr>
            <w:r>
              <w:rPr>
                <w:rFonts w:hint="eastAsia"/>
                <w:color w:val="auto"/>
                <w:highlight w:val="none"/>
              </w:rPr>
              <w:t>序号</w:t>
            </w:r>
          </w:p>
        </w:tc>
        <w:tc>
          <w:tcPr>
            <w:tcW w:w="8288" w:type="dxa"/>
            <w:gridSpan w:val="3"/>
            <w:noWrap/>
            <w:vAlign w:val="center"/>
          </w:tcPr>
          <w:p w14:paraId="4C5D4560">
            <w:pPr>
              <w:rPr>
                <w:color w:val="auto"/>
                <w:highlight w:val="none"/>
              </w:rPr>
            </w:pPr>
            <w:r>
              <w:rPr>
                <w:rFonts w:hint="eastAsia"/>
                <w:color w:val="auto"/>
                <w:highlight w:val="none"/>
              </w:rPr>
              <w:t>内        容</w:t>
            </w:r>
          </w:p>
        </w:tc>
      </w:tr>
      <w:tr w14:paraId="7D40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2A0CA50C">
            <w:pPr>
              <w:rPr>
                <w:color w:val="auto"/>
                <w:highlight w:val="none"/>
              </w:rPr>
            </w:pPr>
            <w:r>
              <w:rPr>
                <w:rFonts w:hint="eastAsia"/>
                <w:color w:val="auto"/>
                <w:highlight w:val="none"/>
              </w:rPr>
              <w:t>1</w:t>
            </w:r>
          </w:p>
        </w:tc>
        <w:tc>
          <w:tcPr>
            <w:tcW w:w="1909" w:type="dxa"/>
            <w:gridSpan w:val="2"/>
            <w:noWrap/>
            <w:vAlign w:val="center"/>
          </w:tcPr>
          <w:p w14:paraId="3A9FBE9D">
            <w:pPr>
              <w:rPr>
                <w:color w:val="auto"/>
                <w:highlight w:val="none"/>
              </w:rPr>
            </w:pPr>
            <w:r>
              <w:rPr>
                <w:rFonts w:hint="eastAsia"/>
                <w:color w:val="auto"/>
                <w:highlight w:val="none"/>
              </w:rPr>
              <w:t>合同名称</w:t>
            </w:r>
          </w:p>
        </w:tc>
        <w:tc>
          <w:tcPr>
            <w:tcW w:w="6379" w:type="dxa"/>
            <w:noWrap/>
            <w:vAlign w:val="center"/>
          </w:tcPr>
          <w:p w14:paraId="1B3A5EC8">
            <w:pPr>
              <w:jc w:val="left"/>
              <w:rPr>
                <w:rFonts w:hint="eastAsia" w:eastAsiaTheme="minorEastAsia"/>
                <w:color w:val="auto"/>
                <w:highlight w:val="none"/>
                <w:lang w:eastAsia="zh-CN"/>
              </w:rPr>
            </w:pPr>
            <w:r>
              <w:rPr>
                <w:rFonts w:hint="eastAsia"/>
                <w:color w:val="auto"/>
                <w:highlight w:val="none"/>
                <w:lang w:eastAsia="zh-CN"/>
              </w:rPr>
              <w:t>国家税务总局来宾市兴宾区税务局2024年非执法类辅助性服务采购项目</w:t>
            </w:r>
          </w:p>
        </w:tc>
      </w:tr>
      <w:tr w14:paraId="6112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427F638E">
            <w:pPr>
              <w:rPr>
                <w:color w:val="auto"/>
                <w:highlight w:val="none"/>
              </w:rPr>
            </w:pPr>
            <w:r>
              <w:rPr>
                <w:rFonts w:hint="eastAsia"/>
                <w:color w:val="auto"/>
                <w:highlight w:val="none"/>
              </w:rPr>
              <w:t>2</w:t>
            </w:r>
          </w:p>
        </w:tc>
        <w:tc>
          <w:tcPr>
            <w:tcW w:w="1909" w:type="dxa"/>
            <w:gridSpan w:val="2"/>
            <w:noWrap/>
            <w:vAlign w:val="center"/>
          </w:tcPr>
          <w:p w14:paraId="75FD9E95">
            <w:pPr>
              <w:rPr>
                <w:color w:val="auto"/>
                <w:highlight w:val="none"/>
              </w:rPr>
            </w:pPr>
            <w:r>
              <w:rPr>
                <w:rFonts w:hint="eastAsia"/>
                <w:color w:val="auto"/>
                <w:highlight w:val="none"/>
              </w:rPr>
              <w:t>合同编号</w:t>
            </w:r>
          </w:p>
        </w:tc>
        <w:tc>
          <w:tcPr>
            <w:tcW w:w="6379" w:type="dxa"/>
            <w:noWrap/>
            <w:vAlign w:val="center"/>
          </w:tcPr>
          <w:p w14:paraId="037B7F3D">
            <w:pPr>
              <w:rPr>
                <w:color w:val="auto"/>
                <w:highlight w:val="none"/>
              </w:rPr>
            </w:pPr>
          </w:p>
        </w:tc>
      </w:tr>
      <w:tr w14:paraId="68B3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214C36E4">
            <w:pPr>
              <w:rPr>
                <w:color w:val="auto"/>
                <w:highlight w:val="none"/>
              </w:rPr>
            </w:pPr>
            <w:r>
              <w:rPr>
                <w:rFonts w:hint="eastAsia"/>
                <w:color w:val="auto"/>
                <w:highlight w:val="none"/>
              </w:rPr>
              <w:t>3</w:t>
            </w:r>
          </w:p>
        </w:tc>
        <w:tc>
          <w:tcPr>
            <w:tcW w:w="1909" w:type="dxa"/>
            <w:gridSpan w:val="2"/>
            <w:noWrap/>
            <w:vAlign w:val="center"/>
          </w:tcPr>
          <w:p w14:paraId="0A8CC9D1">
            <w:pPr>
              <w:rPr>
                <w:color w:val="auto"/>
                <w:highlight w:val="none"/>
              </w:rPr>
            </w:pPr>
            <w:r>
              <w:rPr>
                <w:rFonts w:hint="eastAsia"/>
                <w:color w:val="auto"/>
                <w:highlight w:val="none"/>
              </w:rPr>
              <w:t>合同类型</w:t>
            </w:r>
          </w:p>
        </w:tc>
        <w:tc>
          <w:tcPr>
            <w:tcW w:w="6379" w:type="dxa"/>
            <w:noWrap/>
            <w:vAlign w:val="center"/>
          </w:tcPr>
          <w:p w14:paraId="6530500B">
            <w:pPr>
              <w:rPr>
                <w:b/>
                <w:color w:val="auto"/>
                <w:highlight w:val="none"/>
              </w:rPr>
            </w:pPr>
            <w:r>
              <w:rPr>
                <w:rFonts w:hint="eastAsia" w:asciiTheme="minorEastAsia" w:hAnsiTheme="minorEastAsia" w:eastAsiaTheme="minorEastAsia" w:cstheme="minorEastAsia"/>
                <w:b w:val="0"/>
                <w:bCs w:val="0"/>
                <w:color w:val="auto"/>
                <w:sz w:val="21"/>
                <w:szCs w:val="21"/>
                <w:highlight w:val="none"/>
                <w:lang w:eastAsia="zh-CN"/>
              </w:rPr>
              <w:t>服务类</w:t>
            </w:r>
          </w:p>
        </w:tc>
      </w:tr>
      <w:tr w14:paraId="6A50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70704327">
            <w:pPr>
              <w:rPr>
                <w:color w:val="auto"/>
                <w:highlight w:val="none"/>
              </w:rPr>
            </w:pPr>
            <w:r>
              <w:rPr>
                <w:rFonts w:hint="eastAsia"/>
                <w:color w:val="auto"/>
                <w:highlight w:val="none"/>
              </w:rPr>
              <w:t>4</w:t>
            </w:r>
          </w:p>
        </w:tc>
        <w:tc>
          <w:tcPr>
            <w:tcW w:w="1909" w:type="dxa"/>
            <w:gridSpan w:val="2"/>
            <w:noWrap/>
            <w:vAlign w:val="center"/>
          </w:tcPr>
          <w:p w14:paraId="28000644">
            <w:pPr>
              <w:rPr>
                <w:color w:val="auto"/>
                <w:highlight w:val="none"/>
              </w:rPr>
            </w:pPr>
            <w:r>
              <w:rPr>
                <w:rFonts w:hint="eastAsia"/>
                <w:color w:val="auto"/>
                <w:highlight w:val="none"/>
              </w:rPr>
              <w:t>定价方式</w:t>
            </w:r>
          </w:p>
        </w:tc>
        <w:tc>
          <w:tcPr>
            <w:tcW w:w="6379" w:type="dxa"/>
            <w:noWrap/>
            <w:vAlign w:val="center"/>
          </w:tcPr>
          <w:p w14:paraId="7AA7A76C">
            <w:pPr>
              <w:rPr>
                <w:b/>
                <w:color w:val="auto"/>
                <w:highlight w:val="none"/>
              </w:rPr>
            </w:pPr>
            <w:r>
              <w:rPr>
                <w:rFonts w:hint="eastAsia"/>
                <w:color w:val="auto"/>
                <w:highlight w:val="none"/>
              </w:rPr>
              <w:t>固定总价</w:t>
            </w:r>
          </w:p>
        </w:tc>
      </w:tr>
      <w:tr w14:paraId="66A4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restart"/>
            <w:noWrap/>
            <w:vAlign w:val="center"/>
          </w:tcPr>
          <w:p w14:paraId="33DAE3BD">
            <w:pPr>
              <w:rPr>
                <w:color w:val="auto"/>
                <w:highlight w:val="none"/>
              </w:rPr>
            </w:pPr>
            <w:r>
              <w:rPr>
                <w:rFonts w:hint="eastAsia"/>
                <w:color w:val="auto"/>
                <w:highlight w:val="none"/>
              </w:rPr>
              <w:t>5</w:t>
            </w:r>
          </w:p>
        </w:tc>
        <w:tc>
          <w:tcPr>
            <w:tcW w:w="1909" w:type="dxa"/>
            <w:gridSpan w:val="2"/>
            <w:noWrap/>
            <w:vAlign w:val="center"/>
          </w:tcPr>
          <w:p w14:paraId="5B0C0548">
            <w:pPr>
              <w:rPr>
                <w:color w:val="auto"/>
                <w:highlight w:val="none"/>
              </w:rPr>
            </w:pPr>
            <w:r>
              <w:rPr>
                <w:rFonts w:hint="eastAsia"/>
                <w:color w:val="auto"/>
                <w:highlight w:val="none"/>
              </w:rPr>
              <w:t>甲方名称</w:t>
            </w:r>
          </w:p>
        </w:tc>
        <w:tc>
          <w:tcPr>
            <w:tcW w:w="6379" w:type="dxa"/>
            <w:noWrap/>
            <w:vAlign w:val="center"/>
          </w:tcPr>
          <w:p w14:paraId="545A872E">
            <w:pPr>
              <w:rPr>
                <w:rFonts w:hint="eastAsia" w:eastAsiaTheme="minorEastAsia"/>
                <w:color w:val="auto"/>
                <w:highlight w:val="none"/>
                <w:lang w:eastAsia="zh-CN"/>
              </w:rPr>
            </w:pPr>
            <w:r>
              <w:rPr>
                <w:rFonts w:hint="eastAsia"/>
                <w:color w:val="auto"/>
                <w:highlight w:val="none"/>
                <w:lang w:eastAsia="zh-CN"/>
              </w:rPr>
              <w:t>国家税务总局来宾市兴宾区税务局</w:t>
            </w:r>
          </w:p>
        </w:tc>
      </w:tr>
      <w:tr w14:paraId="14B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7DBC2C1A">
            <w:pPr>
              <w:rPr>
                <w:color w:val="auto"/>
                <w:highlight w:val="none"/>
              </w:rPr>
            </w:pPr>
          </w:p>
        </w:tc>
        <w:tc>
          <w:tcPr>
            <w:tcW w:w="1909" w:type="dxa"/>
            <w:gridSpan w:val="2"/>
            <w:noWrap/>
            <w:vAlign w:val="center"/>
          </w:tcPr>
          <w:p w14:paraId="50CFE67B">
            <w:pPr>
              <w:rPr>
                <w:color w:val="auto"/>
                <w:highlight w:val="none"/>
              </w:rPr>
            </w:pPr>
            <w:r>
              <w:rPr>
                <w:rFonts w:hint="eastAsia"/>
                <w:color w:val="auto"/>
                <w:highlight w:val="none"/>
              </w:rPr>
              <w:t>甲方地址</w:t>
            </w:r>
          </w:p>
        </w:tc>
        <w:tc>
          <w:tcPr>
            <w:tcW w:w="6379" w:type="dxa"/>
            <w:noWrap/>
            <w:vAlign w:val="center"/>
          </w:tcPr>
          <w:p w14:paraId="504C1DEA">
            <w:pPr>
              <w:rPr>
                <w:rFonts w:hint="eastAsia" w:eastAsiaTheme="minorEastAsia"/>
                <w:color w:val="auto"/>
                <w:highlight w:val="none"/>
                <w:lang w:eastAsia="zh-CN"/>
              </w:rPr>
            </w:pPr>
            <w:r>
              <w:rPr>
                <w:rFonts w:hint="eastAsia"/>
                <w:color w:val="auto"/>
                <w:highlight w:val="none"/>
                <w:lang w:eastAsia="zh-CN"/>
              </w:rPr>
              <w:t>来宾市兴宾区维林大道417号</w:t>
            </w:r>
          </w:p>
        </w:tc>
      </w:tr>
      <w:tr w14:paraId="4AA0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5C7576CF">
            <w:pPr>
              <w:rPr>
                <w:color w:val="auto"/>
                <w:highlight w:val="none"/>
              </w:rPr>
            </w:pPr>
          </w:p>
        </w:tc>
        <w:tc>
          <w:tcPr>
            <w:tcW w:w="409" w:type="dxa"/>
            <w:vMerge w:val="restart"/>
            <w:noWrap/>
            <w:vAlign w:val="center"/>
          </w:tcPr>
          <w:p w14:paraId="23791AA0">
            <w:pPr>
              <w:rPr>
                <w:color w:val="auto"/>
                <w:highlight w:val="none"/>
              </w:rPr>
            </w:pPr>
            <w:r>
              <w:rPr>
                <w:rFonts w:hint="eastAsia"/>
                <w:color w:val="auto"/>
                <w:highlight w:val="none"/>
              </w:rPr>
              <w:t>甲方相关部门</w:t>
            </w:r>
          </w:p>
        </w:tc>
        <w:tc>
          <w:tcPr>
            <w:tcW w:w="1500" w:type="dxa"/>
            <w:noWrap/>
            <w:vAlign w:val="center"/>
          </w:tcPr>
          <w:p w14:paraId="3F2E392C">
            <w:pPr>
              <w:rPr>
                <w:color w:val="auto"/>
                <w:highlight w:val="none"/>
              </w:rPr>
            </w:pPr>
            <w:r>
              <w:rPr>
                <w:rFonts w:hint="eastAsia"/>
                <w:color w:val="auto"/>
                <w:highlight w:val="none"/>
              </w:rPr>
              <w:t>甲方采购部门</w:t>
            </w:r>
          </w:p>
        </w:tc>
        <w:tc>
          <w:tcPr>
            <w:tcW w:w="6379" w:type="dxa"/>
            <w:noWrap/>
            <w:vAlign w:val="center"/>
          </w:tcPr>
          <w:p w14:paraId="039C12B5">
            <w:pPr>
              <w:rPr>
                <w:color w:val="auto"/>
                <w:highlight w:val="none"/>
              </w:rPr>
            </w:pPr>
          </w:p>
        </w:tc>
      </w:tr>
      <w:tr w14:paraId="1C4C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76B9CEB9">
            <w:pPr>
              <w:rPr>
                <w:color w:val="auto"/>
                <w:highlight w:val="none"/>
              </w:rPr>
            </w:pPr>
          </w:p>
        </w:tc>
        <w:tc>
          <w:tcPr>
            <w:tcW w:w="409" w:type="dxa"/>
            <w:vMerge w:val="continue"/>
            <w:noWrap/>
            <w:vAlign w:val="center"/>
          </w:tcPr>
          <w:p w14:paraId="6FA97F8F">
            <w:pPr>
              <w:rPr>
                <w:color w:val="auto"/>
                <w:highlight w:val="none"/>
              </w:rPr>
            </w:pPr>
          </w:p>
        </w:tc>
        <w:tc>
          <w:tcPr>
            <w:tcW w:w="1500" w:type="dxa"/>
            <w:noWrap/>
            <w:vAlign w:val="center"/>
          </w:tcPr>
          <w:p w14:paraId="06C2FE44">
            <w:pPr>
              <w:rPr>
                <w:color w:val="auto"/>
                <w:highlight w:val="none"/>
              </w:rPr>
            </w:pPr>
            <w:r>
              <w:rPr>
                <w:rFonts w:hint="eastAsia"/>
                <w:color w:val="auto"/>
                <w:highlight w:val="none"/>
              </w:rPr>
              <w:t>联系人</w:t>
            </w:r>
          </w:p>
        </w:tc>
        <w:tc>
          <w:tcPr>
            <w:tcW w:w="6379" w:type="dxa"/>
            <w:noWrap/>
            <w:vAlign w:val="center"/>
          </w:tcPr>
          <w:p w14:paraId="0E774F95">
            <w:pPr>
              <w:rPr>
                <w:color w:val="auto"/>
                <w:highlight w:val="none"/>
              </w:rPr>
            </w:pPr>
          </w:p>
        </w:tc>
      </w:tr>
      <w:tr w14:paraId="1327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6D0B0AF3">
            <w:pPr>
              <w:rPr>
                <w:color w:val="auto"/>
                <w:highlight w:val="none"/>
              </w:rPr>
            </w:pPr>
          </w:p>
        </w:tc>
        <w:tc>
          <w:tcPr>
            <w:tcW w:w="409" w:type="dxa"/>
            <w:vMerge w:val="continue"/>
            <w:noWrap/>
            <w:vAlign w:val="center"/>
          </w:tcPr>
          <w:p w14:paraId="66D921C7">
            <w:pPr>
              <w:rPr>
                <w:color w:val="auto"/>
                <w:highlight w:val="none"/>
              </w:rPr>
            </w:pPr>
          </w:p>
        </w:tc>
        <w:tc>
          <w:tcPr>
            <w:tcW w:w="1500" w:type="dxa"/>
            <w:noWrap/>
            <w:vAlign w:val="center"/>
          </w:tcPr>
          <w:p w14:paraId="4FB6229A">
            <w:pPr>
              <w:rPr>
                <w:color w:val="auto"/>
                <w:highlight w:val="none"/>
              </w:rPr>
            </w:pPr>
            <w:r>
              <w:rPr>
                <w:rFonts w:hint="eastAsia"/>
                <w:color w:val="auto"/>
                <w:highlight w:val="none"/>
              </w:rPr>
              <w:t>联系电话</w:t>
            </w:r>
          </w:p>
        </w:tc>
        <w:tc>
          <w:tcPr>
            <w:tcW w:w="6379" w:type="dxa"/>
            <w:noWrap/>
            <w:vAlign w:val="center"/>
          </w:tcPr>
          <w:p w14:paraId="3A89DA21">
            <w:pPr>
              <w:rPr>
                <w:color w:val="auto"/>
                <w:highlight w:val="none"/>
              </w:rPr>
            </w:pPr>
          </w:p>
        </w:tc>
      </w:tr>
      <w:tr w14:paraId="00EE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16222A61">
            <w:pPr>
              <w:rPr>
                <w:color w:val="auto"/>
                <w:highlight w:val="none"/>
              </w:rPr>
            </w:pPr>
          </w:p>
        </w:tc>
        <w:tc>
          <w:tcPr>
            <w:tcW w:w="409" w:type="dxa"/>
            <w:vMerge w:val="continue"/>
            <w:noWrap/>
            <w:vAlign w:val="center"/>
          </w:tcPr>
          <w:p w14:paraId="327EF29C">
            <w:pPr>
              <w:rPr>
                <w:color w:val="auto"/>
                <w:highlight w:val="none"/>
              </w:rPr>
            </w:pPr>
          </w:p>
        </w:tc>
        <w:tc>
          <w:tcPr>
            <w:tcW w:w="1500" w:type="dxa"/>
            <w:noWrap/>
            <w:vAlign w:val="center"/>
          </w:tcPr>
          <w:p w14:paraId="5CA20174">
            <w:pPr>
              <w:rPr>
                <w:color w:val="auto"/>
                <w:highlight w:val="none"/>
              </w:rPr>
            </w:pPr>
            <w:r>
              <w:rPr>
                <w:rFonts w:hint="eastAsia"/>
                <w:color w:val="auto"/>
                <w:highlight w:val="none"/>
              </w:rPr>
              <w:t>甲方需求部门</w:t>
            </w:r>
          </w:p>
        </w:tc>
        <w:tc>
          <w:tcPr>
            <w:tcW w:w="6379" w:type="dxa"/>
            <w:noWrap/>
            <w:vAlign w:val="center"/>
          </w:tcPr>
          <w:p w14:paraId="4E80E42F">
            <w:pPr>
              <w:rPr>
                <w:color w:val="auto"/>
                <w:highlight w:val="none"/>
              </w:rPr>
            </w:pPr>
          </w:p>
        </w:tc>
      </w:tr>
      <w:tr w14:paraId="17B5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58F1A779">
            <w:pPr>
              <w:rPr>
                <w:color w:val="auto"/>
                <w:highlight w:val="none"/>
              </w:rPr>
            </w:pPr>
          </w:p>
        </w:tc>
        <w:tc>
          <w:tcPr>
            <w:tcW w:w="409" w:type="dxa"/>
            <w:vMerge w:val="continue"/>
            <w:noWrap/>
            <w:vAlign w:val="center"/>
          </w:tcPr>
          <w:p w14:paraId="6437EFBE">
            <w:pPr>
              <w:rPr>
                <w:color w:val="auto"/>
                <w:highlight w:val="none"/>
              </w:rPr>
            </w:pPr>
          </w:p>
        </w:tc>
        <w:tc>
          <w:tcPr>
            <w:tcW w:w="1500" w:type="dxa"/>
            <w:noWrap/>
            <w:vAlign w:val="center"/>
          </w:tcPr>
          <w:p w14:paraId="4E35B9D7">
            <w:pPr>
              <w:rPr>
                <w:color w:val="auto"/>
                <w:highlight w:val="none"/>
              </w:rPr>
            </w:pPr>
            <w:r>
              <w:rPr>
                <w:rFonts w:hint="eastAsia"/>
                <w:color w:val="auto"/>
                <w:highlight w:val="none"/>
              </w:rPr>
              <w:t>联系人</w:t>
            </w:r>
          </w:p>
        </w:tc>
        <w:tc>
          <w:tcPr>
            <w:tcW w:w="6379" w:type="dxa"/>
            <w:noWrap/>
            <w:vAlign w:val="center"/>
          </w:tcPr>
          <w:p w14:paraId="04DD5A4E">
            <w:pPr>
              <w:rPr>
                <w:color w:val="auto"/>
                <w:highlight w:val="none"/>
              </w:rPr>
            </w:pPr>
          </w:p>
        </w:tc>
      </w:tr>
      <w:tr w14:paraId="7849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4312A1CB">
            <w:pPr>
              <w:rPr>
                <w:color w:val="auto"/>
                <w:highlight w:val="none"/>
              </w:rPr>
            </w:pPr>
          </w:p>
        </w:tc>
        <w:tc>
          <w:tcPr>
            <w:tcW w:w="409" w:type="dxa"/>
            <w:vMerge w:val="continue"/>
            <w:noWrap/>
            <w:vAlign w:val="center"/>
          </w:tcPr>
          <w:p w14:paraId="007CA5A1">
            <w:pPr>
              <w:rPr>
                <w:color w:val="auto"/>
                <w:highlight w:val="none"/>
              </w:rPr>
            </w:pPr>
          </w:p>
        </w:tc>
        <w:tc>
          <w:tcPr>
            <w:tcW w:w="1500" w:type="dxa"/>
            <w:noWrap/>
            <w:vAlign w:val="center"/>
          </w:tcPr>
          <w:p w14:paraId="326D30ED">
            <w:pPr>
              <w:rPr>
                <w:color w:val="auto"/>
                <w:highlight w:val="none"/>
              </w:rPr>
            </w:pPr>
            <w:r>
              <w:rPr>
                <w:rFonts w:hint="eastAsia"/>
                <w:color w:val="auto"/>
                <w:highlight w:val="none"/>
              </w:rPr>
              <w:t>联系电话</w:t>
            </w:r>
          </w:p>
        </w:tc>
        <w:tc>
          <w:tcPr>
            <w:tcW w:w="6379" w:type="dxa"/>
            <w:noWrap/>
            <w:vAlign w:val="center"/>
          </w:tcPr>
          <w:p w14:paraId="07C7DE89">
            <w:pPr>
              <w:rPr>
                <w:color w:val="auto"/>
                <w:highlight w:val="none"/>
              </w:rPr>
            </w:pPr>
          </w:p>
        </w:tc>
      </w:tr>
      <w:tr w14:paraId="43B4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restart"/>
            <w:noWrap/>
            <w:vAlign w:val="center"/>
          </w:tcPr>
          <w:p w14:paraId="15F217A7">
            <w:pPr>
              <w:rPr>
                <w:color w:val="auto"/>
                <w:highlight w:val="none"/>
              </w:rPr>
            </w:pPr>
            <w:r>
              <w:rPr>
                <w:rFonts w:hint="eastAsia"/>
                <w:color w:val="auto"/>
                <w:highlight w:val="none"/>
              </w:rPr>
              <w:t>6</w:t>
            </w:r>
          </w:p>
        </w:tc>
        <w:tc>
          <w:tcPr>
            <w:tcW w:w="1909" w:type="dxa"/>
            <w:gridSpan w:val="2"/>
            <w:noWrap/>
            <w:vAlign w:val="center"/>
          </w:tcPr>
          <w:p w14:paraId="6A731CBE">
            <w:pPr>
              <w:rPr>
                <w:color w:val="auto"/>
                <w:highlight w:val="none"/>
              </w:rPr>
            </w:pPr>
            <w:r>
              <w:rPr>
                <w:rFonts w:hint="eastAsia"/>
                <w:color w:val="auto"/>
                <w:highlight w:val="none"/>
              </w:rPr>
              <w:t>乙方名称</w:t>
            </w:r>
          </w:p>
        </w:tc>
        <w:tc>
          <w:tcPr>
            <w:tcW w:w="6379" w:type="dxa"/>
            <w:noWrap/>
            <w:vAlign w:val="center"/>
          </w:tcPr>
          <w:p w14:paraId="2AD670F1">
            <w:pPr>
              <w:rPr>
                <w:color w:val="auto"/>
                <w:highlight w:val="none"/>
              </w:rPr>
            </w:pPr>
          </w:p>
        </w:tc>
      </w:tr>
      <w:tr w14:paraId="5439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4FA3D742">
            <w:pPr>
              <w:rPr>
                <w:color w:val="auto"/>
                <w:highlight w:val="none"/>
              </w:rPr>
            </w:pPr>
          </w:p>
        </w:tc>
        <w:tc>
          <w:tcPr>
            <w:tcW w:w="1909" w:type="dxa"/>
            <w:gridSpan w:val="2"/>
            <w:noWrap/>
            <w:vAlign w:val="center"/>
          </w:tcPr>
          <w:p w14:paraId="50B32290">
            <w:pPr>
              <w:rPr>
                <w:color w:val="auto"/>
                <w:highlight w:val="none"/>
              </w:rPr>
            </w:pPr>
            <w:r>
              <w:rPr>
                <w:rFonts w:hint="eastAsia"/>
                <w:color w:val="auto"/>
                <w:highlight w:val="none"/>
              </w:rPr>
              <w:t>乙方企业性质</w:t>
            </w:r>
          </w:p>
        </w:tc>
        <w:tc>
          <w:tcPr>
            <w:tcW w:w="6379" w:type="dxa"/>
            <w:noWrap/>
            <w:vAlign w:val="center"/>
          </w:tcPr>
          <w:p w14:paraId="2F82B1D1">
            <w:pPr>
              <w:rPr>
                <w:color w:val="auto"/>
                <w:highlight w:val="none"/>
              </w:rPr>
            </w:pPr>
            <w:r>
              <w:rPr>
                <w:rFonts w:hint="eastAsia"/>
                <w:color w:val="auto"/>
                <w:highlight w:val="none"/>
              </w:rPr>
              <w:sym w:font="Wingdings 2" w:char="00A3"/>
            </w:r>
            <w:r>
              <w:rPr>
                <w:rFonts w:hint="eastAsia"/>
                <w:color w:val="auto"/>
                <w:highlight w:val="none"/>
              </w:rPr>
              <w:t xml:space="preserve"> 中型企业   </w:t>
            </w:r>
            <w:r>
              <w:rPr>
                <w:rFonts w:hint="eastAsia"/>
                <w:color w:val="auto"/>
                <w:highlight w:val="none"/>
              </w:rPr>
              <w:sym w:font="Wingdings 2" w:char="00A3"/>
            </w:r>
            <w:r>
              <w:rPr>
                <w:rFonts w:hint="eastAsia"/>
                <w:color w:val="auto"/>
                <w:highlight w:val="none"/>
              </w:rPr>
              <w:t xml:space="preserve"> 小型企业       </w:t>
            </w:r>
            <w:r>
              <w:rPr>
                <w:rFonts w:hint="eastAsia"/>
                <w:color w:val="auto"/>
                <w:highlight w:val="none"/>
              </w:rPr>
              <w:sym w:font="Wingdings 2" w:char="00A3"/>
            </w:r>
            <w:r>
              <w:rPr>
                <w:rFonts w:hint="eastAsia"/>
                <w:color w:val="auto"/>
                <w:highlight w:val="none"/>
              </w:rPr>
              <w:t xml:space="preserve"> 微型企业    </w:t>
            </w:r>
          </w:p>
          <w:p w14:paraId="300D9B83">
            <w:pPr>
              <w:rPr>
                <w:color w:val="auto"/>
                <w:highlight w:val="none"/>
              </w:rPr>
            </w:pPr>
            <w:r>
              <w:rPr>
                <w:rFonts w:hint="eastAsia"/>
                <w:color w:val="auto"/>
                <w:highlight w:val="none"/>
              </w:rPr>
              <w:sym w:font="Wingdings 2" w:char="00A3"/>
            </w:r>
            <w:r>
              <w:rPr>
                <w:rFonts w:hint="eastAsia"/>
                <w:color w:val="auto"/>
                <w:highlight w:val="none"/>
              </w:rPr>
              <w:t xml:space="preserve"> 监狱企业   </w:t>
            </w:r>
            <w:r>
              <w:rPr>
                <w:rFonts w:hint="eastAsia"/>
                <w:color w:val="auto"/>
                <w:highlight w:val="none"/>
              </w:rPr>
              <w:sym w:font="Wingdings 2" w:char="00A3"/>
            </w:r>
            <w:r>
              <w:rPr>
                <w:rFonts w:hint="eastAsia"/>
                <w:color w:val="auto"/>
                <w:highlight w:val="none"/>
              </w:rPr>
              <w:t xml:space="preserve"> 残疾人福利性单位    </w:t>
            </w:r>
            <w:r>
              <w:rPr>
                <w:rFonts w:hint="eastAsia"/>
                <w:color w:val="auto"/>
                <w:highlight w:val="none"/>
              </w:rPr>
              <w:sym w:font="Wingdings 2" w:char="00A3"/>
            </w:r>
            <w:r>
              <w:rPr>
                <w:rFonts w:hint="eastAsia"/>
                <w:color w:val="auto"/>
                <w:highlight w:val="none"/>
              </w:rPr>
              <w:t xml:space="preserve"> 其他</w:t>
            </w:r>
          </w:p>
        </w:tc>
      </w:tr>
      <w:tr w14:paraId="71C2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0B506D82">
            <w:pPr>
              <w:rPr>
                <w:color w:val="auto"/>
                <w:highlight w:val="none"/>
              </w:rPr>
            </w:pPr>
          </w:p>
        </w:tc>
        <w:tc>
          <w:tcPr>
            <w:tcW w:w="1909" w:type="dxa"/>
            <w:gridSpan w:val="2"/>
            <w:noWrap/>
            <w:vAlign w:val="center"/>
          </w:tcPr>
          <w:p w14:paraId="7FC166FD">
            <w:pPr>
              <w:rPr>
                <w:color w:val="auto"/>
                <w:highlight w:val="none"/>
              </w:rPr>
            </w:pPr>
            <w:r>
              <w:rPr>
                <w:rFonts w:hint="eastAsia"/>
                <w:color w:val="auto"/>
                <w:highlight w:val="none"/>
              </w:rPr>
              <w:t>乙方地址</w:t>
            </w:r>
          </w:p>
        </w:tc>
        <w:tc>
          <w:tcPr>
            <w:tcW w:w="6379" w:type="dxa"/>
            <w:noWrap/>
            <w:vAlign w:val="center"/>
          </w:tcPr>
          <w:p w14:paraId="147D03F8">
            <w:pPr>
              <w:rPr>
                <w:color w:val="auto"/>
                <w:highlight w:val="none"/>
              </w:rPr>
            </w:pPr>
          </w:p>
        </w:tc>
      </w:tr>
      <w:tr w14:paraId="18F8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4B21ABE0">
            <w:pPr>
              <w:rPr>
                <w:color w:val="auto"/>
                <w:highlight w:val="none"/>
              </w:rPr>
            </w:pPr>
          </w:p>
        </w:tc>
        <w:tc>
          <w:tcPr>
            <w:tcW w:w="1909" w:type="dxa"/>
            <w:gridSpan w:val="2"/>
            <w:noWrap/>
            <w:vAlign w:val="center"/>
          </w:tcPr>
          <w:p w14:paraId="3B18EA99">
            <w:pPr>
              <w:rPr>
                <w:color w:val="auto"/>
                <w:highlight w:val="none"/>
              </w:rPr>
            </w:pPr>
            <w:r>
              <w:rPr>
                <w:rFonts w:hint="eastAsia"/>
                <w:color w:val="auto"/>
                <w:highlight w:val="none"/>
              </w:rPr>
              <w:t>乙方联系人</w:t>
            </w:r>
          </w:p>
        </w:tc>
        <w:tc>
          <w:tcPr>
            <w:tcW w:w="6379" w:type="dxa"/>
            <w:noWrap/>
            <w:vAlign w:val="center"/>
          </w:tcPr>
          <w:p w14:paraId="48357E5D">
            <w:pPr>
              <w:rPr>
                <w:color w:val="auto"/>
                <w:highlight w:val="none"/>
              </w:rPr>
            </w:pPr>
          </w:p>
        </w:tc>
      </w:tr>
      <w:tr w14:paraId="32F8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0AA8F36C">
            <w:pPr>
              <w:rPr>
                <w:color w:val="auto"/>
                <w:highlight w:val="none"/>
              </w:rPr>
            </w:pPr>
          </w:p>
        </w:tc>
        <w:tc>
          <w:tcPr>
            <w:tcW w:w="1909" w:type="dxa"/>
            <w:gridSpan w:val="2"/>
            <w:noWrap/>
            <w:vAlign w:val="center"/>
          </w:tcPr>
          <w:p w14:paraId="36355B32">
            <w:pPr>
              <w:rPr>
                <w:color w:val="auto"/>
                <w:highlight w:val="none"/>
              </w:rPr>
            </w:pPr>
            <w:r>
              <w:rPr>
                <w:rFonts w:hint="default"/>
                <w:color w:val="auto"/>
                <w:highlight w:val="none"/>
              </w:rPr>
              <w:t>联系电话</w:t>
            </w:r>
            <w:r>
              <w:rPr>
                <w:rFonts w:hint="default"/>
                <w:color w:val="auto"/>
                <w:highlight w:val="none"/>
                <w:lang w:val="en-US" w:eastAsia="zh-CN"/>
              </w:rPr>
              <w:t>/传真</w:t>
            </w:r>
          </w:p>
        </w:tc>
        <w:tc>
          <w:tcPr>
            <w:tcW w:w="6379" w:type="dxa"/>
            <w:noWrap/>
            <w:vAlign w:val="center"/>
          </w:tcPr>
          <w:p w14:paraId="14C2AF95">
            <w:pPr>
              <w:rPr>
                <w:color w:val="auto"/>
                <w:highlight w:val="none"/>
              </w:rPr>
            </w:pPr>
          </w:p>
        </w:tc>
      </w:tr>
      <w:tr w14:paraId="2AAD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35C8090F">
            <w:pPr>
              <w:rPr>
                <w:color w:val="auto"/>
                <w:highlight w:val="none"/>
              </w:rPr>
            </w:pPr>
          </w:p>
        </w:tc>
        <w:tc>
          <w:tcPr>
            <w:tcW w:w="1909" w:type="dxa"/>
            <w:gridSpan w:val="2"/>
            <w:noWrap/>
            <w:vAlign w:val="center"/>
          </w:tcPr>
          <w:p w14:paraId="464272B8">
            <w:pPr>
              <w:keepNext w:val="0"/>
              <w:keepLines w:val="0"/>
              <w:pageBreakBefore w:val="0"/>
              <w:tabs>
                <w:tab w:val="left" w:pos="700"/>
              </w:tabs>
              <w:kinsoku/>
              <w:wordWrap/>
              <w:overflowPunct/>
              <w:bidi w:val="0"/>
              <w:adjustRightInd w:val="0"/>
              <w:snapToGrid w:val="0"/>
              <w:spacing w:line="240" w:lineRule="auto"/>
              <w:jc w:val="center"/>
              <w:rPr>
                <w:color w:val="auto"/>
                <w:highlight w:val="none"/>
              </w:rPr>
            </w:pPr>
            <w:r>
              <w:rPr>
                <w:rFonts w:hint="default" w:ascii="Times New Roman" w:hAnsi="Times New Roman" w:cs="Times New Roman"/>
                <w:color w:val="auto"/>
                <w:sz w:val="21"/>
                <w:szCs w:val="21"/>
                <w:highlight w:val="none"/>
                <w:lang w:eastAsia="zh-CN"/>
              </w:rPr>
              <w:t>开户银行名称</w:t>
            </w:r>
          </w:p>
        </w:tc>
        <w:tc>
          <w:tcPr>
            <w:tcW w:w="6379" w:type="dxa"/>
            <w:noWrap/>
            <w:vAlign w:val="center"/>
          </w:tcPr>
          <w:p w14:paraId="700689F4">
            <w:pPr>
              <w:rPr>
                <w:color w:val="auto"/>
                <w:highlight w:val="none"/>
              </w:rPr>
            </w:pPr>
          </w:p>
        </w:tc>
      </w:tr>
      <w:tr w14:paraId="518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noWrap/>
            <w:vAlign w:val="center"/>
          </w:tcPr>
          <w:p w14:paraId="72A4320F">
            <w:pPr>
              <w:rPr>
                <w:color w:val="auto"/>
                <w:highlight w:val="none"/>
              </w:rPr>
            </w:pPr>
          </w:p>
        </w:tc>
        <w:tc>
          <w:tcPr>
            <w:tcW w:w="1909" w:type="dxa"/>
            <w:gridSpan w:val="2"/>
            <w:noWrap/>
            <w:vAlign w:val="center"/>
          </w:tcPr>
          <w:p w14:paraId="007DF81A">
            <w:pPr>
              <w:keepNext w:val="0"/>
              <w:keepLines w:val="0"/>
              <w:pageBreakBefore w:val="0"/>
              <w:tabs>
                <w:tab w:val="left" w:pos="700"/>
              </w:tabs>
              <w:kinsoku/>
              <w:wordWrap/>
              <w:overflowPunct/>
              <w:bidi w:val="0"/>
              <w:adjustRightInd w:val="0"/>
              <w:snapToGrid w:val="0"/>
              <w:spacing w:line="240" w:lineRule="auto"/>
              <w:jc w:val="center"/>
              <w:rPr>
                <w:rFonts w:hint="eastAsia"/>
                <w:color w:val="auto"/>
                <w:highlight w:val="none"/>
              </w:rPr>
            </w:pPr>
            <w:r>
              <w:rPr>
                <w:rFonts w:hint="default" w:ascii="Times New Roman" w:hAnsi="Times New Roman" w:cs="Times New Roman"/>
                <w:color w:val="auto"/>
                <w:sz w:val="21"/>
                <w:szCs w:val="21"/>
                <w:highlight w:val="none"/>
                <w:lang w:eastAsia="zh-CN"/>
              </w:rPr>
              <w:t>银行账号</w:t>
            </w:r>
          </w:p>
        </w:tc>
        <w:tc>
          <w:tcPr>
            <w:tcW w:w="6379" w:type="dxa"/>
            <w:noWrap/>
            <w:vAlign w:val="center"/>
          </w:tcPr>
          <w:p w14:paraId="3217112C">
            <w:pPr>
              <w:rPr>
                <w:color w:val="auto"/>
                <w:highlight w:val="none"/>
              </w:rPr>
            </w:pPr>
          </w:p>
        </w:tc>
      </w:tr>
      <w:tr w14:paraId="76D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7EAA363E">
            <w:pPr>
              <w:rPr>
                <w:color w:val="auto"/>
                <w:highlight w:val="none"/>
              </w:rPr>
            </w:pPr>
            <w:r>
              <w:rPr>
                <w:rFonts w:hint="eastAsia"/>
                <w:color w:val="auto"/>
                <w:highlight w:val="none"/>
              </w:rPr>
              <w:t>7</w:t>
            </w:r>
          </w:p>
        </w:tc>
        <w:tc>
          <w:tcPr>
            <w:tcW w:w="1909" w:type="dxa"/>
            <w:gridSpan w:val="2"/>
            <w:noWrap/>
            <w:vAlign w:val="center"/>
          </w:tcPr>
          <w:p w14:paraId="6155EAE4">
            <w:pPr>
              <w:rPr>
                <w:color w:val="auto"/>
                <w:highlight w:val="none"/>
              </w:rPr>
            </w:pPr>
            <w:r>
              <w:rPr>
                <w:rFonts w:hint="eastAsia"/>
                <w:color w:val="auto"/>
                <w:highlight w:val="none"/>
              </w:rPr>
              <w:t>合同金额</w:t>
            </w:r>
          </w:p>
        </w:tc>
        <w:tc>
          <w:tcPr>
            <w:tcW w:w="6379" w:type="dxa"/>
            <w:noWrap/>
            <w:vAlign w:val="center"/>
          </w:tcPr>
          <w:p w14:paraId="64CD5BB7">
            <w:pPr>
              <w:jc w:val="left"/>
              <w:rPr>
                <w:color w:val="auto"/>
                <w:highlight w:val="none"/>
              </w:rPr>
            </w:pPr>
            <w:r>
              <w:rPr>
                <w:rFonts w:hint="eastAsia"/>
                <w:color w:val="auto"/>
                <w:highlight w:val="none"/>
              </w:rPr>
              <w:t>人民币</w:t>
            </w:r>
            <w:r>
              <w:rPr>
                <w:rFonts w:hint="eastAsia"/>
                <w:color w:val="auto"/>
                <w:highlight w:val="none"/>
                <w:lang w:eastAsia="zh-CN"/>
              </w:rPr>
              <w:t>（</w:t>
            </w:r>
            <w:r>
              <w:rPr>
                <w:rFonts w:hint="eastAsia"/>
                <w:color w:val="auto"/>
                <w:highlight w:val="none"/>
                <w:lang w:val="en-US" w:eastAsia="zh-CN"/>
              </w:rPr>
              <w:t xml:space="preserve">大写）           </w:t>
            </w:r>
            <w:r>
              <w:rPr>
                <w:rFonts w:hint="eastAsia"/>
                <w:color w:val="auto"/>
                <w:highlight w:val="none"/>
              </w:rPr>
              <w:t>元整（¥</w:t>
            </w:r>
            <w:r>
              <w:rPr>
                <w:rFonts w:hint="eastAsia"/>
                <w:color w:val="auto"/>
                <w:highlight w:val="none"/>
                <w:lang w:val="en-US" w:eastAsia="zh-CN"/>
              </w:rPr>
              <w:t xml:space="preserve">         </w:t>
            </w:r>
            <w:r>
              <w:rPr>
                <w:rFonts w:hint="eastAsia"/>
                <w:color w:val="auto"/>
                <w:highlight w:val="none"/>
              </w:rPr>
              <w:t>）。</w:t>
            </w:r>
          </w:p>
        </w:tc>
      </w:tr>
      <w:tr w14:paraId="3078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3ABBF9F5">
            <w:pPr>
              <w:rPr>
                <w:color w:val="auto"/>
                <w:highlight w:val="none"/>
              </w:rPr>
            </w:pPr>
            <w:r>
              <w:rPr>
                <w:rFonts w:hint="eastAsia"/>
                <w:color w:val="auto"/>
                <w:highlight w:val="none"/>
              </w:rPr>
              <w:t>8</w:t>
            </w:r>
          </w:p>
        </w:tc>
        <w:tc>
          <w:tcPr>
            <w:tcW w:w="1909" w:type="dxa"/>
            <w:gridSpan w:val="2"/>
            <w:noWrap/>
            <w:vAlign w:val="center"/>
          </w:tcPr>
          <w:p w14:paraId="02FADAFE">
            <w:pPr>
              <w:rPr>
                <w:color w:val="auto"/>
                <w:highlight w:val="none"/>
              </w:rPr>
            </w:pPr>
            <w:r>
              <w:rPr>
                <w:rFonts w:hint="eastAsia"/>
                <w:color w:val="auto"/>
                <w:highlight w:val="none"/>
              </w:rPr>
              <w:t>服务内容</w:t>
            </w:r>
          </w:p>
        </w:tc>
        <w:tc>
          <w:tcPr>
            <w:tcW w:w="6379" w:type="dxa"/>
            <w:noWrap/>
            <w:vAlign w:val="center"/>
          </w:tcPr>
          <w:p w14:paraId="06D596CC">
            <w:pPr>
              <w:jc w:val="left"/>
              <w:rPr>
                <w:color w:val="auto"/>
                <w:highlight w:val="none"/>
              </w:rPr>
            </w:pPr>
            <w:r>
              <w:rPr>
                <w:rFonts w:hint="eastAsia" w:ascii="宋体" w:hAnsi="宋体" w:eastAsia="宋体" w:cs="宋体"/>
                <w:b w:val="0"/>
                <w:bCs w:val="0"/>
                <w:color w:val="auto"/>
                <w:kern w:val="0"/>
                <w:sz w:val="21"/>
                <w:szCs w:val="21"/>
                <w:highlight w:val="none"/>
                <w:lang w:val="en-US" w:eastAsia="zh-CN"/>
              </w:rPr>
              <w:t>国家税务总局来宾市兴宾区</w:t>
            </w:r>
            <w:r>
              <w:rPr>
                <w:rFonts w:hint="eastAsia" w:ascii="宋体" w:hAnsi="宋体" w:eastAsia="宋体" w:cs="宋体"/>
                <w:b w:val="0"/>
                <w:bCs w:val="0"/>
                <w:color w:val="auto"/>
                <w:kern w:val="0"/>
                <w:sz w:val="21"/>
                <w:szCs w:val="21"/>
                <w:highlight w:val="none"/>
              </w:rPr>
              <w:t>税务局2024年</w:t>
            </w:r>
            <w:r>
              <w:rPr>
                <w:rFonts w:hint="eastAsia" w:ascii="宋体" w:hAnsi="宋体" w:eastAsia="宋体" w:cs="宋体"/>
                <w:b w:val="0"/>
                <w:bCs w:val="0"/>
                <w:color w:val="auto"/>
                <w:kern w:val="0"/>
                <w:sz w:val="21"/>
                <w:szCs w:val="21"/>
                <w:highlight w:val="none"/>
                <w:lang w:eastAsia="zh-CN"/>
              </w:rPr>
              <w:t>非执法类办税服务厅辅助服务、非执法类税费管理辅助服务、非执法类综合管理服务、机关后勤服务、档案管理服务</w:t>
            </w:r>
            <w:r>
              <w:rPr>
                <w:rFonts w:hint="eastAsia" w:ascii="宋体" w:hAnsi="宋体" w:eastAsia="宋体" w:cs="宋体"/>
                <w:b w:val="0"/>
                <w:bCs w:val="0"/>
                <w:color w:val="auto"/>
                <w:kern w:val="0"/>
                <w:sz w:val="21"/>
                <w:szCs w:val="21"/>
                <w:highlight w:val="none"/>
              </w:rPr>
              <w:t>等。具体要求详见本项目招标文件。</w:t>
            </w:r>
          </w:p>
        </w:tc>
      </w:tr>
      <w:tr w14:paraId="2029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4293B410">
            <w:pPr>
              <w:rPr>
                <w:color w:val="auto"/>
                <w:highlight w:val="none"/>
              </w:rPr>
            </w:pPr>
            <w:r>
              <w:rPr>
                <w:rFonts w:hint="eastAsia"/>
                <w:color w:val="auto"/>
                <w:highlight w:val="none"/>
              </w:rPr>
              <w:t>9</w:t>
            </w:r>
          </w:p>
        </w:tc>
        <w:tc>
          <w:tcPr>
            <w:tcW w:w="1909" w:type="dxa"/>
            <w:gridSpan w:val="2"/>
            <w:noWrap/>
            <w:vAlign w:val="center"/>
          </w:tcPr>
          <w:p w14:paraId="423F2AD7">
            <w:pPr>
              <w:rPr>
                <w:color w:val="auto"/>
                <w:highlight w:val="none"/>
              </w:rPr>
            </w:pPr>
            <w:r>
              <w:rPr>
                <w:rFonts w:hint="default" w:ascii="Times New Roman" w:hAnsi="Times New Roman" w:cs="Times New Roman"/>
                <w:color w:val="auto"/>
                <w:sz w:val="21"/>
                <w:szCs w:val="21"/>
                <w:highlight w:val="none"/>
              </w:rPr>
              <w:t>合同付款</w:t>
            </w:r>
          </w:p>
        </w:tc>
        <w:tc>
          <w:tcPr>
            <w:tcW w:w="6379" w:type="dxa"/>
            <w:noWrap/>
            <w:vAlign w:val="center"/>
          </w:tcPr>
          <w:p w14:paraId="19E03C36">
            <w:pPr>
              <w:pStyle w:val="26"/>
              <w:keepNext w:val="0"/>
              <w:keepLines w:val="0"/>
              <w:pageBreakBefore w:val="0"/>
              <w:widowControl/>
              <w:kinsoku/>
              <w:wordWrap/>
              <w:overflowPunct/>
              <w:topLinePunct w:val="0"/>
              <w:autoSpaceDE/>
              <w:autoSpaceDN/>
              <w:bidi w:val="0"/>
              <w:adjustRightInd/>
              <w:snapToGrid/>
              <w:spacing w:afterLines="0" w:line="560" w:lineRule="exact"/>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甲方采取先服务后付款、按月考核结算的方式。每月末，甲方根据</w:t>
            </w:r>
            <w:r>
              <w:rPr>
                <w:rFonts w:hint="eastAsia" w:ascii="宋体" w:hAnsi="宋体" w:eastAsia="宋体" w:cs="宋体"/>
                <w:i w:val="0"/>
                <w:iCs w:val="0"/>
                <w:snapToGrid w:val="0"/>
                <w:color w:val="auto"/>
                <w:kern w:val="0"/>
                <w:sz w:val="21"/>
                <w:szCs w:val="21"/>
                <w:highlight w:val="none"/>
                <w:lang w:val="en-US" w:eastAsia="zh-CN"/>
              </w:rPr>
              <w:t>《国家税务总局来宾市兴宾区税务局2024年非执法类辅助性服务日常考核情况表》</w:t>
            </w:r>
            <w:r>
              <w:rPr>
                <w:rFonts w:hint="eastAsia" w:ascii="宋体" w:hAnsi="宋体" w:eastAsia="宋体" w:cs="宋体"/>
                <w:i w:val="0"/>
                <w:iCs w:val="0"/>
                <w:snapToGrid w:val="0"/>
                <w:color w:val="auto"/>
                <w:kern w:val="0"/>
                <w:sz w:val="21"/>
                <w:szCs w:val="21"/>
                <w:highlight w:val="none"/>
                <w:lang w:val="en-US" w:eastAsia="zh-CN" w:bidi="ar-SA"/>
              </w:rPr>
              <w:t>考核汇总扣款后结算当月服务费。</w:t>
            </w:r>
          </w:p>
          <w:p w14:paraId="56380BA3">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即：当月服务费=年度合同金额/12-当月考核汇总扣款。</w:t>
            </w:r>
          </w:p>
          <w:p w14:paraId="4559A31E">
            <w:pPr>
              <w:pStyle w:val="26"/>
              <w:keepNext w:val="0"/>
              <w:keepLines w:val="0"/>
              <w:pageBreakBefore w:val="0"/>
              <w:widowControl/>
              <w:kinsoku/>
              <w:wordWrap/>
              <w:overflowPunct/>
              <w:topLinePunct w:val="0"/>
              <w:autoSpaceDE/>
              <w:autoSpaceDN/>
              <w:bidi w:val="0"/>
              <w:adjustRightInd/>
              <w:snapToGrid/>
              <w:spacing w:afterLines="0" w:line="560" w:lineRule="exact"/>
              <w:jc w:val="both"/>
              <w:textAlignment w:val="auto"/>
              <w:rPr>
                <w:color w:val="auto"/>
                <w:highlight w:val="none"/>
              </w:rPr>
            </w:pPr>
            <w:r>
              <w:rPr>
                <w:rFonts w:hint="eastAsia" w:ascii="宋体" w:hAnsi="宋体" w:eastAsia="宋体" w:cs="宋体"/>
                <w:i w:val="0"/>
                <w:iCs w:val="0"/>
                <w:snapToGrid w:val="0"/>
                <w:color w:val="auto"/>
                <w:kern w:val="0"/>
                <w:sz w:val="21"/>
                <w:szCs w:val="21"/>
                <w:highlight w:val="none"/>
                <w:lang w:val="en-US" w:eastAsia="zh-CN" w:bidi="ar-SA"/>
              </w:rPr>
              <w:t>甲方付款前，乙方向甲方提供等额有效的</w:t>
            </w:r>
            <w:r>
              <w:rPr>
                <w:rFonts w:hint="eastAsia" w:ascii="宋体" w:hAnsi="宋体" w:cs="宋体"/>
                <w:i w:val="0"/>
                <w:iCs w:val="0"/>
                <w:snapToGrid w:val="0"/>
                <w:color w:val="auto"/>
                <w:kern w:val="0"/>
                <w:sz w:val="21"/>
                <w:szCs w:val="21"/>
                <w:highlight w:val="none"/>
                <w:lang w:val="en-US" w:eastAsia="zh-CN" w:bidi="ar-SA"/>
              </w:rPr>
              <w:t>增值税</w:t>
            </w:r>
            <w:r>
              <w:rPr>
                <w:rFonts w:hint="eastAsia" w:ascii="宋体" w:hAnsi="宋体" w:eastAsia="宋体" w:cs="宋体"/>
                <w:i w:val="0"/>
                <w:iCs w:val="0"/>
                <w:snapToGrid w:val="0"/>
                <w:color w:val="auto"/>
                <w:kern w:val="0"/>
                <w:sz w:val="21"/>
                <w:szCs w:val="21"/>
                <w:highlight w:val="none"/>
                <w:lang w:val="en-US" w:eastAsia="zh-CN" w:bidi="ar-SA"/>
              </w:rPr>
              <w:t>发票。甲方收到发票后10个工作日内支付乙方的服务费。甲方未收到发票的，有权不予支付相应款项直至乙方提供合格发票，并不承担延迟付款责任。但乙方应按合同约定继续履行服务义务，确保甲方工作正常运转。当发生此等情况时，乙方有义务自行先向所派服务人员支付各种相关费用。甲方</w:t>
            </w:r>
            <w:r>
              <w:rPr>
                <w:rFonts w:hint="eastAsia" w:ascii="宋体" w:hAnsi="宋体" w:eastAsia="宋体" w:cs="宋体"/>
                <w:iCs/>
                <w:color w:val="auto"/>
                <w:sz w:val="21"/>
                <w:szCs w:val="21"/>
                <w:highlight w:val="none"/>
              </w:rPr>
              <w:t>因预算资金未到位暂不能按时支付的，根据预算资金到位情况及时支付，不视为违约。</w:t>
            </w:r>
          </w:p>
        </w:tc>
      </w:tr>
      <w:tr w14:paraId="24F4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26FA6D43">
            <w:pPr>
              <w:rPr>
                <w:color w:val="auto"/>
                <w:highlight w:val="none"/>
              </w:rPr>
            </w:pPr>
            <w:r>
              <w:rPr>
                <w:rFonts w:hint="eastAsia"/>
                <w:color w:val="auto"/>
                <w:highlight w:val="none"/>
              </w:rPr>
              <w:t>10</w:t>
            </w:r>
          </w:p>
        </w:tc>
        <w:tc>
          <w:tcPr>
            <w:tcW w:w="1909" w:type="dxa"/>
            <w:gridSpan w:val="2"/>
            <w:noWrap/>
            <w:vAlign w:val="center"/>
          </w:tcPr>
          <w:p w14:paraId="22235B53">
            <w:pPr>
              <w:rPr>
                <w:color w:val="auto"/>
                <w:highlight w:val="none"/>
              </w:rPr>
            </w:pPr>
            <w:r>
              <w:rPr>
                <w:rFonts w:hint="eastAsia"/>
                <w:color w:val="auto"/>
                <w:highlight w:val="none"/>
              </w:rPr>
              <w:t>履约保证金及返还</w:t>
            </w:r>
          </w:p>
        </w:tc>
        <w:tc>
          <w:tcPr>
            <w:tcW w:w="6379" w:type="dxa"/>
            <w:noWrap/>
            <w:vAlign w:val="center"/>
          </w:tcPr>
          <w:p w14:paraId="7729311C">
            <w:pPr>
              <w:jc w:val="left"/>
              <w:rPr>
                <w:color w:val="auto"/>
                <w:highlight w:val="none"/>
              </w:rPr>
            </w:pPr>
            <w:r>
              <w:rPr>
                <w:rFonts w:hint="eastAsia" w:ascii="MS Mincho" w:hAnsi="MS Mincho" w:eastAsia="MS Mincho" w:cs="MS Mincho"/>
                <w:color w:val="auto"/>
                <w:highlight w:val="none"/>
              </w:rPr>
              <w:t>☑</w:t>
            </w:r>
            <w:r>
              <w:rPr>
                <w:rFonts w:hint="eastAsia" w:ascii="宋体" w:hAnsi="宋体" w:eastAsia="宋体" w:cs="宋体"/>
                <w:color w:val="auto"/>
                <w:highlight w:val="none"/>
              </w:rPr>
              <w:t>本项目不要求提供履约保证金。</w:t>
            </w:r>
          </w:p>
          <w:p w14:paraId="387C3D12">
            <w:pPr>
              <w:pStyle w:val="11"/>
              <w:jc w:val="left"/>
              <w:rPr>
                <w:color w:val="auto"/>
                <w:highlight w:val="none"/>
              </w:rPr>
            </w:pPr>
            <w:r>
              <w:rPr>
                <w:rFonts w:hint="eastAsia"/>
                <w:color w:val="auto"/>
                <w:highlight w:val="none"/>
              </w:rPr>
              <w:t>□本项目要求提供履约保证金。履约保证金为合同总金额的5 %（取整到元），即人民币       元整（¥       ），乙方在签订合同前应提交履约保证金，否则，不予签订合同。提交方式为支票、汇票、本票或者金融机构、担保机构出具的保函等非现金形式。采用转账、电汇方式的，由乙方在签订合同前按规定的金额从乙方银行账户直接缴入甲方账户。</w:t>
            </w:r>
          </w:p>
          <w:p w14:paraId="4DBBE10E">
            <w:pPr>
              <w:pStyle w:val="11"/>
              <w:jc w:val="left"/>
              <w:rPr>
                <w:color w:val="auto"/>
                <w:highlight w:val="none"/>
              </w:rPr>
            </w:pPr>
            <w:r>
              <w:rPr>
                <w:rFonts w:hint="eastAsia"/>
                <w:color w:val="auto"/>
                <w:highlight w:val="none"/>
              </w:rPr>
              <w:t>合同期满，乙方应提供履约保证金返还申请（格式另附）、合同或合同关键页复印件、合同约定的其他资料，涉及验收的，应同时提交甲方需求部门出具的项目终验意见或质量保证期（服务期）满验收意见。</w:t>
            </w:r>
          </w:p>
          <w:p w14:paraId="10F11DFE">
            <w:pPr>
              <w:pStyle w:val="11"/>
              <w:jc w:val="left"/>
              <w:rPr>
                <w:color w:val="auto"/>
                <w:highlight w:val="none"/>
              </w:rPr>
            </w:pPr>
            <w:r>
              <w:rPr>
                <w:rFonts w:hint="eastAsia"/>
                <w:color w:val="auto"/>
                <w:highlight w:val="none"/>
              </w:rPr>
              <w:t>项目验收合格的，甲方在收到乙方提出申请的30日内无息返还履约保证金；甲方如逾期退还履约保证金，每逾期一天，可按应退款项的</w:t>
            </w:r>
            <w:r>
              <w:rPr>
                <w:rFonts w:hint="eastAsia"/>
                <w:color w:val="auto"/>
                <w:highlight w:val="none"/>
                <w:shd w:val="clear" w:color="auto" w:fill="FFFFFF"/>
              </w:rPr>
              <w:t>银行同期存款利息</w:t>
            </w:r>
            <w:r>
              <w:rPr>
                <w:rFonts w:hint="eastAsia"/>
                <w:color w:val="auto"/>
                <w:highlight w:val="none"/>
              </w:rPr>
              <w:t>计算违约金；项目验收不合格的，履约保证金不予退还。</w:t>
            </w:r>
          </w:p>
        </w:tc>
      </w:tr>
      <w:tr w14:paraId="2C00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0A1E93A8">
            <w:pPr>
              <w:rPr>
                <w:color w:val="auto"/>
                <w:highlight w:val="none"/>
              </w:rPr>
            </w:pPr>
            <w:r>
              <w:rPr>
                <w:rFonts w:hint="eastAsia"/>
                <w:color w:val="auto"/>
                <w:highlight w:val="none"/>
              </w:rPr>
              <w:t>11</w:t>
            </w:r>
          </w:p>
        </w:tc>
        <w:tc>
          <w:tcPr>
            <w:tcW w:w="1909" w:type="dxa"/>
            <w:gridSpan w:val="2"/>
            <w:noWrap/>
            <w:vAlign w:val="center"/>
          </w:tcPr>
          <w:p w14:paraId="4FBADDC4">
            <w:pPr>
              <w:rPr>
                <w:color w:val="auto"/>
                <w:highlight w:val="none"/>
              </w:rPr>
            </w:pPr>
            <w:r>
              <w:rPr>
                <w:rFonts w:hint="eastAsia"/>
                <w:color w:val="auto"/>
                <w:highlight w:val="none"/>
              </w:rPr>
              <w:t>合同履行期限</w:t>
            </w:r>
          </w:p>
        </w:tc>
        <w:tc>
          <w:tcPr>
            <w:tcW w:w="6379" w:type="dxa"/>
            <w:noWrap/>
            <w:vAlign w:val="center"/>
          </w:tcPr>
          <w:p w14:paraId="4100DE9B">
            <w:pPr>
              <w:jc w:val="left"/>
              <w:rPr>
                <w:color w:val="auto"/>
                <w:highlight w:val="none"/>
              </w:rPr>
            </w:pPr>
            <w:r>
              <w:rPr>
                <w:rFonts w:hint="eastAsia"/>
                <w:color w:val="auto"/>
                <w:highlight w:val="none"/>
                <w:lang w:val="en-US" w:eastAsia="zh-CN"/>
              </w:rPr>
              <w:t>2024</w:t>
            </w:r>
            <w:r>
              <w:rPr>
                <w:rFonts w:hint="eastAsia"/>
                <w:color w:val="auto"/>
                <w:highlight w:val="none"/>
                <w:lang w:eastAsia="zh-CN"/>
              </w:rPr>
              <w:t>年</w:t>
            </w:r>
            <w:r>
              <w:rPr>
                <w:rFonts w:hint="eastAsia"/>
                <w:color w:val="auto"/>
                <w:highlight w:val="none"/>
                <w:lang w:val="en-US" w:eastAsia="zh-CN"/>
              </w:rPr>
              <w:t xml:space="preserve">  </w:t>
            </w:r>
            <w:r>
              <w:rPr>
                <w:rFonts w:hint="eastAsia"/>
                <w:color w:val="auto"/>
                <w:highlight w:val="none"/>
                <w:lang w:eastAsia="zh-CN"/>
              </w:rPr>
              <w:t>月</w:t>
            </w:r>
            <w:r>
              <w:rPr>
                <w:rFonts w:hint="eastAsia"/>
                <w:color w:val="auto"/>
                <w:highlight w:val="none"/>
                <w:lang w:val="en-US" w:eastAsia="zh-CN"/>
              </w:rPr>
              <w:t xml:space="preserve">  日</w:t>
            </w:r>
            <w:r>
              <w:rPr>
                <w:rFonts w:hint="eastAsia"/>
                <w:color w:val="auto"/>
                <w:highlight w:val="none"/>
                <w:lang w:eastAsia="zh-CN"/>
              </w:rPr>
              <w:t>至</w:t>
            </w:r>
            <w:r>
              <w:rPr>
                <w:rFonts w:hint="eastAsia"/>
                <w:color w:val="auto"/>
                <w:highlight w:val="none"/>
                <w:lang w:val="en-US" w:eastAsia="zh-CN"/>
              </w:rPr>
              <w:t>2025</w:t>
            </w:r>
            <w:r>
              <w:rPr>
                <w:rFonts w:hint="eastAsia"/>
                <w:color w:val="auto"/>
                <w:highlight w:val="none"/>
                <w:lang w:eastAsia="zh-CN"/>
              </w:rPr>
              <w:t>年</w:t>
            </w:r>
            <w:r>
              <w:rPr>
                <w:rFonts w:hint="eastAsia"/>
                <w:color w:val="auto"/>
                <w:highlight w:val="none"/>
                <w:lang w:val="en-US" w:eastAsia="zh-CN"/>
              </w:rPr>
              <w:t xml:space="preserve">  </w:t>
            </w:r>
            <w:r>
              <w:rPr>
                <w:rFonts w:hint="eastAsia"/>
                <w:color w:val="auto"/>
                <w:highlight w:val="none"/>
                <w:lang w:eastAsia="zh-CN"/>
              </w:rPr>
              <w:t>月</w:t>
            </w:r>
            <w:r>
              <w:rPr>
                <w:rFonts w:hint="eastAsia"/>
                <w:color w:val="auto"/>
                <w:highlight w:val="none"/>
                <w:lang w:val="en-US" w:eastAsia="zh-CN"/>
              </w:rPr>
              <w:t xml:space="preserve">  日。</w:t>
            </w:r>
          </w:p>
        </w:tc>
      </w:tr>
      <w:tr w14:paraId="334A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2042353C">
            <w:pPr>
              <w:rPr>
                <w:rFonts w:hint="eastAsia" w:eastAsiaTheme="minorEastAsia"/>
                <w:color w:val="auto"/>
                <w:highlight w:val="none"/>
                <w:lang w:eastAsia="zh-CN"/>
              </w:rPr>
            </w:pPr>
            <w:r>
              <w:rPr>
                <w:rFonts w:hint="eastAsia"/>
                <w:color w:val="auto"/>
                <w:highlight w:val="none"/>
              </w:rPr>
              <w:t>1</w:t>
            </w:r>
            <w:r>
              <w:rPr>
                <w:rFonts w:hint="eastAsia"/>
                <w:color w:val="auto"/>
                <w:highlight w:val="none"/>
                <w:lang w:val="en-US" w:eastAsia="zh-CN"/>
              </w:rPr>
              <w:t>2</w:t>
            </w:r>
          </w:p>
        </w:tc>
        <w:tc>
          <w:tcPr>
            <w:tcW w:w="1909" w:type="dxa"/>
            <w:gridSpan w:val="2"/>
            <w:noWrap/>
            <w:vAlign w:val="center"/>
          </w:tcPr>
          <w:p w14:paraId="57E5D8E2">
            <w:pPr>
              <w:rPr>
                <w:color w:val="auto"/>
                <w:highlight w:val="none"/>
              </w:rPr>
            </w:pPr>
            <w:r>
              <w:rPr>
                <w:rFonts w:hint="eastAsia"/>
                <w:color w:val="auto"/>
                <w:highlight w:val="none"/>
              </w:rPr>
              <w:t>合同履约地点</w:t>
            </w:r>
          </w:p>
        </w:tc>
        <w:tc>
          <w:tcPr>
            <w:tcW w:w="6379" w:type="dxa"/>
            <w:noWrap/>
            <w:vAlign w:val="center"/>
          </w:tcPr>
          <w:p w14:paraId="7C305E9F">
            <w:pPr>
              <w:jc w:val="left"/>
              <w:rPr>
                <w:color w:val="auto"/>
                <w:highlight w:val="none"/>
              </w:rPr>
            </w:pPr>
            <w:r>
              <w:rPr>
                <w:rFonts w:hint="eastAsia"/>
                <w:snapToGrid w:val="0"/>
                <w:color w:val="auto"/>
                <w:highlight w:val="none"/>
                <w:lang w:val="en-US" w:eastAsia="zh-CN"/>
              </w:rPr>
              <w:t>国家税务总局来宾市兴宾区税务局（维林大道417号）；兴宾区税务局城北分局（中南路271号）；兴宾区税务局第二税务分局（大桥路8号）；兴宾区税务局第一税务分局（来宾市政务中心一楼大厅、兴宾区政务中心一楼大厅）</w:t>
            </w:r>
            <w:r>
              <w:rPr>
                <w:rFonts w:hint="eastAsia"/>
                <w:snapToGrid w:val="0"/>
                <w:color w:val="auto"/>
                <w:highlight w:val="none"/>
              </w:rPr>
              <w:t>。</w:t>
            </w:r>
          </w:p>
        </w:tc>
      </w:tr>
      <w:tr w14:paraId="1008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noWrap/>
            <w:vAlign w:val="center"/>
          </w:tcPr>
          <w:p w14:paraId="79C9BB2F">
            <w:pPr>
              <w:rPr>
                <w:rFonts w:hint="default" w:eastAsiaTheme="minorEastAsia"/>
                <w:color w:val="auto"/>
                <w:highlight w:val="none"/>
                <w:lang w:val="en-US" w:eastAsia="zh-CN"/>
              </w:rPr>
            </w:pPr>
            <w:r>
              <w:rPr>
                <w:rFonts w:hint="eastAsia"/>
                <w:color w:val="auto"/>
                <w:highlight w:val="none"/>
                <w:lang w:val="en-US" w:eastAsia="zh-CN"/>
              </w:rPr>
              <w:t>13</w:t>
            </w:r>
          </w:p>
        </w:tc>
        <w:tc>
          <w:tcPr>
            <w:tcW w:w="1909" w:type="dxa"/>
            <w:gridSpan w:val="2"/>
            <w:noWrap/>
            <w:vAlign w:val="center"/>
          </w:tcPr>
          <w:p w14:paraId="5653737A">
            <w:pPr>
              <w:rPr>
                <w:color w:val="auto"/>
                <w:highlight w:val="none"/>
              </w:rPr>
            </w:pPr>
            <w:r>
              <w:rPr>
                <w:rFonts w:hint="eastAsia"/>
                <w:color w:val="auto"/>
                <w:highlight w:val="none"/>
              </w:rPr>
              <w:t>合同纠纷解决方式</w:t>
            </w:r>
          </w:p>
        </w:tc>
        <w:tc>
          <w:tcPr>
            <w:tcW w:w="6379" w:type="dxa"/>
            <w:noWrap/>
            <w:vAlign w:val="center"/>
          </w:tcPr>
          <w:p w14:paraId="218B3DC4">
            <w:pPr>
              <w:jc w:val="left"/>
              <w:rPr>
                <w:color w:val="auto"/>
                <w:highlight w:val="none"/>
              </w:rPr>
            </w:pPr>
            <w:r>
              <w:rPr>
                <w:rFonts w:hint="eastAsia"/>
                <w:color w:val="auto"/>
                <w:highlight w:val="none"/>
              </w:rPr>
              <w:t>甲乙双方应首先通过友好协商解决在执行本合同中所发生的或与本合同有关的一切争端。如从协商开始</w:t>
            </w:r>
            <w:r>
              <w:rPr>
                <w:rFonts w:hint="eastAsia"/>
                <w:color w:val="auto"/>
                <w:highlight w:val="none"/>
                <w:u w:val="single"/>
              </w:rPr>
              <w:t>30</w:t>
            </w:r>
            <w:r>
              <w:rPr>
                <w:rFonts w:hint="eastAsia"/>
                <w:color w:val="auto"/>
                <w:highlight w:val="none"/>
              </w:rPr>
              <w:t>天内仍不能解决，可以选择以下途径之一解决纠纷：</w:t>
            </w:r>
          </w:p>
          <w:p w14:paraId="08D11E47">
            <w:pPr>
              <w:jc w:val="left"/>
              <w:rPr>
                <w:color w:val="auto"/>
                <w:highlight w:val="none"/>
              </w:rPr>
            </w:pPr>
            <w:r>
              <w:rPr>
                <w:rFonts w:hint="eastAsia"/>
                <w:color w:val="auto"/>
                <w:highlight w:val="none"/>
              </w:rPr>
              <w:t>□向甲方所在地仲裁委员会或仲裁委员会申请仲裁</w:t>
            </w:r>
          </w:p>
          <w:p w14:paraId="51C05045">
            <w:pPr>
              <w:jc w:val="left"/>
              <w:rPr>
                <w:color w:val="auto"/>
                <w:highlight w:val="none"/>
              </w:rPr>
            </w:pPr>
            <w:r>
              <w:rPr>
                <w:rFonts w:hint="eastAsia" w:ascii="MS Mincho" w:hAnsi="MS Mincho" w:eastAsia="MS Mincho" w:cs="MS Mincho"/>
                <w:color w:val="auto"/>
                <w:highlight w:val="none"/>
              </w:rPr>
              <w:t>☑</w:t>
            </w:r>
            <w:r>
              <w:rPr>
                <w:rFonts w:hint="eastAsia" w:ascii="宋体" w:hAnsi="宋体" w:eastAsia="宋体" w:cs="宋体"/>
                <w:color w:val="auto"/>
                <w:highlight w:val="none"/>
              </w:rPr>
              <w:t>向甲方所在地人民法院或</w:t>
            </w:r>
            <w:r>
              <w:rPr>
                <w:rFonts w:hint="eastAsia"/>
                <w:color w:val="auto"/>
                <w:highlight w:val="none"/>
                <w:u w:val="single"/>
              </w:rPr>
              <w:t>项目所在地有管辖权的</w:t>
            </w:r>
            <w:r>
              <w:rPr>
                <w:rFonts w:hint="eastAsia"/>
                <w:color w:val="auto"/>
                <w:highlight w:val="none"/>
              </w:rPr>
              <w:t>人民法院提起诉讼</w:t>
            </w:r>
          </w:p>
        </w:tc>
      </w:tr>
    </w:tbl>
    <w:p w14:paraId="725E5C2E">
      <w:pPr>
        <w:rPr>
          <w:color w:val="auto"/>
          <w:sz w:val="24"/>
          <w:highlight w:val="none"/>
        </w:rPr>
      </w:pPr>
      <w:r>
        <w:rPr>
          <w:rFonts w:hint="eastAsia"/>
          <w:color w:val="auto"/>
          <w:highlight w:val="none"/>
        </w:rPr>
        <w:br w:type="page"/>
      </w:r>
    </w:p>
    <w:p w14:paraId="140882AA">
      <w:pPr>
        <w:jc w:val="center"/>
        <w:rPr>
          <w:b/>
          <w:bCs w:val="0"/>
          <w:color w:val="auto"/>
          <w:sz w:val="28"/>
          <w:szCs w:val="28"/>
          <w:highlight w:val="none"/>
        </w:rPr>
      </w:pPr>
      <w:bookmarkStart w:id="76" w:name="_Toc14664"/>
      <w:bookmarkStart w:id="77" w:name="_Toc583"/>
      <w:bookmarkStart w:id="78" w:name="_Toc23372"/>
      <w:r>
        <w:rPr>
          <w:rFonts w:hint="eastAsia"/>
          <w:b/>
          <w:bCs w:val="0"/>
          <w:color w:val="auto"/>
          <w:sz w:val="28"/>
          <w:szCs w:val="28"/>
          <w:highlight w:val="none"/>
        </w:rPr>
        <w:t>一   合  同</w:t>
      </w:r>
      <w:bookmarkEnd w:id="76"/>
      <w:bookmarkEnd w:id="77"/>
      <w:bookmarkEnd w:id="78"/>
    </w:p>
    <w:p w14:paraId="6E9AE857">
      <w:pPr>
        <w:ind w:firstLine="420" w:firstLineChars="200"/>
        <w:jc w:val="left"/>
        <w:rPr>
          <w:color w:val="auto"/>
          <w:sz w:val="21"/>
          <w:szCs w:val="21"/>
          <w:highlight w:val="none"/>
        </w:rPr>
      </w:pPr>
      <w:r>
        <w:rPr>
          <w:rFonts w:hint="eastAsia"/>
          <w:color w:val="auto"/>
          <w:sz w:val="21"/>
          <w:szCs w:val="21"/>
          <w:highlight w:val="none"/>
          <w:lang w:eastAsia="zh-CN"/>
        </w:rPr>
        <w:t>国家税务总局来宾市兴宾区税务局</w:t>
      </w:r>
      <w:r>
        <w:rPr>
          <w:rFonts w:hint="eastAsia"/>
          <w:color w:val="auto"/>
          <w:sz w:val="21"/>
          <w:szCs w:val="21"/>
          <w:highlight w:val="none"/>
        </w:rPr>
        <w:t>（以下简称“甲方”）通过</w:t>
      </w:r>
      <w:r>
        <w:rPr>
          <w:rFonts w:hint="eastAsia"/>
          <w:color w:val="auto"/>
          <w:sz w:val="21"/>
          <w:szCs w:val="21"/>
          <w:highlight w:val="none"/>
          <w:u w:val="single"/>
        </w:rPr>
        <w:t xml:space="preserve"> 公开招标 方</w:t>
      </w:r>
      <w:r>
        <w:rPr>
          <w:rFonts w:hint="eastAsia"/>
          <w:color w:val="auto"/>
          <w:sz w:val="21"/>
          <w:szCs w:val="21"/>
          <w:highlight w:val="none"/>
        </w:rPr>
        <w:t>式采购，确定_____公司（以下简称“乙方”）为国家税务总局来宾市兴宾区税务局</w:t>
      </w:r>
      <w:r>
        <w:rPr>
          <w:rFonts w:hint="eastAsia"/>
          <w:color w:val="auto"/>
          <w:sz w:val="21"/>
          <w:szCs w:val="21"/>
          <w:highlight w:val="none"/>
          <w:lang w:eastAsia="zh-CN"/>
        </w:rPr>
        <w:t>2024年非执法类辅助性服务采购项目</w:t>
      </w:r>
      <w:r>
        <w:rPr>
          <w:rFonts w:hint="eastAsia"/>
          <w:color w:val="auto"/>
          <w:sz w:val="21"/>
          <w:szCs w:val="21"/>
          <w:highlight w:val="none"/>
        </w:rPr>
        <w:t>》中标（成交）供应商。甲乙双方同意按照该项目招标（采购）文件约定的内容，签署《</w:t>
      </w:r>
      <w:r>
        <w:rPr>
          <w:rFonts w:hint="eastAsia"/>
          <w:color w:val="auto"/>
          <w:sz w:val="21"/>
          <w:szCs w:val="21"/>
          <w:highlight w:val="none"/>
          <w:lang w:eastAsia="zh-CN"/>
        </w:rPr>
        <w:t>国家税务总局来宾市兴宾区税务局2024年非执法类辅助性服务采购项目</w:t>
      </w:r>
      <w:r>
        <w:rPr>
          <w:rFonts w:hint="eastAsia"/>
          <w:color w:val="auto"/>
          <w:sz w:val="21"/>
          <w:szCs w:val="21"/>
          <w:highlight w:val="none"/>
        </w:rPr>
        <w:t>合同书》（合同编号：</w:t>
      </w:r>
      <w:r>
        <w:rPr>
          <w:rFonts w:hint="eastAsia"/>
          <w:color w:val="auto"/>
          <w:sz w:val="21"/>
          <w:szCs w:val="21"/>
          <w:highlight w:val="none"/>
          <w:u w:val="single"/>
        </w:rPr>
        <w:t xml:space="preserve">     </w:t>
      </w:r>
      <w:r>
        <w:rPr>
          <w:rFonts w:hint="eastAsia"/>
          <w:color w:val="auto"/>
          <w:sz w:val="21"/>
          <w:szCs w:val="21"/>
          <w:highlight w:val="none"/>
        </w:rPr>
        <w:t xml:space="preserve"> ，以下简称“合同”)。</w:t>
      </w:r>
    </w:p>
    <w:p w14:paraId="5F903696">
      <w:pPr>
        <w:ind w:firstLine="420" w:firstLineChars="200"/>
        <w:jc w:val="left"/>
        <w:rPr>
          <w:color w:val="auto"/>
          <w:sz w:val="21"/>
          <w:szCs w:val="21"/>
          <w:highlight w:val="none"/>
        </w:rPr>
      </w:pPr>
      <w:r>
        <w:rPr>
          <w:rFonts w:hint="eastAsia"/>
          <w:color w:val="auto"/>
          <w:sz w:val="21"/>
          <w:szCs w:val="21"/>
          <w:highlight w:val="none"/>
        </w:rPr>
        <w:t>1.合同文件</w:t>
      </w:r>
    </w:p>
    <w:p w14:paraId="054DB181">
      <w:pPr>
        <w:ind w:firstLine="420" w:firstLineChars="200"/>
        <w:jc w:val="left"/>
        <w:rPr>
          <w:color w:val="auto"/>
          <w:sz w:val="21"/>
          <w:szCs w:val="21"/>
          <w:highlight w:val="none"/>
        </w:rPr>
      </w:pPr>
      <w:r>
        <w:rPr>
          <w:rFonts w:hint="eastAsia"/>
          <w:color w:val="auto"/>
          <w:sz w:val="21"/>
          <w:szCs w:val="21"/>
          <w:highlight w:val="none"/>
        </w:rPr>
        <w:t>本合同所附下列文件是构成本合同不可分割的部分：</w:t>
      </w:r>
    </w:p>
    <w:p w14:paraId="643211B6">
      <w:pPr>
        <w:ind w:firstLine="420" w:firstLineChars="200"/>
        <w:jc w:val="left"/>
        <w:rPr>
          <w:color w:val="auto"/>
          <w:sz w:val="21"/>
          <w:szCs w:val="21"/>
          <w:highlight w:val="none"/>
        </w:rPr>
      </w:pPr>
      <w:r>
        <w:rPr>
          <w:rFonts w:hint="eastAsia"/>
          <w:color w:val="auto"/>
          <w:sz w:val="21"/>
          <w:szCs w:val="21"/>
          <w:highlight w:val="none"/>
        </w:rPr>
        <w:t>（1）合同通用条款；</w:t>
      </w:r>
    </w:p>
    <w:p w14:paraId="5A428E74">
      <w:pPr>
        <w:ind w:firstLine="420" w:firstLineChars="200"/>
        <w:jc w:val="left"/>
        <w:rPr>
          <w:color w:val="auto"/>
          <w:sz w:val="21"/>
          <w:szCs w:val="21"/>
          <w:highlight w:val="none"/>
        </w:rPr>
      </w:pPr>
      <w:r>
        <w:rPr>
          <w:rFonts w:hint="eastAsia"/>
          <w:color w:val="auto"/>
          <w:sz w:val="21"/>
          <w:szCs w:val="21"/>
          <w:highlight w:val="none"/>
        </w:rPr>
        <w:t>（2）报价表（总报价表和分项报价表）；</w:t>
      </w:r>
    </w:p>
    <w:p w14:paraId="6BEB0928">
      <w:pPr>
        <w:ind w:firstLine="420" w:firstLineChars="200"/>
        <w:jc w:val="left"/>
        <w:rPr>
          <w:color w:val="auto"/>
          <w:sz w:val="21"/>
          <w:szCs w:val="21"/>
          <w:highlight w:val="none"/>
        </w:rPr>
      </w:pPr>
      <w:r>
        <w:rPr>
          <w:rFonts w:hint="eastAsia"/>
          <w:color w:val="auto"/>
          <w:sz w:val="21"/>
          <w:szCs w:val="21"/>
          <w:highlight w:val="none"/>
        </w:rPr>
        <w:t>（3）招标（采购）文件；</w:t>
      </w:r>
    </w:p>
    <w:p w14:paraId="05481F98">
      <w:pPr>
        <w:ind w:firstLine="420" w:firstLineChars="200"/>
        <w:jc w:val="left"/>
        <w:rPr>
          <w:color w:val="auto"/>
          <w:sz w:val="21"/>
          <w:szCs w:val="21"/>
          <w:highlight w:val="none"/>
        </w:rPr>
      </w:pPr>
      <w:r>
        <w:rPr>
          <w:rFonts w:hint="eastAsia"/>
          <w:color w:val="auto"/>
          <w:sz w:val="21"/>
          <w:szCs w:val="21"/>
          <w:highlight w:val="none"/>
        </w:rPr>
        <w:t>（4）投标（响应）文件。</w:t>
      </w:r>
    </w:p>
    <w:p w14:paraId="448EA48C">
      <w:pPr>
        <w:ind w:firstLine="420" w:firstLineChars="200"/>
        <w:jc w:val="left"/>
        <w:rPr>
          <w:color w:val="auto"/>
          <w:sz w:val="21"/>
          <w:szCs w:val="21"/>
          <w:highlight w:val="none"/>
        </w:rPr>
      </w:pPr>
      <w:r>
        <w:rPr>
          <w:rFonts w:hint="eastAsia"/>
          <w:color w:val="auto"/>
          <w:sz w:val="21"/>
          <w:szCs w:val="21"/>
          <w:highlight w:val="none"/>
        </w:rPr>
        <w:t>2.合同范围和条件</w:t>
      </w:r>
    </w:p>
    <w:p w14:paraId="2EF6A9E2">
      <w:pPr>
        <w:ind w:firstLine="420" w:firstLineChars="200"/>
        <w:jc w:val="left"/>
        <w:rPr>
          <w:color w:val="auto"/>
          <w:sz w:val="21"/>
          <w:szCs w:val="21"/>
          <w:highlight w:val="none"/>
        </w:rPr>
      </w:pPr>
      <w:r>
        <w:rPr>
          <w:rFonts w:hint="eastAsia"/>
          <w:color w:val="auto"/>
          <w:sz w:val="21"/>
          <w:szCs w:val="21"/>
          <w:highlight w:val="none"/>
        </w:rPr>
        <w:t>本合同的范围和条件应与上述合同文件的规定相一致。</w:t>
      </w:r>
    </w:p>
    <w:p w14:paraId="78632F70">
      <w:pPr>
        <w:ind w:firstLine="420" w:firstLineChars="200"/>
        <w:jc w:val="left"/>
        <w:rPr>
          <w:color w:val="auto"/>
          <w:sz w:val="21"/>
          <w:szCs w:val="21"/>
          <w:highlight w:val="none"/>
        </w:rPr>
      </w:pPr>
      <w:r>
        <w:rPr>
          <w:rFonts w:hint="eastAsia"/>
          <w:color w:val="auto"/>
          <w:sz w:val="21"/>
          <w:szCs w:val="21"/>
          <w:highlight w:val="none"/>
        </w:rPr>
        <w:t>3.合同总金额</w:t>
      </w:r>
    </w:p>
    <w:p w14:paraId="16CD602B">
      <w:pPr>
        <w:ind w:firstLine="420" w:firstLineChars="200"/>
        <w:jc w:val="left"/>
        <w:rPr>
          <w:rFonts w:hint="eastAsia"/>
          <w:color w:val="auto"/>
          <w:sz w:val="21"/>
          <w:szCs w:val="21"/>
          <w:highlight w:val="none"/>
        </w:rPr>
      </w:pPr>
      <w:r>
        <w:rPr>
          <w:rFonts w:hint="eastAsia"/>
          <w:color w:val="auto"/>
          <w:sz w:val="21"/>
          <w:szCs w:val="21"/>
          <w:highlight w:val="none"/>
        </w:rPr>
        <w:t>本合同总金额为人民币</w:t>
      </w:r>
      <w:r>
        <w:rPr>
          <w:rFonts w:hint="eastAsia"/>
          <w:color w:val="auto"/>
          <w:highlight w:val="none"/>
          <w:lang w:eastAsia="zh-CN"/>
        </w:rPr>
        <w:t>（</w:t>
      </w:r>
      <w:r>
        <w:rPr>
          <w:rFonts w:hint="eastAsia"/>
          <w:color w:val="auto"/>
          <w:highlight w:val="none"/>
          <w:lang w:val="en-US" w:eastAsia="zh-CN"/>
        </w:rPr>
        <w:t>大写）</w:t>
      </w:r>
      <w:r>
        <w:rPr>
          <w:rFonts w:hint="eastAsia"/>
          <w:color w:val="auto"/>
          <w:sz w:val="21"/>
          <w:szCs w:val="21"/>
          <w:highlight w:val="none"/>
        </w:rPr>
        <w:t xml:space="preserve">          元整（¥       ）。</w:t>
      </w:r>
    </w:p>
    <w:p w14:paraId="2BD4DB3D">
      <w:pPr>
        <w:ind w:firstLine="420" w:firstLineChars="200"/>
        <w:jc w:val="left"/>
        <w:rPr>
          <w:color w:val="auto"/>
          <w:sz w:val="21"/>
          <w:szCs w:val="21"/>
          <w:highlight w:val="none"/>
        </w:rPr>
      </w:pPr>
      <w:r>
        <w:rPr>
          <w:rFonts w:hint="eastAsia"/>
          <w:color w:val="auto"/>
          <w:sz w:val="21"/>
          <w:szCs w:val="21"/>
          <w:highlight w:val="none"/>
        </w:rPr>
        <w:t>4.付款条件</w:t>
      </w:r>
    </w:p>
    <w:p w14:paraId="7A3F66FA">
      <w:pPr>
        <w:pStyle w:val="26"/>
        <w:keepNext w:val="0"/>
        <w:keepLines w:val="0"/>
        <w:pageBreakBefore w:val="0"/>
        <w:widowControl/>
        <w:kinsoku/>
        <w:wordWrap/>
        <w:overflowPunct/>
        <w:topLinePunct w:val="0"/>
        <w:autoSpaceDE/>
        <w:autoSpaceDN/>
        <w:bidi w:val="0"/>
        <w:adjustRightInd/>
        <w:snapToGrid/>
        <w:spacing w:afterLines="0" w:line="560" w:lineRule="exact"/>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甲方采取先服务后付款、按月考核结算的方式。每月末，甲方根据</w:t>
      </w:r>
      <w:r>
        <w:rPr>
          <w:rFonts w:hint="eastAsia" w:ascii="宋体" w:hAnsi="宋体" w:eastAsia="宋体" w:cs="宋体"/>
          <w:i w:val="0"/>
          <w:iCs w:val="0"/>
          <w:snapToGrid w:val="0"/>
          <w:color w:val="auto"/>
          <w:kern w:val="0"/>
          <w:sz w:val="21"/>
          <w:szCs w:val="21"/>
          <w:highlight w:val="none"/>
          <w:lang w:val="en-US" w:eastAsia="zh-CN"/>
        </w:rPr>
        <w:t>《国家税务总局来宾市兴宾区税务局2024年非执法类辅助性服务日常考核情况表》</w:t>
      </w:r>
      <w:r>
        <w:rPr>
          <w:rFonts w:hint="eastAsia" w:ascii="宋体" w:hAnsi="宋体" w:eastAsia="宋体" w:cs="宋体"/>
          <w:i w:val="0"/>
          <w:iCs w:val="0"/>
          <w:snapToGrid w:val="0"/>
          <w:color w:val="auto"/>
          <w:kern w:val="0"/>
          <w:sz w:val="21"/>
          <w:szCs w:val="21"/>
          <w:highlight w:val="none"/>
          <w:lang w:val="en-US" w:eastAsia="zh-CN" w:bidi="ar-SA"/>
        </w:rPr>
        <w:t>考核汇总扣款后结算当月服务费。</w:t>
      </w:r>
    </w:p>
    <w:p w14:paraId="7575B50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即：当月服务费=年度合同金额/12-当月考核汇总扣款。</w:t>
      </w:r>
    </w:p>
    <w:p w14:paraId="64E3557B">
      <w:pPr>
        <w:ind w:firstLine="420" w:firstLineChars="200"/>
        <w:jc w:val="left"/>
        <w:rPr>
          <w:color w:val="auto"/>
          <w:sz w:val="21"/>
          <w:szCs w:val="21"/>
          <w:highlight w:val="none"/>
        </w:rPr>
      </w:pPr>
      <w:r>
        <w:rPr>
          <w:rFonts w:hint="eastAsia" w:ascii="宋体" w:hAnsi="宋体" w:eastAsia="宋体" w:cs="宋体"/>
          <w:i w:val="0"/>
          <w:iCs w:val="0"/>
          <w:snapToGrid w:val="0"/>
          <w:color w:val="auto"/>
          <w:kern w:val="0"/>
          <w:sz w:val="21"/>
          <w:szCs w:val="21"/>
          <w:highlight w:val="none"/>
          <w:lang w:val="en-US" w:eastAsia="zh-CN" w:bidi="ar-SA"/>
        </w:rPr>
        <w:t>甲方付款前，乙方向甲方提供等额有效的增值税发票。甲方收到发票后10个工作日内支付乙方的服务费。甲方未收到发票的，有权不予支付相应款项直至乙方提供合格发票，并不承担延迟付款责任。但乙方应按合同约定继续履行服务义务，确保甲方工作正常运转。当发生此等情况时，乙方有义务自行先向所派服务人员支付各种相关费用。甲方</w:t>
      </w:r>
      <w:r>
        <w:rPr>
          <w:rFonts w:hint="eastAsia" w:ascii="宋体" w:hAnsi="宋体" w:eastAsia="宋体" w:cs="宋体"/>
          <w:iCs/>
          <w:color w:val="auto"/>
          <w:sz w:val="21"/>
          <w:szCs w:val="21"/>
          <w:highlight w:val="none"/>
        </w:rPr>
        <w:t>因预算资金未到位暂不能按时支付的，根据预算资金到位情况及时支付，不视为违约。</w:t>
      </w:r>
      <w:r>
        <w:rPr>
          <w:rFonts w:hint="eastAsia"/>
          <w:color w:val="auto"/>
          <w:sz w:val="21"/>
          <w:szCs w:val="21"/>
          <w:highlight w:val="none"/>
        </w:rPr>
        <w:t xml:space="preserve"> </w:t>
      </w:r>
    </w:p>
    <w:p w14:paraId="688E5B64">
      <w:pPr>
        <w:ind w:firstLine="420" w:firstLineChars="200"/>
        <w:jc w:val="left"/>
        <w:rPr>
          <w:color w:val="auto"/>
          <w:sz w:val="21"/>
          <w:szCs w:val="21"/>
          <w:highlight w:val="none"/>
        </w:rPr>
      </w:pPr>
      <w:r>
        <w:rPr>
          <w:rFonts w:hint="eastAsia"/>
          <w:color w:val="auto"/>
          <w:sz w:val="21"/>
          <w:szCs w:val="21"/>
          <w:highlight w:val="none"/>
        </w:rPr>
        <w:t>5.合同签订及生效</w:t>
      </w:r>
    </w:p>
    <w:p w14:paraId="5ECA4FF7">
      <w:pPr>
        <w:pStyle w:val="3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七</w:t>
      </w:r>
      <w:r>
        <w:rPr>
          <w:rFonts w:hint="eastAsia" w:ascii="宋体" w:hAnsi="宋体" w:eastAsia="宋体" w:cs="宋体"/>
          <w:color w:val="auto"/>
          <w:sz w:val="21"/>
          <w:szCs w:val="21"/>
          <w:highlight w:val="none"/>
        </w:rPr>
        <w:t>份，由甲乙双方法定代表人或被授权人签字并盖章后生效。</w:t>
      </w:r>
    </w:p>
    <w:p w14:paraId="174A5771">
      <w:pPr>
        <w:pStyle w:val="3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乙方由法定代表人签订合同的，应提供法定代表人身份证复印件；乙方由被授权人签订合同的，应提供授权委托书和法定代表人及被授权人身份证复印件。</w:t>
      </w:r>
    </w:p>
    <w:p w14:paraId="0B5211B5">
      <w:pPr>
        <w:pStyle w:val="30"/>
        <w:jc w:val="left"/>
        <w:rPr>
          <w:rFonts w:hint="eastAsia" w:ascii="宋体" w:hAnsi="宋体" w:eastAsia="宋体" w:cs="宋体"/>
          <w:color w:val="auto"/>
          <w:sz w:val="21"/>
          <w:szCs w:val="21"/>
          <w:highlight w:val="none"/>
        </w:rPr>
      </w:pPr>
    </w:p>
    <w:p w14:paraId="06623E4F">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国家税务总局来宾市兴宾区税务局</w:t>
      </w:r>
      <w:r>
        <w:rPr>
          <w:rFonts w:hint="eastAsia" w:ascii="宋体" w:hAnsi="宋体" w:eastAsia="宋体" w:cs="宋体"/>
          <w:color w:val="auto"/>
          <w:sz w:val="21"/>
          <w:szCs w:val="21"/>
          <w:highlight w:val="none"/>
        </w:rPr>
        <w:t xml:space="preserve">      乙方：</w:t>
      </w:r>
    </w:p>
    <w:p w14:paraId="314087B1">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41E06985">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盖章：                                    盖章： </w:t>
      </w:r>
    </w:p>
    <w:p w14:paraId="3E42FC3D">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     年   月   日</w:t>
      </w:r>
    </w:p>
    <w:p w14:paraId="7C0CEFBC">
      <w:pPr>
        <w:jc w:val="center"/>
        <w:rPr>
          <w:b/>
          <w:bCs w:val="0"/>
          <w:color w:val="auto"/>
          <w:sz w:val="28"/>
          <w:szCs w:val="28"/>
          <w:highlight w:val="none"/>
        </w:rPr>
      </w:pPr>
      <w:r>
        <w:rPr>
          <w:rFonts w:hint="eastAsia" w:ascii="宋体" w:hAnsi="宋体" w:eastAsia="宋体" w:cs="宋体"/>
          <w:color w:val="auto"/>
          <w:sz w:val="21"/>
          <w:szCs w:val="21"/>
          <w:highlight w:val="none"/>
        </w:rPr>
        <w:br w:type="page"/>
      </w:r>
      <w:r>
        <w:rPr>
          <w:rFonts w:hint="eastAsia"/>
          <w:b/>
          <w:bCs w:val="0"/>
          <w:color w:val="auto"/>
          <w:sz w:val="28"/>
          <w:szCs w:val="28"/>
          <w:highlight w:val="none"/>
        </w:rPr>
        <w:t>二   合 同 通 用 条 款</w:t>
      </w:r>
    </w:p>
    <w:p w14:paraId="5F099970">
      <w:pPr>
        <w:ind w:firstLine="420" w:firstLineChars="200"/>
        <w:jc w:val="left"/>
        <w:rPr>
          <w:color w:val="auto"/>
          <w:sz w:val="21"/>
          <w:szCs w:val="21"/>
          <w:highlight w:val="none"/>
        </w:rPr>
      </w:pPr>
      <w:r>
        <w:rPr>
          <w:rFonts w:hint="eastAsia"/>
          <w:color w:val="auto"/>
          <w:sz w:val="21"/>
          <w:szCs w:val="21"/>
          <w:highlight w:val="none"/>
        </w:rPr>
        <w:t>1. 定义</w:t>
      </w:r>
    </w:p>
    <w:p w14:paraId="0EF09D3E">
      <w:pPr>
        <w:ind w:firstLine="420" w:firstLineChars="200"/>
        <w:jc w:val="left"/>
        <w:rPr>
          <w:color w:val="auto"/>
          <w:sz w:val="21"/>
          <w:szCs w:val="21"/>
          <w:highlight w:val="none"/>
        </w:rPr>
      </w:pPr>
      <w:r>
        <w:rPr>
          <w:rFonts w:hint="eastAsia"/>
          <w:color w:val="auto"/>
          <w:sz w:val="21"/>
          <w:szCs w:val="21"/>
          <w:highlight w:val="none"/>
        </w:rPr>
        <w:t>本合同下列术语应解释为：</w:t>
      </w:r>
    </w:p>
    <w:p w14:paraId="3B6F14B6">
      <w:pPr>
        <w:ind w:firstLine="420" w:firstLineChars="200"/>
        <w:jc w:val="left"/>
        <w:rPr>
          <w:color w:val="auto"/>
          <w:sz w:val="21"/>
          <w:szCs w:val="21"/>
          <w:highlight w:val="none"/>
        </w:rPr>
      </w:pPr>
      <w:r>
        <w:rPr>
          <w:rFonts w:hint="eastAsia"/>
          <w:color w:val="auto"/>
          <w:sz w:val="21"/>
          <w:szCs w:val="21"/>
          <w:highlight w:val="none"/>
        </w:rPr>
        <w:t>1.1“甲方”是指</w:t>
      </w:r>
      <w:r>
        <w:rPr>
          <w:rFonts w:hint="eastAsia"/>
          <w:color w:val="auto"/>
          <w:sz w:val="21"/>
          <w:szCs w:val="21"/>
          <w:highlight w:val="none"/>
          <w:lang w:eastAsia="zh-CN"/>
        </w:rPr>
        <w:t>国家税务总局来宾市兴宾区税务局</w:t>
      </w:r>
      <w:r>
        <w:rPr>
          <w:rFonts w:hint="eastAsia"/>
          <w:color w:val="auto"/>
          <w:sz w:val="21"/>
          <w:szCs w:val="21"/>
          <w:highlight w:val="none"/>
        </w:rPr>
        <w:t>。</w:t>
      </w:r>
    </w:p>
    <w:p w14:paraId="788D3010">
      <w:pPr>
        <w:ind w:firstLine="420" w:firstLineChars="200"/>
        <w:jc w:val="left"/>
        <w:rPr>
          <w:color w:val="auto"/>
          <w:sz w:val="21"/>
          <w:szCs w:val="21"/>
          <w:highlight w:val="none"/>
        </w:rPr>
      </w:pPr>
      <w:r>
        <w:rPr>
          <w:rFonts w:hint="eastAsia"/>
          <w:color w:val="auto"/>
          <w:sz w:val="21"/>
          <w:szCs w:val="21"/>
          <w:highlight w:val="none"/>
        </w:rPr>
        <w:t>1.1.1“甲方采购部门”见“合同条款前附表”第5项“甲方采购部门”。</w:t>
      </w:r>
    </w:p>
    <w:p w14:paraId="00EB8A47">
      <w:pPr>
        <w:ind w:firstLine="420" w:firstLineChars="200"/>
        <w:jc w:val="left"/>
        <w:rPr>
          <w:color w:val="auto"/>
          <w:sz w:val="21"/>
          <w:szCs w:val="21"/>
          <w:highlight w:val="none"/>
        </w:rPr>
      </w:pPr>
      <w:r>
        <w:rPr>
          <w:rFonts w:hint="eastAsia"/>
          <w:color w:val="auto"/>
          <w:sz w:val="21"/>
          <w:szCs w:val="21"/>
          <w:highlight w:val="none"/>
        </w:rPr>
        <w:t>1.1.2“甲方需求部门”见“合同条款前附表”第5项“甲方需求部门”。</w:t>
      </w:r>
    </w:p>
    <w:p w14:paraId="1772E84D">
      <w:pPr>
        <w:ind w:firstLine="420" w:firstLineChars="200"/>
        <w:jc w:val="left"/>
        <w:rPr>
          <w:color w:val="auto"/>
          <w:sz w:val="21"/>
          <w:szCs w:val="21"/>
          <w:highlight w:val="none"/>
        </w:rPr>
      </w:pPr>
      <w:r>
        <w:rPr>
          <w:rFonts w:hint="eastAsia"/>
          <w:color w:val="auto"/>
          <w:sz w:val="21"/>
          <w:szCs w:val="21"/>
          <w:highlight w:val="none"/>
        </w:rPr>
        <w:t>1.2“乙方”见“合同条款前附表”第6项“乙方名称”。</w:t>
      </w:r>
    </w:p>
    <w:p w14:paraId="5424EE35">
      <w:pPr>
        <w:ind w:firstLine="420" w:firstLineChars="200"/>
        <w:jc w:val="left"/>
        <w:rPr>
          <w:color w:val="auto"/>
          <w:sz w:val="21"/>
          <w:szCs w:val="21"/>
          <w:highlight w:val="none"/>
        </w:rPr>
      </w:pPr>
      <w:r>
        <w:rPr>
          <w:rFonts w:hint="eastAsia"/>
          <w:color w:val="auto"/>
          <w:sz w:val="21"/>
          <w:szCs w:val="21"/>
          <w:highlight w:val="none"/>
        </w:rPr>
        <w:t>1.3 “合同”系指甲乙双方签订的、合同格式中载明的甲乙双方所达成的协议，包括所有的附件、附录和上述文件所提到的构成合同的所有文件。</w:t>
      </w:r>
    </w:p>
    <w:p w14:paraId="0CDFFCA7">
      <w:pPr>
        <w:ind w:firstLine="420" w:firstLineChars="200"/>
        <w:jc w:val="left"/>
        <w:rPr>
          <w:color w:val="auto"/>
          <w:sz w:val="21"/>
          <w:szCs w:val="21"/>
          <w:highlight w:val="none"/>
        </w:rPr>
      </w:pPr>
      <w:r>
        <w:rPr>
          <w:rFonts w:hint="eastAsia"/>
          <w:color w:val="auto"/>
          <w:sz w:val="21"/>
          <w:szCs w:val="21"/>
          <w:highlight w:val="none"/>
        </w:rPr>
        <w:t>1.4 “天”除非特别指出，“天”均为自然天。</w:t>
      </w:r>
    </w:p>
    <w:p w14:paraId="2EB7A15B">
      <w:pPr>
        <w:ind w:firstLine="420" w:firstLineChars="200"/>
        <w:jc w:val="left"/>
        <w:rPr>
          <w:color w:val="auto"/>
          <w:sz w:val="21"/>
          <w:szCs w:val="21"/>
          <w:highlight w:val="none"/>
        </w:rPr>
      </w:pPr>
      <w:r>
        <w:rPr>
          <w:rFonts w:hint="eastAsia"/>
          <w:color w:val="auto"/>
          <w:sz w:val="21"/>
          <w:szCs w:val="21"/>
          <w:highlight w:val="none"/>
        </w:rPr>
        <w:t>2. 标准</w:t>
      </w:r>
    </w:p>
    <w:p w14:paraId="24DA490C">
      <w:pPr>
        <w:ind w:firstLine="420" w:firstLineChars="200"/>
        <w:jc w:val="left"/>
        <w:rPr>
          <w:color w:val="auto"/>
          <w:sz w:val="21"/>
          <w:szCs w:val="21"/>
          <w:highlight w:val="none"/>
        </w:rPr>
      </w:pPr>
      <w:r>
        <w:rPr>
          <w:rFonts w:hint="eastAsia"/>
          <w:color w:val="auto"/>
          <w:sz w:val="21"/>
          <w:szCs w:val="21"/>
          <w:highlight w:val="none"/>
        </w:rPr>
        <w:t>2.1 乙方为甲方交付或提供的服务应符合招标（采购）文件所述的标准，如果没有提及适用标准，则应符合相应的国家标准。这些标准必须是有关机构发布的最新版本的标准。</w:t>
      </w:r>
    </w:p>
    <w:p w14:paraId="5FC84CAA">
      <w:pPr>
        <w:ind w:firstLine="420" w:firstLineChars="200"/>
        <w:jc w:val="left"/>
        <w:rPr>
          <w:color w:val="auto"/>
          <w:sz w:val="21"/>
          <w:szCs w:val="21"/>
          <w:highlight w:val="none"/>
        </w:rPr>
      </w:pPr>
      <w:r>
        <w:rPr>
          <w:rFonts w:hint="eastAsia"/>
          <w:color w:val="auto"/>
          <w:sz w:val="21"/>
          <w:szCs w:val="21"/>
          <w:highlight w:val="none"/>
        </w:rPr>
        <w:t>2.2 除非技术要求中另有规定，计量单位均采用中华人民共和国法定计量单位。</w:t>
      </w:r>
    </w:p>
    <w:p w14:paraId="31D550DD">
      <w:pPr>
        <w:ind w:firstLine="420" w:firstLineChars="200"/>
        <w:jc w:val="left"/>
        <w:rPr>
          <w:color w:val="auto"/>
          <w:sz w:val="21"/>
          <w:szCs w:val="21"/>
          <w:highlight w:val="none"/>
        </w:rPr>
      </w:pPr>
      <w:r>
        <w:rPr>
          <w:rFonts w:hint="eastAsia"/>
          <w:color w:val="auto"/>
          <w:sz w:val="21"/>
          <w:szCs w:val="21"/>
          <w:highlight w:val="none"/>
        </w:rPr>
        <w:t>3. 服务</w:t>
      </w:r>
    </w:p>
    <w:p w14:paraId="2000232D">
      <w:pPr>
        <w:ind w:firstLine="420" w:firstLineChars="200"/>
        <w:jc w:val="left"/>
        <w:rPr>
          <w:color w:val="auto"/>
          <w:sz w:val="21"/>
          <w:szCs w:val="21"/>
          <w:highlight w:val="none"/>
        </w:rPr>
      </w:pPr>
      <w:r>
        <w:rPr>
          <w:rFonts w:hint="eastAsia"/>
          <w:color w:val="auto"/>
          <w:sz w:val="21"/>
          <w:szCs w:val="21"/>
          <w:highlight w:val="none"/>
        </w:rPr>
        <w:t>3.1 本项目的“服务”见“合同条款前附表”第8项“服务内容”。</w:t>
      </w:r>
    </w:p>
    <w:p w14:paraId="249356B8">
      <w:pPr>
        <w:pStyle w:val="25"/>
        <w:spacing w:line="440" w:lineRule="exact"/>
        <w:ind w:firstLine="407" w:firstLineChars="194"/>
        <w:jc w:val="left"/>
        <w:rPr>
          <w:rFonts w:cstheme="minorEastAsia"/>
          <w:color w:val="auto"/>
          <w:kern w:val="2"/>
          <w:sz w:val="21"/>
          <w:szCs w:val="21"/>
          <w:highlight w:val="none"/>
        </w:rPr>
      </w:pPr>
      <w:r>
        <w:rPr>
          <w:rFonts w:hint="eastAsia" w:cstheme="minorEastAsia"/>
          <w:color w:val="auto"/>
          <w:kern w:val="2"/>
          <w:sz w:val="21"/>
          <w:szCs w:val="21"/>
          <w:highlight w:val="none"/>
        </w:rPr>
        <w:t>3.2 拟投入本项目的人员已进驻其他项目致使无法参与本项目实施的，乙方应当征得甲方同意后，派遣等于或优于拟投入人员水平和资质的其他人员参与本项目。</w:t>
      </w:r>
    </w:p>
    <w:p w14:paraId="3E189357">
      <w:pPr>
        <w:ind w:firstLine="420" w:firstLineChars="200"/>
        <w:jc w:val="left"/>
        <w:rPr>
          <w:color w:val="auto"/>
          <w:sz w:val="21"/>
          <w:szCs w:val="21"/>
          <w:highlight w:val="none"/>
        </w:rPr>
      </w:pPr>
      <w:r>
        <w:rPr>
          <w:rFonts w:hint="eastAsia"/>
          <w:color w:val="auto"/>
          <w:sz w:val="21"/>
          <w:szCs w:val="21"/>
          <w:highlight w:val="none"/>
        </w:rPr>
        <w:t>3.3 乙方应保证所提供的服务符合合同规定的要求。如不符时，乙方应负全责并尽快处理解决，由此造成的损失和相关费用由乙方负责，甲方保留终止合同及索赔的权利。</w:t>
      </w:r>
    </w:p>
    <w:p w14:paraId="59CD2B3A">
      <w:pPr>
        <w:ind w:firstLine="420" w:firstLineChars="200"/>
        <w:jc w:val="left"/>
        <w:rPr>
          <w:color w:val="auto"/>
          <w:sz w:val="21"/>
          <w:szCs w:val="21"/>
          <w:highlight w:val="none"/>
        </w:rPr>
      </w:pPr>
      <w:r>
        <w:rPr>
          <w:rFonts w:hint="eastAsia"/>
          <w:color w:val="auto"/>
          <w:sz w:val="21"/>
          <w:szCs w:val="21"/>
          <w:highlight w:val="none"/>
        </w:rPr>
        <w:t>3.4 乙方应保证通过执行合同中全部方案后，可以取得本合同约定的结果，达到本合同约定的预期目标。对任何情况下出现的问题，应尽快提出解决方案。</w:t>
      </w:r>
    </w:p>
    <w:p w14:paraId="6DC76071">
      <w:pPr>
        <w:ind w:firstLine="420" w:firstLineChars="200"/>
        <w:jc w:val="left"/>
        <w:rPr>
          <w:color w:val="auto"/>
          <w:sz w:val="21"/>
          <w:szCs w:val="21"/>
          <w:highlight w:val="none"/>
        </w:rPr>
      </w:pPr>
      <w:r>
        <w:rPr>
          <w:rFonts w:hint="eastAsia"/>
          <w:color w:val="auto"/>
          <w:sz w:val="21"/>
          <w:szCs w:val="21"/>
          <w:highlight w:val="none"/>
        </w:rPr>
        <w:t>3.5如果乙方提供的服务和解决方案不符合甲方要求，或在规定的时间内没有弥补缺陷，甲方有权采取一切必要的补救措施，由此产生的费用全部由乙方负责。</w:t>
      </w:r>
    </w:p>
    <w:p w14:paraId="18EEC9D7">
      <w:pPr>
        <w:ind w:firstLine="420" w:firstLineChars="200"/>
        <w:jc w:val="left"/>
        <w:rPr>
          <w:rFonts w:hint="eastAsia"/>
          <w:color w:val="auto"/>
          <w:sz w:val="21"/>
          <w:szCs w:val="21"/>
          <w:highlight w:val="none"/>
          <w:lang w:val="en-US" w:eastAsia="zh-CN"/>
        </w:rPr>
      </w:pPr>
      <w:r>
        <w:rPr>
          <w:rFonts w:hint="eastAsia"/>
          <w:color w:val="auto"/>
          <w:sz w:val="21"/>
          <w:szCs w:val="21"/>
          <w:highlight w:val="none"/>
        </w:rPr>
        <w:t>3.6</w:t>
      </w:r>
      <w:r>
        <w:rPr>
          <w:rFonts w:hint="eastAsia"/>
          <w:color w:val="auto"/>
          <w:sz w:val="21"/>
          <w:szCs w:val="21"/>
          <w:highlight w:val="none"/>
          <w:lang w:val="en-US" w:eastAsia="zh-CN"/>
        </w:rPr>
        <w:t>乙方应根据机关后勤服务、档案管理服务过程中可能出现的突发情况制订应急</w:t>
      </w:r>
      <w:r>
        <w:rPr>
          <w:rFonts w:hint="eastAsia"/>
          <w:color w:val="auto"/>
          <w:sz w:val="21"/>
          <w:szCs w:val="21"/>
          <w:highlight w:val="none"/>
          <w:lang w:eastAsia="zh-CN"/>
        </w:rPr>
        <w:t>处理措施、流程和处置预案，</w:t>
      </w:r>
      <w:r>
        <w:rPr>
          <w:rFonts w:hint="eastAsia"/>
          <w:color w:val="auto"/>
          <w:sz w:val="21"/>
          <w:szCs w:val="21"/>
          <w:highlight w:val="none"/>
          <w:lang w:val="en-US" w:eastAsia="zh-CN"/>
        </w:rPr>
        <w:t>确保在出现突发情况时将影响控制到最低。</w:t>
      </w:r>
    </w:p>
    <w:p w14:paraId="47DC22B5">
      <w:pPr>
        <w:ind w:firstLine="420" w:firstLineChars="200"/>
        <w:jc w:val="left"/>
        <w:rPr>
          <w:color w:val="auto"/>
          <w:sz w:val="21"/>
          <w:szCs w:val="21"/>
          <w:highlight w:val="none"/>
        </w:rPr>
      </w:pPr>
      <w:r>
        <w:rPr>
          <w:rFonts w:hint="eastAsia"/>
          <w:color w:val="auto"/>
          <w:sz w:val="21"/>
          <w:szCs w:val="21"/>
          <w:highlight w:val="none"/>
          <w:lang w:val="en-US" w:eastAsia="zh-CN"/>
        </w:rPr>
        <w:t>3.7</w:t>
      </w:r>
      <w:r>
        <w:rPr>
          <w:rFonts w:hint="eastAsia"/>
          <w:color w:val="auto"/>
          <w:sz w:val="21"/>
          <w:szCs w:val="21"/>
          <w:highlight w:val="none"/>
        </w:rPr>
        <w:t>除合同条款另行规定外，伴随服务的费用应含在合同价中，不单独进行支付。</w:t>
      </w:r>
    </w:p>
    <w:p w14:paraId="767AB3EC">
      <w:pPr>
        <w:ind w:firstLine="420" w:firstLineChars="200"/>
        <w:jc w:val="left"/>
        <w:rPr>
          <w:color w:val="auto"/>
          <w:sz w:val="21"/>
          <w:szCs w:val="21"/>
          <w:highlight w:val="none"/>
        </w:rPr>
      </w:pPr>
      <w:r>
        <w:rPr>
          <w:rFonts w:hint="eastAsia"/>
          <w:color w:val="auto"/>
          <w:sz w:val="21"/>
          <w:szCs w:val="21"/>
          <w:highlight w:val="none"/>
        </w:rPr>
        <w:t>4. 知识产权</w:t>
      </w:r>
    </w:p>
    <w:p w14:paraId="05351145">
      <w:pPr>
        <w:ind w:firstLine="420" w:firstLineChars="200"/>
        <w:jc w:val="left"/>
        <w:rPr>
          <w:color w:val="auto"/>
          <w:sz w:val="21"/>
          <w:szCs w:val="21"/>
          <w:highlight w:val="none"/>
        </w:rPr>
      </w:pPr>
      <w:r>
        <w:rPr>
          <w:rFonts w:hint="eastAsia"/>
          <w:color w:val="auto"/>
          <w:sz w:val="21"/>
          <w:szCs w:val="21"/>
          <w:highlight w:val="none"/>
        </w:rPr>
        <w:t>4.1 乙方应保证所提供的服务免受第三方提出侵犯其知识产权（专利权、商标权、软件著作权、版权等）的起诉。</w:t>
      </w:r>
    </w:p>
    <w:p w14:paraId="74C4DFB5">
      <w:pPr>
        <w:ind w:firstLine="420" w:firstLineChars="200"/>
        <w:jc w:val="left"/>
        <w:rPr>
          <w:color w:val="auto"/>
          <w:sz w:val="21"/>
          <w:szCs w:val="21"/>
          <w:highlight w:val="none"/>
        </w:rPr>
      </w:pPr>
      <w:r>
        <w:rPr>
          <w:rFonts w:hint="eastAsia"/>
          <w:color w:val="auto"/>
          <w:sz w:val="21"/>
          <w:szCs w:val="21"/>
          <w:highlight w:val="none"/>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14:paraId="2D0AEF36">
      <w:pPr>
        <w:ind w:firstLine="420" w:firstLineChars="200"/>
        <w:jc w:val="left"/>
        <w:rPr>
          <w:color w:val="auto"/>
          <w:sz w:val="21"/>
          <w:szCs w:val="21"/>
          <w:highlight w:val="none"/>
        </w:rPr>
      </w:pPr>
      <w:r>
        <w:rPr>
          <w:rFonts w:hint="eastAsia"/>
          <w:color w:val="auto"/>
          <w:sz w:val="21"/>
          <w:szCs w:val="21"/>
          <w:highlight w:val="none"/>
        </w:rPr>
        <w:t>4.3 乙方不得利用本项目实施过程中所产生的成果（包括但不限于发明、发现、可运行系统、源代码及相关技术资料、文档等），另行自行开发本合同业务范围内供纳税人缴费人使用的软件或产品，不得利用开发便利变相收费或搭车收费。</w:t>
      </w:r>
    </w:p>
    <w:p w14:paraId="66D1131D">
      <w:pPr>
        <w:ind w:firstLine="420" w:firstLineChars="200"/>
        <w:jc w:val="left"/>
        <w:rPr>
          <w:color w:val="auto"/>
          <w:sz w:val="21"/>
          <w:szCs w:val="21"/>
          <w:highlight w:val="none"/>
        </w:rPr>
      </w:pPr>
      <w:r>
        <w:rPr>
          <w:rFonts w:hint="eastAsia"/>
          <w:color w:val="auto"/>
          <w:sz w:val="21"/>
          <w:szCs w:val="21"/>
          <w:highlight w:val="none"/>
        </w:rPr>
        <w:t>5. 保密条款</w:t>
      </w:r>
    </w:p>
    <w:p w14:paraId="59897899">
      <w:pPr>
        <w:ind w:firstLine="420" w:firstLineChars="200"/>
        <w:jc w:val="left"/>
        <w:rPr>
          <w:color w:val="auto"/>
          <w:sz w:val="21"/>
          <w:szCs w:val="21"/>
          <w:highlight w:val="none"/>
        </w:rPr>
      </w:pPr>
      <w:r>
        <w:rPr>
          <w:rFonts w:hint="eastAsia"/>
          <w:color w:val="auto"/>
          <w:sz w:val="21"/>
          <w:szCs w:val="21"/>
          <w:highlight w:val="none"/>
        </w:rPr>
        <w:t>5.1 甲乙双方应对在本合同签订或履行过程中所接触的对方信息，包括但不限于知识产权、技术资料、技术诀窍、内部管理及其他相关信息，负有保密义务。</w:t>
      </w:r>
    </w:p>
    <w:p w14:paraId="581EF624">
      <w:pPr>
        <w:ind w:firstLine="420" w:firstLineChars="200"/>
        <w:jc w:val="left"/>
        <w:rPr>
          <w:color w:val="auto"/>
          <w:sz w:val="21"/>
          <w:szCs w:val="21"/>
          <w:highlight w:val="none"/>
        </w:rPr>
      </w:pPr>
      <w:r>
        <w:rPr>
          <w:rFonts w:hint="eastAsia"/>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34145D82">
      <w:pPr>
        <w:ind w:firstLine="420" w:firstLineChars="200"/>
        <w:jc w:val="left"/>
        <w:rPr>
          <w:color w:val="auto"/>
          <w:sz w:val="21"/>
          <w:szCs w:val="21"/>
          <w:highlight w:val="none"/>
        </w:rPr>
      </w:pPr>
      <w:r>
        <w:rPr>
          <w:rFonts w:hint="eastAsia"/>
          <w:color w:val="auto"/>
          <w:sz w:val="21"/>
          <w:szCs w:val="21"/>
          <w:highlight w:val="none"/>
        </w:rPr>
        <w:t>（1）应以审慎态度避免泄漏、公开或传播甲方的信息；</w:t>
      </w:r>
    </w:p>
    <w:p w14:paraId="7016C283">
      <w:pPr>
        <w:ind w:firstLine="420" w:firstLineChars="200"/>
        <w:jc w:val="left"/>
        <w:rPr>
          <w:color w:val="auto"/>
          <w:sz w:val="21"/>
          <w:szCs w:val="21"/>
          <w:highlight w:val="none"/>
        </w:rPr>
      </w:pPr>
      <w:r>
        <w:rPr>
          <w:rFonts w:hint="eastAsia"/>
          <w:color w:val="auto"/>
          <w:sz w:val="21"/>
          <w:szCs w:val="21"/>
          <w:highlight w:val="none"/>
        </w:rPr>
        <w:t>（2）在开发过程中对数据的处理方式应事先得到甲方的许可；</w:t>
      </w:r>
    </w:p>
    <w:p w14:paraId="7496F102">
      <w:pPr>
        <w:ind w:firstLine="420" w:firstLineChars="200"/>
        <w:jc w:val="left"/>
        <w:rPr>
          <w:color w:val="auto"/>
          <w:sz w:val="21"/>
          <w:szCs w:val="21"/>
          <w:highlight w:val="none"/>
        </w:rPr>
      </w:pPr>
      <w:r>
        <w:rPr>
          <w:rFonts w:hint="eastAsia"/>
          <w:color w:val="auto"/>
          <w:sz w:val="21"/>
          <w:szCs w:val="21"/>
          <w:highlight w:val="none"/>
        </w:rPr>
        <w:t>（3）未经甲方书面许可，不得对有关信息进行修改、补充、复制；</w:t>
      </w:r>
    </w:p>
    <w:p w14:paraId="0DDD3D8B">
      <w:pPr>
        <w:ind w:firstLine="420" w:firstLineChars="200"/>
        <w:jc w:val="left"/>
        <w:rPr>
          <w:color w:val="auto"/>
          <w:sz w:val="21"/>
          <w:szCs w:val="21"/>
          <w:highlight w:val="none"/>
        </w:rPr>
      </w:pPr>
      <w:r>
        <w:rPr>
          <w:rFonts w:hint="eastAsia"/>
          <w:color w:val="auto"/>
          <w:sz w:val="21"/>
          <w:szCs w:val="21"/>
          <w:highlight w:val="none"/>
        </w:rPr>
        <w:t>（4）未经甲方书面许可，不得将信息以任何方式（如E-mail）携带出甲方场所；</w:t>
      </w:r>
    </w:p>
    <w:p w14:paraId="240A659B">
      <w:pPr>
        <w:ind w:firstLine="420" w:firstLineChars="200"/>
        <w:jc w:val="left"/>
        <w:rPr>
          <w:color w:val="auto"/>
          <w:sz w:val="21"/>
          <w:szCs w:val="21"/>
          <w:highlight w:val="none"/>
        </w:rPr>
      </w:pPr>
      <w:r>
        <w:rPr>
          <w:rFonts w:hint="eastAsia"/>
          <w:color w:val="auto"/>
          <w:sz w:val="21"/>
          <w:szCs w:val="21"/>
          <w:highlight w:val="none"/>
        </w:rPr>
        <w:t xml:space="preserve">（5）未经甲方书面许可，不得将信息透露给任何其他人； </w:t>
      </w:r>
    </w:p>
    <w:p w14:paraId="406F68CA">
      <w:pPr>
        <w:ind w:firstLine="420" w:firstLineChars="200"/>
        <w:jc w:val="left"/>
        <w:rPr>
          <w:color w:val="auto"/>
          <w:sz w:val="21"/>
          <w:szCs w:val="21"/>
          <w:highlight w:val="none"/>
        </w:rPr>
      </w:pPr>
      <w:r>
        <w:rPr>
          <w:rFonts w:hint="eastAsia"/>
          <w:color w:val="auto"/>
          <w:sz w:val="21"/>
          <w:szCs w:val="21"/>
          <w:highlight w:val="none"/>
        </w:rPr>
        <w:t>（6）严禁在提交的软件产品中设置远程维护接口和后门程序；</w:t>
      </w:r>
    </w:p>
    <w:p w14:paraId="04316A17">
      <w:pPr>
        <w:ind w:firstLine="420" w:firstLineChars="200"/>
        <w:jc w:val="left"/>
        <w:rPr>
          <w:color w:val="auto"/>
          <w:sz w:val="21"/>
          <w:szCs w:val="21"/>
          <w:highlight w:val="none"/>
        </w:rPr>
      </w:pPr>
      <w:r>
        <w:rPr>
          <w:rFonts w:hint="eastAsia"/>
          <w:color w:val="auto"/>
          <w:sz w:val="21"/>
          <w:szCs w:val="21"/>
          <w:highlight w:val="none"/>
        </w:rPr>
        <w:t>（7）不得进行系统软硬件设备的远程维护；</w:t>
      </w:r>
    </w:p>
    <w:p w14:paraId="734F25BD">
      <w:pPr>
        <w:ind w:firstLine="420" w:firstLineChars="200"/>
        <w:jc w:val="left"/>
        <w:rPr>
          <w:color w:val="auto"/>
          <w:sz w:val="21"/>
          <w:szCs w:val="21"/>
          <w:highlight w:val="none"/>
        </w:rPr>
      </w:pPr>
      <w:r>
        <w:rPr>
          <w:rFonts w:hint="eastAsia"/>
          <w:color w:val="auto"/>
          <w:sz w:val="21"/>
          <w:szCs w:val="21"/>
          <w:highlight w:val="none"/>
        </w:rPr>
        <w:t>（8）甲方以书面形式提出的其他保密措施。</w:t>
      </w:r>
    </w:p>
    <w:p w14:paraId="4F3E34D1">
      <w:pPr>
        <w:ind w:firstLine="420" w:firstLineChars="200"/>
        <w:jc w:val="left"/>
        <w:rPr>
          <w:color w:val="auto"/>
          <w:sz w:val="21"/>
          <w:szCs w:val="21"/>
          <w:highlight w:val="none"/>
        </w:rPr>
      </w:pPr>
      <w:r>
        <w:rPr>
          <w:rFonts w:hint="eastAsia"/>
          <w:color w:val="auto"/>
          <w:sz w:val="21"/>
          <w:szCs w:val="21"/>
          <w:highlight w:val="none"/>
        </w:rPr>
        <w:t>5.3 保密期限不受合同有效期的限制，在合同有效期结束后，信息接受方仍应承担保密义务，直至该等信息成为公开信息。</w:t>
      </w:r>
    </w:p>
    <w:p w14:paraId="4F20A472">
      <w:pPr>
        <w:ind w:firstLine="420" w:firstLineChars="200"/>
        <w:jc w:val="left"/>
        <w:rPr>
          <w:color w:val="auto"/>
          <w:sz w:val="21"/>
          <w:szCs w:val="21"/>
          <w:highlight w:val="none"/>
        </w:rPr>
      </w:pPr>
      <w:r>
        <w:rPr>
          <w:rFonts w:hint="eastAsia"/>
          <w:color w:val="auto"/>
          <w:sz w:val="21"/>
          <w:szCs w:val="21"/>
          <w:highlight w:val="none"/>
        </w:rPr>
        <w:t>5.4 甲乙双方如出现泄密行为，泄密方应承担相关的法律责任，包括但是不限于对由此给对方造成的经济损失进行赔偿。</w:t>
      </w:r>
    </w:p>
    <w:p w14:paraId="1D230403">
      <w:pPr>
        <w:ind w:firstLine="420" w:firstLineChars="200"/>
        <w:jc w:val="left"/>
        <w:rPr>
          <w:color w:val="auto"/>
          <w:sz w:val="21"/>
          <w:szCs w:val="21"/>
          <w:highlight w:val="none"/>
        </w:rPr>
      </w:pPr>
      <w:r>
        <w:rPr>
          <w:rFonts w:hint="eastAsia"/>
          <w:color w:val="auto"/>
          <w:sz w:val="21"/>
          <w:szCs w:val="21"/>
          <w:highlight w:val="none"/>
        </w:rPr>
        <w:t>6. 履约验收要求</w:t>
      </w:r>
    </w:p>
    <w:p w14:paraId="00FC6398">
      <w:pPr>
        <w:ind w:firstLine="420" w:firstLineChars="200"/>
        <w:jc w:val="left"/>
        <w:rPr>
          <w:color w:val="auto"/>
          <w:sz w:val="21"/>
          <w:szCs w:val="21"/>
          <w:highlight w:val="none"/>
        </w:rPr>
      </w:pPr>
      <w:r>
        <w:rPr>
          <w:rFonts w:hint="eastAsia"/>
          <w:color w:val="auto"/>
          <w:sz w:val="21"/>
          <w:szCs w:val="21"/>
          <w:highlight w:val="none"/>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14:paraId="21B5FFEE">
      <w:pPr>
        <w:ind w:firstLine="420" w:firstLineChars="200"/>
        <w:jc w:val="left"/>
        <w:rPr>
          <w:color w:val="auto"/>
          <w:sz w:val="21"/>
          <w:szCs w:val="21"/>
          <w:highlight w:val="none"/>
        </w:rPr>
      </w:pPr>
      <w:r>
        <w:rPr>
          <w:rFonts w:hint="eastAsia"/>
          <w:color w:val="auto"/>
          <w:sz w:val="21"/>
          <w:szCs w:val="21"/>
          <w:highlight w:val="none"/>
        </w:rPr>
        <w:t>6.2具体履约验收要求详见招标（采购）文件。</w:t>
      </w:r>
    </w:p>
    <w:p w14:paraId="15525A69">
      <w:pPr>
        <w:ind w:firstLine="420" w:firstLineChars="200"/>
        <w:jc w:val="left"/>
        <w:rPr>
          <w:color w:val="auto"/>
          <w:sz w:val="21"/>
          <w:szCs w:val="21"/>
          <w:highlight w:val="none"/>
        </w:rPr>
      </w:pPr>
      <w:r>
        <w:rPr>
          <w:rFonts w:hint="eastAsia"/>
          <w:color w:val="auto"/>
          <w:sz w:val="21"/>
          <w:szCs w:val="21"/>
          <w:highlight w:val="none"/>
        </w:rPr>
        <w:t>7. 履约保证金</w:t>
      </w:r>
    </w:p>
    <w:p w14:paraId="0D49D4E6">
      <w:pPr>
        <w:ind w:firstLine="420" w:firstLineChars="200"/>
        <w:jc w:val="left"/>
        <w:rPr>
          <w:color w:val="auto"/>
          <w:sz w:val="21"/>
          <w:szCs w:val="21"/>
          <w:highlight w:val="none"/>
        </w:rPr>
      </w:pPr>
      <w:r>
        <w:rPr>
          <w:rFonts w:hint="eastAsia"/>
          <w:color w:val="auto"/>
          <w:sz w:val="21"/>
          <w:szCs w:val="21"/>
          <w:highlight w:val="none"/>
        </w:rPr>
        <w:t>7.1 需提交履约保证金的项目，乙方应按照“合同条款前附表”第 10 项“履约保证金及返还”提交履约保证金。</w:t>
      </w:r>
    </w:p>
    <w:p w14:paraId="74129916">
      <w:pPr>
        <w:ind w:firstLine="420" w:firstLineChars="200"/>
        <w:jc w:val="left"/>
        <w:rPr>
          <w:color w:val="auto"/>
          <w:sz w:val="21"/>
          <w:szCs w:val="21"/>
          <w:highlight w:val="none"/>
        </w:rPr>
      </w:pPr>
      <w:r>
        <w:rPr>
          <w:rFonts w:hint="eastAsia"/>
          <w:color w:val="auto"/>
          <w:sz w:val="21"/>
          <w:szCs w:val="21"/>
          <w:highlight w:val="none"/>
        </w:rPr>
        <w:t>7.2 履约保证金的金额可用于补偿甲方因乙方不能完成其合同义务而蒙受的损失。</w:t>
      </w:r>
    </w:p>
    <w:p w14:paraId="32EF3199">
      <w:pPr>
        <w:ind w:firstLine="420" w:firstLineChars="200"/>
        <w:jc w:val="left"/>
        <w:rPr>
          <w:color w:val="auto"/>
          <w:sz w:val="21"/>
          <w:szCs w:val="21"/>
          <w:highlight w:val="none"/>
        </w:rPr>
      </w:pPr>
      <w:r>
        <w:rPr>
          <w:rFonts w:hint="eastAsia"/>
          <w:color w:val="auto"/>
          <w:sz w:val="21"/>
          <w:szCs w:val="21"/>
          <w:highlight w:val="none"/>
        </w:rPr>
        <w:t>7.3如乙方未能按时支付合同约定的违约金、赔偿金、其他应付款项等的，甲方有权按照本合同的约定从履约保证金中扣除上述款项。乙方应在甲方扣除履约保证金后15天内，及时补充扣除部分金额。若逾期补充的，每日应按应补充金额的万分之五（0.05%）支付甲方违约金。</w:t>
      </w:r>
    </w:p>
    <w:p w14:paraId="1006851B">
      <w:pPr>
        <w:ind w:firstLine="420" w:firstLineChars="200"/>
        <w:jc w:val="left"/>
        <w:rPr>
          <w:color w:val="auto"/>
          <w:sz w:val="21"/>
          <w:szCs w:val="21"/>
          <w:highlight w:val="none"/>
        </w:rPr>
      </w:pPr>
      <w:r>
        <w:rPr>
          <w:rFonts w:hint="eastAsia"/>
          <w:color w:val="auto"/>
          <w:sz w:val="21"/>
          <w:szCs w:val="21"/>
          <w:highlight w:val="none"/>
        </w:rPr>
        <w:t>7.4 乙方不履行合同、或者履行合同义务不符合约定使得合同目的不能实现，履约保证金不予退还，并应按合同约定支付违约金、赔偿金等。</w:t>
      </w:r>
    </w:p>
    <w:p w14:paraId="40BF8529">
      <w:pPr>
        <w:ind w:firstLine="420" w:firstLineChars="200"/>
        <w:jc w:val="left"/>
        <w:rPr>
          <w:color w:val="auto"/>
          <w:sz w:val="21"/>
          <w:szCs w:val="21"/>
          <w:highlight w:val="none"/>
        </w:rPr>
      </w:pPr>
      <w:r>
        <w:rPr>
          <w:rFonts w:hint="eastAsia"/>
          <w:color w:val="auto"/>
          <w:sz w:val="21"/>
          <w:szCs w:val="21"/>
          <w:highlight w:val="none"/>
        </w:rPr>
        <w:t>7.5 履约保证金在合同履行期满后，扣除相应款项（如有）且双方无争议后，凭返还申请等资料一次性无息返还，详见“合同条款前附表”第10项“履约保证金及返还”。</w:t>
      </w:r>
    </w:p>
    <w:p w14:paraId="62B1078A">
      <w:pPr>
        <w:ind w:firstLine="420" w:firstLineChars="200"/>
        <w:jc w:val="left"/>
        <w:rPr>
          <w:color w:val="auto"/>
          <w:sz w:val="21"/>
          <w:szCs w:val="21"/>
          <w:highlight w:val="none"/>
        </w:rPr>
      </w:pPr>
      <w:r>
        <w:rPr>
          <w:rFonts w:hint="eastAsia"/>
          <w:color w:val="auto"/>
          <w:sz w:val="21"/>
          <w:szCs w:val="21"/>
          <w:highlight w:val="none"/>
        </w:rPr>
        <w:t>8．履约延误</w:t>
      </w:r>
    </w:p>
    <w:p w14:paraId="37BF9EE5">
      <w:pPr>
        <w:ind w:firstLine="420" w:firstLineChars="200"/>
        <w:jc w:val="left"/>
        <w:rPr>
          <w:color w:val="auto"/>
          <w:sz w:val="21"/>
          <w:szCs w:val="21"/>
          <w:highlight w:val="none"/>
        </w:rPr>
      </w:pPr>
      <w:r>
        <w:rPr>
          <w:rFonts w:hint="eastAsia"/>
          <w:color w:val="auto"/>
          <w:sz w:val="21"/>
          <w:szCs w:val="21"/>
          <w:highlight w:val="none"/>
        </w:rPr>
        <w:t>8.1 乙方应按照本合同的规定提供服务。</w:t>
      </w:r>
    </w:p>
    <w:p w14:paraId="1A307849">
      <w:pPr>
        <w:ind w:firstLine="420" w:firstLineChars="200"/>
        <w:jc w:val="left"/>
        <w:rPr>
          <w:color w:val="auto"/>
          <w:sz w:val="21"/>
          <w:szCs w:val="21"/>
          <w:highlight w:val="none"/>
        </w:rPr>
      </w:pPr>
      <w:r>
        <w:rPr>
          <w:rFonts w:hint="eastAsia"/>
          <w:color w:val="auto"/>
          <w:sz w:val="21"/>
          <w:szCs w:val="21"/>
          <w:highlight w:val="none"/>
        </w:rPr>
        <w:t>8.2 如乙方迟延履行合同义务，甲方将从应付合同总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4F6A5710">
      <w:pPr>
        <w:ind w:firstLine="420" w:firstLineChars="200"/>
        <w:jc w:val="left"/>
        <w:rPr>
          <w:color w:val="auto"/>
          <w:sz w:val="21"/>
          <w:szCs w:val="21"/>
          <w:highlight w:val="none"/>
        </w:rPr>
      </w:pPr>
      <w:r>
        <w:rPr>
          <w:rFonts w:hint="eastAsia"/>
          <w:color w:val="auto"/>
          <w:sz w:val="21"/>
          <w:szCs w:val="21"/>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14:paraId="3C372CC1">
      <w:pPr>
        <w:ind w:firstLine="420" w:firstLineChars="200"/>
        <w:jc w:val="left"/>
        <w:rPr>
          <w:color w:val="auto"/>
          <w:sz w:val="21"/>
          <w:szCs w:val="21"/>
          <w:highlight w:val="none"/>
        </w:rPr>
      </w:pPr>
      <w:r>
        <w:rPr>
          <w:rFonts w:hint="eastAsia"/>
          <w:color w:val="auto"/>
          <w:sz w:val="21"/>
          <w:szCs w:val="21"/>
          <w:highlight w:val="none"/>
        </w:rPr>
        <w:t>8.4 除不可抗力和根据合同规定延期取得甲方同意而不收取误期违约金之外，乙方延误工期，将按合同规定被收取误期违约金。</w:t>
      </w:r>
    </w:p>
    <w:p w14:paraId="32E9D4D8">
      <w:pPr>
        <w:ind w:firstLine="420" w:firstLineChars="200"/>
        <w:jc w:val="left"/>
        <w:rPr>
          <w:color w:val="auto"/>
          <w:sz w:val="21"/>
          <w:szCs w:val="21"/>
          <w:highlight w:val="none"/>
        </w:rPr>
      </w:pPr>
      <w:r>
        <w:rPr>
          <w:rFonts w:hint="eastAsia"/>
          <w:color w:val="auto"/>
          <w:sz w:val="21"/>
          <w:szCs w:val="21"/>
          <w:highlight w:val="none"/>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14:paraId="7E5EA9B1">
      <w:pPr>
        <w:ind w:firstLine="420" w:firstLineChars="200"/>
        <w:jc w:val="left"/>
        <w:rPr>
          <w:color w:val="auto"/>
          <w:sz w:val="21"/>
          <w:szCs w:val="21"/>
          <w:highlight w:val="none"/>
        </w:rPr>
      </w:pPr>
      <w:r>
        <w:rPr>
          <w:rFonts w:hint="eastAsia"/>
          <w:color w:val="auto"/>
          <w:sz w:val="21"/>
          <w:szCs w:val="21"/>
          <w:highlight w:val="none"/>
        </w:rPr>
        <w:t>9. 违约责任</w:t>
      </w:r>
    </w:p>
    <w:p w14:paraId="760F65C2">
      <w:pPr>
        <w:ind w:firstLine="420" w:firstLineChars="200"/>
        <w:jc w:val="left"/>
        <w:rPr>
          <w:color w:val="auto"/>
          <w:sz w:val="21"/>
          <w:szCs w:val="21"/>
          <w:highlight w:val="none"/>
        </w:rPr>
      </w:pPr>
      <w:r>
        <w:rPr>
          <w:rFonts w:hint="eastAsia"/>
          <w:color w:val="auto"/>
          <w:sz w:val="21"/>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0C4DE085">
      <w:pPr>
        <w:ind w:firstLine="420" w:firstLineChars="200"/>
        <w:jc w:val="left"/>
        <w:rPr>
          <w:color w:val="auto"/>
          <w:sz w:val="21"/>
          <w:szCs w:val="21"/>
          <w:highlight w:val="none"/>
        </w:rPr>
      </w:pPr>
      <w:r>
        <w:rPr>
          <w:rFonts w:hint="eastAsia"/>
          <w:color w:val="auto"/>
          <w:sz w:val="21"/>
          <w:szCs w:val="21"/>
          <w:highlight w:val="none"/>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14:paraId="2422770B">
      <w:pPr>
        <w:ind w:firstLine="420" w:firstLineChars="200"/>
        <w:jc w:val="left"/>
        <w:rPr>
          <w:color w:val="auto"/>
          <w:sz w:val="21"/>
          <w:szCs w:val="21"/>
          <w:highlight w:val="none"/>
        </w:rPr>
      </w:pPr>
      <w:r>
        <w:rPr>
          <w:rFonts w:hint="eastAsia"/>
          <w:color w:val="auto"/>
          <w:sz w:val="21"/>
          <w:szCs w:val="21"/>
          <w:highlight w:val="none"/>
        </w:rPr>
        <w:t>9.3 除应支付甲方违约金等外，甲方有权根据合同或有关部门出具的检验证书向乙方提出索赔。</w:t>
      </w:r>
    </w:p>
    <w:p w14:paraId="25527611">
      <w:pPr>
        <w:ind w:firstLine="420" w:firstLineChars="200"/>
        <w:jc w:val="left"/>
        <w:rPr>
          <w:color w:val="auto"/>
          <w:sz w:val="21"/>
          <w:szCs w:val="21"/>
          <w:highlight w:val="none"/>
        </w:rPr>
      </w:pPr>
      <w:r>
        <w:rPr>
          <w:rFonts w:hint="eastAsia"/>
          <w:color w:val="auto"/>
          <w:sz w:val="21"/>
          <w:szCs w:val="21"/>
          <w:highlight w:val="none"/>
        </w:rPr>
        <w:t>9.4 如果乙方对差异负有责任而甲方提出索赔，乙方同意按照下列方式解决索赔事宜：</w:t>
      </w:r>
    </w:p>
    <w:p w14:paraId="11F6D5FB">
      <w:pPr>
        <w:jc w:val="left"/>
        <w:rPr>
          <w:color w:val="auto"/>
          <w:sz w:val="21"/>
          <w:szCs w:val="21"/>
          <w:highlight w:val="none"/>
        </w:rPr>
      </w:pPr>
      <w:r>
        <w:rPr>
          <w:rFonts w:hint="eastAsia"/>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14:paraId="5F699116">
      <w:pPr>
        <w:ind w:firstLine="420" w:firstLineChars="200"/>
        <w:jc w:val="left"/>
        <w:rPr>
          <w:color w:val="auto"/>
          <w:sz w:val="21"/>
          <w:szCs w:val="21"/>
          <w:highlight w:val="none"/>
        </w:rPr>
      </w:pPr>
      <w:r>
        <w:rPr>
          <w:rFonts w:hint="eastAsia"/>
          <w:color w:val="auto"/>
          <w:sz w:val="21"/>
          <w:szCs w:val="21"/>
          <w:highlight w:val="none"/>
        </w:rPr>
        <w:t>9.5 对于本协议未约定的、招标（采购）文件（技术部分）中约定的违约处理条款，按招标（采购）文件（技术部分）相关约定执行；对本协议与招标（采购）文件（技术部分）约定不同的违约处理条款，以本协议约定为准。</w:t>
      </w:r>
    </w:p>
    <w:p w14:paraId="262F6009">
      <w:pPr>
        <w:ind w:firstLine="420" w:firstLineChars="200"/>
        <w:jc w:val="left"/>
        <w:rPr>
          <w:color w:val="auto"/>
          <w:sz w:val="21"/>
          <w:szCs w:val="21"/>
          <w:highlight w:val="none"/>
        </w:rPr>
      </w:pPr>
      <w:r>
        <w:rPr>
          <w:rFonts w:hint="eastAsia"/>
          <w:color w:val="auto"/>
          <w:sz w:val="21"/>
          <w:szCs w:val="21"/>
          <w:highlight w:val="none"/>
        </w:rPr>
        <w:t>10. 不可抗力</w:t>
      </w:r>
    </w:p>
    <w:p w14:paraId="373A9131">
      <w:pPr>
        <w:ind w:firstLine="420" w:firstLineChars="200"/>
        <w:jc w:val="left"/>
        <w:rPr>
          <w:color w:val="auto"/>
          <w:sz w:val="21"/>
          <w:szCs w:val="21"/>
          <w:highlight w:val="none"/>
        </w:rPr>
      </w:pPr>
      <w:r>
        <w:rPr>
          <w:rFonts w:hint="eastAsia"/>
          <w:color w:val="auto"/>
          <w:sz w:val="21"/>
          <w:szCs w:val="21"/>
          <w:highlight w:val="none"/>
        </w:rPr>
        <w:t>10.1 本条所述的“不可抗力”系指双方不可预见、不可避免、不可克服的客观情况，但不包括双方的违约或疏忽。这些事件包括但不限于：战争、严重火灾、洪水、台风、地震等。</w:t>
      </w:r>
    </w:p>
    <w:p w14:paraId="6A7C1E24">
      <w:pPr>
        <w:ind w:firstLine="420" w:firstLineChars="200"/>
        <w:jc w:val="left"/>
        <w:rPr>
          <w:color w:val="auto"/>
          <w:sz w:val="21"/>
          <w:szCs w:val="21"/>
          <w:highlight w:val="none"/>
        </w:rPr>
      </w:pPr>
      <w:r>
        <w:rPr>
          <w:rFonts w:hint="eastAsia"/>
          <w:color w:val="auto"/>
          <w:sz w:val="21"/>
          <w:szCs w:val="21"/>
          <w:highlight w:val="none"/>
        </w:rPr>
        <w:t>10.2 如果乙方因不可抗力而导致合同实施延误或不能履行合同义务，不应承担误期赔偿或终止合同的责任。</w:t>
      </w:r>
    </w:p>
    <w:p w14:paraId="5A3503C1">
      <w:pPr>
        <w:ind w:firstLine="420" w:firstLineChars="200"/>
        <w:jc w:val="left"/>
        <w:rPr>
          <w:color w:val="auto"/>
          <w:sz w:val="21"/>
          <w:szCs w:val="21"/>
          <w:highlight w:val="none"/>
        </w:rPr>
      </w:pPr>
      <w:r>
        <w:rPr>
          <w:rFonts w:hint="eastAsia"/>
          <w:color w:val="auto"/>
          <w:sz w:val="21"/>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1390BB85">
      <w:pPr>
        <w:ind w:firstLine="420" w:firstLineChars="200"/>
        <w:jc w:val="left"/>
        <w:rPr>
          <w:color w:val="auto"/>
          <w:sz w:val="21"/>
          <w:szCs w:val="21"/>
          <w:highlight w:val="none"/>
        </w:rPr>
      </w:pPr>
      <w:r>
        <w:rPr>
          <w:rFonts w:hint="eastAsia"/>
          <w:color w:val="auto"/>
          <w:sz w:val="21"/>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0FAF5761">
      <w:pPr>
        <w:ind w:firstLine="420" w:firstLineChars="200"/>
        <w:jc w:val="left"/>
        <w:rPr>
          <w:color w:val="auto"/>
          <w:sz w:val="21"/>
          <w:szCs w:val="21"/>
          <w:highlight w:val="none"/>
        </w:rPr>
      </w:pPr>
      <w:r>
        <w:rPr>
          <w:rFonts w:hint="eastAsia"/>
          <w:color w:val="auto"/>
          <w:sz w:val="21"/>
          <w:szCs w:val="21"/>
          <w:highlight w:val="none"/>
        </w:rPr>
        <w:t>11. 争端的解决</w:t>
      </w:r>
    </w:p>
    <w:p w14:paraId="21CA3320">
      <w:pPr>
        <w:ind w:firstLine="420" w:firstLineChars="200"/>
        <w:jc w:val="left"/>
        <w:rPr>
          <w:color w:val="auto"/>
          <w:sz w:val="21"/>
          <w:szCs w:val="21"/>
          <w:highlight w:val="none"/>
        </w:rPr>
      </w:pPr>
      <w:r>
        <w:rPr>
          <w:rFonts w:hint="eastAsia"/>
          <w:color w:val="auto"/>
          <w:sz w:val="21"/>
          <w:szCs w:val="21"/>
          <w:highlight w:val="none"/>
        </w:rPr>
        <w:t>11.1 甲乙双方应首先通过友好协商解决在执行本合同中所发生的或与本合同有关的一切争端。如从协商开始</w:t>
      </w:r>
      <w:r>
        <w:rPr>
          <w:rFonts w:hint="eastAsia"/>
          <w:color w:val="auto"/>
          <w:sz w:val="21"/>
          <w:szCs w:val="21"/>
          <w:highlight w:val="none"/>
          <w:u w:val="single"/>
        </w:rPr>
        <w:t>30</w:t>
      </w:r>
      <w:r>
        <w:rPr>
          <w:rFonts w:hint="eastAsia"/>
          <w:color w:val="auto"/>
          <w:sz w:val="21"/>
          <w:szCs w:val="21"/>
          <w:highlight w:val="none"/>
        </w:rPr>
        <w:t>天内仍不能解决，可以按合同约定的方式提起仲裁或诉讼。</w:t>
      </w:r>
    </w:p>
    <w:p w14:paraId="69553977">
      <w:pPr>
        <w:ind w:firstLine="420" w:firstLineChars="200"/>
        <w:jc w:val="left"/>
        <w:rPr>
          <w:color w:val="auto"/>
          <w:sz w:val="21"/>
          <w:szCs w:val="21"/>
          <w:highlight w:val="none"/>
        </w:rPr>
      </w:pPr>
      <w:r>
        <w:rPr>
          <w:rFonts w:hint="eastAsia"/>
          <w:color w:val="auto"/>
          <w:sz w:val="21"/>
          <w:szCs w:val="21"/>
          <w:highlight w:val="none"/>
        </w:rPr>
        <w:t>11.2.1仲裁应向甲方所在地或仲裁委员会申请仲裁。</w:t>
      </w:r>
    </w:p>
    <w:p w14:paraId="2BFAF4E5">
      <w:pPr>
        <w:ind w:firstLine="420" w:firstLineChars="200"/>
        <w:jc w:val="left"/>
        <w:rPr>
          <w:color w:val="auto"/>
          <w:sz w:val="21"/>
          <w:szCs w:val="21"/>
          <w:highlight w:val="none"/>
        </w:rPr>
      </w:pPr>
      <w:r>
        <w:rPr>
          <w:rFonts w:hint="eastAsia"/>
          <w:color w:val="auto"/>
          <w:sz w:val="21"/>
          <w:szCs w:val="21"/>
          <w:highlight w:val="none"/>
        </w:rPr>
        <w:t>11.2.2 仲裁裁决应为最终裁决，对双方均具有约束力。</w:t>
      </w:r>
    </w:p>
    <w:p w14:paraId="13633B4D">
      <w:pPr>
        <w:ind w:firstLine="420" w:firstLineChars="200"/>
        <w:jc w:val="left"/>
        <w:rPr>
          <w:color w:val="auto"/>
          <w:sz w:val="21"/>
          <w:szCs w:val="21"/>
          <w:highlight w:val="none"/>
        </w:rPr>
      </w:pPr>
      <w:r>
        <w:rPr>
          <w:rFonts w:hint="eastAsia"/>
          <w:color w:val="auto"/>
          <w:sz w:val="21"/>
          <w:szCs w:val="21"/>
          <w:highlight w:val="none"/>
        </w:rPr>
        <w:t>11.2.3 仲裁费除仲裁机关另有裁决外应由败诉方负担。</w:t>
      </w:r>
    </w:p>
    <w:p w14:paraId="30004613">
      <w:pPr>
        <w:ind w:firstLine="420" w:firstLineChars="200"/>
        <w:jc w:val="left"/>
        <w:rPr>
          <w:color w:val="auto"/>
          <w:sz w:val="21"/>
          <w:szCs w:val="21"/>
          <w:highlight w:val="none"/>
        </w:rPr>
      </w:pPr>
      <w:r>
        <w:rPr>
          <w:rFonts w:hint="eastAsia"/>
          <w:color w:val="auto"/>
          <w:sz w:val="21"/>
          <w:szCs w:val="21"/>
          <w:highlight w:val="none"/>
        </w:rPr>
        <w:t>11.2.4在仲裁期间，除正在进行仲裁部分外，本合同的其它部分应继续执行。</w:t>
      </w:r>
    </w:p>
    <w:p w14:paraId="5E00596B">
      <w:pPr>
        <w:ind w:firstLine="420" w:firstLineChars="200"/>
        <w:jc w:val="left"/>
        <w:rPr>
          <w:color w:val="auto"/>
          <w:sz w:val="21"/>
          <w:szCs w:val="21"/>
          <w:highlight w:val="none"/>
        </w:rPr>
      </w:pPr>
      <w:r>
        <w:rPr>
          <w:rFonts w:hint="eastAsia"/>
          <w:color w:val="auto"/>
          <w:sz w:val="21"/>
          <w:szCs w:val="21"/>
          <w:highlight w:val="none"/>
        </w:rPr>
        <w:t>11.3.1诉讼应向甲方所在地或</w:t>
      </w:r>
      <w:r>
        <w:rPr>
          <w:rFonts w:hint="eastAsia"/>
          <w:color w:val="auto"/>
          <w:sz w:val="21"/>
          <w:szCs w:val="21"/>
          <w:highlight w:val="none"/>
          <w:u w:val="single"/>
        </w:rPr>
        <w:t>项目所在地有管辖权的</w:t>
      </w:r>
      <w:r>
        <w:rPr>
          <w:rFonts w:hint="eastAsia"/>
          <w:color w:val="auto"/>
          <w:sz w:val="21"/>
          <w:szCs w:val="21"/>
          <w:highlight w:val="none"/>
        </w:rPr>
        <w:t>人民法院提起诉讼。</w:t>
      </w:r>
    </w:p>
    <w:p w14:paraId="70966713">
      <w:pPr>
        <w:ind w:firstLine="420" w:firstLineChars="200"/>
        <w:jc w:val="left"/>
        <w:rPr>
          <w:color w:val="auto"/>
          <w:sz w:val="21"/>
          <w:szCs w:val="21"/>
          <w:highlight w:val="none"/>
        </w:rPr>
      </w:pPr>
      <w:r>
        <w:rPr>
          <w:rFonts w:hint="eastAsia"/>
          <w:color w:val="auto"/>
          <w:sz w:val="21"/>
          <w:szCs w:val="21"/>
          <w:highlight w:val="none"/>
        </w:rPr>
        <w:t>11.3.2诉讼费除人民法院另有判决外，应由败诉方负担。</w:t>
      </w:r>
    </w:p>
    <w:p w14:paraId="47F32AB7">
      <w:pPr>
        <w:ind w:firstLine="420" w:firstLineChars="200"/>
        <w:jc w:val="left"/>
        <w:rPr>
          <w:color w:val="auto"/>
          <w:sz w:val="21"/>
          <w:szCs w:val="21"/>
          <w:highlight w:val="none"/>
        </w:rPr>
      </w:pPr>
      <w:r>
        <w:rPr>
          <w:rFonts w:hint="eastAsia"/>
          <w:color w:val="auto"/>
          <w:sz w:val="21"/>
          <w:szCs w:val="21"/>
          <w:highlight w:val="none"/>
        </w:rPr>
        <w:t>11.3.3在诉讼期间，除正在进行诉讼部分外，本合同的其它部分应继续执行。</w:t>
      </w:r>
    </w:p>
    <w:p w14:paraId="2E365640">
      <w:pPr>
        <w:ind w:firstLine="420" w:firstLineChars="200"/>
        <w:jc w:val="left"/>
        <w:rPr>
          <w:color w:val="auto"/>
          <w:sz w:val="21"/>
          <w:szCs w:val="21"/>
          <w:highlight w:val="none"/>
        </w:rPr>
      </w:pPr>
      <w:r>
        <w:rPr>
          <w:rFonts w:hint="eastAsia"/>
          <w:color w:val="auto"/>
          <w:sz w:val="21"/>
          <w:szCs w:val="21"/>
          <w:highlight w:val="none"/>
        </w:rPr>
        <w:t>12. 违约终止合同</w:t>
      </w:r>
    </w:p>
    <w:p w14:paraId="78B07038">
      <w:pPr>
        <w:ind w:firstLine="420" w:firstLineChars="200"/>
        <w:jc w:val="left"/>
        <w:rPr>
          <w:color w:val="auto"/>
          <w:sz w:val="21"/>
          <w:szCs w:val="21"/>
          <w:highlight w:val="none"/>
        </w:rPr>
      </w:pPr>
      <w:r>
        <w:rPr>
          <w:rFonts w:hint="eastAsia"/>
          <w:color w:val="auto"/>
          <w:sz w:val="21"/>
          <w:szCs w:val="21"/>
          <w:highlight w:val="none"/>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49BDBFC6">
      <w:pPr>
        <w:ind w:firstLine="420" w:firstLineChars="200"/>
        <w:jc w:val="left"/>
        <w:rPr>
          <w:color w:val="auto"/>
          <w:sz w:val="21"/>
          <w:szCs w:val="21"/>
          <w:highlight w:val="none"/>
        </w:rPr>
      </w:pPr>
      <w:r>
        <w:rPr>
          <w:rFonts w:hint="eastAsia"/>
          <w:color w:val="auto"/>
          <w:sz w:val="21"/>
          <w:szCs w:val="21"/>
          <w:highlight w:val="none"/>
        </w:rPr>
        <w:t>12.1.1 乙方不履行合同义务或者履行合同义务不符合合同约定累计达两次的；</w:t>
      </w:r>
    </w:p>
    <w:p w14:paraId="485FC219">
      <w:pPr>
        <w:ind w:firstLine="420" w:firstLineChars="200"/>
        <w:jc w:val="left"/>
        <w:rPr>
          <w:color w:val="auto"/>
          <w:sz w:val="21"/>
          <w:szCs w:val="21"/>
          <w:highlight w:val="none"/>
        </w:rPr>
      </w:pPr>
      <w:r>
        <w:rPr>
          <w:rFonts w:hint="eastAsia"/>
          <w:color w:val="auto"/>
          <w:sz w:val="21"/>
          <w:szCs w:val="21"/>
          <w:highlight w:val="none"/>
        </w:rPr>
        <w:t>12.1.2 如果乙方未能在合同规定的期限或甲方同意延长的期限内提供服务，迟延累计达20日的；</w:t>
      </w:r>
    </w:p>
    <w:p w14:paraId="417C8FBA">
      <w:pPr>
        <w:ind w:firstLine="420" w:firstLineChars="200"/>
        <w:jc w:val="left"/>
        <w:rPr>
          <w:color w:val="auto"/>
          <w:sz w:val="21"/>
          <w:szCs w:val="21"/>
          <w:highlight w:val="none"/>
        </w:rPr>
      </w:pPr>
      <w:r>
        <w:rPr>
          <w:rFonts w:hint="eastAsia"/>
          <w:color w:val="auto"/>
          <w:sz w:val="21"/>
          <w:szCs w:val="21"/>
          <w:highlight w:val="none"/>
        </w:rPr>
        <w:t>12.1.3 因乙方人员自身技术能力、经验不足等问题造成甲方发生重大紧急故障</w:t>
      </w:r>
      <w:r>
        <w:rPr>
          <w:rFonts w:hint="eastAsia"/>
          <w:color w:val="auto"/>
          <w:sz w:val="21"/>
          <w:szCs w:val="21"/>
          <w:highlight w:val="none"/>
          <w:lang w:val="en-US" w:eastAsia="zh-CN"/>
        </w:rPr>
        <w:t>或重大安全责任事故</w:t>
      </w:r>
      <w:r>
        <w:rPr>
          <w:rFonts w:hint="eastAsia"/>
          <w:color w:val="auto"/>
          <w:sz w:val="21"/>
          <w:szCs w:val="21"/>
          <w:highlight w:val="none"/>
        </w:rPr>
        <w:t>，带来重大影响和损失的；</w:t>
      </w:r>
    </w:p>
    <w:p w14:paraId="4F7B2F37">
      <w:pPr>
        <w:ind w:firstLine="420" w:firstLineChars="200"/>
        <w:jc w:val="left"/>
        <w:rPr>
          <w:color w:val="auto"/>
          <w:sz w:val="21"/>
          <w:szCs w:val="21"/>
          <w:highlight w:val="none"/>
        </w:rPr>
      </w:pPr>
      <w:r>
        <w:rPr>
          <w:rFonts w:hint="eastAsia"/>
          <w:color w:val="auto"/>
          <w:sz w:val="21"/>
          <w:szCs w:val="21"/>
          <w:highlight w:val="none"/>
        </w:rPr>
        <w:t>12.1.4 乙方重大紧急故障没有及时响应，或不能在规定时间内解决处理故障、恢复正常运行的；</w:t>
      </w:r>
    </w:p>
    <w:p w14:paraId="0D86D81D">
      <w:pPr>
        <w:ind w:firstLine="420" w:firstLineChars="200"/>
        <w:jc w:val="left"/>
        <w:rPr>
          <w:rFonts w:hint="default" w:eastAsiaTheme="minorEastAsia"/>
          <w:color w:val="auto"/>
          <w:sz w:val="21"/>
          <w:szCs w:val="21"/>
          <w:highlight w:val="none"/>
          <w:lang w:val="en-US" w:eastAsia="zh-CN"/>
        </w:rPr>
      </w:pPr>
      <w:r>
        <w:rPr>
          <w:rFonts w:hint="eastAsia"/>
          <w:color w:val="auto"/>
          <w:sz w:val="21"/>
          <w:szCs w:val="21"/>
          <w:highlight w:val="none"/>
        </w:rPr>
        <w:t>12.1.5乙方不能满足本项目技术需求的管理要求和规范，且经两次整改无明显改进的；</w:t>
      </w:r>
      <w:r>
        <w:rPr>
          <w:rFonts w:hint="eastAsia"/>
          <w:color w:val="auto"/>
          <w:sz w:val="21"/>
          <w:szCs w:val="21"/>
          <w:highlight w:val="none"/>
          <w:lang w:val="en-US" w:eastAsia="zh-CN"/>
        </w:rPr>
        <w:t>或甲方按</w:t>
      </w:r>
      <w:r>
        <w:rPr>
          <w:rFonts w:hint="eastAsia" w:ascii="宋体" w:hAnsi="宋体" w:eastAsia="宋体" w:cs="宋体"/>
          <w:i w:val="0"/>
          <w:iCs w:val="0"/>
          <w:snapToGrid w:val="0"/>
          <w:color w:val="auto"/>
          <w:kern w:val="0"/>
          <w:sz w:val="21"/>
          <w:szCs w:val="21"/>
          <w:highlight w:val="none"/>
          <w:lang w:val="en-US" w:eastAsia="zh-CN"/>
        </w:rPr>
        <w:t>《国家税务总局来宾市兴宾区税务局2024年非执法类辅助性服务日常考核情况表》</w:t>
      </w:r>
      <w:r>
        <w:rPr>
          <w:rFonts w:hint="eastAsia"/>
          <w:color w:val="auto"/>
          <w:sz w:val="21"/>
          <w:szCs w:val="21"/>
          <w:highlight w:val="none"/>
          <w:lang w:val="en-US" w:eastAsia="zh-CN"/>
        </w:rPr>
        <w:t>对乙方进行考核时，发生违反考核情形</w:t>
      </w:r>
      <w:r>
        <w:rPr>
          <w:rFonts w:hint="eastAsia" w:ascii="宋体" w:hAnsi="宋体" w:eastAsia="宋体" w:cs="宋体"/>
          <w:i w:val="0"/>
          <w:iCs w:val="0"/>
          <w:snapToGrid w:val="0"/>
          <w:color w:val="auto"/>
          <w:kern w:val="0"/>
          <w:sz w:val="21"/>
          <w:szCs w:val="21"/>
          <w:highlight w:val="none"/>
          <w:lang w:val="en-US" w:eastAsia="zh-CN"/>
        </w:rPr>
        <w:t>五次以上的；</w:t>
      </w:r>
    </w:p>
    <w:p w14:paraId="2F707395">
      <w:pPr>
        <w:ind w:firstLine="420" w:firstLineChars="200"/>
        <w:jc w:val="left"/>
        <w:rPr>
          <w:color w:val="auto"/>
          <w:sz w:val="21"/>
          <w:szCs w:val="21"/>
          <w:highlight w:val="none"/>
        </w:rPr>
      </w:pPr>
      <w:r>
        <w:rPr>
          <w:rFonts w:hint="eastAsia"/>
          <w:color w:val="auto"/>
          <w:sz w:val="21"/>
          <w:szCs w:val="21"/>
          <w:highlight w:val="none"/>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14:paraId="48443327">
      <w:pPr>
        <w:ind w:firstLine="420" w:firstLineChars="200"/>
        <w:jc w:val="left"/>
        <w:rPr>
          <w:color w:val="auto"/>
          <w:sz w:val="21"/>
          <w:szCs w:val="21"/>
          <w:highlight w:val="none"/>
        </w:rPr>
      </w:pPr>
      <w:r>
        <w:rPr>
          <w:rFonts w:hint="eastAsia"/>
          <w:color w:val="auto"/>
          <w:sz w:val="21"/>
          <w:szCs w:val="21"/>
          <w:highlight w:val="none"/>
        </w:rPr>
        <w:t>12.1.7 乙方在本项目实施过程中发生违反网络安全规定行为造成不良后果的。</w:t>
      </w:r>
    </w:p>
    <w:p w14:paraId="15BB95B6">
      <w:pPr>
        <w:ind w:firstLine="420" w:firstLineChars="200"/>
        <w:jc w:val="left"/>
        <w:rPr>
          <w:color w:val="auto"/>
          <w:sz w:val="21"/>
          <w:szCs w:val="21"/>
          <w:highlight w:val="none"/>
        </w:rPr>
      </w:pPr>
      <w:r>
        <w:rPr>
          <w:rFonts w:hint="eastAsia"/>
          <w:color w:val="auto"/>
          <w:sz w:val="21"/>
          <w:szCs w:val="21"/>
          <w:highlight w:val="none"/>
        </w:rPr>
        <w:t>12.1.8 乙方提供的服务侵犯甲方、第三方知识产权等合法权益的；</w:t>
      </w:r>
    </w:p>
    <w:p w14:paraId="02C2FCDC">
      <w:pPr>
        <w:ind w:firstLine="420" w:firstLineChars="200"/>
        <w:jc w:val="left"/>
        <w:rPr>
          <w:color w:val="auto"/>
          <w:sz w:val="21"/>
          <w:szCs w:val="21"/>
          <w:highlight w:val="none"/>
        </w:rPr>
      </w:pPr>
      <w:r>
        <w:rPr>
          <w:rFonts w:hint="eastAsia"/>
          <w:color w:val="auto"/>
          <w:sz w:val="21"/>
          <w:szCs w:val="21"/>
          <w:highlight w:val="none"/>
        </w:rPr>
        <w:t>12.1.9 乙方或乙方人员造成甲方或第三方经济损失而拒不赔偿的；</w:t>
      </w:r>
    </w:p>
    <w:p w14:paraId="141B9B38">
      <w:pPr>
        <w:ind w:firstLine="420" w:firstLineChars="200"/>
        <w:jc w:val="left"/>
        <w:rPr>
          <w:color w:val="auto"/>
          <w:sz w:val="21"/>
          <w:szCs w:val="21"/>
          <w:highlight w:val="none"/>
        </w:rPr>
      </w:pPr>
      <w:r>
        <w:rPr>
          <w:rFonts w:hint="eastAsia"/>
          <w:color w:val="auto"/>
          <w:sz w:val="21"/>
          <w:szCs w:val="21"/>
          <w:highlight w:val="none"/>
        </w:rPr>
        <w:t>12.1.10 乙方转让其应履行的合同义务，或未经甲方同意采取分包方式履行合同的；</w:t>
      </w:r>
    </w:p>
    <w:p w14:paraId="394B520B">
      <w:pPr>
        <w:ind w:firstLine="420" w:firstLineChars="200"/>
        <w:jc w:val="left"/>
        <w:rPr>
          <w:color w:val="auto"/>
          <w:sz w:val="21"/>
          <w:szCs w:val="21"/>
          <w:highlight w:val="none"/>
        </w:rPr>
      </w:pPr>
      <w:r>
        <w:rPr>
          <w:rFonts w:hint="eastAsia"/>
          <w:color w:val="auto"/>
          <w:sz w:val="21"/>
          <w:szCs w:val="21"/>
          <w:highlight w:val="none"/>
        </w:rPr>
        <w:t>12.1.11 乙方有其他严重违约行为的。</w:t>
      </w:r>
    </w:p>
    <w:p w14:paraId="175AA36F">
      <w:pPr>
        <w:ind w:firstLine="420" w:firstLineChars="200"/>
        <w:jc w:val="left"/>
        <w:rPr>
          <w:color w:val="auto"/>
          <w:sz w:val="21"/>
          <w:szCs w:val="21"/>
          <w:highlight w:val="none"/>
        </w:rPr>
      </w:pPr>
      <w:r>
        <w:rPr>
          <w:rFonts w:hint="eastAsia"/>
          <w:color w:val="auto"/>
          <w:sz w:val="21"/>
          <w:szCs w:val="21"/>
          <w:highlight w:val="none"/>
        </w:rPr>
        <w:t>12.2 如果甲方根据上述第12.1条的规定，解除了全部或部分合同，甲方可以适当的条件和方法购买乙方未能提供的服务，乙方应对甲方购买类似服务所超出的费用负责。同时，乙方应继续执行合同中未解除的部分。</w:t>
      </w:r>
    </w:p>
    <w:p w14:paraId="2A856DF0">
      <w:pPr>
        <w:ind w:firstLine="420" w:firstLineChars="200"/>
        <w:jc w:val="left"/>
        <w:rPr>
          <w:color w:val="auto"/>
          <w:sz w:val="21"/>
          <w:szCs w:val="21"/>
          <w:highlight w:val="none"/>
        </w:rPr>
      </w:pPr>
      <w:r>
        <w:rPr>
          <w:rFonts w:hint="eastAsia"/>
          <w:color w:val="auto"/>
          <w:sz w:val="21"/>
          <w:szCs w:val="21"/>
          <w:highlight w:val="none"/>
        </w:rPr>
        <w:t>13. 破产终止合同</w:t>
      </w:r>
    </w:p>
    <w:p w14:paraId="1AF59BFF">
      <w:pPr>
        <w:ind w:firstLine="420" w:firstLineChars="200"/>
        <w:jc w:val="left"/>
        <w:rPr>
          <w:color w:val="auto"/>
          <w:sz w:val="21"/>
          <w:szCs w:val="21"/>
          <w:highlight w:val="none"/>
        </w:rPr>
      </w:pPr>
      <w:r>
        <w:rPr>
          <w:rFonts w:hint="eastAsia"/>
          <w:color w:val="auto"/>
          <w:sz w:val="21"/>
          <w:szCs w:val="21"/>
          <w:highlight w:val="none"/>
        </w:rPr>
        <w:t>13.1 如果乙方破产或无清偿能力，甲方可在任何时候以书面形式通知乙方终止合同而不给乙方补偿。</w:t>
      </w:r>
    </w:p>
    <w:p w14:paraId="4A3E7C3F">
      <w:pPr>
        <w:ind w:firstLine="420" w:firstLineChars="200"/>
        <w:jc w:val="left"/>
        <w:rPr>
          <w:color w:val="auto"/>
          <w:sz w:val="21"/>
          <w:szCs w:val="21"/>
          <w:highlight w:val="none"/>
        </w:rPr>
      </w:pPr>
      <w:r>
        <w:rPr>
          <w:rFonts w:hint="eastAsia"/>
          <w:color w:val="auto"/>
          <w:sz w:val="21"/>
          <w:szCs w:val="21"/>
          <w:highlight w:val="none"/>
        </w:rPr>
        <w:t>13.2该终止合同将不损害或影响甲方已经采取或将要采取的任何行动或补救措施的权利。</w:t>
      </w:r>
    </w:p>
    <w:p w14:paraId="7AA516F9">
      <w:pPr>
        <w:ind w:firstLine="420" w:firstLineChars="200"/>
        <w:jc w:val="left"/>
        <w:rPr>
          <w:color w:val="auto"/>
          <w:sz w:val="21"/>
          <w:szCs w:val="21"/>
          <w:highlight w:val="none"/>
        </w:rPr>
      </w:pPr>
      <w:r>
        <w:rPr>
          <w:rFonts w:hint="eastAsia"/>
          <w:color w:val="auto"/>
          <w:sz w:val="21"/>
          <w:szCs w:val="21"/>
          <w:highlight w:val="none"/>
        </w:rPr>
        <w:t>14. 其他情况的终止合同</w:t>
      </w:r>
    </w:p>
    <w:p w14:paraId="55CFD54D">
      <w:pPr>
        <w:ind w:firstLine="420" w:firstLineChars="200"/>
        <w:jc w:val="left"/>
        <w:rPr>
          <w:color w:val="auto"/>
          <w:sz w:val="21"/>
          <w:szCs w:val="21"/>
          <w:highlight w:val="none"/>
        </w:rPr>
      </w:pPr>
      <w:r>
        <w:rPr>
          <w:rFonts w:hint="eastAsia"/>
          <w:color w:val="auto"/>
          <w:sz w:val="21"/>
          <w:szCs w:val="21"/>
          <w:highlight w:val="none"/>
        </w:rPr>
        <w:t>14.1 乙方在执行合同的过程中发生重大事故或变故，对履行合同有直接影响的，甲方可以提出终止合同而不给予乙方任何补偿。</w:t>
      </w:r>
    </w:p>
    <w:p w14:paraId="394747D8">
      <w:pPr>
        <w:ind w:firstLine="420" w:firstLineChars="200"/>
        <w:jc w:val="left"/>
        <w:rPr>
          <w:color w:val="auto"/>
          <w:sz w:val="21"/>
          <w:szCs w:val="21"/>
          <w:highlight w:val="none"/>
        </w:rPr>
      </w:pPr>
      <w:r>
        <w:rPr>
          <w:rFonts w:hint="eastAsia"/>
          <w:color w:val="auto"/>
          <w:sz w:val="21"/>
          <w:szCs w:val="21"/>
          <w:highlight w:val="none"/>
        </w:rPr>
        <w:t>14.2 在服务期内，由于甲方工作计划调整，推广使用新应用系统导致本项目相关服务停止的，甲方可以提出终止合同而不给予乙方任何补偿。</w:t>
      </w:r>
    </w:p>
    <w:p w14:paraId="55DFA1E5">
      <w:pPr>
        <w:ind w:firstLine="420" w:firstLineChars="200"/>
        <w:jc w:val="left"/>
        <w:rPr>
          <w:color w:val="auto"/>
          <w:sz w:val="21"/>
          <w:szCs w:val="21"/>
          <w:highlight w:val="none"/>
        </w:rPr>
      </w:pPr>
      <w:r>
        <w:rPr>
          <w:rFonts w:hint="eastAsia"/>
          <w:color w:val="auto"/>
          <w:sz w:val="21"/>
          <w:szCs w:val="21"/>
          <w:highlight w:val="none"/>
        </w:rPr>
        <w:t>15. 合同修改或变更</w:t>
      </w:r>
    </w:p>
    <w:p w14:paraId="77A71E35">
      <w:pPr>
        <w:ind w:firstLine="420" w:firstLineChars="200"/>
        <w:jc w:val="left"/>
        <w:rPr>
          <w:color w:val="auto"/>
          <w:sz w:val="21"/>
          <w:szCs w:val="21"/>
          <w:highlight w:val="none"/>
        </w:rPr>
      </w:pPr>
      <w:r>
        <w:rPr>
          <w:rFonts w:hint="eastAsia"/>
          <w:color w:val="auto"/>
          <w:sz w:val="21"/>
          <w:szCs w:val="21"/>
          <w:highlight w:val="none"/>
        </w:rPr>
        <w:t>15.1 合同如有未尽事宜，须经甲乙双方共同协商，做出补充约定，并签订书面补充合同或变更协议。补充合同或变更协议作为本合同的一部分，与本合同具有同等效力。</w:t>
      </w:r>
    </w:p>
    <w:p w14:paraId="75EDFCA1">
      <w:pPr>
        <w:ind w:firstLine="420" w:firstLineChars="200"/>
        <w:jc w:val="left"/>
        <w:rPr>
          <w:b/>
          <w:color w:val="auto"/>
          <w:sz w:val="21"/>
          <w:szCs w:val="21"/>
          <w:highlight w:val="none"/>
        </w:rPr>
      </w:pPr>
      <w:r>
        <w:rPr>
          <w:rFonts w:hint="eastAsia"/>
          <w:color w:val="auto"/>
          <w:sz w:val="21"/>
          <w:szCs w:val="21"/>
          <w:highlight w:val="none"/>
        </w:rPr>
        <w:t>15.2 除了双方签署书面修改或变更协议，并成为本合同不可分割的一部分的情况之外，本合同的条款不得有任何变化或修改。</w:t>
      </w:r>
    </w:p>
    <w:p w14:paraId="21CEEA30">
      <w:pPr>
        <w:ind w:firstLine="420" w:firstLineChars="200"/>
        <w:jc w:val="left"/>
        <w:rPr>
          <w:color w:val="auto"/>
          <w:sz w:val="21"/>
          <w:szCs w:val="21"/>
          <w:highlight w:val="none"/>
        </w:rPr>
      </w:pPr>
      <w:r>
        <w:rPr>
          <w:rFonts w:hint="eastAsia"/>
          <w:color w:val="auto"/>
          <w:sz w:val="21"/>
          <w:szCs w:val="21"/>
          <w:highlight w:val="none"/>
        </w:rPr>
        <w:t>15.3 由于采购人项目统一规划等原因导致本项目停止部分服务的，甲方将与乙方协商处理。</w:t>
      </w:r>
    </w:p>
    <w:p w14:paraId="31D11744">
      <w:pPr>
        <w:ind w:firstLine="420" w:firstLineChars="200"/>
        <w:jc w:val="left"/>
        <w:rPr>
          <w:color w:val="auto"/>
          <w:sz w:val="21"/>
          <w:szCs w:val="21"/>
          <w:highlight w:val="none"/>
        </w:rPr>
      </w:pPr>
      <w:r>
        <w:rPr>
          <w:rFonts w:hint="eastAsia"/>
          <w:color w:val="auto"/>
          <w:sz w:val="21"/>
          <w:szCs w:val="21"/>
          <w:highlight w:val="none"/>
        </w:rPr>
        <w:t>16. 转让和分包</w:t>
      </w:r>
    </w:p>
    <w:p w14:paraId="7727D2AC">
      <w:pPr>
        <w:ind w:firstLine="420" w:firstLineChars="200"/>
        <w:jc w:val="left"/>
        <w:rPr>
          <w:color w:val="auto"/>
          <w:sz w:val="21"/>
          <w:szCs w:val="21"/>
          <w:highlight w:val="none"/>
        </w:rPr>
      </w:pPr>
      <w:r>
        <w:rPr>
          <w:rFonts w:hint="eastAsia"/>
          <w:color w:val="auto"/>
          <w:sz w:val="21"/>
          <w:szCs w:val="21"/>
          <w:highlight w:val="none"/>
        </w:rPr>
        <w:t>16.1 除甲方事先书面同意外，乙方不得部分转让或全部转让其应履行的合同义务。</w:t>
      </w:r>
    </w:p>
    <w:p w14:paraId="10281B31">
      <w:pPr>
        <w:ind w:firstLine="420" w:firstLineChars="200"/>
        <w:jc w:val="left"/>
        <w:rPr>
          <w:color w:val="auto"/>
          <w:sz w:val="21"/>
          <w:szCs w:val="21"/>
          <w:highlight w:val="none"/>
        </w:rPr>
      </w:pPr>
      <w:r>
        <w:rPr>
          <w:rFonts w:hint="eastAsia"/>
          <w:color w:val="auto"/>
          <w:sz w:val="21"/>
          <w:szCs w:val="21"/>
          <w:highlight w:val="none"/>
        </w:rPr>
        <w:t>16.2 未经甲方同意，乙方不得采取分包方式履行合同。经甲方同意分包履行合同的，乙方就采购项目及分包项目向甲方负责，分包供应商就分包项目承担责任。</w:t>
      </w:r>
    </w:p>
    <w:p w14:paraId="724E8A4E">
      <w:pPr>
        <w:ind w:firstLine="420" w:firstLineChars="200"/>
        <w:jc w:val="left"/>
        <w:rPr>
          <w:color w:val="auto"/>
          <w:sz w:val="21"/>
          <w:szCs w:val="21"/>
          <w:highlight w:val="none"/>
        </w:rPr>
      </w:pPr>
      <w:r>
        <w:rPr>
          <w:rFonts w:hint="eastAsia"/>
          <w:color w:val="auto"/>
          <w:sz w:val="21"/>
          <w:szCs w:val="21"/>
          <w:highlight w:val="none"/>
        </w:rPr>
        <w:t>17. 合同语言</w:t>
      </w:r>
    </w:p>
    <w:p w14:paraId="1ECB9D46">
      <w:pPr>
        <w:ind w:firstLine="420" w:firstLineChars="200"/>
        <w:jc w:val="left"/>
        <w:rPr>
          <w:color w:val="auto"/>
          <w:sz w:val="21"/>
          <w:szCs w:val="21"/>
          <w:highlight w:val="none"/>
        </w:rPr>
      </w:pPr>
      <w:r>
        <w:rPr>
          <w:rFonts w:hint="eastAsia"/>
          <w:color w:val="auto"/>
          <w:sz w:val="21"/>
          <w:szCs w:val="21"/>
          <w:highlight w:val="none"/>
        </w:rPr>
        <w:t>17.1 本合同语言为中文。</w:t>
      </w:r>
    </w:p>
    <w:p w14:paraId="049EC3C1">
      <w:pPr>
        <w:ind w:firstLine="420" w:firstLineChars="200"/>
        <w:jc w:val="left"/>
        <w:rPr>
          <w:color w:val="auto"/>
          <w:sz w:val="21"/>
          <w:szCs w:val="21"/>
          <w:highlight w:val="none"/>
        </w:rPr>
      </w:pPr>
      <w:r>
        <w:rPr>
          <w:rFonts w:hint="eastAsia"/>
          <w:color w:val="auto"/>
          <w:sz w:val="21"/>
          <w:szCs w:val="21"/>
          <w:highlight w:val="none"/>
        </w:rPr>
        <w:t>17.2 双方交换的与合同有关的信件和其他文件应用合同语言书写。</w:t>
      </w:r>
    </w:p>
    <w:p w14:paraId="36B0A021">
      <w:pPr>
        <w:ind w:firstLine="420" w:firstLineChars="200"/>
        <w:jc w:val="left"/>
        <w:rPr>
          <w:color w:val="auto"/>
          <w:sz w:val="21"/>
          <w:szCs w:val="21"/>
          <w:highlight w:val="none"/>
        </w:rPr>
      </w:pPr>
      <w:r>
        <w:rPr>
          <w:rFonts w:hint="eastAsia"/>
          <w:color w:val="auto"/>
          <w:sz w:val="21"/>
          <w:szCs w:val="21"/>
          <w:highlight w:val="none"/>
        </w:rPr>
        <w:t>18. 适用法律</w:t>
      </w:r>
    </w:p>
    <w:p w14:paraId="7BA3E5F1">
      <w:pPr>
        <w:ind w:firstLine="420" w:firstLineChars="200"/>
        <w:jc w:val="left"/>
        <w:rPr>
          <w:color w:val="auto"/>
          <w:sz w:val="21"/>
          <w:szCs w:val="21"/>
          <w:highlight w:val="none"/>
        </w:rPr>
      </w:pPr>
      <w:r>
        <w:rPr>
          <w:rFonts w:hint="eastAsia"/>
          <w:color w:val="auto"/>
          <w:sz w:val="21"/>
          <w:szCs w:val="21"/>
          <w:highlight w:val="none"/>
        </w:rPr>
        <w:t>18.1 本合同按照中华人民共和国现行法律进行解释。</w:t>
      </w:r>
    </w:p>
    <w:p w14:paraId="65769D1C">
      <w:pPr>
        <w:ind w:firstLine="420" w:firstLineChars="200"/>
        <w:jc w:val="left"/>
        <w:rPr>
          <w:color w:val="auto"/>
          <w:sz w:val="21"/>
          <w:szCs w:val="21"/>
          <w:highlight w:val="none"/>
        </w:rPr>
      </w:pPr>
      <w:r>
        <w:rPr>
          <w:rFonts w:hint="eastAsia"/>
          <w:color w:val="auto"/>
          <w:sz w:val="21"/>
          <w:szCs w:val="21"/>
          <w:highlight w:val="none"/>
        </w:rPr>
        <w:t>18.2 本合同的履行、违约责任和解决争议的方法等适用《中华人民共和国民法典（合同编）》。</w:t>
      </w:r>
    </w:p>
    <w:p w14:paraId="67CC03C7">
      <w:pPr>
        <w:ind w:firstLine="420" w:firstLineChars="200"/>
        <w:jc w:val="left"/>
        <w:rPr>
          <w:color w:val="auto"/>
          <w:sz w:val="21"/>
          <w:szCs w:val="21"/>
          <w:highlight w:val="none"/>
        </w:rPr>
      </w:pPr>
      <w:r>
        <w:rPr>
          <w:rFonts w:hint="eastAsia"/>
          <w:color w:val="auto"/>
          <w:sz w:val="21"/>
          <w:szCs w:val="21"/>
          <w:highlight w:val="none"/>
        </w:rPr>
        <w:t>19. 税费</w:t>
      </w:r>
    </w:p>
    <w:p w14:paraId="3F40E25E">
      <w:pPr>
        <w:ind w:firstLine="420" w:firstLineChars="200"/>
        <w:jc w:val="left"/>
        <w:rPr>
          <w:color w:val="auto"/>
          <w:sz w:val="21"/>
          <w:szCs w:val="21"/>
          <w:highlight w:val="none"/>
        </w:rPr>
      </w:pPr>
      <w:r>
        <w:rPr>
          <w:rFonts w:hint="eastAsia"/>
          <w:color w:val="auto"/>
          <w:sz w:val="21"/>
          <w:szCs w:val="21"/>
          <w:highlight w:val="none"/>
        </w:rPr>
        <w:t>19.1 乙方应依法缴纳的合同服务相关税费，均已包含于合同总金额中，甲方不再另行支付。</w:t>
      </w:r>
    </w:p>
    <w:p w14:paraId="057CF51A">
      <w:pPr>
        <w:ind w:firstLine="420" w:firstLineChars="200"/>
        <w:jc w:val="left"/>
        <w:rPr>
          <w:color w:val="auto"/>
          <w:sz w:val="21"/>
          <w:szCs w:val="21"/>
          <w:highlight w:val="none"/>
        </w:rPr>
      </w:pPr>
      <w:r>
        <w:rPr>
          <w:rFonts w:hint="eastAsia"/>
          <w:color w:val="auto"/>
          <w:sz w:val="21"/>
          <w:szCs w:val="21"/>
          <w:highlight w:val="none"/>
        </w:rPr>
        <w:t>20. 合同生效</w:t>
      </w:r>
    </w:p>
    <w:p w14:paraId="14D2D738">
      <w:pPr>
        <w:ind w:firstLine="420" w:firstLineChars="200"/>
        <w:jc w:val="left"/>
        <w:rPr>
          <w:color w:val="auto"/>
          <w:sz w:val="21"/>
          <w:szCs w:val="21"/>
          <w:highlight w:val="none"/>
        </w:rPr>
      </w:pPr>
      <w:r>
        <w:rPr>
          <w:rFonts w:hint="eastAsia"/>
          <w:color w:val="auto"/>
          <w:sz w:val="21"/>
          <w:szCs w:val="21"/>
          <w:highlight w:val="none"/>
        </w:rPr>
        <w:t>20.1 本合同一式</w:t>
      </w:r>
      <w:r>
        <w:rPr>
          <w:rFonts w:hint="eastAsia"/>
          <w:color w:val="auto"/>
          <w:sz w:val="21"/>
          <w:szCs w:val="21"/>
          <w:highlight w:val="none"/>
          <w:u w:val="single"/>
        </w:rPr>
        <w:t>七</w:t>
      </w:r>
      <w:r>
        <w:rPr>
          <w:rFonts w:hint="eastAsia"/>
          <w:color w:val="auto"/>
          <w:sz w:val="21"/>
          <w:szCs w:val="21"/>
          <w:highlight w:val="none"/>
        </w:rPr>
        <w:t>份，由甲乙双方法定代表人或被授权人签字并盖章后生效。</w:t>
      </w:r>
    </w:p>
    <w:p w14:paraId="59C749AE">
      <w:pPr>
        <w:jc w:val="left"/>
        <w:rPr>
          <w:color w:val="auto"/>
          <w:sz w:val="21"/>
          <w:szCs w:val="21"/>
          <w:highlight w:val="none"/>
        </w:rPr>
      </w:pPr>
      <w:r>
        <w:rPr>
          <w:rFonts w:hint="eastAsia"/>
          <w:color w:val="auto"/>
          <w:sz w:val="21"/>
          <w:szCs w:val="21"/>
          <w:highlight w:val="none"/>
        </w:rPr>
        <w:br w:type="page"/>
      </w:r>
    </w:p>
    <w:p w14:paraId="2E6C4FE6">
      <w:pPr>
        <w:jc w:val="center"/>
        <w:rPr>
          <w:rFonts w:hint="eastAsia"/>
          <w:b/>
          <w:bCs w:val="0"/>
          <w:color w:val="auto"/>
          <w:sz w:val="28"/>
          <w:szCs w:val="28"/>
          <w:highlight w:val="none"/>
        </w:rPr>
      </w:pPr>
      <w:bookmarkStart w:id="79" w:name="_Toc21375"/>
      <w:r>
        <w:rPr>
          <w:rFonts w:hint="eastAsia"/>
          <w:b/>
          <w:bCs w:val="0"/>
          <w:color w:val="auto"/>
          <w:sz w:val="28"/>
          <w:szCs w:val="28"/>
          <w:highlight w:val="none"/>
        </w:rPr>
        <w:t>三</w:t>
      </w:r>
      <w:bookmarkEnd w:id="79"/>
      <w:r>
        <w:rPr>
          <w:rFonts w:hint="eastAsia"/>
          <w:b/>
          <w:bCs w:val="0"/>
          <w:color w:val="auto"/>
          <w:sz w:val="28"/>
          <w:szCs w:val="28"/>
          <w:highlight w:val="none"/>
        </w:rPr>
        <w:t xml:space="preserve">   合同补充条款（双方据实商定）</w:t>
      </w:r>
    </w:p>
    <w:p w14:paraId="07FD5A56">
      <w:pPr>
        <w:pStyle w:val="2"/>
        <w:numPr>
          <w:ilvl w:val="-1"/>
          <w:numId w:val="0"/>
        </w:numPr>
        <w:ind w:left="420" w:leftChars="200" w:firstLine="0" w:firstLineChars="0"/>
        <w:jc w:val="both"/>
        <w:rPr>
          <w:color w:val="auto"/>
          <w:highlight w:val="none"/>
        </w:rPr>
      </w:pPr>
    </w:p>
    <w:p w14:paraId="79148DE9">
      <w:pPr>
        <w:pStyle w:val="4"/>
        <w:rPr>
          <w:color w:val="auto"/>
          <w:highlight w:val="none"/>
        </w:rPr>
      </w:pPr>
    </w:p>
    <w:p w14:paraId="3A704006">
      <w:pPr>
        <w:jc w:val="left"/>
        <w:rPr>
          <w:color w:val="auto"/>
          <w:sz w:val="28"/>
          <w:szCs w:val="28"/>
          <w:highlight w:val="none"/>
        </w:rPr>
      </w:pPr>
    </w:p>
    <w:p w14:paraId="3FA1909C">
      <w:pPr>
        <w:jc w:val="center"/>
        <w:rPr>
          <w:rFonts w:hint="eastAsia"/>
          <w:b/>
          <w:bCs w:val="0"/>
          <w:color w:val="auto"/>
          <w:sz w:val="28"/>
          <w:szCs w:val="28"/>
          <w:highlight w:val="none"/>
        </w:rPr>
      </w:pPr>
      <w:r>
        <w:rPr>
          <w:rFonts w:hint="eastAsia"/>
          <w:color w:val="auto"/>
          <w:sz w:val="21"/>
          <w:szCs w:val="21"/>
          <w:highlight w:val="none"/>
        </w:rPr>
        <w:br w:type="page"/>
      </w:r>
      <w:r>
        <w:rPr>
          <w:rFonts w:hint="eastAsia"/>
          <w:b/>
          <w:bCs w:val="0"/>
          <w:color w:val="auto"/>
          <w:sz w:val="28"/>
          <w:szCs w:val="28"/>
          <w:highlight w:val="none"/>
        </w:rPr>
        <w:t>四   合同附件（与正件装订成册）</w:t>
      </w:r>
    </w:p>
    <w:p w14:paraId="4E411E7F">
      <w:pPr>
        <w:pStyle w:val="2"/>
        <w:numPr>
          <w:ilvl w:val="-1"/>
          <w:numId w:val="0"/>
        </w:numPr>
        <w:ind w:left="420" w:leftChars="200" w:firstLine="0" w:firstLineChars="0"/>
        <w:jc w:val="both"/>
        <w:rPr>
          <w:rFonts w:hint="eastAsia"/>
          <w:color w:val="auto"/>
          <w:highlight w:val="none"/>
        </w:rPr>
      </w:pPr>
      <w:r>
        <w:rPr>
          <w:rFonts w:hint="eastAsia"/>
          <w:color w:val="auto"/>
          <w:highlight w:val="none"/>
        </w:rPr>
        <w:t>（一）服务内容一览表（乙方填制）；</w:t>
      </w:r>
    </w:p>
    <w:p w14:paraId="08E75A09">
      <w:pPr>
        <w:pStyle w:val="2"/>
        <w:numPr>
          <w:ilvl w:val="-1"/>
          <w:numId w:val="0"/>
        </w:numPr>
        <w:ind w:left="420" w:leftChars="200" w:firstLine="0" w:firstLineChars="0"/>
        <w:jc w:val="both"/>
        <w:rPr>
          <w:rFonts w:hint="eastAsia"/>
          <w:color w:val="auto"/>
          <w:highlight w:val="none"/>
        </w:rPr>
      </w:pPr>
      <w:r>
        <w:rPr>
          <w:rFonts w:hint="eastAsia"/>
          <w:color w:val="auto"/>
          <w:highlight w:val="none"/>
        </w:rPr>
        <w:t>（二）投标（响应）文件报价表部分（乙方提供）；</w:t>
      </w:r>
    </w:p>
    <w:p w14:paraId="026DD678">
      <w:pPr>
        <w:pStyle w:val="2"/>
        <w:numPr>
          <w:ilvl w:val="-1"/>
          <w:numId w:val="0"/>
        </w:numPr>
        <w:ind w:left="420" w:leftChars="200" w:firstLine="0" w:firstLineChars="0"/>
        <w:jc w:val="both"/>
        <w:rPr>
          <w:rFonts w:hint="eastAsia"/>
          <w:color w:val="auto"/>
          <w:highlight w:val="none"/>
        </w:rPr>
      </w:pPr>
      <w:r>
        <w:rPr>
          <w:rFonts w:hint="eastAsia"/>
          <w:color w:val="auto"/>
          <w:highlight w:val="none"/>
        </w:rPr>
        <w:t>（三）投标（响应）文件技术部分和商务部分（乙方提供）；</w:t>
      </w:r>
    </w:p>
    <w:p w14:paraId="732F1E6B">
      <w:pPr>
        <w:pStyle w:val="2"/>
        <w:numPr>
          <w:ilvl w:val="-1"/>
          <w:numId w:val="0"/>
        </w:numPr>
        <w:ind w:left="420" w:leftChars="200" w:firstLine="0" w:firstLineChars="0"/>
        <w:jc w:val="both"/>
        <w:rPr>
          <w:rFonts w:hint="eastAsia"/>
          <w:color w:val="auto"/>
          <w:highlight w:val="none"/>
        </w:rPr>
      </w:pPr>
      <w:r>
        <w:rPr>
          <w:rFonts w:hint="eastAsia"/>
          <w:color w:val="auto"/>
          <w:highlight w:val="none"/>
        </w:rPr>
        <w:t>（四）采购需求（与采购文件一致）；</w:t>
      </w:r>
    </w:p>
    <w:p w14:paraId="74DD104B">
      <w:pPr>
        <w:pStyle w:val="2"/>
        <w:numPr>
          <w:ilvl w:val="-1"/>
          <w:numId w:val="0"/>
        </w:numPr>
        <w:ind w:left="420" w:leftChars="200" w:firstLine="0" w:firstLineChars="0"/>
        <w:jc w:val="both"/>
        <w:rPr>
          <w:rFonts w:hint="eastAsia"/>
          <w:color w:val="auto"/>
          <w:highlight w:val="none"/>
        </w:rPr>
      </w:pPr>
      <w:r>
        <w:rPr>
          <w:rFonts w:hint="eastAsia"/>
          <w:color w:val="auto"/>
          <w:highlight w:val="none"/>
        </w:rPr>
        <w:t>（五）合同验收书格式（验收时填制，供参考）；</w:t>
      </w:r>
    </w:p>
    <w:p w14:paraId="692F8EDC">
      <w:pPr>
        <w:pStyle w:val="2"/>
        <w:numPr>
          <w:ilvl w:val="-1"/>
          <w:numId w:val="0"/>
        </w:numPr>
        <w:ind w:left="420" w:leftChars="200" w:firstLine="0" w:firstLineChars="0"/>
        <w:jc w:val="both"/>
        <w:rPr>
          <w:rFonts w:hint="eastAsia"/>
          <w:color w:val="auto"/>
          <w:highlight w:val="none"/>
        </w:rPr>
      </w:pPr>
      <w:r>
        <w:rPr>
          <w:rFonts w:hint="eastAsia"/>
          <w:color w:val="auto"/>
          <w:highlight w:val="none"/>
        </w:rPr>
        <w:t>（六）政府采购项目履约保证金退付意见书（供参考）。</w:t>
      </w:r>
    </w:p>
    <w:p w14:paraId="260108BB">
      <w:pPr>
        <w:pStyle w:val="2"/>
        <w:numPr>
          <w:ilvl w:val="-1"/>
          <w:numId w:val="0"/>
        </w:numPr>
        <w:ind w:left="420" w:leftChars="200" w:firstLine="0" w:firstLineChars="0"/>
        <w:jc w:val="both"/>
        <w:rPr>
          <w:color w:val="auto"/>
          <w:highlight w:val="none"/>
        </w:rPr>
      </w:pPr>
      <w:r>
        <w:rPr>
          <w:rFonts w:hint="eastAsia"/>
          <w:color w:val="auto"/>
          <w:highlight w:val="none"/>
        </w:rPr>
        <w:t>（七）中小企业声明函（与投标文件一致）</w:t>
      </w:r>
    </w:p>
    <w:p w14:paraId="015DD216">
      <w:pPr>
        <w:pStyle w:val="4"/>
        <w:rPr>
          <w:color w:val="auto"/>
          <w:highlight w:val="none"/>
        </w:rPr>
        <w:sectPr>
          <w:pgSz w:w="11906" w:h="16838"/>
          <w:pgMar w:top="1417" w:right="1417" w:bottom="1417" w:left="1417" w:header="851" w:footer="992" w:gutter="0"/>
          <w:cols w:space="720" w:num="1"/>
          <w:titlePg/>
          <w:docGrid w:type="lines" w:linePitch="312" w:charSpace="0"/>
        </w:sectPr>
      </w:pPr>
      <w:r>
        <w:rPr>
          <w:color w:val="auto"/>
          <w:highlight w:val="none"/>
        </w:rPr>
        <w:br w:type="page"/>
      </w:r>
    </w:p>
    <w:p w14:paraId="447936AF">
      <w:pPr>
        <w:pStyle w:val="5"/>
        <w:rPr>
          <w:rFonts w:ascii="黑体" w:hAnsi="黑体" w:eastAsia="黑体" w:cs="黑体"/>
          <w:color w:val="auto"/>
          <w:szCs w:val="32"/>
          <w:highlight w:val="none"/>
        </w:rPr>
      </w:pPr>
      <w:bookmarkStart w:id="80" w:name="_Toc3278"/>
      <w:bookmarkStart w:id="81" w:name="_Toc132880284"/>
      <w:r>
        <w:rPr>
          <w:rFonts w:hint="eastAsia"/>
          <w:color w:val="auto"/>
          <w:highlight w:val="none"/>
        </w:rPr>
        <w:t>第五章　投标文件格式</w:t>
      </w:r>
      <w:bookmarkEnd w:id="80"/>
      <w:bookmarkEnd w:id="81"/>
    </w:p>
    <w:p w14:paraId="676E7AEE">
      <w:pPr>
        <w:ind w:firstLine="420" w:firstLineChars="200"/>
        <w:jc w:val="left"/>
        <w:rPr>
          <w:color w:val="auto"/>
          <w:highlight w:val="none"/>
        </w:rPr>
      </w:pPr>
      <w:r>
        <w:rPr>
          <w:rFonts w:hint="eastAsia"/>
          <w:color w:val="auto"/>
          <w:highlight w:val="none"/>
        </w:rPr>
        <w:t>投标人必须按下列文本格式，如实提供具有法律效力的资格证明文件和真实有效的其他文件资料，任何不按下列文本格式提供或有实质性变更将由投标人承担风险。</w:t>
      </w:r>
    </w:p>
    <w:p w14:paraId="61435396">
      <w:pPr>
        <w:ind w:firstLine="420" w:firstLineChars="200"/>
        <w:jc w:val="left"/>
        <w:rPr>
          <w:color w:val="auto"/>
          <w:highlight w:val="none"/>
        </w:rPr>
      </w:pPr>
      <w:r>
        <w:rPr>
          <w:rFonts w:hint="eastAsia"/>
          <w:color w:val="auto"/>
          <w:highlight w:val="none"/>
        </w:rPr>
        <w:t>1.投标人应严格按照本章规定填写和提交全部格式文件以及其他有关资料，混乱的编排导致投标文件被误读或查找不到，后果由投标人承担。</w:t>
      </w:r>
    </w:p>
    <w:p w14:paraId="4545EAAC">
      <w:pPr>
        <w:ind w:firstLine="420" w:firstLineChars="200"/>
        <w:jc w:val="left"/>
        <w:rPr>
          <w:color w:val="auto"/>
          <w:highlight w:val="none"/>
        </w:rPr>
      </w:pPr>
      <w:bookmarkStart w:id="82" w:name="_Toc29571"/>
      <w:bookmarkStart w:id="83" w:name="_Toc27754"/>
      <w:bookmarkStart w:id="84" w:name="_Toc14449"/>
      <w:r>
        <w:rPr>
          <w:rFonts w:hint="eastAsia"/>
          <w:color w:val="auto"/>
          <w:highlight w:val="none"/>
        </w:rPr>
        <w:t>2.所附表格中要求回答的全部问题和信息都必须正面回答。</w:t>
      </w:r>
      <w:bookmarkEnd w:id="82"/>
      <w:bookmarkEnd w:id="83"/>
      <w:bookmarkEnd w:id="84"/>
    </w:p>
    <w:p w14:paraId="278F6515">
      <w:pPr>
        <w:ind w:firstLine="420" w:firstLineChars="200"/>
        <w:jc w:val="left"/>
        <w:rPr>
          <w:color w:val="auto"/>
          <w:highlight w:val="none"/>
        </w:rPr>
      </w:pPr>
      <w:r>
        <w:rPr>
          <w:rFonts w:hint="eastAsia"/>
          <w:color w:val="auto"/>
          <w:highlight w:val="none"/>
        </w:rPr>
        <w:t>3.资格声明文件的签字人应保证全部声明和问题的回答是真实的和准确的。</w:t>
      </w:r>
    </w:p>
    <w:p w14:paraId="42219E0F">
      <w:pPr>
        <w:ind w:firstLine="420" w:firstLineChars="200"/>
        <w:jc w:val="left"/>
        <w:rPr>
          <w:color w:val="auto"/>
          <w:highlight w:val="none"/>
        </w:rPr>
      </w:pPr>
      <w:r>
        <w:rPr>
          <w:rFonts w:hint="eastAsia"/>
          <w:color w:val="auto"/>
          <w:highlight w:val="none"/>
        </w:rPr>
        <w:t>4.评标委员会将应用投标人提交的资料并根据自己的判断，决定投标人履行合同的合格性及能力。</w:t>
      </w:r>
    </w:p>
    <w:p w14:paraId="215E2940">
      <w:pPr>
        <w:ind w:firstLine="420" w:firstLineChars="200"/>
        <w:jc w:val="left"/>
        <w:rPr>
          <w:color w:val="auto"/>
          <w:highlight w:val="none"/>
        </w:rPr>
      </w:pPr>
      <w:bookmarkStart w:id="85" w:name="_Toc3695"/>
      <w:bookmarkStart w:id="86" w:name="_Toc21270"/>
      <w:bookmarkStart w:id="87" w:name="_Toc13930"/>
      <w:r>
        <w:rPr>
          <w:rFonts w:hint="eastAsia"/>
          <w:color w:val="auto"/>
          <w:highlight w:val="none"/>
        </w:rPr>
        <w:t>5.全部文件应按投标人须知中规定的语言提交。</w:t>
      </w:r>
      <w:bookmarkEnd w:id="85"/>
      <w:bookmarkEnd w:id="86"/>
      <w:bookmarkEnd w:id="87"/>
    </w:p>
    <w:p w14:paraId="09730DB7">
      <w:pPr>
        <w:ind w:firstLine="420" w:firstLineChars="200"/>
        <w:jc w:val="left"/>
        <w:rPr>
          <w:color w:val="auto"/>
          <w:highlight w:val="none"/>
        </w:rPr>
      </w:pPr>
      <w:r>
        <w:rPr>
          <w:rFonts w:hint="eastAsia"/>
          <w:color w:val="auto"/>
          <w:highlight w:val="none"/>
        </w:rPr>
        <w:t>6.以下格式文件为要求填写内容的固定格式，投标人不得擅自修改格式，其他未提供格式的文件和资料由投标人自行设计编制格式填写。</w:t>
      </w:r>
    </w:p>
    <w:p w14:paraId="5A820DF5">
      <w:pPr>
        <w:jc w:val="left"/>
        <w:rPr>
          <w:color w:val="auto"/>
          <w:highlight w:val="none"/>
        </w:rPr>
      </w:pPr>
    </w:p>
    <w:p w14:paraId="14E5D953">
      <w:pPr>
        <w:rPr>
          <w:color w:val="auto"/>
          <w:highlight w:val="none"/>
        </w:rPr>
      </w:pPr>
    </w:p>
    <w:p w14:paraId="336369D4">
      <w:pPr>
        <w:rPr>
          <w:color w:val="auto"/>
          <w:highlight w:val="none"/>
        </w:rPr>
      </w:pPr>
    </w:p>
    <w:p w14:paraId="67973C5C">
      <w:pPr>
        <w:rPr>
          <w:color w:val="auto"/>
          <w:highlight w:val="none"/>
        </w:rPr>
      </w:pPr>
    </w:p>
    <w:p w14:paraId="453057DE">
      <w:pPr>
        <w:rPr>
          <w:color w:val="auto"/>
          <w:highlight w:val="none"/>
        </w:rPr>
      </w:pPr>
      <w:r>
        <w:rPr>
          <w:rFonts w:hint="eastAsia"/>
          <w:color w:val="auto"/>
          <w:highlight w:val="none"/>
        </w:rPr>
        <w:br w:type="page"/>
      </w:r>
    </w:p>
    <w:p w14:paraId="763D5D44">
      <w:pPr>
        <w:rPr>
          <w:color w:val="auto"/>
          <w:highlight w:val="none"/>
        </w:rPr>
      </w:pPr>
    </w:p>
    <w:p w14:paraId="399E370E">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42BAF974">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14:paraId="7C27ABEF">
      <w:pPr>
        <w:spacing w:line="360" w:lineRule="auto"/>
        <w:ind w:firstLine="640" w:firstLineChars="200"/>
        <w:jc w:val="center"/>
        <w:rPr>
          <w:rFonts w:ascii="宋体" w:hAnsi="宋体"/>
          <w:color w:val="auto"/>
          <w:kern w:val="0"/>
          <w:sz w:val="32"/>
          <w:szCs w:val="32"/>
          <w:highlight w:val="none"/>
        </w:rPr>
      </w:pPr>
    </w:p>
    <w:p w14:paraId="0E48180C">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14:paraId="32B06646">
      <w:pPr>
        <w:spacing w:line="360" w:lineRule="auto"/>
        <w:ind w:firstLine="480" w:firstLineChars="200"/>
        <w:jc w:val="center"/>
        <w:rPr>
          <w:rFonts w:hint="eastAsia" w:ascii="宋体" w:hAnsi="宋体" w:eastAsia="宋体" w:cs="宋体"/>
          <w:b w:val="0"/>
          <w:bCs/>
          <w:color w:val="auto"/>
          <w:kern w:val="0"/>
          <w:sz w:val="24"/>
          <w:szCs w:val="24"/>
          <w:highlight w:val="none"/>
        </w:rPr>
      </w:pPr>
    </w:p>
    <w:p w14:paraId="1035C05A">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14:paraId="21758BB3">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14:paraId="28B79999">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14:paraId="22502C88">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14:paraId="2A7B220E">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14:paraId="3F3FDB9F">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14:paraId="1ED011FB">
      <w:pPr>
        <w:rPr>
          <w:color w:val="auto"/>
          <w:highlight w:val="none"/>
        </w:rPr>
      </w:pPr>
      <w:r>
        <w:rPr>
          <w:rFonts w:hint="eastAsia"/>
          <w:color w:val="auto"/>
          <w:highlight w:val="none"/>
        </w:rPr>
        <w:br w:type="page"/>
      </w:r>
    </w:p>
    <w:p w14:paraId="062E3876">
      <w:pPr>
        <w:rPr>
          <w:b/>
          <w:bCs w:val="0"/>
          <w:color w:val="auto"/>
          <w:sz w:val="28"/>
          <w:szCs w:val="28"/>
          <w:highlight w:val="none"/>
        </w:rPr>
      </w:pPr>
      <w:r>
        <w:rPr>
          <w:b/>
          <w:bCs w:val="0"/>
          <w:color w:val="auto"/>
          <w:sz w:val="28"/>
          <w:szCs w:val="28"/>
          <w:highlight w:val="none"/>
        </w:rPr>
        <w:t xml:space="preserve">格式1  </w:t>
      </w:r>
      <w:r>
        <w:rPr>
          <w:rFonts w:hint="eastAsia"/>
          <w:b/>
          <w:bCs w:val="0"/>
          <w:color w:val="auto"/>
          <w:sz w:val="28"/>
          <w:szCs w:val="28"/>
          <w:highlight w:val="none"/>
        </w:rPr>
        <w:t>投标人基本情况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6"/>
        <w:gridCol w:w="1832"/>
        <w:gridCol w:w="2926"/>
      </w:tblGrid>
      <w:tr w14:paraId="790E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pct"/>
            <w:noWrap/>
            <w:vAlign w:val="center"/>
          </w:tcPr>
          <w:p w14:paraId="5FF16D64">
            <w:pPr>
              <w:pStyle w:val="11"/>
              <w:rPr>
                <w:color w:val="auto"/>
                <w:highlight w:val="none"/>
              </w:rPr>
            </w:pPr>
            <w:r>
              <w:rPr>
                <w:rFonts w:hint="eastAsia"/>
                <w:color w:val="auto"/>
                <w:highlight w:val="none"/>
              </w:rPr>
              <w:t>供应商名称</w:t>
            </w:r>
          </w:p>
        </w:tc>
        <w:tc>
          <w:tcPr>
            <w:tcW w:w="1229" w:type="pct"/>
            <w:gridSpan w:val="2"/>
            <w:noWrap/>
            <w:vAlign w:val="center"/>
          </w:tcPr>
          <w:p w14:paraId="5E45854D">
            <w:pPr>
              <w:pStyle w:val="11"/>
              <w:rPr>
                <w:color w:val="auto"/>
                <w:highlight w:val="none"/>
              </w:rPr>
            </w:pPr>
          </w:p>
        </w:tc>
        <w:tc>
          <w:tcPr>
            <w:tcW w:w="986" w:type="pct"/>
            <w:noWrap/>
            <w:vAlign w:val="center"/>
          </w:tcPr>
          <w:p w14:paraId="13BAF73B">
            <w:pPr>
              <w:pStyle w:val="11"/>
              <w:rPr>
                <w:color w:val="auto"/>
                <w:highlight w:val="none"/>
              </w:rPr>
            </w:pPr>
            <w:r>
              <w:rPr>
                <w:rFonts w:hint="eastAsia"/>
                <w:color w:val="auto"/>
                <w:highlight w:val="none"/>
              </w:rPr>
              <w:t>法定代表人</w:t>
            </w:r>
          </w:p>
        </w:tc>
        <w:tc>
          <w:tcPr>
            <w:tcW w:w="1574" w:type="pct"/>
            <w:noWrap/>
            <w:vAlign w:val="center"/>
          </w:tcPr>
          <w:p w14:paraId="75856E5C">
            <w:pPr>
              <w:pStyle w:val="11"/>
              <w:rPr>
                <w:color w:val="auto"/>
                <w:highlight w:val="none"/>
              </w:rPr>
            </w:pPr>
          </w:p>
        </w:tc>
      </w:tr>
      <w:tr w14:paraId="412D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14:paraId="2B19B2C1">
            <w:pPr>
              <w:pStyle w:val="11"/>
              <w:rPr>
                <w:color w:val="auto"/>
                <w:highlight w:val="none"/>
              </w:rPr>
            </w:pPr>
            <w:r>
              <w:rPr>
                <w:rFonts w:hint="eastAsia"/>
                <w:color w:val="auto"/>
                <w:highlight w:val="none"/>
              </w:rPr>
              <w:t>统一社会信用代码</w:t>
            </w:r>
          </w:p>
        </w:tc>
        <w:tc>
          <w:tcPr>
            <w:tcW w:w="1229" w:type="pct"/>
            <w:gridSpan w:val="2"/>
            <w:noWrap/>
            <w:vAlign w:val="center"/>
          </w:tcPr>
          <w:p w14:paraId="04BA6657">
            <w:pPr>
              <w:pStyle w:val="11"/>
              <w:rPr>
                <w:color w:val="auto"/>
                <w:highlight w:val="none"/>
              </w:rPr>
            </w:pPr>
          </w:p>
        </w:tc>
        <w:tc>
          <w:tcPr>
            <w:tcW w:w="986" w:type="pct"/>
            <w:noWrap/>
            <w:vAlign w:val="center"/>
          </w:tcPr>
          <w:p w14:paraId="524AEB25">
            <w:pPr>
              <w:pStyle w:val="11"/>
              <w:rPr>
                <w:color w:val="auto"/>
                <w:highlight w:val="none"/>
              </w:rPr>
            </w:pPr>
            <w:r>
              <w:rPr>
                <w:rFonts w:hint="eastAsia"/>
                <w:color w:val="auto"/>
                <w:highlight w:val="none"/>
              </w:rPr>
              <w:t>邮政编码</w:t>
            </w:r>
          </w:p>
        </w:tc>
        <w:tc>
          <w:tcPr>
            <w:tcW w:w="1574" w:type="pct"/>
            <w:noWrap/>
            <w:vAlign w:val="center"/>
          </w:tcPr>
          <w:p w14:paraId="1FCA8C61">
            <w:pPr>
              <w:pStyle w:val="11"/>
              <w:rPr>
                <w:color w:val="auto"/>
                <w:highlight w:val="none"/>
              </w:rPr>
            </w:pPr>
          </w:p>
        </w:tc>
      </w:tr>
      <w:tr w14:paraId="772C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14:paraId="13EF4772">
            <w:pPr>
              <w:pStyle w:val="11"/>
              <w:rPr>
                <w:color w:val="auto"/>
                <w:highlight w:val="none"/>
              </w:rPr>
            </w:pPr>
            <w:r>
              <w:rPr>
                <w:rFonts w:hint="eastAsia"/>
                <w:color w:val="auto"/>
                <w:highlight w:val="none"/>
              </w:rPr>
              <w:t>授权代表</w:t>
            </w:r>
          </w:p>
        </w:tc>
        <w:tc>
          <w:tcPr>
            <w:tcW w:w="1229" w:type="pct"/>
            <w:gridSpan w:val="2"/>
            <w:noWrap/>
            <w:vAlign w:val="center"/>
          </w:tcPr>
          <w:p w14:paraId="48890B53">
            <w:pPr>
              <w:pStyle w:val="11"/>
              <w:rPr>
                <w:color w:val="auto"/>
                <w:highlight w:val="none"/>
              </w:rPr>
            </w:pPr>
          </w:p>
        </w:tc>
        <w:tc>
          <w:tcPr>
            <w:tcW w:w="986" w:type="pct"/>
            <w:noWrap/>
            <w:vAlign w:val="center"/>
          </w:tcPr>
          <w:p w14:paraId="74F697B9">
            <w:pPr>
              <w:pStyle w:val="11"/>
              <w:rPr>
                <w:color w:val="auto"/>
                <w:highlight w:val="none"/>
              </w:rPr>
            </w:pPr>
            <w:r>
              <w:rPr>
                <w:rFonts w:hint="eastAsia"/>
                <w:color w:val="auto"/>
                <w:highlight w:val="none"/>
              </w:rPr>
              <w:t>联系电话</w:t>
            </w:r>
          </w:p>
        </w:tc>
        <w:tc>
          <w:tcPr>
            <w:tcW w:w="1574" w:type="pct"/>
            <w:noWrap/>
            <w:vAlign w:val="center"/>
          </w:tcPr>
          <w:p w14:paraId="11FB3230">
            <w:pPr>
              <w:pStyle w:val="11"/>
              <w:rPr>
                <w:color w:val="auto"/>
                <w:highlight w:val="none"/>
              </w:rPr>
            </w:pPr>
          </w:p>
        </w:tc>
      </w:tr>
      <w:tr w14:paraId="4CF8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14:paraId="3DFC3B05">
            <w:pPr>
              <w:pStyle w:val="11"/>
              <w:rPr>
                <w:color w:val="auto"/>
                <w:highlight w:val="none"/>
              </w:rPr>
            </w:pPr>
            <w:r>
              <w:rPr>
                <w:rFonts w:hint="eastAsia"/>
                <w:color w:val="auto"/>
                <w:highlight w:val="none"/>
              </w:rPr>
              <w:t>电子邮箱</w:t>
            </w:r>
          </w:p>
        </w:tc>
        <w:tc>
          <w:tcPr>
            <w:tcW w:w="1229" w:type="pct"/>
            <w:gridSpan w:val="2"/>
            <w:noWrap/>
            <w:vAlign w:val="center"/>
          </w:tcPr>
          <w:p w14:paraId="772E0FE4">
            <w:pPr>
              <w:pStyle w:val="11"/>
              <w:rPr>
                <w:color w:val="auto"/>
                <w:highlight w:val="none"/>
              </w:rPr>
            </w:pPr>
          </w:p>
        </w:tc>
        <w:tc>
          <w:tcPr>
            <w:tcW w:w="986" w:type="pct"/>
            <w:noWrap/>
            <w:vAlign w:val="center"/>
          </w:tcPr>
          <w:p w14:paraId="3206896B">
            <w:pPr>
              <w:pStyle w:val="11"/>
              <w:rPr>
                <w:color w:val="auto"/>
                <w:highlight w:val="none"/>
              </w:rPr>
            </w:pPr>
            <w:r>
              <w:rPr>
                <w:rFonts w:hint="eastAsia"/>
                <w:color w:val="auto"/>
                <w:highlight w:val="none"/>
              </w:rPr>
              <w:t>传真</w:t>
            </w:r>
          </w:p>
        </w:tc>
        <w:tc>
          <w:tcPr>
            <w:tcW w:w="1574" w:type="pct"/>
            <w:noWrap/>
            <w:vAlign w:val="center"/>
          </w:tcPr>
          <w:p w14:paraId="65C64FA5">
            <w:pPr>
              <w:pStyle w:val="11"/>
              <w:rPr>
                <w:color w:val="auto"/>
                <w:highlight w:val="none"/>
              </w:rPr>
            </w:pPr>
          </w:p>
        </w:tc>
      </w:tr>
      <w:tr w14:paraId="59C7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14:paraId="111F8A2B">
            <w:pPr>
              <w:pStyle w:val="11"/>
              <w:rPr>
                <w:color w:val="auto"/>
                <w:highlight w:val="none"/>
              </w:rPr>
            </w:pPr>
            <w:r>
              <w:rPr>
                <w:rFonts w:hint="eastAsia"/>
                <w:color w:val="auto"/>
                <w:highlight w:val="none"/>
              </w:rPr>
              <w:t>上年营业收入</w:t>
            </w:r>
          </w:p>
        </w:tc>
        <w:tc>
          <w:tcPr>
            <w:tcW w:w="1229" w:type="pct"/>
            <w:gridSpan w:val="2"/>
            <w:noWrap/>
            <w:vAlign w:val="center"/>
          </w:tcPr>
          <w:p w14:paraId="44CB0875">
            <w:pPr>
              <w:pStyle w:val="11"/>
              <w:rPr>
                <w:color w:val="auto"/>
                <w:highlight w:val="none"/>
              </w:rPr>
            </w:pPr>
          </w:p>
        </w:tc>
        <w:tc>
          <w:tcPr>
            <w:tcW w:w="986" w:type="pct"/>
            <w:noWrap/>
            <w:vAlign w:val="center"/>
          </w:tcPr>
          <w:p w14:paraId="7B0CBDA4">
            <w:pPr>
              <w:pStyle w:val="11"/>
              <w:rPr>
                <w:color w:val="auto"/>
                <w:highlight w:val="none"/>
              </w:rPr>
            </w:pPr>
            <w:r>
              <w:rPr>
                <w:rFonts w:hint="eastAsia"/>
                <w:color w:val="auto"/>
                <w:highlight w:val="none"/>
              </w:rPr>
              <w:t>员工总人数</w:t>
            </w:r>
          </w:p>
        </w:tc>
        <w:tc>
          <w:tcPr>
            <w:tcW w:w="1574" w:type="pct"/>
            <w:noWrap/>
            <w:vAlign w:val="center"/>
          </w:tcPr>
          <w:p w14:paraId="50C873F4">
            <w:pPr>
              <w:pStyle w:val="11"/>
              <w:rPr>
                <w:color w:val="auto"/>
                <w:highlight w:val="none"/>
              </w:rPr>
            </w:pPr>
          </w:p>
        </w:tc>
      </w:tr>
      <w:tr w14:paraId="2D25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335CF9BE">
            <w:pPr>
              <w:pStyle w:val="11"/>
              <w:rPr>
                <w:color w:val="auto"/>
                <w:highlight w:val="none"/>
              </w:rPr>
            </w:pPr>
            <w:r>
              <w:rPr>
                <w:rFonts w:hint="eastAsia"/>
                <w:color w:val="auto"/>
                <w:highlight w:val="none"/>
              </w:rPr>
              <w:t>基本账户开户行及账号</w:t>
            </w:r>
          </w:p>
        </w:tc>
        <w:tc>
          <w:tcPr>
            <w:tcW w:w="3462" w:type="pct"/>
            <w:gridSpan w:val="3"/>
            <w:noWrap/>
            <w:vAlign w:val="center"/>
          </w:tcPr>
          <w:p w14:paraId="1ED269C4">
            <w:pPr>
              <w:pStyle w:val="11"/>
              <w:rPr>
                <w:color w:val="auto"/>
                <w:highlight w:val="none"/>
              </w:rPr>
            </w:pPr>
          </w:p>
        </w:tc>
      </w:tr>
      <w:tr w14:paraId="124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534140E4">
            <w:pPr>
              <w:pStyle w:val="11"/>
              <w:rPr>
                <w:color w:val="auto"/>
                <w:highlight w:val="none"/>
              </w:rPr>
            </w:pPr>
            <w:r>
              <w:rPr>
                <w:rFonts w:hint="eastAsia"/>
                <w:color w:val="auto"/>
                <w:highlight w:val="none"/>
              </w:rPr>
              <w:t>税务登记机关</w:t>
            </w:r>
          </w:p>
        </w:tc>
        <w:tc>
          <w:tcPr>
            <w:tcW w:w="3462" w:type="pct"/>
            <w:gridSpan w:val="3"/>
            <w:noWrap/>
            <w:vAlign w:val="center"/>
          </w:tcPr>
          <w:p w14:paraId="5E730973">
            <w:pPr>
              <w:pStyle w:val="11"/>
              <w:rPr>
                <w:color w:val="auto"/>
                <w:highlight w:val="none"/>
              </w:rPr>
            </w:pPr>
          </w:p>
        </w:tc>
      </w:tr>
      <w:tr w14:paraId="6A71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35DA8CDA">
            <w:pPr>
              <w:pStyle w:val="11"/>
              <w:rPr>
                <w:color w:val="auto"/>
                <w:highlight w:val="none"/>
              </w:rPr>
            </w:pPr>
            <w:r>
              <w:rPr>
                <w:rFonts w:hint="eastAsia"/>
                <w:color w:val="auto"/>
                <w:highlight w:val="none"/>
              </w:rPr>
              <w:t>资质名称</w:t>
            </w:r>
          </w:p>
        </w:tc>
        <w:tc>
          <w:tcPr>
            <w:tcW w:w="902" w:type="pct"/>
            <w:noWrap/>
            <w:vAlign w:val="center"/>
          </w:tcPr>
          <w:p w14:paraId="13770590">
            <w:pPr>
              <w:pStyle w:val="11"/>
              <w:rPr>
                <w:color w:val="auto"/>
                <w:highlight w:val="none"/>
              </w:rPr>
            </w:pPr>
            <w:r>
              <w:rPr>
                <w:rFonts w:hint="eastAsia"/>
                <w:color w:val="auto"/>
                <w:highlight w:val="none"/>
              </w:rPr>
              <w:t>等级</w:t>
            </w:r>
          </w:p>
        </w:tc>
        <w:tc>
          <w:tcPr>
            <w:tcW w:w="986" w:type="pct"/>
            <w:noWrap/>
            <w:vAlign w:val="center"/>
          </w:tcPr>
          <w:p w14:paraId="38104A9E">
            <w:pPr>
              <w:pStyle w:val="11"/>
              <w:rPr>
                <w:color w:val="auto"/>
                <w:highlight w:val="none"/>
              </w:rPr>
            </w:pPr>
            <w:r>
              <w:rPr>
                <w:rFonts w:hint="eastAsia"/>
                <w:color w:val="auto"/>
                <w:highlight w:val="none"/>
              </w:rPr>
              <w:t>发证机关</w:t>
            </w:r>
          </w:p>
        </w:tc>
        <w:tc>
          <w:tcPr>
            <w:tcW w:w="1574" w:type="pct"/>
            <w:noWrap/>
            <w:vAlign w:val="center"/>
          </w:tcPr>
          <w:p w14:paraId="185B3531">
            <w:pPr>
              <w:pStyle w:val="11"/>
              <w:rPr>
                <w:color w:val="auto"/>
                <w:highlight w:val="none"/>
              </w:rPr>
            </w:pPr>
            <w:r>
              <w:rPr>
                <w:rFonts w:hint="eastAsia"/>
                <w:color w:val="auto"/>
                <w:highlight w:val="none"/>
              </w:rPr>
              <w:t>有效期</w:t>
            </w:r>
          </w:p>
        </w:tc>
      </w:tr>
      <w:tr w14:paraId="3935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56BA81E3">
            <w:pPr>
              <w:pStyle w:val="11"/>
              <w:rPr>
                <w:color w:val="auto"/>
                <w:highlight w:val="none"/>
              </w:rPr>
            </w:pPr>
          </w:p>
        </w:tc>
        <w:tc>
          <w:tcPr>
            <w:tcW w:w="902" w:type="pct"/>
            <w:noWrap/>
            <w:vAlign w:val="center"/>
          </w:tcPr>
          <w:p w14:paraId="49B09B23">
            <w:pPr>
              <w:pStyle w:val="11"/>
              <w:rPr>
                <w:color w:val="auto"/>
                <w:highlight w:val="none"/>
              </w:rPr>
            </w:pPr>
          </w:p>
        </w:tc>
        <w:tc>
          <w:tcPr>
            <w:tcW w:w="986" w:type="pct"/>
            <w:noWrap/>
            <w:vAlign w:val="center"/>
          </w:tcPr>
          <w:p w14:paraId="0C5C0E50">
            <w:pPr>
              <w:pStyle w:val="11"/>
              <w:rPr>
                <w:color w:val="auto"/>
                <w:highlight w:val="none"/>
              </w:rPr>
            </w:pPr>
          </w:p>
        </w:tc>
        <w:tc>
          <w:tcPr>
            <w:tcW w:w="1574" w:type="pct"/>
            <w:noWrap/>
            <w:vAlign w:val="center"/>
          </w:tcPr>
          <w:p w14:paraId="1A0DA3CC">
            <w:pPr>
              <w:pStyle w:val="11"/>
              <w:rPr>
                <w:color w:val="auto"/>
                <w:highlight w:val="none"/>
              </w:rPr>
            </w:pPr>
          </w:p>
        </w:tc>
      </w:tr>
      <w:tr w14:paraId="1188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37C680DD">
            <w:pPr>
              <w:pStyle w:val="11"/>
              <w:rPr>
                <w:color w:val="auto"/>
                <w:highlight w:val="none"/>
              </w:rPr>
            </w:pPr>
          </w:p>
        </w:tc>
        <w:tc>
          <w:tcPr>
            <w:tcW w:w="902" w:type="pct"/>
            <w:noWrap/>
            <w:vAlign w:val="center"/>
          </w:tcPr>
          <w:p w14:paraId="213FB31F">
            <w:pPr>
              <w:pStyle w:val="11"/>
              <w:rPr>
                <w:color w:val="auto"/>
                <w:highlight w:val="none"/>
              </w:rPr>
            </w:pPr>
          </w:p>
        </w:tc>
        <w:tc>
          <w:tcPr>
            <w:tcW w:w="986" w:type="pct"/>
            <w:noWrap/>
            <w:vAlign w:val="center"/>
          </w:tcPr>
          <w:p w14:paraId="3BB14FDD">
            <w:pPr>
              <w:pStyle w:val="11"/>
              <w:rPr>
                <w:color w:val="auto"/>
                <w:highlight w:val="none"/>
              </w:rPr>
            </w:pPr>
          </w:p>
        </w:tc>
        <w:tc>
          <w:tcPr>
            <w:tcW w:w="1574" w:type="pct"/>
            <w:noWrap/>
            <w:vAlign w:val="center"/>
          </w:tcPr>
          <w:p w14:paraId="6188F925">
            <w:pPr>
              <w:pStyle w:val="11"/>
              <w:rPr>
                <w:color w:val="auto"/>
                <w:highlight w:val="none"/>
              </w:rPr>
            </w:pPr>
          </w:p>
        </w:tc>
      </w:tr>
      <w:tr w14:paraId="0F2D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14:paraId="67172FAE">
            <w:pPr>
              <w:pStyle w:val="11"/>
              <w:rPr>
                <w:rFonts w:ascii="Times New Roman" w:hAnsi="Times New Roman"/>
                <w:color w:val="auto"/>
                <w:highlight w:val="none"/>
              </w:rPr>
            </w:pPr>
            <w:r>
              <w:rPr>
                <w:rFonts w:hint="eastAsia"/>
                <w:color w:val="auto"/>
                <w:highlight w:val="none"/>
              </w:rPr>
              <w:t>供应商直接控股股东信息</w:t>
            </w:r>
          </w:p>
        </w:tc>
      </w:tr>
      <w:tr w14:paraId="21D5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6C4624DE">
            <w:pPr>
              <w:rPr>
                <w:rFonts w:ascii="Times New Roman" w:hAnsi="Times New Roman"/>
                <w:color w:val="auto"/>
                <w:highlight w:val="none"/>
              </w:rPr>
            </w:pPr>
            <w:r>
              <w:rPr>
                <w:rFonts w:hint="eastAsia"/>
                <w:color w:val="auto"/>
                <w:highlight w:val="none"/>
              </w:rPr>
              <w:t>直接控股股东名称</w:t>
            </w:r>
          </w:p>
        </w:tc>
        <w:tc>
          <w:tcPr>
            <w:tcW w:w="902" w:type="pct"/>
            <w:noWrap/>
            <w:vAlign w:val="center"/>
          </w:tcPr>
          <w:p w14:paraId="569E166F">
            <w:pPr>
              <w:rPr>
                <w:rFonts w:ascii="Times New Roman" w:hAnsi="Times New Roman"/>
                <w:color w:val="auto"/>
                <w:highlight w:val="none"/>
              </w:rPr>
            </w:pPr>
            <w:r>
              <w:rPr>
                <w:rFonts w:hint="eastAsia"/>
                <w:color w:val="auto"/>
                <w:highlight w:val="none"/>
              </w:rPr>
              <w:t>出资比例</w:t>
            </w:r>
          </w:p>
        </w:tc>
        <w:tc>
          <w:tcPr>
            <w:tcW w:w="2560" w:type="pct"/>
            <w:gridSpan w:val="2"/>
            <w:noWrap/>
            <w:vAlign w:val="center"/>
          </w:tcPr>
          <w:p w14:paraId="6E0F6412">
            <w:pPr>
              <w:rPr>
                <w:rFonts w:ascii="Times New Roman" w:hAnsi="Times New Roman"/>
                <w:color w:val="auto"/>
                <w:highlight w:val="none"/>
              </w:rPr>
            </w:pPr>
            <w:r>
              <w:rPr>
                <w:rFonts w:hint="eastAsia"/>
                <w:color w:val="auto"/>
                <w:highlight w:val="none"/>
              </w:rPr>
              <w:t>身份证号码或者统一社会信用代码</w:t>
            </w:r>
          </w:p>
        </w:tc>
      </w:tr>
      <w:tr w14:paraId="1F7F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446CF4D5">
            <w:pPr>
              <w:pStyle w:val="11"/>
              <w:rPr>
                <w:color w:val="auto"/>
                <w:highlight w:val="none"/>
              </w:rPr>
            </w:pPr>
          </w:p>
        </w:tc>
        <w:tc>
          <w:tcPr>
            <w:tcW w:w="902" w:type="pct"/>
            <w:noWrap/>
            <w:vAlign w:val="center"/>
          </w:tcPr>
          <w:p w14:paraId="306AF108">
            <w:pPr>
              <w:pStyle w:val="11"/>
              <w:rPr>
                <w:color w:val="auto"/>
                <w:highlight w:val="none"/>
              </w:rPr>
            </w:pPr>
          </w:p>
        </w:tc>
        <w:tc>
          <w:tcPr>
            <w:tcW w:w="2560" w:type="pct"/>
            <w:gridSpan w:val="2"/>
            <w:noWrap/>
            <w:vAlign w:val="center"/>
          </w:tcPr>
          <w:p w14:paraId="62F29633">
            <w:pPr>
              <w:pStyle w:val="11"/>
              <w:rPr>
                <w:color w:val="auto"/>
                <w:highlight w:val="none"/>
              </w:rPr>
            </w:pPr>
          </w:p>
        </w:tc>
      </w:tr>
      <w:tr w14:paraId="263E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142ECBFD">
            <w:pPr>
              <w:pStyle w:val="11"/>
              <w:rPr>
                <w:color w:val="auto"/>
                <w:highlight w:val="none"/>
              </w:rPr>
            </w:pPr>
          </w:p>
        </w:tc>
        <w:tc>
          <w:tcPr>
            <w:tcW w:w="902" w:type="pct"/>
            <w:noWrap/>
            <w:vAlign w:val="center"/>
          </w:tcPr>
          <w:p w14:paraId="30DF0BB2">
            <w:pPr>
              <w:pStyle w:val="11"/>
              <w:rPr>
                <w:color w:val="auto"/>
                <w:highlight w:val="none"/>
              </w:rPr>
            </w:pPr>
          </w:p>
        </w:tc>
        <w:tc>
          <w:tcPr>
            <w:tcW w:w="2560" w:type="pct"/>
            <w:gridSpan w:val="2"/>
            <w:noWrap/>
            <w:vAlign w:val="center"/>
          </w:tcPr>
          <w:p w14:paraId="00F0EA28">
            <w:pPr>
              <w:pStyle w:val="11"/>
              <w:rPr>
                <w:color w:val="auto"/>
                <w:highlight w:val="none"/>
              </w:rPr>
            </w:pPr>
          </w:p>
        </w:tc>
      </w:tr>
      <w:tr w14:paraId="7228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14:paraId="2695968A">
            <w:pPr>
              <w:pStyle w:val="11"/>
              <w:rPr>
                <w:color w:val="auto"/>
                <w:highlight w:val="none"/>
              </w:rPr>
            </w:pPr>
          </w:p>
        </w:tc>
        <w:tc>
          <w:tcPr>
            <w:tcW w:w="902" w:type="pct"/>
            <w:noWrap/>
            <w:vAlign w:val="center"/>
          </w:tcPr>
          <w:p w14:paraId="6F762287">
            <w:pPr>
              <w:pStyle w:val="11"/>
              <w:rPr>
                <w:color w:val="auto"/>
                <w:highlight w:val="none"/>
              </w:rPr>
            </w:pPr>
          </w:p>
        </w:tc>
        <w:tc>
          <w:tcPr>
            <w:tcW w:w="2560" w:type="pct"/>
            <w:gridSpan w:val="2"/>
            <w:noWrap/>
            <w:vAlign w:val="center"/>
          </w:tcPr>
          <w:p w14:paraId="326B6BF7">
            <w:pPr>
              <w:pStyle w:val="11"/>
              <w:rPr>
                <w:color w:val="auto"/>
                <w:highlight w:val="none"/>
              </w:rPr>
            </w:pPr>
          </w:p>
        </w:tc>
      </w:tr>
      <w:tr w14:paraId="5B72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14:paraId="16067D49">
            <w:pPr>
              <w:pStyle w:val="11"/>
              <w:rPr>
                <w:rFonts w:ascii="Times New Roman" w:hAnsi="Times New Roman"/>
                <w:color w:val="auto"/>
                <w:highlight w:val="none"/>
              </w:rPr>
            </w:pPr>
            <w:r>
              <w:rPr>
                <w:rFonts w:hint="eastAsia"/>
                <w:color w:val="auto"/>
                <w:highlight w:val="none"/>
              </w:rPr>
              <w:t>供应商直接管理关系信息表</w:t>
            </w:r>
          </w:p>
        </w:tc>
      </w:tr>
      <w:tr w14:paraId="3727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14:paraId="6D9CB24C">
            <w:pPr>
              <w:rPr>
                <w:rFonts w:ascii="Times New Roman" w:hAnsi="Times New Roman"/>
                <w:color w:val="auto"/>
                <w:highlight w:val="none"/>
              </w:rPr>
            </w:pPr>
            <w:r>
              <w:rPr>
                <w:rFonts w:hint="eastAsia"/>
                <w:color w:val="auto"/>
                <w:highlight w:val="none"/>
              </w:rPr>
              <w:t>直接管理关系单位名称</w:t>
            </w:r>
          </w:p>
        </w:tc>
        <w:tc>
          <w:tcPr>
            <w:tcW w:w="2560" w:type="pct"/>
            <w:gridSpan w:val="2"/>
            <w:noWrap/>
            <w:vAlign w:val="center"/>
          </w:tcPr>
          <w:p w14:paraId="6514D971">
            <w:pPr>
              <w:pStyle w:val="11"/>
              <w:rPr>
                <w:rFonts w:ascii="Times New Roman" w:hAnsi="Times New Roman"/>
                <w:color w:val="auto"/>
                <w:highlight w:val="none"/>
              </w:rPr>
            </w:pPr>
            <w:r>
              <w:rPr>
                <w:rFonts w:hint="eastAsia"/>
                <w:color w:val="auto"/>
                <w:highlight w:val="none"/>
              </w:rPr>
              <w:t>统一社会信用代码</w:t>
            </w:r>
          </w:p>
        </w:tc>
      </w:tr>
      <w:tr w14:paraId="0EA5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14:paraId="2F8D3488">
            <w:pPr>
              <w:pStyle w:val="11"/>
              <w:rPr>
                <w:color w:val="auto"/>
                <w:highlight w:val="none"/>
              </w:rPr>
            </w:pPr>
          </w:p>
        </w:tc>
        <w:tc>
          <w:tcPr>
            <w:tcW w:w="2560" w:type="pct"/>
            <w:gridSpan w:val="2"/>
            <w:noWrap/>
            <w:vAlign w:val="center"/>
          </w:tcPr>
          <w:p w14:paraId="5281539F">
            <w:pPr>
              <w:pStyle w:val="11"/>
              <w:rPr>
                <w:color w:val="auto"/>
                <w:highlight w:val="none"/>
              </w:rPr>
            </w:pPr>
          </w:p>
        </w:tc>
      </w:tr>
      <w:tr w14:paraId="6D5A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14:paraId="5765CE1E">
            <w:pPr>
              <w:pStyle w:val="11"/>
              <w:rPr>
                <w:color w:val="auto"/>
                <w:highlight w:val="none"/>
              </w:rPr>
            </w:pPr>
          </w:p>
        </w:tc>
        <w:tc>
          <w:tcPr>
            <w:tcW w:w="2560" w:type="pct"/>
            <w:gridSpan w:val="2"/>
            <w:noWrap/>
            <w:vAlign w:val="center"/>
          </w:tcPr>
          <w:p w14:paraId="20F1F292">
            <w:pPr>
              <w:pStyle w:val="11"/>
              <w:rPr>
                <w:color w:val="auto"/>
                <w:highlight w:val="none"/>
              </w:rPr>
            </w:pPr>
          </w:p>
        </w:tc>
      </w:tr>
      <w:tr w14:paraId="06E4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14:paraId="615835FD">
            <w:pPr>
              <w:pStyle w:val="11"/>
              <w:rPr>
                <w:color w:val="auto"/>
                <w:highlight w:val="none"/>
              </w:rPr>
            </w:pPr>
            <w:r>
              <w:rPr>
                <w:rFonts w:hint="eastAsia"/>
                <w:color w:val="auto"/>
                <w:highlight w:val="none"/>
              </w:rPr>
              <w:t>备注</w:t>
            </w:r>
          </w:p>
        </w:tc>
        <w:tc>
          <w:tcPr>
            <w:tcW w:w="3789" w:type="pct"/>
            <w:gridSpan w:val="4"/>
            <w:noWrap/>
            <w:vAlign w:val="center"/>
          </w:tcPr>
          <w:p w14:paraId="0CD5BE08">
            <w:pPr>
              <w:pStyle w:val="11"/>
              <w:rPr>
                <w:color w:val="auto"/>
                <w:highlight w:val="none"/>
              </w:rPr>
            </w:pPr>
          </w:p>
        </w:tc>
      </w:tr>
    </w:tbl>
    <w:p w14:paraId="01AB376C">
      <w:pPr>
        <w:jc w:val="left"/>
        <w:rPr>
          <w:rFonts w:hAnsi="宋体"/>
          <w:b/>
          <w:bCs w:val="0"/>
          <w:color w:val="auto"/>
          <w:sz w:val="24"/>
          <w:highlight w:val="none"/>
        </w:rPr>
      </w:pPr>
      <w:r>
        <w:rPr>
          <w:rFonts w:hint="eastAsia"/>
          <w:b/>
          <w:bCs w:val="0"/>
          <w:color w:val="auto"/>
          <w:highlight w:val="none"/>
        </w:rPr>
        <w:t>（附</w:t>
      </w:r>
      <w:r>
        <w:rPr>
          <w:rFonts w:hint="eastAsia"/>
          <w:b/>
          <w:bCs w:val="0"/>
          <w:color w:val="auto"/>
          <w:highlight w:val="none"/>
          <w:lang w:eastAsia="zh-CN"/>
        </w:rPr>
        <w:t>：</w:t>
      </w:r>
      <w:r>
        <w:rPr>
          <w:b/>
          <w:bCs w:val="0"/>
          <w:color w:val="auto"/>
          <w:highlight w:val="none"/>
        </w:rPr>
        <w:t>法人或者其他组织的营业执照等证明文件复印件</w:t>
      </w:r>
      <w:r>
        <w:rPr>
          <w:rFonts w:hint="eastAsia"/>
          <w:b/>
          <w:bCs w:val="0"/>
          <w:color w:val="auto"/>
          <w:highlight w:val="none"/>
        </w:rPr>
        <w:t>；投标人如为</w:t>
      </w:r>
      <w:r>
        <w:rPr>
          <w:b/>
          <w:bCs w:val="0"/>
          <w:color w:val="auto"/>
          <w:highlight w:val="none"/>
        </w:rPr>
        <w:t>自然人</w:t>
      </w:r>
      <w:r>
        <w:rPr>
          <w:rFonts w:hint="eastAsia"/>
          <w:b/>
          <w:bCs w:val="0"/>
          <w:color w:val="auto"/>
          <w:highlight w:val="none"/>
        </w:rPr>
        <w:t>，提供自然人</w:t>
      </w:r>
      <w:r>
        <w:rPr>
          <w:b/>
          <w:bCs w:val="0"/>
          <w:color w:val="auto"/>
          <w:highlight w:val="none"/>
        </w:rPr>
        <w:t>的身份证复印件</w:t>
      </w:r>
      <w:r>
        <w:rPr>
          <w:rFonts w:hint="eastAsia"/>
          <w:b/>
          <w:bCs w:val="0"/>
          <w:color w:val="auto"/>
          <w:highlight w:val="none"/>
        </w:rPr>
        <w:t>）</w:t>
      </w:r>
    </w:p>
    <w:p w14:paraId="430502C0">
      <w:pPr>
        <w:jc w:val="left"/>
        <w:rPr>
          <w:color w:val="auto"/>
          <w:highlight w:val="none"/>
        </w:rPr>
      </w:pPr>
    </w:p>
    <w:p w14:paraId="31B135A9">
      <w:pPr>
        <w:jc w:val="left"/>
        <w:rPr>
          <w:color w:val="auto"/>
          <w:highlight w:val="none"/>
        </w:rPr>
      </w:pPr>
    </w:p>
    <w:p w14:paraId="4FB3134E">
      <w:pPr>
        <w:jc w:val="left"/>
        <w:rPr>
          <w:color w:val="auto"/>
          <w:highlight w:val="none"/>
        </w:rPr>
      </w:pPr>
      <w:r>
        <w:rPr>
          <w:rFonts w:hint="eastAsia"/>
          <w:color w:val="auto"/>
          <w:highlight w:val="none"/>
        </w:rPr>
        <w:t>投标人（全称并加盖公章）：</w:t>
      </w:r>
    </w:p>
    <w:p w14:paraId="2B9B1B3E">
      <w:pPr>
        <w:jc w:val="left"/>
        <w:rPr>
          <w:color w:val="auto"/>
          <w:highlight w:val="none"/>
        </w:rPr>
      </w:pPr>
      <w:r>
        <w:rPr>
          <w:rFonts w:hint="eastAsia"/>
          <w:color w:val="auto"/>
          <w:highlight w:val="none"/>
        </w:rPr>
        <w:t>投标人代表（签字）：</w:t>
      </w:r>
    </w:p>
    <w:p w14:paraId="221419DA">
      <w:pPr>
        <w:jc w:val="left"/>
        <w:rPr>
          <w:color w:val="auto"/>
          <w:highlight w:val="none"/>
        </w:rPr>
      </w:pPr>
      <w:r>
        <w:rPr>
          <w:rFonts w:hint="eastAsia"/>
          <w:color w:val="auto"/>
          <w:highlight w:val="none"/>
        </w:rPr>
        <w:t>日期：</w:t>
      </w:r>
    </w:p>
    <w:p w14:paraId="327626F2">
      <w:pPr>
        <w:jc w:val="left"/>
        <w:rPr>
          <w:color w:val="auto"/>
          <w:highlight w:val="none"/>
        </w:rPr>
      </w:pPr>
    </w:p>
    <w:p w14:paraId="5E8C0235">
      <w:pPr>
        <w:pStyle w:val="11"/>
        <w:rPr>
          <w:rFonts w:hAnsi="宋体" w:cs="宋体"/>
          <w:b/>
          <w:bCs w:val="0"/>
          <w:color w:val="auto"/>
          <w:sz w:val="28"/>
          <w:szCs w:val="28"/>
          <w:highlight w:val="none"/>
        </w:rPr>
      </w:pPr>
      <w:r>
        <w:rPr>
          <w:rFonts w:eastAsia="仿宋_GB2312"/>
          <w:color w:val="auto"/>
          <w:highlight w:val="none"/>
        </w:rPr>
        <w:br w:type="page"/>
      </w:r>
      <w:r>
        <w:rPr>
          <w:rFonts w:hint="eastAsia" w:hAnsi="宋体" w:cs="宋体"/>
          <w:b/>
          <w:bCs w:val="0"/>
          <w:color w:val="auto"/>
          <w:sz w:val="28"/>
          <w:szCs w:val="28"/>
          <w:highlight w:val="none"/>
        </w:rPr>
        <w:t xml:space="preserve">格式2  </w:t>
      </w:r>
      <w:r>
        <w:rPr>
          <w:rFonts w:hint="eastAsia"/>
          <w:b/>
          <w:bCs w:val="0"/>
          <w:color w:val="auto"/>
          <w:sz w:val="28"/>
          <w:szCs w:val="28"/>
          <w:highlight w:val="none"/>
        </w:rPr>
        <w:t>投标人具备投标资格证明文件</w:t>
      </w:r>
    </w:p>
    <w:p w14:paraId="48B31067">
      <w:pPr>
        <w:rPr>
          <w:b/>
          <w:bCs w:val="0"/>
          <w:color w:val="auto"/>
          <w:sz w:val="28"/>
          <w:szCs w:val="28"/>
          <w:highlight w:val="none"/>
        </w:rPr>
      </w:pPr>
      <w:r>
        <w:rPr>
          <w:rFonts w:hint="eastAsia" w:ascii="宋体" w:hAnsi="宋体"/>
          <w:b/>
          <w:bCs w:val="0"/>
          <w:color w:val="auto"/>
          <w:sz w:val="28"/>
          <w:szCs w:val="28"/>
          <w:highlight w:val="none"/>
        </w:rPr>
        <w:t>2-1</w:t>
      </w:r>
      <w:r>
        <w:rPr>
          <w:rFonts w:hint="eastAsia"/>
          <w:b/>
          <w:bCs w:val="0"/>
          <w:color w:val="auto"/>
          <w:sz w:val="28"/>
          <w:szCs w:val="28"/>
          <w:highlight w:val="none"/>
        </w:rPr>
        <w:t>财务状况报告</w:t>
      </w:r>
    </w:p>
    <w:p w14:paraId="09ABA6D0">
      <w:pPr>
        <w:rPr>
          <w:color w:val="auto"/>
          <w:highlight w:val="none"/>
        </w:rPr>
      </w:pPr>
      <w:r>
        <w:rPr>
          <w:rFonts w:hint="eastAsia"/>
          <w:color w:val="auto"/>
          <w:highlight w:val="none"/>
        </w:rPr>
        <w:t>根据资格条件要求提供相应材料。</w:t>
      </w:r>
    </w:p>
    <w:p w14:paraId="19B7E311">
      <w:pPr>
        <w:rPr>
          <w:color w:val="auto"/>
          <w:highlight w:val="none"/>
        </w:rPr>
      </w:pPr>
    </w:p>
    <w:p w14:paraId="71A24FBC">
      <w:pPr>
        <w:rPr>
          <w:color w:val="auto"/>
          <w:highlight w:val="none"/>
        </w:rPr>
      </w:pPr>
    </w:p>
    <w:p w14:paraId="4DFEE3B2">
      <w:pPr>
        <w:rPr>
          <w:b/>
          <w:bCs w:val="0"/>
          <w:color w:val="auto"/>
          <w:sz w:val="28"/>
          <w:szCs w:val="28"/>
          <w:highlight w:val="none"/>
        </w:rPr>
      </w:pPr>
      <w:r>
        <w:rPr>
          <w:rFonts w:hint="eastAsia"/>
          <w:b/>
          <w:bCs w:val="0"/>
          <w:color w:val="auto"/>
          <w:sz w:val="28"/>
          <w:szCs w:val="28"/>
          <w:highlight w:val="none"/>
        </w:rPr>
        <w:t>2-2依法缴纳税收的相关材料</w:t>
      </w:r>
    </w:p>
    <w:p w14:paraId="60F3CE8A">
      <w:pPr>
        <w:rPr>
          <w:color w:val="auto"/>
          <w:highlight w:val="none"/>
        </w:rPr>
      </w:pPr>
      <w:r>
        <w:rPr>
          <w:rFonts w:hint="eastAsia"/>
          <w:color w:val="auto"/>
          <w:highlight w:val="none"/>
        </w:rPr>
        <w:t>根据资格条件要求提供相应材料。</w:t>
      </w:r>
    </w:p>
    <w:p w14:paraId="34661FE7">
      <w:pPr>
        <w:rPr>
          <w:color w:val="auto"/>
          <w:highlight w:val="none"/>
        </w:rPr>
      </w:pPr>
    </w:p>
    <w:p w14:paraId="70BB9671">
      <w:pPr>
        <w:rPr>
          <w:color w:val="auto"/>
          <w:highlight w:val="none"/>
        </w:rPr>
      </w:pPr>
    </w:p>
    <w:p w14:paraId="440B5406">
      <w:pPr>
        <w:rPr>
          <w:rFonts w:hint="eastAsia"/>
          <w:b/>
          <w:bCs w:val="0"/>
          <w:color w:val="auto"/>
          <w:sz w:val="28"/>
          <w:szCs w:val="28"/>
          <w:highlight w:val="none"/>
        </w:rPr>
      </w:pPr>
      <w:r>
        <w:rPr>
          <w:rFonts w:hint="eastAsia"/>
          <w:b/>
          <w:bCs w:val="0"/>
          <w:color w:val="auto"/>
          <w:sz w:val="28"/>
          <w:szCs w:val="28"/>
          <w:highlight w:val="none"/>
        </w:rPr>
        <w:t>2-3依法缴纳社会保障资金的相关材料</w:t>
      </w:r>
    </w:p>
    <w:p w14:paraId="5B05F77C">
      <w:pPr>
        <w:rPr>
          <w:color w:val="auto"/>
          <w:highlight w:val="none"/>
        </w:rPr>
      </w:pPr>
      <w:r>
        <w:rPr>
          <w:rFonts w:hint="eastAsia"/>
          <w:color w:val="auto"/>
          <w:highlight w:val="none"/>
        </w:rPr>
        <w:t>根据资格条件要求提供相应材料。</w:t>
      </w:r>
    </w:p>
    <w:p w14:paraId="30D7A7A6">
      <w:pPr>
        <w:rPr>
          <w:color w:val="auto"/>
          <w:highlight w:val="none"/>
        </w:rPr>
      </w:pPr>
    </w:p>
    <w:p w14:paraId="6B078466">
      <w:pPr>
        <w:rPr>
          <w:color w:val="auto"/>
          <w:highlight w:val="none"/>
        </w:rPr>
      </w:pPr>
    </w:p>
    <w:p w14:paraId="62E2EC21">
      <w:pPr>
        <w:rPr>
          <w:rFonts w:hint="eastAsia"/>
          <w:b/>
          <w:bCs w:val="0"/>
          <w:color w:val="auto"/>
          <w:sz w:val="28"/>
          <w:szCs w:val="28"/>
          <w:highlight w:val="none"/>
        </w:rPr>
      </w:pPr>
      <w:r>
        <w:rPr>
          <w:rFonts w:hint="eastAsia"/>
          <w:b/>
          <w:bCs w:val="0"/>
          <w:color w:val="auto"/>
          <w:sz w:val="28"/>
          <w:szCs w:val="28"/>
          <w:highlight w:val="none"/>
        </w:rPr>
        <w:t>2-4具备履行合同所必需的设备和专业技术能力的证明材料</w:t>
      </w:r>
    </w:p>
    <w:p w14:paraId="2ABEA65C">
      <w:pPr>
        <w:rPr>
          <w:color w:val="auto"/>
          <w:highlight w:val="none"/>
        </w:rPr>
      </w:pPr>
      <w:r>
        <w:rPr>
          <w:rFonts w:hint="eastAsia"/>
          <w:color w:val="auto"/>
          <w:highlight w:val="none"/>
        </w:rPr>
        <w:t>根据资格条件要求提供相应材料。</w:t>
      </w:r>
    </w:p>
    <w:p w14:paraId="4AEB69D7">
      <w:pPr>
        <w:rPr>
          <w:color w:val="auto"/>
          <w:highlight w:val="none"/>
        </w:rPr>
      </w:pPr>
    </w:p>
    <w:p w14:paraId="5310C53B">
      <w:pPr>
        <w:rPr>
          <w:color w:val="auto"/>
          <w:highlight w:val="none"/>
        </w:rPr>
      </w:pPr>
    </w:p>
    <w:p w14:paraId="5BE6C5A6">
      <w:pPr>
        <w:rPr>
          <w:color w:val="auto"/>
          <w:highlight w:val="none"/>
        </w:rPr>
      </w:pPr>
      <w:bookmarkStart w:id="88" w:name="_Toc8860"/>
      <w:bookmarkStart w:id="89" w:name="_Toc18153"/>
      <w:r>
        <w:rPr>
          <w:color w:val="auto"/>
          <w:highlight w:val="none"/>
        </w:rPr>
        <w:br w:type="page"/>
      </w:r>
    </w:p>
    <w:p w14:paraId="71E414DD">
      <w:pPr>
        <w:rPr>
          <w:color w:val="auto"/>
          <w:highlight w:val="none"/>
        </w:rPr>
      </w:pPr>
    </w:p>
    <w:p w14:paraId="23691F79">
      <w:pPr>
        <w:rPr>
          <w:rFonts w:hint="eastAsia"/>
          <w:b/>
          <w:bCs w:val="0"/>
          <w:color w:val="auto"/>
          <w:sz w:val="28"/>
          <w:szCs w:val="28"/>
          <w:highlight w:val="none"/>
        </w:rPr>
      </w:pPr>
      <w:r>
        <w:rPr>
          <w:rFonts w:hint="eastAsia"/>
          <w:b/>
          <w:bCs w:val="0"/>
          <w:color w:val="auto"/>
          <w:sz w:val="28"/>
          <w:szCs w:val="28"/>
          <w:highlight w:val="none"/>
        </w:rPr>
        <w:t>格式3  参加本次政府采购活动前三年内在经营活动中</w:t>
      </w:r>
    </w:p>
    <w:p w14:paraId="71601630">
      <w:pPr>
        <w:rPr>
          <w:b/>
          <w:bCs w:val="0"/>
          <w:color w:val="auto"/>
          <w:sz w:val="28"/>
          <w:szCs w:val="28"/>
          <w:highlight w:val="none"/>
        </w:rPr>
      </w:pPr>
      <w:r>
        <w:rPr>
          <w:rFonts w:hint="eastAsia"/>
          <w:b/>
          <w:bCs w:val="0"/>
          <w:color w:val="auto"/>
          <w:sz w:val="28"/>
          <w:szCs w:val="28"/>
          <w:highlight w:val="none"/>
        </w:rPr>
        <w:t>没有重大违法记录的书面声明</w:t>
      </w:r>
    </w:p>
    <w:p w14:paraId="3EE881AB">
      <w:pPr>
        <w:rPr>
          <w:color w:val="auto"/>
          <w:highlight w:val="none"/>
        </w:rPr>
      </w:pPr>
    </w:p>
    <w:p w14:paraId="36782EA4">
      <w:pPr>
        <w:jc w:val="left"/>
        <w:rPr>
          <w:color w:val="auto"/>
          <w:highlight w:val="none"/>
        </w:rPr>
      </w:pPr>
      <w:r>
        <w:rPr>
          <w:rFonts w:hint="eastAsia"/>
          <w:color w:val="auto"/>
          <w:highlight w:val="none"/>
        </w:rPr>
        <w:t>致</w:t>
      </w:r>
      <w:r>
        <w:rPr>
          <w:color w:val="auto"/>
          <w:highlight w:val="none"/>
        </w:rPr>
        <w:t>________</w:t>
      </w:r>
      <w:r>
        <w:rPr>
          <w:rFonts w:hint="eastAsia"/>
          <w:color w:val="auto"/>
          <w:highlight w:val="none"/>
        </w:rPr>
        <w:t>（采购人或采购代理机构）：</w:t>
      </w:r>
    </w:p>
    <w:p w14:paraId="2C817458">
      <w:pPr>
        <w:ind w:firstLine="420" w:firstLineChars="200"/>
        <w:jc w:val="left"/>
        <w:rPr>
          <w:color w:val="auto"/>
          <w:highlight w:val="none"/>
        </w:rPr>
      </w:pPr>
      <w:r>
        <w:rPr>
          <w:rFonts w:hint="eastAsia"/>
          <w:color w:val="auto"/>
          <w:highlight w:val="none"/>
        </w:rPr>
        <w:t>我单位在参加本次采购活动前三年内在经营活动中没有《政府采购法》第二十二条第一款第（五）项所称重大违法记录，包括：</w:t>
      </w:r>
    </w:p>
    <w:p w14:paraId="6318EA07">
      <w:pPr>
        <w:ind w:firstLine="420" w:firstLineChars="200"/>
        <w:jc w:val="left"/>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14:paraId="1328DD7A">
      <w:pPr>
        <w:ind w:firstLine="420" w:firstLineChars="200"/>
        <w:jc w:val="left"/>
        <w:rPr>
          <w:color w:val="auto"/>
          <w:highlight w:val="none"/>
        </w:rPr>
      </w:pPr>
      <w:r>
        <w:rPr>
          <w:rFonts w:hint="eastAsia"/>
          <w:color w:val="auto"/>
          <w:highlight w:val="none"/>
        </w:rPr>
        <w:t>特此声明！</w:t>
      </w:r>
    </w:p>
    <w:p w14:paraId="7F2731EE">
      <w:pPr>
        <w:jc w:val="left"/>
        <w:rPr>
          <w:color w:val="auto"/>
          <w:highlight w:val="none"/>
        </w:rPr>
      </w:pPr>
    </w:p>
    <w:p w14:paraId="27BF6F3E">
      <w:pPr>
        <w:ind w:firstLine="630" w:firstLineChars="300"/>
        <w:jc w:val="left"/>
        <w:rPr>
          <w:color w:val="auto"/>
          <w:highlight w:val="none"/>
        </w:rPr>
      </w:pPr>
      <w:r>
        <w:rPr>
          <w:rFonts w:hint="eastAsia"/>
          <w:color w:val="auto"/>
          <w:highlight w:val="none"/>
        </w:rPr>
        <w:t>（请投标人根据实际情况如实声明，否则视为提供虚假材料。）</w:t>
      </w:r>
    </w:p>
    <w:p w14:paraId="39FE652F">
      <w:pPr>
        <w:jc w:val="left"/>
        <w:rPr>
          <w:color w:val="auto"/>
          <w:highlight w:val="none"/>
        </w:rPr>
      </w:pPr>
    </w:p>
    <w:p w14:paraId="549C2175">
      <w:pPr>
        <w:jc w:val="left"/>
        <w:rPr>
          <w:color w:val="auto"/>
          <w:highlight w:val="none"/>
        </w:rPr>
      </w:pPr>
      <w:r>
        <w:rPr>
          <w:rFonts w:hint="eastAsia"/>
          <w:color w:val="auto"/>
          <w:highlight w:val="none"/>
        </w:rPr>
        <w:t>投标人（全称并加盖公章）：</w:t>
      </w:r>
    </w:p>
    <w:p w14:paraId="0859F21E">
      <w:pPr>
        <w:jc w:val="left"/>
        <w:rPr>
          <w:color w:val="auto"/>
          <w:highlight w:val="none"/>
        </w:rPr>
      </w:pPr>
      <w:r>
        <w:rPr>
          <w:rFonts w:hint="eastAsia"/>
          <w:color w:val="auto"/>
          <w:highlight w:val="none"/>
        </w:rPr>
        <w:t>投标人代表（签字）：</w:t>
      </w:r>
    </w:p>
    <w:p w14:paraId="46256E10">
      <w:pPr>
        <w:jc w:val="left"/>
        <w:rPr>
          <w:color w:val="auto"/>
          <w:highlight w:val="none"/>
        </w:rPr>
      </w:pPr>
      <w:r>
        <w:rPr>
          <w:rFonts w:hint="eastAsia"/>
          <w:color w:val="auto"/>
          <w:highlight w:val="none"/>
        </w:rPr>
        <w:t>日期：</w:t>
      </w:r>
    </w:p>
    <w:p w14:paraId="56B292DC">
      <w:pPr>
        <w:rPr>
          <w:color w:val="auto"/>
          <w:highlight w:val="none"/>
        </w:rPr>
      </w:pPr>
    </w:p>
    <w:p w14:paraId="51FC9DAE">
      <w:pPr>
        <w:rPr>
          <w:color w:val="auto"/>
          <w:highlight w:val="none"/>
        </w:rPr>
      </w:pPr>
      <w:r>
        <w:rPr>
          <w:color w:val="auto"/>
          <w:highlight w:val="none"/>
        </w:rPr>
        <w:br w:type="page"/>
      </w:r>
    </w:p>
    <w:p w14:paraId="13CD9420">
      <w:pPr>
        <w:pStyle w:val="24"/>
        <w:rPr>
          <w:color w:val="auto"/>
          <w:highlight w:val="none"/>
        </w:rPr>
      </w:pPr>
    </w:p>
    <w:p w14:paraId="322144ED">
      <w:pPr>
        <w:rPr>
          <w:rFonts w:hint="eastAsia"/>
          <w:b/>
          <w:bCs w:val="0"/>
          <w:color w:val="auto"/>
          <w:sz w:val="28"/>
          <w:szCs w:val="28"/>
          <w:highlight w:val="none"/>
        </w:rPr>
      </w:pPr>
      <w:r>
        <w:rPr>
          <w:rFonts w:hint="eastAsia"/>
          <w:b/>
          <w:bCs w:val="0"/>
          <w:color w:val="auto"/>
          <w:sz w:val="28"/>
          <w:szCs w:val="28"/>
          <w:highlight w:val="none"/>
        </w:rPr>
        <w:t>格式4  具备法律、行政法规规定的其他条件的证明材料</w:t>
      </w:r>
    </w:p>
    <w:p w14:paraId="4E231977">
      <w:pPr>
        <w:rPr>
          <w:color w:val="auto"/>
          <w:highlight w:val="none"/>
        </w:rPr>
      </w:pPr>
      <w:r>
        <w:rPr>
          <w:rFonts w:hint="eastAsia"/>
          <w:color w:val="auto"/>
          <w:highlight w:val="none"/>
        </w:rPr>
        <w:t>根据资格条件要求提供相应材料。</w:t>
      </w:r>
    </w:p>
    <w:p w14:paraId="3CBE8A02">
      <w:pPr>
        <w:rPr>
          <w:color w:val="auto"/>
          <w:highlight w:val="none"/>
        </w:rPr>
      </w:pPr>
    </w:p>
    <w:p w14:paraId="4031BF51">
      <w:pPr>
        <w:rPr>
          <w:color w:val="auto"/>
          <w:highlight w:val="none"/>
        </w:rPr>
      </w:pPr>
      <w:r>
        <w:rPr>
          <w:color w:val="auto"/>
          <w:highlight w:val="none"/>
        </w:rPr>
        <w:br w:type="page"/>
      </w:r>
    </w:p>
    <w:p w14:paraId="59324E21">
      <w:pPr>
        <w:rPr>
          <w:rFonts w:hint="eastAsia"/>
          <w:b/>
          <w:bCs w:val="0"/>
          <w:color w:val="auto"/>
          <w:sz w:val="28"/>
          <w:szCs w:val="28"/>
          <w:highlight w:val="none"/>
        </w:rPr>
      </w:pPr>
      <w:r>
        <w:rPr>
          <w:rFonts w:hint="eastAsia"/>
          <w:b/>
          <w:bCs w:val="0"/>
          <w:color w:val="auto"/>
          <w:sz w:val="28"/>
          <w:szCs w:val="28"/>
          <w:highlight w:val="none"/>
        </w:rPr>
        <w:t xml:space="preserve">格式5  </w:t>
      </w:r>
      <w:bookmarkStart w:id="90" w:name="_Toc27885"/>
      <w:bookmarkStart w:id="91" w:name="_Toc3653"/>
      <w:bookmarkStart w:id="92" w:name="_Toc31681"/>
      <w:r>
        <w:rPr>
          <w:rFonts w:hint="eastAsia"/>
          <w:b/>
          <w:bCs w:val="0"/>
          <w:color w:val="auto"/>
          <w:sz w:val="28"/>
          <w:szCs w:val="28"/>
          <w:highlight w:val="none"/>
        </w:rPr>
        <w:t>其他资格证明文件（若有）</w:t>
      </w:r>
      <w:bookmarkEnd w:id="90"/>
      <w:bookmarkEnd w:id="91"/>
      <w:bookmarkEnd w:id="92"/>
    </w:p>
    <w:p w14:paraId="39253E56">
      <w:pPr>
        <w:rPr>
          <w:color w:val="auto"/>
          <w:highlight w:val="none"/>
        </w:rPr>
      </w:pPr>
    </w:p>
    <w:p w14:paraId="79043AB2">
      <w:pPr>
        <w:rPr>
          <w:color w:val="auto"/>
          <w:highlight w:val="none"/>
        </w:rPr>
      </w:pPr>
      <w:r>
        <w:rPr>
          <w:rFonts w:hint="eastAsia"/>
          <w:color w:val="auto"/>
          <w:highlight w:val="none"/>
        </w:rPr>
        <w:t>根据资格条件要求提供相应材料。</w:t>
      </w:r>
    </w:p>
    <w:p w14:paraId="530C9ADA">
      <w:pPr>
        <w:rPr>
          <w:color w:val="auto"/>
          <w:highlight w:val="none"/>
        </w:rPr>
      </w:pPr>
      <w:r>
        <w:rPr>
          <w:color w:val="auto"/>
          <w:highlight w:val="none"/>
        </w:rPr>
        <w:br w:type="page"/>
      </w:r>
    </w:p>
    <w:p w14:paraId="6226E729">
      <w:pPr>
        <w:rPr>
          <w:rFonts w:hint="eastAsia"/>
          <w:b/>
          <w:bCs w:val="0"/>
          <w:color w:val="auto"/>
          <w:sz w:val="28"/>
          <w:szCs w:val="28"/>
          <w:highlight w:val="none"/>
        </w:rPr>
      </w:pPr>
      <w:r>
        <w:rPr>
          <w:rFonts w:hint="eastAsia"/>
          <w:b/>
          <w:bCs w:val="0"/>
          <w:color w:val="auto"/>
          <w:sz w:val="28"/>
          <w:szCs w:val="28"/>
          <w:highlight w:val="none"/>
        </w:rPr>
        <w:t>格式</w:t>
      </w:r>
      <w:r>
        <w:rPr>
          <w:rFonts w:hint="eastAsia"/>
          <w:b/>
          <w:bCs w:val="0"/>
          <w:color w:val="auto"/>
          <w:sz w:val="28"/>
          <w:szCs w:val="28"/>
          <w:highlight w:val="none"/>
          <w:lang w:val="en-US" w:eastAsia="zh-CN"/>
        </w:rPr>
        <w:t>6</w:t>
      </w:r>
      <w:r>
        <w:rPr>
          <w:rFonts w:hint="eastAsia"/>
          <w:b/>
          <w:bCs w:val="0"/>
          <w:color w:val="auto"/>
          <w:sz w:val="28"/>
          <w:szCs w:val="28"/>
          <w:highlight w:val="none"/>
        </w:rPr>
        <w:t xml:space="preserve"> </w:t>
      </w:r>
      <w:r>
        <w:rPr>
          <w:rFonts w:hint="eastAsia"/>
          <w:b/>
          <w:bCs w:val="0"/>
          <w:color w:val="auto"/>
          <w:sz w:val="28"/>
          <w:szCs w:val="28"/>
          <w:highlight w:val="none"/>
          <w:lang w:val="en-US" w:eastAsia="zh-CN"/>
        </w:rPr>
        <w:t xml:space="preserve"> </w:t>
      </w:r>
      <w:r>
        <w:rPr>
          <w:rFonts w:hint="eastAsia"/>
          <w:b/>
          <w:bCs w:val="0"/>
          <w:color w:val="auto"/>
          <w:sz w:val="28"/>
          <w:szCs w:val="28"/>
          <w:highlight w:val="none"/>
        </w:rPr>
        <w:t>中小企业声明函</w:t>
      </w:r>
    </w:p>
    <w:p w14:paraId="456D8CEE">
      <w:pPr>
        <w:rPr>
          <w:rFonts w:hint="eastAsia"/>
          <w:b/>
          <w:bCs w:val="0"/>
          <w:color w:val="auto"/>
          <w:sz w:val="28"/>
          <w:szCs w:val="28"/>
          <w:highlight w:val="none"/>
        </w:rPr>
      </w:pPr>
    </w:p>
    <w:p w14:paraId="23FB86C8">
      <w:pPr>
        <w:rPr>
          <w:rFonts w:hint="eastAsia"/>
          <w:b/>
          <w:bCs w:val="0"/>
          <w:color w:val="auto"/>
          <w:sz w:val="28"/>
          <w:szCs w:val="28"/>
          <w:highlight w:val="none"/>
        </w:rPr>
      </w:pPr>
      <w:r>
        <w:rPr>
          <w:rFonts w:hint="eastAsia"/>
          <w:b/>
          <w:bCs w:val="0"/>
          <w:color w:val="auto"/>
          <w:sz w:val="28"/>
          <w:szCs w:val="28"/>
          <w:highlight w:val="none"/>
        </w:rPr>
        <w:t>中小企业声明函（服务）</w:t>
      </w:r>
    </w:p>
    <w:p w14:paraId="2FDAABEC">
      <w:pPr>
        <w:pStyle w:val="4"/>
        <w:ind w:firstLine="630" w:firstLineChars="300"/>
        <w:rPr>
          <w:color w:val="auto"/>
          <w:sz w:val="21"/>
          <w:szCs w:val="21"/>
          <w:highlight w:val="none"/>
        </w:rPr>
      </w:pPr>
      <w:r>
        <w:rPr>
          <w:rFonts w:hint="eastAsia"/>
          <w:color w:val="auto"/>
          <w:kern w:val="2"/>
          <w:sz w:val="21"/>
          <w:szCs w:val="21"/>
          <w:highlight w:val="none"/>
        </w:rPr>
        <w:t>本公司（联合体）</w:t>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郑重声明，根据《政府采购促进中小企业发展管理办法》（财库﹝</w:t>
      </w:r>
      <w:r>
        <w:rPr>
          <w:color w:val="auto"/>
          <w:kern w:val="2"/>
          <w:sz w:val="21"/>
          <w:szCs w:val="21"/>
          <w:highlight w:val="none"/>
        </w:rPr>
        <w:t>2020</w:t>
      </w:r>
      <w:r>
        <w:rPr>
          <w:rFonts w:hint="eastAsia"/>
          <w:color w:val="auto"/>
          <w:kern w:val="2"/>
          <w:sz w:val="21"/>
          <w:szCs w:val="21"/>
          <w:highlight w:val="none"/>
        </w:rPr>
        <w:t>﹞</w:t>
      </w:r>
      <w:r>
        <w:rPr>
          <w:color w:val="auto"/>
          <w:kern w:val="2"/>
          <w:sz w:val="21"/>
          <w:szCs w:val="21"/>
          <w:highlight w:val="none"/>
        </w:rPr>
        <w:t xml:space="preserve">46 </w:t>
      </w:r>
      <w:r>
        <w:rPr>
          <w:rFonts w:hint="eastAsia"/>
          <w:color w:val="auto"/>
          <w:kern w:val="2"/>
          <w:sz w:val="21"/>
          <w:szCs w:val="21"/>
          <w:highlight w:val="none"/>
        </w:rPr>
        <w:t>号）的规定，本公司（联合体）参加</w:t>
      </w:r>
      <w:r>
        <w:rPr>
          <w:rFonts w:hint="eastAsia"/>
          <w:color w:val="auto"/>
          <w:sz w:val="21"/>
          <w:szCs w:val="21"/>
          <w:highlight w:val="none"/>
          <w:u w:val="single"/>
          <w:lang w:eastAsia="zh-CN"/>
        </w:rPr>
        <w:t>国家税务总局来宾市兴宾区税务局2024年非执法类辅助性服务采购项目</w:t>
      </w:r>
      <w:r>
        <w:rPr>
          <w:rFonts w:hint="eastAsia"/>
          <w:color w:val="auto"/>
          <w:kern w:val="2"/>
          <w:sz w:val="21"/>
          <w:szCs w:val="21"/>
          <w:highlight w:val="none"/>
        </w:rPr>
        <w:t>采购活动，服务全部由符合政策要求的小</w:t>
      </w:r>
      <w:r>
        <w:rPr>
          <w:rFonts w:hint="eastAsia"/>
          <w:color w:val="auto"/>
          <w:kern w:val="2"/>
          <w:sz w:val="21"/>
          <w:szCs w:val="21"/>
          <w:highlight w:val="none"/>
          <w:lang w:val="en-US" w:eastAsia="zh-CN"/>
        </w:rPr>
        <w:t>微</w:t>
      </w:r>
      <w:r>
        <w:rPr>
          <w:rFonts w:hint="eastAsia"/>
          <w:color w:val="auto"/>
          <w:kern w:val="2"/>
          <w:sz w:val="21"/>
          <w:szCs w:val="21"/>
          <w:highlight w:val="none"/>
        </w:rPr>
        <w:t>企业承接。相关企业（含联合体中的中小企业、签订分包意向协议的中小企业）的具体情况如下：</w:t>
      </w:r>
    </w:p>
    <w:p w14:paraId="6F76AA65">
      <w:pPr>
        <w:pStyle w:val="4"/>
        <w:ind w:firstLine="420" w:firstLineChars="200"/>
        <w:rPr>
          <w:color w:val="auto"/>
          <w:sz w:val="21"/>
          <w:szCs w:val="21"/>
          <w:highlight w:val="none"/>
        </w:rPr>
      </w:pPr>
      <w:r>
        <w:rPr>
          <w:color w:val="auto"/>
          <w:kern w:val="2"/>
          <w:sz w:val="21"/>
          <w:szCs w:val="21"/>
          <w:highlight w:val="none"/>
        </w:rPr>
        <w:t>1.</w:t>
      </w:r>
      <w:r>
        <w:rPr>
          <w:rFonts w:hint="eastAsia"/>
          <w:color w:val="auto"/>
          <w:kern w:val="2"/>
          <w:sz w:val="21"/>
          <w:szCs w:val="21"/>
          <w:highlight w:val="none"/>
          <w:u w:val="single"/>
          <w:lang w:eastAsia="zh-CN"/>
        </w:rPr>
        <w:t>国家税务总局来宾市兴宾区税务局2024年非执法类辅助性服务采购项目</w:t>
      </w:r>
      <w:r>
        <w:rPr>
          <w:rFonts w:hint="eastAsia"/>
          <w:color w:val="auto"/>
          <w:kern w:val="2"/>
          <w:sz w:val="21"/>
          <w:szCs w:val="21"/>
          <w:highlight w:val="none"/>
        </w:rPr>
        <w:t>，属于</w:t>
      </w:r>
      <w:r>
        <w:rPr>
          <w:rFonts w:hint="eastAsia"/>
          <w:color w:val="auto"/>
          <w:kern w:val="2"/>
          <w:sz w:val="21"/>
          <w:szCs w:val="21"/>
          <w:highlight w:val="none"/>
          <w:u w:val="single"/>
          <w:lang w:eastAsia="zh-CN"/>
        </w:rPr>
        <w:t>租赁和商务服务业</w:t>
      </w:r>
      <w:r>
        <w:rPr>
          <w:rFonts w:hint="eastAsia"/>
          <w:color w:val="auto"/>
          <w:kern w:val="2"/>
          <w:sz w:val="21"/>
          <w:szCs w:val="21"/>
          <w:highlight w:val="none"/>
        </w:rPr>
        <w:t>；承建（承接）企业为</w:t>
      </w:r>
      <w:r>
        <w:rPr>
          <w:rFonts w:hint="eastAsia"/>
          <w:color w:val="auto"/>
          <w:kern w:val="2"/>
          <w:sz w:val="21"/>
          <w:szCs w:val="21"/>
          <w:highlight w:val="none"/>
          <w:u w:val="single"/>
        </w:rPr>
        <w:t>（企业名称）</w:t>
      </w:r>
      <w:r>
        <w:rPr>
          <w:rFonts w:hint="eastAsia"/>
          <w:color w:val="auto"/>
          <w:kern w:val="2"/>
          <w:sz w:val="21"/>
          <w:szCs w:val="21"/>
          <w:highlight w:val="none"/>
        </w:rPr>
        <w:t>，从业人员</w:t>
      </w:r>
      <w:r>
        <w:rPr>
          <w:color w:val="auto"/>
          <w:kern w:val="2"/>
          <w:sz w:val="21"/>
          <w:szCs w:val="21"/>
          <w:highlight w:val="none"/>
          <w:u w:val="single"/>
        </w:rPr>
        <w:tab/>
      </w:r>
      <w:r>
        <w:rPr>
          <w:rFonts w:hint="eastAsia"/>
          <w:color w:val="auto"/>
          <w:kern w:val="2"/>
          <w:sz w:val="21"/>
          <w:szCs w:val="21"/>
          <w:highlight w:val="none"/>
        </w:rPr>
        <w:t>人，营业收入为</w:t>
      </w:r>
      <w:r>
        <w:rPr>
          <w:color w:val="auto"/>
          <w:kern w:val="2"/>
          <w:sz w:val="21"/>
          <w:szCs w:val="21"/>
          <w:highlight w:val="none"/>
          <w:u w:val="single"/>
        </w:rPr>
        <w:tab/>
      </w:r>
      <w:r>
        <w:rPr>
          <w:rFonts w:hint="eastAsia"/>
          <w:color w:val="auto"/>
          <w:kern w:val="2"/>
          <w:sz w:val="21"/>
          <w:szCs w:val="21"/>
          <w:highlight w:val="none"/>
        </w:rPr>
        <w:t>万元，资产总额为</w:t>
      </w:r>
      <w:r>
        <w:rPr>
          <w:color w:val="auto"/>
          <w:kern w:val="2"/>
          <w:sz w:val="21"/>
          <w:szCs w:val="21"/>
          <w:highlight w:val="none"/>
          <w:u w:val="single"/>
        </w:rPr>
        <w:tab/>
      </w:r>
      <w:r>
        <w:rPr>
          <w:rFonts w:hint="eastAsia"/>
          <w:color w:val="auto"/>
          <w:kern w:val="2"/>
          <w:sz w:val="21"/>
          <w:szCs w:val="21"/>
          <w:highlight w:val="none"/>
        </w:rPr>
        <w:t>万元</w:t>
      </w:r>
      <w:r>
        <w:rPr>
          <w:color w:val="auto"/>
          <w:kern w:val="2"/>
          <w:sz w:val="21"/>
          <w:szCs w:val="21"/>
          <w:highlight w:val="none"/>
          <w:vertAlign w:val="superscript"/>
        </w:rPr>
        <w:t>1</w:t>
      </w:r>
      <w:r>
        <w:rPr>
          <w:rFonts w:hint="eastAsia"/>
          <w:color w:val="auto"/>
          <w:kern w:val="2"/>
          <w:sz w:val="21"/>
          <w:szCs w:val="21"/>
          <w:highlight w:val="none"/>
        </w:rPr>
        <w:t>，属</w:t>
      </w:r>
      <w:r>
        <w:rPr>
          <w:rFonts w:hint="eastAsia"/>
          <w:color w:val="auto"/>
          <w:kern w:val="2"/>
          <w:sz w:val="21"/>
          <w:szCs w:val="21"/>
          <w:highlight w:val="none"/>
          <w:u w:val="single"/>
        </w:rPr>
        <w:t>于（中型企业、小型企业、微型企业）</w:t>
      </w:r>
      <w:r>
        <w:rPr>
          <w:rFonts w:hint="eastAsia"/>
          <w:color w:val="auto"/>
          <w:kern w:val="2"/>
          <w:sz w:val="21"/>
          <w:szCs w:val="21"/>
          <w:highlight w:val="none"/>
        </w:rPr>
        <w:t>；</w:t>
      </w:r>
    </w:p>
    <w:p w14:paraId="1E6B8B10">
      <w:pPr>
        <w:pStyle w:val="4"/>
        <w:ind w:firstLine="420" w:firstLineChars="200"/>
        <w:rPr>
          <w:color w:val="auto"/>
          <w:sz w:val="21"/>
          <w:szCs w:val="21"/>
          <w:highlight w:val="none"/>
        </w:rPr>
      </w:pPr>
      <w:r>
        <w:rPr>
          <w:color w:val="auto"/>
          <w:kern w:val="2"/>
          <w:sz w:val="21"/>
          <w:szCs w:val="21"/>
          <w:highlight w:val="none"/>
        </w:rPr>
        <w:t>2.</w:t>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（标的名称），属于（</w:t>
      </w:r>
      <w:r>
        <w:rPr>
          <w:rFonts w:hint="eastAsia"/>
          <w:color w:val="auto"/>
          <w:kern w:val="2"/>
          <w:sz w:val="21"/>
          <w:szCs w:val="21"/>
          <w:highlight w:val="none"/>
          <w:u w:val="single"/>
        </w:rPr>
        <w:t>采购文件中明确的所属行业）</w:t>
      </w:r>
      <w:r>
        <w:rPr>
          <w:rFonts w:hint="eastAsia"/>
          <w:color w:val="auto"/>
          <w:kern w:val="2"/>
          <w:sz w:val="21"/>
          <w:szCs w:val="21"/>
          <w:highlight w:val="none"/>
        </w:rPr>
        <w:t>；承建（承接）企业为</w:t>
      </w:r>
      <w:r>
        <w:rPr>
          <w:rFonts w:hint="eastAsia"/>
          <w:color w:val="auto"/>
          <w:kern w:val="2"/>
          <w:sz w:val="21"/>
          <w:szCs w:val="21"/>
          <w:highlight w:val="none"/>
          <w:u w:val="single"/>
        </w:rPr>
        <w:t>（企业名称）</w:t>
      </w:r>
      <w:r>
        <w:rPr>
          <w:rFonts w:hint="eastAsia"/>
          <w:color w:val="auto"/>
          <w:kern w:val="2"/>
          <w:sz w:val="21"/>
          <w:szCs w:val="21"/>
          <w:highlight w:val="none"/>
        </w:rPr>
        <w:t>，从业人员</w:t>
      </w:r>
      <w:r>
        <w:rPr>
          <w:color w:val="auto"/>
          <w:kern w:val="2"/>
          <w:sz w:val="21"/>
          <w:szCs w:val="21"/>
          <w:highlight w:val="none"/>
          <w:u w:val="single"/>
        </w:rPr>
        <w:tab/>
      </w:r>
      <w:r>
        <w:rPr>
          <w:rFonts w:hint="eastAsia"/>
          <w:color w:val="auto"/>
          <w:kern w:val="2"/>
          <w:sz w:val="21"/>
          <w:szCs w:val="21"/>
          <w:highlight w:val="none"/>
        </w:rPr>
        <w:t>人，营业收入为</w:t>
      </w:r>
      <w:r>
        <w:rPr>
          <w:color w:val="auto"/>
          <w:kern w:val="2"/>
          <w:sz w:val="21"/>
          <w:szCs w:val="21"/>
          <w:highlight w:val="none"/>
          <w:u w:val="single"/>
        </w:rPr>
        <w:tab/>
      </w:r>
      <w:r>
        <w:rPr>
          <w:rFonts w:hint="eastAsia"/>
          <w:color w:val="auto"/>
          <w:kern w:val="2"/>
          <w:sz w:val="21"/>
          <w:szCs w:val="21"/>
          <w:highlight w:val="none"/>
        </w:rPr>
        <w:t>万元，资产总额为</w:t>
      </w:r>
      <w:r>
        <w:rPr>
          <w:color w:val="auto"/>
          <w:kern w:val="2"/>
          <w:sz w:val="21"/>
          <w:szCs w:val="21"/>
          <w:highlight w:val="none"/>
          <w:u w:val="single"/>
        </w:rPr>
        <w:tab/>
      </w:r>
      <w:r>
        <w:rPr>
          <w:rFonts w:hint="eastAsia"/>
          <w:color w:val="auto"/>
          <w:kern w:val="2"/>
          <w:sz w:val="21"/>
          <w:szCs w:val="21"/>
          <w:highlight w:val="none"/>
        </w:rPr>
        <w:t>万元</w:t>
      </w:r>
      <w:r>
        <w:rPr>
          <w:color w:val="auto"/>
          <w:kern w:val="2"/>
          <w:sz w:val="21"/>
          <w:szCs w:val="21"/>
          <w:highlight w:val="none"/>
          <w:vertAlign w:val="superscript"/>
        </w:rPr>
        <w:t>1</w:t>
      </w:r>
      <w:r>
        <w:rPr>
          <w:rFonts w:hint="eastAsia"/>
          <w:color w:val="auto"/>
          <w:kern w:val="2"/>
          <w:sz w:val="21"/>
          <w:szCs w:val="21"/>
          <w:highlight w:val="none"/>
        </w:rPr>
        <w:t>，属于</w:t>
      </w:r>
      <w:r>
        <w:rPr>
          <w:rFonts w:hint="eastAsia"/>
          <w:color w:val="auto"/>
          <w:kern w:val="2"/>
          <w:sz w:val="21"/>
          <w:szCs w:val="21"/>
          <w:highlight w:val="none"/>
          <w:u w:val="single"/>
        </w:rPr>
        <w:t>（中型企业、小型企业、微型企业）</w:t>
      </w:r>
      <w:r>
        <w:rPr>
          <w:rFonts w:hint="eastAsia"/>
          <w:color w:val="auto"/>
          <w:kern w:val="2"/>
          <w:sz w:val="21"/>
          <w:szCs w:val="21"/>
          <w:highlight w:val="none"/>
        </w:rPr>
        <w:t>；</w:t>
      </w:r>
    </w:p>
    <w:p w14:paraId="7B7889AE">
      <w:pPr>
        <w:pStyle w:val="4"/>
        <w:rPr>
          <w:color w:val="auto"/>
          <w:sz w:val="21"/>
          <w:szCs w:val="21"/>
          <w:highlight w:val="none"/>
        </w:rPr>
      </w:pPr>
      <w:r>
        <w:rPr>
          <w:color w:val="auto"/>
          <w:kern w:val="2"/>
          <w:sz w:val="21"/>
          <w:szCs w:val="21"/>
          <w:highlight w:val="none"/>
        </w:rPr>
        <w:t>……</w:t>
      </w:r>
    </w:p>
    <w:p w14:paraId="2C6646BE">
      <w:pPr>
        <w:pStyle w:val="4"/>
        <w:ind w:firstLine="420" w:firstLineChars="200"/>
        <w:rPr>
          <w:color w:val="auto"/>
          <w:sz w:val="21"/>
          <w:szCs w:val="21"/>
          <w:highlight w:val="none"/>
        </w:rPr>
      </w:pPr>
      <w:r>
        <w:rPr>
          <w:rFonts w:hint="eastAsia"/>
          <w:color w:val="auto"/>
          <w:kern w:val="2"/>
          <w:sz w:val="21"/>
          <w:szCs w:val="21"/>
          <w:highlight w:val="none"/>
        </w:rPr>
        <w:t>以上企业，不属于大企业的分支机构，不存在控股股东为大企业的情形，也不存在与大企业的负责人为同一人的情形。</w:t>
      </w:r>
    </w:p>
    <w:p w14:paraId="0C2739D5">
      <w:pPr>
        <w:pStyle w:val="4"/>
        <w:ind w:firstLine="420" w:firstLineChars="200"/>
        <w:rPr>
          <w:color w:val="auto"/>
          <w:sz w:val="21"/>
          <w:szCs w:val="21"/>
          <w:highlight w:val="none"/>
        </w:rPr>
      </w:pPr>
      <w:r>
        <w:rPr>
          <w:rFonts w:hint="eastAsia"/>
          <w:color w:val="auto"/>
          <w:kern w:val="2"/>
          <w:sz w:val="21"/>
          <w:szCs w:val="21"/>
          <w:highlight w:val="none"/>
        </w:rPr>
        <w:t>本企业对上述声明内容的真实性负责。如有虚假，将依法承担相应责任。</w:t>
      </w:r>
    </w:p>
    <w:p w14:paraId="680FE6EC">
      <w:pPr>
        <w:pStyle w:val="4"/>
        <w:rPr>
          <w:color w:val="auto"/>
          <w:sz w:val="21"/>
          <w:szCs w:val="21"/>
          <w:highlight w:val="none"/>
        </w:rPr>
      </w:pPr>
    </w:p>
    <w:p w14:paraId="3A904670">
      <w:pPr>
        <w:pStyle w:val="4"/>
        <w:rPr>
          <w:color w:val="auto"/>
          <w:sz w:val="21"/>
          <w:szCs w:val="21"/>
          <w:highlight w:val="none"/>
        </w:rPr>
      </w:pPr>
    </w:p>
    <w:p w14:paraId="33C7D7AA">
      <w:pPr>
        <w:rPr>
          <w:color w:val="auto"/>
          <w:sz w:val="21"/>
          <w:szCs w:val="21"/>
          <w:highlight w:val="none"/>
        </w:rPr>
      </w:pPr>
      <w:r>
        <w:rPr>
          <w:rFonts w:hint="eastAsia"/>
          <w:color w:val="auto"/>
          <w:sz w:val="21"/>
          <w:szCs w:val="21"/>
          <w:highlight w:val="none"/>
        </w:rPr>
        <w:t>投标人（全称并加盖公章）：</w:t>
      </w:r>
    </w:p>
    <w:p w14:paraId="791076B2">
      <w:pPr>
        <w:rPr>
          <w:color w:val="auto"/>
          <w:sz w:val="21"/>
          <w:szCs w:val="21"/>
          <w:highlight w:val="none"/>
        </w:rPr>
      </w:pPr>
      <w:r>
        <w:rPr>
          <w:rFonts w:hint="eastAsia"/>
          <w:color w:val="auto"/>
          <w:sz w:val="21"/>
          <w:szCs w:val="21"/>
          <w:highlight w:val="none"/>
        </w:rPr>
        <w:t>日期：</w:t>
      </w:r>
    </w:p>
    <w:p w14:paraId="221BEC1A">
      <w:pPr>
        <w:rPr>
          <w:color w:val="auto"/>
          <w:highlight w:val="none"/>
        </w:rPr>
      </w:pPr>
    </w:p>
    <w:p w14:paraId="72FFFDAB">
      <w:pPr>
        <w:rPr>
          <w:color w:val="auto"/>
          <w:highlight w:val="none"/>
        </w:rPr>
      </w:pPr>
      <w:r>
        <w:rPr>
          <w:rFonts w:hint="eastAsia"/>
          <w:color w:val="auto"/>
          <w:highlight w:val="none"/>
        </w:rPr>
        <w:t>1从业人员、营业收入、资产总额填报上一年度数据，无上一年度数据的新成立企业可不填报。</w:t>
      </w:r>
    </w:p>
    <w:p w14:paraId="4116E54A">
      <w:pPr>
        <w:pStyle w:val="4"/>
        <w:rPr>
          <w:color w:val="auto"/>
          <w:highlight w:val="none"/>
        </w:rPr>
      </w:pPr>
    </w:p>
    <w:p w14:paraId="605E55FD">
      <w:pPr>
        <w:rPr>
          <w:rFonts w:hAnsi="宋体" w:cs="宋体"/>
          <w:color w:val="auto"/>
          <w:sz w:val="28"/>
          <w:szCs w:val="28"/>
          <w:highlight w:val="none"/>
        </w:rPr>
      </w:pPr>
      <w:r>
        <w:rPr>
          <w:color w:val="auto"/>
          <w:highlight w:val="none"/>
        </w:rPr>
        <w:br w:type="page"/>
      </w:r>
    </w:p>
    <w:p w14:paraId="6BB17089">
      <w:pPr>
        <w:pStyle w:val="11"/>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bidi="ar-SA"/>
        </w:rPr>
        <w:t>格式</w:t>
      </w:r>
      <w:r>
        <w:rPr>
          <w:rFonts w:hint="eastAsia" w:asciiTheme="minorEastAsia" w:hAnsiTheme="minorEastAsia" w:cstheme="minorEastAsia"/>
          <w:b/>
          <w:bCs w:val="0"/>
          <w:color w:val="auto"/>
          <w:sz w:val="28"/>
          <w:szCs w:val="28"/>
          <w:highlight w:val="none"/>
          <w:lang w:val="en-US" w:eastAsia="zh-CN" w:bidi="ar-SA"/>
        </w:rPr>
        <w:t>7</w:t>
      </w:r>
      <w:r>
        <w:rPr>
          <w:rFonts w:hint="eastAsia" w:asciiTheme="minorEastAsia" w:hAnsiTheme="minorEastAsia" w:eastAsiaTheme="minorEastAsia" w:cstheme="minorEastAsia"/>
          <w:b/>
          <w:bCs w:val="0"/>
          <w:color w:val="auto"/>
          <w:sz w:val="28"/>
          <w:szCs w:val="28"/>
          <w:highlight w:val="none"/>
          <w:lang w:val="en-US" w:eastAsia="zh-CN" w:bidi="ar-SA"/>
        </w:rPr>
        <w:t xml:space="preserve">  监狱企业的证明材料文件</w:t>
      </w:r>
    </w:p>
    <w:p w14:paraId="7D1AAE0C">
      <w:pPr>
        <w:pStyle w:val="11"/>
        <w:jc w:val="left"/>
        <w:rPr>
          <w:color w:val="auto"/>
          <w:highlight w:val="none"/>
        </w:rPr>
      </w:pPr>
      <w:r>
        <w:rPr>
          <w:rFonts w:hint="eastAsia"/>
          <w:color w:val="auto"/>
          <w:highlight w:val="none"/>
        </w:rPr>
        <w:t>说明：</w:t>
      </w:r>
    </w:p>
    <w:p w14:paraId="24F3A6F3">
      <w:pPr>
        <w:pStyle w:val="11"/>
        <w:ind w:firstLine="420" w:firstLineChars="200"/>
        <w:jc w:val="left"/>
        <w:rPr>
          <w:color w:val="auto"/>
          <w:highlight w:val="none"/>
        </w:rPr>
      </w:pPr>
      <w:r>
        <w:rPr>
          <w:rFonts w:hint="eastAsia"/>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14:paraId="1889DEE2">
      <w:pPr>
        <w:pStyle w:val="11"/>
        <w:ind w:firstLine="420" w:firstLineChars="200"/>
        <w:jc w:val="left"/>
        <w:rPr>
          <w:color w:val="auto"/>
          <w:highlight w:val="none"/>
        </w:rPr>
      </w:pPr>
      <w:r>
        <w:rPr>
          <w:rFonts w:hint="eastAsia"/>
          <w:color w:val="auto"/>
          <w:highlight w:val="none"/>
        </w:rPr>
        <w:t>2.未按上述要求提供、填写的，评标时不予以考虑。</w:t>
      </w:r>
    </w:p>
    <w:p w14:paraId="7BBA5C60">
      <w:pPr>
        <w:pStyle w:val="11"/>
        <w:ind w:firstLine="840" w:firstLineChars="400"/>
        <w:jc w:val="left"/>
        <w:rPr>
          <w:color w:val="auto"/>
          <w:highlight w:val="none"/>
        </w:rPr>
      </w:pPr>
      <w:r>
        <w:rPr>
          <w:color w:val="auto"/>
          <w:highlight w:val="none"/>
        </w:rPr>
        <w:t>(</w:t>
      </w:r>
      <w:r>
        <w:rPr>
          <w:rFonts w:hint="eastAsia"/>
          <w:color w:val="auto"/>
          <w:highlight w:val="none"/>
        </w:rPr>
        <w:t>示例略</w:t>
      </w:r>
      <w:r>
        <w:rPr>
          <w:color w:val="auto"/>
          <w:highlight w:val="none"/>
        </w:rPr>
        <w:t>)</w:t>
      </w:r>
    </w:p>
    <w:p w14:paraId="3BCBACCD">
      <w:pPr>
        <w:rPr>
          <w:color w:val="auto"/>
          <w:highlight w:val="none"/>
        </w:rPr>
      </w:pPr>
    </w:p>
    <w:p w14:paraId="462BB400">
      <w:pPr>
        <w:pStyle w:val="11"/>
        <w:rPr>
          <w:rFonts w:hint="eastAsia" w:asciiTheme="minorEastAsia" w:hAnsiTheme="minorEastAsia" w:eastAsiaTheme="minorEastAsia" w:cstheme="minorEastAsia"/>
          <w:b/>
          <w:bCs w:val="0"/>
          <w:color w:val="auto"/>
          <w:sz w:val="28"/>
          <w:szCs w:val="28"/>
          <w:highlight w:val="none"/>
          <w:lang w:val="en-US" w:eastAsia="zh-CN" w:bidi="ar-SA"/>
        </w:rPr>
      </w:pPr>
    </w:p>
    <w:p w14:paraId="5F91822A">
      <w:pPr>
        <w:pStyle w:val="11"/>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bidi="ar-SA"/>
        </w:rPr>
        <w:t>格式</w:t>
      </w:r>
      <w:r>
        <w:rPr>
          <w:rFonts w:hint="eastAsia" w:asciiTheme="minorEastAsia" w:hAnsiTheme="minorEastAsia" w:cstheme="minorEastAsia"/>
          <w:b/>
          <w:bCs w:val="0"/>
          <w:color w:val="auto"/>
          <w:sz w:val="28"/>
          <w:szCs w:val="28"/>
          <w:highlight w:val="none"/>
          <w:lang w:val="en-US" w:eastAsia="zh-CN" w:bidi="ar-SA"/>
        </w:rPr>
        <w:t>8</w:t>
      </w:r>
      <w:r>
        <w:rPr>
          <w:rFonts w:hint="eastAsia" w:asciiTheme="minorEastAsia" w:hAnsiTheme="minorEastAsia" w:eastAsiaTheme="minorEastAsia" w:cstheme="minorEastAsia"/>
          <w:b/>
          <w:bCs w:val="0"/>
          <w:color w:val="auto"/>
          <w:sz w:val="28"/>
          <w:szCs w:val="28"/>
          <w:highlight w:val="none"/>
          <w:lang w:val="en-US" w:eastAsia="zh-CN" w:bidi="ar-SA"/>
        </w:rPr>
        <w:t xml:space="preserve">  残疾人福利性单位声明函</w:t>
      </w:r>
    </w:p>
    <w:p w14:paraId="6FA43D5F">
      <w:pPr>
        <w:jc w:val="left"/>
        <w:rPr>
          <w:color w:val="auto"/>
          <w:highlight w:val="none"/>
        </w:rPr>
      </w:pPr>
      <w:r>
        <w:rPr>
          <w:rFonts w:hint="eastAsia"/>
          <w:color w:val="auto"/>
          <w:highlight w:val="none"/>
          <w:lang w:val="en-US" w:eastAsia="zh-CN"/>
        </w:rPr>
        <w:t xml:space="preserve">   </w:t>
      </w: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4440F5">
      <w:pPr>
        <w:jc w:val="left"/>
        <w:rPr>
          <w:color w:val="auto"/>
          <w:highlight w:val="none"/>
        </w:rPr>
      </w:pPr>
      <w:r>
        <w:rPr>
          <w:rFonts w:hint="eastAsia"/>
          <w:color w:val="auto"/>
          <w:highlight w:val="none"/>
        </w:rPr>
        <w:t>本单位对上述声明的真实性负责。如有虚假，将依法承担相应责任。</w:t>
      </w:r>
    </w:p>
    <w:p w14:paraId="689C232E">
      <w:pPr>
        <w:jc w:val="left"/>
        <w:rPr>
          <w:color w:val="auto"/>
          <w:highlight w:val="none"/>
        </w:rPr>
      </w:pPr>
    </w:p>
    <w:p w14:paraId="3751B173">
      <w:pPr>
        <w:ind w:firstLine="420" w:firstLineChars="200"/>
        <w:jc w:val="left"/>
        <w:rPr>
          <w:color w:val="auto"/>
          <w:highlight w:val="none"/>
        </w:rPr>
      </w:pPr>
      <w:r>
        <w:rPr>
          <w:rFonts w:hint="eastAsia"/>
          <w:color w:val="auto"/>
          <w:highlight w:val="none"/>
        </w:rPr>
        <w:t>投标人（全称并加盖公章）：</w:t>
      </w:r>
    </w:p>
    <w:p w14:paraId="5C76E70D">
      <w:pPr>
        <w:ind w:firstLine="420" w:firstLineChars="200"/>
        <w:jc w:val="left"/>
        <w:rPr>
          <w:color w:val="auto"/>
          <w:highlight w:val="none"/>
        </w:rPr>
      </w:pPr>
      <w:r>
        <w:rPr>
          <w:rFonts w:hint="eastAsia"/>
          <w:color w:val="auto"/>
          <w:highlight w:val="none"/>
        </w:rPr>
        <w:t>日期：</w:t>
      </w:r>
    </w:p>
    <w:p w14:paraId="311E66EE">
      <w:pPr>
        <w:rPr>
          <w:color w:val="auto"/>
          <w:highlight w:val="none"/>
        </w:rPr>
      </w:pPr>
    </w:p>
    <w:p w14:paraId="416C7105">
      <w:pPr>
        <w:rPr>
          <w:rFonts w:hint="eastAsia"/>
          <w:b/>
          <w:bCs w:val="0"/>
          <w:color w:val="auto"/>
          <w:sz w:val="28"/>
          <w:szCs w:val="28"/>
          <w:highlight w:val="none"/>
        </w:rPr>
      </w:pPr>
    </w:p>
    <w:p w14:paraId="0FD057F9">
      <w:pPr>
        <w:rPr>
          <w:rFonts w:hint="eastAsia"/>
          <w:b/>
          <w:bCs w:val="0"/>
          <w:color w:val="auto"/>
          <w:sz w:val="28"/>
          <w:szCs w:val="28"/>
          <w:highlight w:val="none"/>
        </w:rPr>
      </w:pPr>
    </w:p>
    <w:p w14:paraId="5C67A771">
      <w:pPr>
        <w:rPr>
          <w:rFonts w:hint="eastAsia"/>
          <w:b/>
          <w:bCs w:val="0"/>
          <w:color w:val="auto"/>
          <w:sz w:val="28"/>
          <w:szCs w:val="28"/>
          <w:highlight w:val="none"/>
        </w:rPr>
      </w:pPr>
    </w:p>
    <w:p w14:paraId="195ECEA0">
      <w:pPr>
        <w:rPr>
          <w:rFonts w:hint="eastAsia"/>
          <w:b/>
          <w:bCs w:val="0"/>
          <w:color w:val="auto"/>
          <w:sz w:val="28"/>
          <w:szCs w:val="28"/>
          <w:highlight w:val="none"/>
        </w:rPr>
      </w:pPr>
    </w:p>
    <w:p w14:paraId="0C343B32">
      <w:pPr>
        <w:rPr>
          <w:rFonts w:hint="eastAsia"/>
          <w:b/>
          <w:bCs w:val="0"/>
          <w:color w:val="auto"/>
          <w:sz w:val="28"/>
          <w:szCs w:val="28"/>
          <w:highlight w:val="none"/>
        </w:rPr>
      </w:pPr>
      <w:r>
        <w:rPr>
          <w:rFonts w:hint="eastAsia"/>
          <w:b/>
          <w:bCs w:val="0"/>
          <w:color w:val="auto"/>
          <w:sz w:val="28"/>
          <w:szCs w:val="28"/>
          <w:highlight w:val="none"/>
        </w:rPr>
        <w:t xml:space="preserve"> </w:t>
      </w:r>
    </w:p>
    <w:p w14:paraId="60284F31">
      <w:pPr>
        <w:rPr>
          <w:rFonts w:hint="eastAsia" w:asciiTheme="minorEastAsia" w:hAnsiTheme="minorEastAsia" w:eastAsiaTheme="minorEastAsia" w:cstheme="minorEastAsia"/>
          <w:b/>
          <w:bCs w:val="0"/>
          <w:color w:val="auto"/>
          <w:sz w:val="28"/>
          <w:szCs w:val="28"/>
          <w:highlight w:val="none"/>
          <w:lang w:val="en-US" w:eastAsia="zh-CN" w:bidi="ar-SA"/>
        </w:rPr>
      </w:pPr>
    </w:p>
    <w:p w14:paraId="580C24BB">
      <w:pPr>
        <w:rPr>
          <w:rFonts w:hint="eastAsia" w:asciiTheme="minorEastAsia" w:hAnsiTheme="minorEastAsia" w:eastAsiaTheme="minorEastAsia" w:cstheme="minorEastAsia"/>
          <w:b/>
          <w:bCs w:val="0"/>
          <w:color w:val="auto"/>
          <w:sz w:val="28"/>
          <w:szCs w:val="28"/>
          <w:highlight w:val="none"/>
          <w:lang w:val="en-US" w:eastAsia="zh-CN" w:bidi="ar-SA"/>
        </w:rPr>
      </w:pPr>
    </w:p>
    <w:p w14:paraId="2DC6C279">
      <w:pPr>
        <w:rPr>
          <w:rFonts w:hint="eastAsia" w:asciiTheme="minorEastAsia" w:hAnsiTheme="minorEastAsia" w:eastAsiaTheme="minorEastAsia" w:cstheme="minorEastAsia"/>
          <w:b/>
          <w:bCs w:val="0"/>
          <w:color w:val="auto"/>
          <w:sz w:val="28"/>
          <w:szCs w:val="28"/>
          <w:highlight w:val="none"/>
          <w:lang w:val="en-US" w:eastAsia="zh-CN" w:bidi="ar-SA"/>
        </w:rPr>
      </w:pPr>
    </w:p>
    <w:p w14:paraId="3E22B951">
      <w:pPr>
        <w:rPr>
          <w:rFonts w:hint="eastAsia" w:asciiTheme="minorEastAsia" w:hAnsiTheme="minorEastAsia" w:eastAsiaTheme="minorEastAsia" w:cstheme="minorEastAsia"/>
          <w:b/>
          <w:bCs w:val="0"/>
          <w:color w:val="auto"/>
          <w:sz w:val="28"/>
          <w:szCs w:val="28"/>
          <w:highlight w:val="none"/>
          <w:lang w:val="en-US" w:eastAsia="zh-CN" w:bidi="ar-SA"/>
        </w:rPr>
      </w:pPr>
    </w:p>
    <w:p w14:paraId="36C05658">
      <w:pPr>
        <w:rPr>
          <w:rFonts w:hint="eastAsia" w:asciiTheme="minorEastAsia" w:hAnsiTheme="minorEastAsia" w:eastAsiaTheme="minorEastAsia" w:cstheme="minorEastAsia"/>
          <w:b/>
          <w:bCs w:val="0"/>
          <w:color w:val="auto"/>
          <w:sz w:val="28"/>
          <w:szCs w:val="28"/>
          <w:highlight w:val="none"/>
          <w:lang w:val="en-US" w:eastAsia="zh-CN" w:bidi="ar-SA"/>
        </w:rPr>
      </w:pPr>
    </w:p>
    <w:p w14:paraId="704E9AAF">
      <w:pPr>
        <w:rPr>
          <w:rFonts w:hint="eastAsia" w:asciiTheme="minorEastAsia" w:hAnsiTheme="minorEastAsia" w:eastAsiaTheme="minorEastAsia" w:cstheme="minorEastAsia"/>
          <w:b/>
          <w:bCs w:val="0"/>
          <w:color w:val="auto"/>
          <w:sz w:val="28"/>
          <w:szCs w:val="28"/>
          <w:highlight w:val="none"/>
          <w:lang w:val="en-US" w:eastAsia="zh-CN" w:bidi="ar-SA"/>
        </w:rPr>
      </w:pPr>
    </w:p>
    <w:p w14:paraId="135AEC39">
      <w:pPr>
        <w:rPr>
          <w:rFonts w:hint="eastAsia" w:asciiTheme="minorEastAsia" w:hAnsiTheme="minorEastAsia" w:eastAsiaTheme="minorEastAsia" w:cstheme="minorEastAsia"/>
          <w:b/>
          <w:bCs w:val="0"/>
          <w:color w:val="auto"/>
          <w:sz w:val="28"/>
          <w:szCs w:val="28"/>
          <w:highlight w:val="none"/>
          <w:lang w:val="en-US" w:eastAsia="zh-CN" w:bidi="ar-SA"/>
        </w:rPr>
      </w:pPr>
    </w:p>
    <w:p w14:paraId="1642C606">
      <w:pPr>
        <w:rPr>
          <w:rFonts w:hint="eastAsia"/>
          <w:b/>
          <w:bCs w:val="0"/>
          <w:color w:val="auto"/>
          <w:sz w:val="28"/>
          <w:szCs w:val="28"/>
          <w:highlight w:val="none"/>
        </w:rPr>
      </w:pPr>
      <w:r>
        <w:rPr>
          <w:rFonts w:hint="eastAsia" w:asciiTheme="minorEastAsia" w:hAnsiTheme="minorEastAsia" w:eastAsiaTheme="minorEastAsia" w:cstheme="minorEastAsia"/>
          <w:b/>
          <w:bCs w:val="0"/>
          <w:color w:val="auto"/>
          <w:sz w:val="28"/>
          <w:szCs w:val="28"/>
          <w:highlight w:val="none"/>
          <w:lang w:val="en-US" w:eastAsia="zh-CN" w:bidi="ar-SA"/>
        </w:rPr>
        <w:t>格式</w:t>
      </w:r>
      <w:r>
        <w:rPr>
          <w:rFonts w:hint="eastAsia" w:cstheme="minorEastAsia"/>
          <w:b/>
          <w:bCs w:val="0"/>
          <w:color w:val="auto"/>
          <w:sz w:val="28"/>
          <w:szCs w:val="28"/>
          <w:highlight w:val="none"/>
          <w:lang w:val="en-US" w:eastAsia="zh-CN" w:bidi="ar-SA"/>
        </w:rPr>
        <w:t xml:space="preserve">9 </w:t>
      </w:r>
      <w:r>
        <w:rPr>
          <w:rFonts w:hint="eastAsia"/>
          <w:b/>
          <w:bCs w:val="0"/>
          <w:color w:val="auto"/>
          <w:sz w:val="28"/>
          <w:szCs w:val="28"/>
          <w:highlight w:val="none"/>
        </w:rPr>
        <w:t>投标报价表</w:t>
      </w:r>
    </w:p>
    <w:bookmarkEnd w:id="88"/>
    <w:bookmarkEnd w:id="89"/>
    <w:p w14:paraId="5575AC34">
      <w:pPr>
        <w:rPr>
          <w:rFonts w:hint="eastAsia"/>
          <w:b/>
          <w:bCs w:val="0"/>
          <w:color w:val="auto"/>
          <w:sz w:val="28"/>
          <w:szCs w:val="28"/>
          <w:highlight w:val="none"/>
        </w:rPr>
      </w:pPr>
      <w:bookmarkStart w:id="93" w:name="_Toc31123"/>
      <w:bookmarkStart w:id="94" w:name="_Toc6139"/>
      <w:bookmarkStart w:id="95" w:name="_Toc23236"/>
      <w:r>
        <w:rPr>
          <w:rFonts w:hint="eastAsia"/>
          <w:b/>
          <w:bCs w:val="0"/>
          <w:color w:val="auto"/>
          <w:sz w:val="28"/>
          <w:szCs w:val="28"/>
          <w:highlight w:val="none"/>
        </w:rPr>
        <w:t>1.开标一览表（总报价表）</w:t>
      </w:r>
      <w:bookmarkEnd w:id="93"/>
      <w:bookmarkEnd w:id="94"/>
      <w:bookmarkEnd w:id="95"/>
    </w:p>
    <w:p w14:paraId="7E66B4E0">
      <w:pPr>
        <w:pStyle w:val="11"/>
        <w:rPr>
          <w:color w:val="auto"/>
          <w:highlight w:val="none"/>
        </w:rPr>
      </w:pPr>
      <w:r>
        <w:rPr>
          <w:rFonts w:hint="eastAsia"/>
          <w:color w:val="auto"/>
          <w:highlight w:val="none"/>
        </w:rPr>
        <w:t>(服务类项目适用)</w:t>
      </w:r>
    </w:p>
    <w:p w14:paraId="4CE547D3">
      <w:pPr>
        <w:ind w:firstLine="1260" w:firstLineChars="600"/>
        <w:jc w:val="both"/>
        <w:rPr>
          <w:color w:val="auto"/>
          <w:highlight w:val="none"/>
        </w:rPr>
      </w:pPr>
      <w:r>
        <w:rPr>
          <w:rFonts w:hint="eastAsia"/>
          <w:color w:val="auto"/>
          <w:highlight w:val="none"/>
        </w:rPr>
        <w:t>项目名称：</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项目编号：</w:t>
      </w:r>
    </w:p>
    <w:p w14:paraId="573249FE">
      <w:pPr>
        <w:rPr>
          <w:color w:val="auto"/>
          <w:w w:val="150"/>
          <w:highlight w:val="none"/>
        </w:rPr>
      </w:pPr>
      <w:r>
        <w:rPr>
          <w:rFonts w:hint="eastAsia"/>
          <w:color w:val="auto"/>
          <w:highlight w:val="none"/>
        </w:rPr>
        <w:t>采购包号：                                  价格单位：人民币：元</w:t>
      </w:r>
    </w:p>
    <w:tbl>
      <w:tblPr>
        <w:tblStyle w:val="1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283"/>
        <w:gridCol w:w="3172"/>
      </w:tblGrid>
      <w:tr w14:paraId="273E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14:paraId="4DEB4595">
            <w:pPr>
              <w:rPr>
                <w:color w:val="auto"/>
                <w:highlight w:val="none"/>
              </w:rPr>
            </w:pPr>
            <w:r>
              <w:rPr>
                <w:color w:val="auto"/>
                <w:highlight w:val="none"/>
              </w:rPr>
              <w:t>序号</w:t>
            </w:r>
          </w:p>
        </w:tc>
        <w:tc>
          <w:tcPr>
            <w:tcW w:w="4283" w:type="dxa"/>
            <w:noWrap/>
            <w:vAlign w:val="center"/>
          </w:tcPr>
          <w:p w14:paraId="48D61718">
            <w:pPr>
              <w:rPr>
                <w:color w:val="auto"/>
                <w:highlight w:val="none"/>
              </w:rPr>
            </w:pPr>
            <w:r>
              <w:rPr>
                <w:color w:val="auto"/>
                <w:highlight w:val="none"/>
              </w:rPr>
              <w:t>内容</w:t>
            </w:r>
          </w:p>
        </w:tc>
        <w:tc>
          <w:tcPr>
            <w:tcW w:w="3172" w:type="dxa"/>
            <w:noWrap/>
            <w:vAlign w:val="center"/>
          </w:tcPr>
          <w:p w14:paraId="2DBB978F">
            <w:pPr>
              <w:rPr>
                <w:color w:val="auto"/>
                <w:highlight w:val="none"/>
              </w:rPr>
            </w:pPr>
            <w:r>
              <w:rPr>
                <w:color w:val="auto"/>
                <w:highlight w:val="none"/>
              </w:rPr>
              <w:t>价格小计</w:t>
            </w:r>
          </w:p>
        </w:tc>
      </w:tr>
      <w:tr w14:paraId="6D20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14:paraId="323E1F13">
            <w:pPr>
              <w:rPr>
                <w:color w:val="auto"/>
                <w:highlight w:val="none"/>
              </w:rPr>
            </w:pPr>
            <w:r>
              <w:rPr>
                <w:color w:val="auto"/>
                <w:highlight w:val="none"/>
              </w:rPr>
              <w:t>1</w:t>
            </w:r>
          </w:p>
        </w:tc>
        <w:tc>
          <w:tcPr>
            <w:tcW w:w="4283" w:type="dxa"/>
            <w:noWrap/>
            <w:vAlign w:val="center"/>
          </w:tcPr>
          <w:p w14:paraId="4B70A18F">
            <w:pPr>
              <w:rPr>
                <w:color w:val="auto"/>
                <w:highlight w:val="none"/>
              </w:rPr>
            </w:pPr>
          </w:p>
        </w:tc>
        <w:tc>
          <w:tcPr>
            <w:tcW w:w="3172" w:type="dxa"/>
            <w:noWrap/>
            <w:vAlign w:val="center"/>
          </w:tcPr>
          <w:p w14:paraId="711003A9">
            <w:pPr>
              <w:rPr>
                <w:color w:val="auto"/>
                <w:highlight w:val="none"/>
              </w:rPr>
            </w:pPr>
          </w:p>
        </w:tc>
      </w:tr>
      <w:tr w14:paraId="612A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14:paraId="1C5BAAB0">
            <w:pPr>
              <w:rPr>
                <w:color w:val="auto"/>
                <w:highlight w:val="none"/>
              </w:rPr>
            </w:pPr>
            <w:r>
              <w:rPr>
                <w:color w:val="auto"/>
                <w:highlight w:val="none"/>
              </w:rPr>
              <w:t>2</w:t>
            </w:r>
          </w:p>
        </w:tc>
        <w:tc>
          <w:tcPr>
            <w:tcW w:w="4283" w:type="dxa"/>
            <w:noWrap/>
            <w:vAlign w:val="center"/>
          </w:tcPr>
          <w:p w14:paraId="12172084">
            <w:pPr>
              <w:rPr>
                <w:color w:val="auto"/>
                <w:highlight w:val="none"/>
              </w:rPr>
            </w:pPr>
          </w:p>
        </w:tc>
        <w:tc>
          <w:tcPr>
            <w:tcW w:w="3172" w:type="dxa"/>
            <w:noWrap/>
            <w:vAlign w:val="center"/>
          </w:tcPr>
          <w:p w14:paraId="0F35CEB7">
            <w:pPr>
              <w:rPr>
                <w:color w:val="auto"/>
                <w:highlight w:val="none"/>
              </w:rPr>
            </w:pPr>
          </w:p>
        </w:tc>
      </w:tr>
      <w:tr w14:paraId="38B1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14:paraId="54BBE834">
            <w:pPr>
              <w:rPr>
                <w:color w:val="auto"/>
                <w:highlight w:val="none"/>
              </w:rPr>
            </w:pPr>
            <w:r>
              <w:rPr>
                <w:color w:val="auto"/>
                <w:highlight w:val="none"/>
              </w:rPr>
              <w:t>3</w:t>
            </w:r>
          </w:p>
        </w:tc>
        <w:tc>
          <w:tcPr>
            <w:tcW w:w="4283" w:type="dxa"/>
            <w:noWrap/>
            <w:vAlign w:val="center"/>
          </w:tcPr>
          <w:p w14:paraId="28391182">
            <w:pPr>
              <w:rPr>
                <w:color w:val="auto"/>
                <w:highlight w:val="none"/>
              </w:rPr>
            </w:pPr>
          </w:p>
        </w:tc>
        <w:tc>
          <w:tcPr>
            <w:tcW w:w="3172" w:type="dxa"/>
            <w:noWrap/>
            <w:vAlign w:val="center"/>
          </w:tcPr>
          <w:p w14:paraId="1FB72CF6">
            <w:pPr>
              <w:rPr>
                <w:color w:val="auto"/>
                <w:highlight w:val="none"/>
              </w:rPr>
            </w:pPr>
          </w:p>
        </w:tc>
      </w:tr>
      <w:tr w14:paraId="2DD7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46" w:type="dxa"/>
            <w:gridSpan w:val="2"/>
            <w:noWrap/>
            <w:vAlign w:val="center"/>
          </w:tcPr>
          <w:p w14:paraId="4363DF56">
            <w:pPr>
              <w:rPr>
                <w:color w:val="auto"/>
                <w:highlight w:val="none"/>
              </w:rPr>
            </w:pPr>
            <w:r>
              <w:rPr>
                <w:color w:val="auto"/>
                <w:highlight w:val="none"/>
              </w:rPr>
              <w:t>报价合计（小写）</w:t>
            </w:r>
          </w:p>
        </w:tc>
        <w:tc>
          <w:tcPr>
            <w:tcW w:w="3172" w:type="dxa"/>
            <w:noWrap/>
            <w:vAlign w:val="center"/>
          </w:tcPr>
          <w:p w14:paraId="6B3E3E02">
            <w:pPr>
              <w:rPr>
                <w:color w:val="auto"/>
                <w:highlight w:val="none"/>
              </w:rPr>
            </w:pPr>
          </w:p>
        </w:tc>
      </w:tr>
      <w:tr w14:paraId="6F0F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46" w:type="dxa"/>
            <w:gridSpan w:val="2"/>
            <w:noWrap/>
            <w:vAlign w:val="center"/>
          </w:tcPr>
          <w:p w14:paraId="23CDD7D1">
            <w:pPr>
              <w:rPr>
                <w:b/>
                <w:color w:val="auto"/>
                <w:highlight w:val="none"/>
              </w:rPr>
            </w:pPr>
            <w:r>
              <w:rPr>
                <w:color w:val="auto"/>
                <w:highlight w:val="none"/>
              </w:rPr>
              <w:t>报价合计（大写）</w:t>
            </w:r>
          </w:p>
        </w:tc>
        <w:tc>
          <w:tcPr>
            <w:tcW w:w="3172" w:type="dxa"/>
            <w:noWrap/>
            <w:vAlign w:val="center"/>
          </w:tcPr>
          <w:p w14:paraId="497E98D5">
            <w:pPr>
              <w:rPr>
                <w:color w:val="auto"/>
                <w:highlight w:val="none"/>
              </w:rPr>
            </w:pPr>
          </w:p>
        </w:tc>
      </w:tr>
      <w:tr w14:paraId="3A02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18" w:type="dxa"/>
            <w:gridSpan w:val="3"/>
            <w:noWrap/>
            <w:vAlign w:val="center"/>
          </w:tcPr>
          <w:p w14:paraId="2FDF8058">
            <w:pPr>
              <w:rPr>
                <w:color w:val="auto"/>
                <w:highlight w:val="none"/>
              </w:rPr>
            </w:pPr>
            <w:r>
              <w:rPr>
                <w:color w:val="auto"/>
                <w:highlight w:val="none"/>
                <w:u w:val="none"/>
              </w:rPr>
              <w:t>服务期</w:t>
            </w:r>
            <w:r>
              <w:rPr>
                <w:rFonts w:hint="eastAsia"/>
                <w:color w:val="auto"/>
                <w:highlight w:val="none"/>
                <w:u w:val="none"/>
                <w:lang w:val="en-US" w:eastAsia="zh-CN"/>
              </w:rPr>
              <w:t>限</w:t>
            </w:r>
            <w:r>
              <w:rPr>
                <w:rFonts w:hint="eastAsia"/>
                <w:color w:val="auto"/>
                <w:highlight w:val="none"/>
                <w:u w:val="none"/>
                <w:lang w:eastAsia="zh-CN"/>
              </w:rPr>
              <w:t>：</w:t>
            </w:r>
            <w:r>
              <w:rPr>
                <w:rFonts w:hint="eastAsia"/>
                <w:color w:val="auto"/>
                <w:highlight w:val="none"/>
                <w:u w:val="single"/>
                <w:lang w:val="en-US" w:eastAsia="zh-CN"/>
              </w:rPr>
              <w:t xml:space="preserve">                                  </w:t>
            </w:r>
            <w:r>
              <w:rPr>
                <w:rFonts w:hint="eastAsia"/>
                <w:color w:val="auto"/>
                <w:highlight w:val="none"/>
                <w:u w:val="none"/>
              </w:rPr>
              <w:t>。</w:t>
            </w:r>
          </w:p>
        </w:tc>
      </w:tr>
      <w:tr w14:paraId="6E78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546" w:type="dxa"/>
            <w:gridSpan w:val="2"/>
            <w:noWrap/>
            <w:vAlign w:val="center"/>
          </w:tcPr>
          <w:p w14:paraId="5AEC23C1">
            <w:pPr>
              <w:rPr>
                <w:color w:val="auto"/>
                <w:highlight w:val="none"/>
              </w:rPr>
            </w:pPr>
            <w:r>
              <w:rPr>
                <w:color w:val="auto"/>
                <w:highlight w:val="none"/>
              </w:rPr>
              <w:t>…</w:t>
            </w:r>
          </w:p>
        </w:tc>
        <w:tc>
          <w:tcPr>
            <w:tcW w:w="3172" w:type="dxa"/>
            <w:noWrap/>
            <w:vAlign w:val="center"/>
          </w:tcPr>
          <w:p w14:paraId="2E7E263C">
            <w:pPr>
              <w:rPr>
                <w:color w:val="auto"/>
                <w:highlight w:val="none"/>
              </w:rPr>
            </w:pPr>
          </w:p>
        </w:tc>
      </w:tr>
    </w:tbl>
    <w:p w14:paraId="5F0F3535">
      <w:pPr>
        <w:jc w:val="left"/>
        <w:rPr>
          <w:color w:val="auto"/>
          <w:highlight w:val="none"/>
        </w:rPr>
      </w:pPr>
      <w:r>
        <w:rPr>
          <w:rFonts w:hint="eastAsia"/>
          <w:color w:val="auto"/>
          <w:highlight w:val="none"/>
        </w:rPr>
        <w:t>特别说明：</w:t>
      </w:r>
    </w:p>
    <w:p w14:paraId="2A6FE0B2">
      <w:pPr>
        <w:ind w:firstLine="420" w:firstLineChars="200"/>
        <w:jc w:val="left"/>
        <w:rPr>
          <w:color w:val="auto"/>
          <w:highlight w:val="none"/>
        </w:rPr>
      </w:pPr>
      <w:r>
        <w:rPr>
          <w:rFonts w:hint="eastAsia"/>
          <w:color w:val="auto"/>
          <w:highlight w:val="none"/>
        </w:rPr>
        <w:t>1.本项目总价及分项报价均不接受任何形式的赠送、“零”报价和折扣报价。</w:t>
      </w:r>
    </w:p>
    <w:p w14:paraId="1F4B5468">
      <w:pPr>
        <w:ind w:firstLine="420" w:firstLineChars="200"/>
        <w:jc w:val="left"/>
        <w:rPr>
          <w:color w:val="auto"/>
          <w:highlight w:val="none"/>
        </w:rPr>
      </w:pPr>
      <w:r>
        <w:rPr>
          <w:rFonts w:hint="eastAsia"/>
          <w:color w:val="auto"/>
          <w:highlight w:val="none"/>
        </w:rPr>
        <w:t>2.本项目执行中所发生的所有费用均计入投标报价中，采购人不再另行支付其他任何费用。</w:t>
      </w:r>
    </w:p>
    <w:p w14:paraId="1FBC7B5F">
      <w:pPr>
        <w:ind w:firstLine="420" w:firstLineChars="200"/>
        <w:jc w:val="left"/>
        <w:rPr>
          <w:color w:val="auto"/>
          <w:highlight w:val="none"/>
        </w:rPr>
      </w:pPr>
      <w:r>
        <w:rPr>
          <w:rFonts w:hint="eastAsia"/>
          <w:color w:val="auto"/>
          <w:highlight w:val="none"/>
        </w:rPr>
        <w:t>3.投标人应根据《招标文件-技术部分》相关要求填报。</w:t>
      </w:r>
    </w:p>
    <w:p w14:paraId="55259E8E">
      <w:pPr>
        <w:ind w:firstLine="420" w:firstLineChars="200"/>
        <w:jc w:val="left"/>
        <w:rPr>
          <w:color w:val="auto"/>
          <w:highlight w:val="none"/>
        </w:rPr>
      </w:pPr>
      <w:r>
        <w:rPr>
          <w:rFonts w:hint="eastAsia"/>
          <w:color w:val="auto"/>
          <w:highlight w:val="none"/>
        </w:rPr>
        <w:t>4.如报价不一致，按照投标人须知“19.核价原则”进行修正。</w:t>
      </w:r>
    </w:p>
    <w:p w14:paraId="060BE129">
      <w:pPr>
        <w:jc w:val="left"/>
        <w:rPr>
          <w:color w:val="auto"/>
          <w:highlight w:val="none"/>
        </w:rPr>
      </w:pPr>
    </w:p>
    <w:p w14:paraId="05066C83">
      <w:pPr>
        <w:jc w:val="left"/>
        <w:rPr>
          <w:rFonts w:cs="宋体"/>
          <w:color w:val="auto"/>
          <w:highlight w:val="none"/>
        </w:rPr>
      </w:pPr>
      <w:r>
        <w:rPr>
          <w:rFonts w:hint="eastAsia" w:cs="宋体"/>
          <w:color w:val="auto"/>
          <w:highlight w:val="none"/>
        </w:rPr>
        <w:t>投标人</w:t>
      </w:r>
      <w:r>
        <w:rPr>
          <w:color w:val="auto"/>
          <w:highlight w:val="none"/>
        </w:rPr>
        <w:t>（全称并加盖公章</w:t>
      </w:r>
      <w:r>
        <w:rPr>
          <w:rFonts w:hint="eastAsia" w:cs="宋体"/>
          <w:color w:val="auto"/>
          <w:highlight w:val="none"/>
        </w:rPr>
        <w:t>）：</w:t>
      </w:r>
    </w:p>
    <w:p w14:paraId="3733FD9C">
      <w:pPr>
        <w:jc w:val="left"/>
        <w:rPr>
          <w:rFonts w:cs="宋体"/>
          <w:color w:val="auto"/>
          <w:highlight w:val="none"/>
        </w:rPr>
      </w:pPr>
      <w:r>
        <w:rPr>
          <w:rFonts w:hint="eastAsia"/>
          <w:color w:val="auto"/>
          <w:highlight w:val="none"/>
        </w:rPr>
        <w:t>投标人代表（签字）</w:t>
      </w:r>
      <w:r>
        <w:rPr>
          <w:rFonts w:hint="eastAsia" w:cs="宋体"/>
          <w:color w:val="auto"/>
          <w:highlight w:val="none"/>
        </w:rPr>
        <w:t>：</w:t>
      </w:r>
    </w:p>
    <w:p w14:paraId="3CAA11D9">
      <w:pPr>
        <w:jc w:val="left"/>
        <w:rPr>
          <w:color w:val="auto"/>
          <w:highlight w:val="none"/>
        </w:rPr>
      </w:pPr>
      <w:r>
        <w:rPr>
          <w:rFonts w:hint="eastAsia"/>
          <w:color w:val="auto"/>
          <w:highlight w:val="none"/>
        </w:rPr>
        <w:t>日期：</w:t>
      </w:r>
    </w:p>
    <w:p w14:paraId="5C57CD2F">
      <w:pPr>
        <w:rPr>
          <w:rFonts w:hint="eastAsia"/>
          <w:b/>
          <w:bCs w:val="0"/>
          <w:color w:val="auto"/>
          <w:sz w:val="28"/>
          <w:szCs w:val="28"/>
          <w:highlight w:val="none"/>
        </w:rPr>
      </w:pPr>
      <w:r>
        <w:rPr>
          <w:rFonts w:hAnsi="宋体" w:cs="宋体"/>
          <w:color w:val="auto"/>
          <w:highlight w:val="none"/>
        </w:rPr>
        <w:br w:type="page"/>
      </w:r>
      <w:bookmarkStart w:id="96" w:name="_Toc31594"/>
      <w:bookmarkStart w:id="97" w:name="_Toc30907"/>
      <w:bookmarkStart w:id="98" w:name="_Toc25014"/>
      <w:r>
        <w:rPr>
          <w:rFonts w:hint="eastAsia"/>
          <w:b/>
          <w:bCs w:val="0"/>
          <w:color w:val="auto"/>
          <w:sz w:val="28"/>
          <w:szCs w:val="28"/>
          <w:highlight w:val="none"/>
        </w:rPr>
        <w:t>2.分项报价表</w:t>
      </w:r>
      <w:bookmarkEnd w:id="96"/>
      <w:bookmarkEnd w:id="97"/>
      <w:bookmarkEnd w:id="98"/>
    </w:p>
    <w:p w14:paraId="145ABE0A">
      <w:pPr>
        <w:rPr>
          <w:rFonts w:hint="eastAsia"/>
          <w:b/>
          <w:bCs w:val="0"/>
          <w:color w:val="auto"/>
          <w:sz w:val="28"/>
          <w:szCs w:val="28"/>
          <w:highlight w:val="none"/>
        </w:rPr>
      </w:pPr>
    </w:p>
    <w:p w14:paraId="10894C7C">
      <w:pPr>
        <w:pStyle w:val="11"/>
        <w:rPr>
          <w:b/>
          <w:color w:val="auto"/>
          <w:highlight w:val="none"/>
        </w:rPr>
      </w:pPr>
      <w:r>
        <w:rPr>
          <w:rFonts w:hint="eastAsia"/>
          <w:color w:val="auto"/>
          <w:highlight w:val="none"/>
        </w:rPr>
        <w:t>（服务类项目适用)</w:t>
      </w:r>
    </w:p>
    <w:p w14:paraId="6660CD16">
      <w:pPr>
        <w:ind w:firstLine="1260" w:firstLineChars="600"/>
        <w:jc w:val="both"/>
        <w:rPr>
          <w:color w:val="auto"/>
          <w:highlight w:val="none"/>
        </w:rPr>
      </w:pPr>
      <w:r>
        <w:rPr>
          <w:rFonts w:hint="eastAsia"/>
          <w:color w:val="auto"/>
          <w:highlight w:val="none"/>
        </w:rPr>
        <w:t>项目名称：</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项目编号：</w:t>
      </w:r>
    </w:p>
    <w:p w14:paraId="57BC61AA">
      <w:pPr>
        <w:rPr>
          <w:color w:val="auto"/>
          <w:w w:val="150"/>
          <w:highlight w:val="none"/>
        </w:rPr>
      </w:pPr>
      <w:r>
        <w:rPr>
          <w:rFonts w:hint="eastAsia"/>
          <w:color w:val="auto"/>
          <w:highlight w:val="none"/>
        </w:rPr>
        <w:t>采购包号：                                价格单位：人民币：元</w:t>
      </w:r>
    </w:p>
    <w:tbl>
      <w:tblPr>
        <w:tblStyle w:val="19"/>
        <w:tblW w:w="8349" w:type="dxa"/>
        <w:jc w:val="center"/>
        <w:tblLayout w:type="fixed"/>
        <w:tblCellMar>
          <w:top w:w="0" w:type="dxa"/>
          <w:left w:w="108" w:type="dxa"/>
          <w:bottom w:w="0" w:type="dxa"/>
          <w:right w:w="108" w:type="dxa"/>
        </w:tblCellMar>
      </w:tblPr>
      <w:tblGrid>
        <w:gridCol w:w="705"/>
        <w:gridCol w:w="1441"/>
        <w:gridCol w:w="2051"/>
        <w:gridCol w:w="1010"/>
        <w:gridCol w:w="1170"/>
        <w:gridCol w:w="1230"/>
        <w:gridCol w:w="742"/>
      </w:tblGrid>
      <w:tr w14:paraId="75BD5A9D">
        <w:tblPrEx>
          <w:tblCellMar>
            <w:top w:w="0" w:type="dxa"/>
            <w:left w:w="108" w:type="dxa"/>
            <w:bottom w:w="0" w:type="dxa"/>
            <w:right w:w="108" w:type="dxa"/>
          </w:tblCellMar>
        </w:tblPrEx>
        <w:trPr>
          <w:trHeight w:val="409"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14:paraId="5179F924">
            <w:pPr>
              <w:rPr>
                <w:b/>
                <w:bCs w:val="0"/>
                <w:color w:val="auto"/>
                <w:highlight w:val="none"/>
              </w:rPr>
            </w:pPr>
            <w:r>
              <w:rPr>
                <w:b/>
                <w:bCs w:val="0"/>
                <w:color w:val="auto"/>
                <w:highlight w:val="none"/>
              </w:rPr>
              <w:t>序号</w:t>
            </w:r>
          </w:p>
        </w:tc>
        <w:tc>
          <w:tcPr>
            <w:tcW w:w="1441" w:type="dxa"/>
            <w:tcBorders>
              <w:top w:val="single" w:color="auto" w:sz="4" w:space="0"/>
              <w:left w:val="nil"/>
              <w:bottom w:val="single" w:color="auto" w:sz="4" w:space="0"/>
              <w:right w:val="single" w:color="auto" w:sz="4" w:space="0"/>
            </w:tcBorders>
            <w:vAlign w:val="center"/>
          </w:tcPr>
          <w:p w14:paraId="46D20B4F">
            <w:pPr>
              <w:rPr>
                <w:b/>
                <w:bCs w:val="0"/>
                <w:color w:val="auto"/>
                <w:highlight w:val="none"/>
              </w:rPr>
            </w:pPr>
            <w:r>
              <w:rPr>
                <w:b/>
                <w:bCs w:val="0"/>
                <w:color w:val="auto"/>
                <w:highlight w:val="none"/>
              </w:rPr>
              <w:t>项目名称</w:t>
            </w:r>
          </w:p>
        </w:tc>
        <w:tc>
          <w:tcPr>
            <w:tcW w:w="2051" w:type="dxa"/>
            <w:tcBorders>
              <w:top w:val="single" w:color="auto" w:sz="4" w:space="0"/>
              <w:left w:val="nil"/>
              <w:bottom w:val="single" w:color="auto" w:sz="4" w:space="0"/>
              <w:right w:val="single" w:color="auto" w:sz="4" w:space="0"/>
            </w:tcBorders>
            <w:vAlign w:val="center"/>
          </w:tcPr>
          <w:p w14:paraId="2CC3FED0">
            <w:pPr>
              <w:rPr>
                <w:b/>
                <w:bCs w:val="0"/>
                <w:color w:val="auto"/>
                <w:highlight w:val="none"/>
              </w:rPr>
            </w:pPr>
            <w:r>
              <w:rPr>
                <w:b/>
                <w:bCs w:val="0"/>
                <w:color w:val="auto"/>
                <w:highlight w:val="none"/>
              </w:rPr>
              <w:t>内容描述</w:t>
            </w:r>
          </w:p>
        </w:tc>
        <w:tc>
          <w:tcPr>
            <w:tcW w:w="1010" w:type="dxa"/>
            <w:tcBorders>
              <w:top w:val="single" w:color="auto" w:sz="4" w:space="0"/>
              <w:left w:val="single" w:color="auto" w:sz="4" w:space="0"/>
              <w:bottom w:val="single" w:color="auto" w:sz="4" w:space="0"/>
              <w:right w:val="single" w:color="auto" w:sz="4" w:space="0"/>
            </w:tcBorders>
            <w:vAlign w:val="center"/>
          </w:tcPr>
          <w:p w14:paraId="0EC12662">
            <w:pPr>
              <w:rPr>
                <w:b/>
                <w:bCs w:val="0"/>
                <w:color w:val="auto"/>
                <w:highlight w:val="none"/>
              </w:rPr>
            </w:pPr>
            <w:r>
              <w:rPr>
                <w:rFonts w:hint="eastAsia"/>
                <w:b/>
                <w:bCs w:val="0"/>
                <w:color w:val="auto"/>
                <w:highlight w:val="none"/>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2724FA45">
            <w:pPr>
              <w:rPr>
                <w:b/>
                <w:bCs w:val="0"/>
                <w:color w:val="auto"/>
                <w:highlight w:val="none"/>
              </w:rPr>
            </w:pPr>
            <w:r>
              <w:rPr>
                <w:rFonts w:hint="eastAsia"/>
                <w:b/>
                <w:bCs w:val="0"/>
                <w:color w:val="auto"/>
                <w:highlight w:val="none"/>
              </w:rPr>
              <w:t>单价</w:t>
            </w:r>
          </w:p>
        </w:tc>
        <w:tc>
          <w:tcPr>
            <w:tcW w:w="1230" w:type="dxa"/>
            <w:tcBorders>
              <w:top w:val="single" w:color="auto" w:sz="4" w:space="0"/>
              <w:left w:val="single" w:color="auto" w:sz="4" w:space="0"/>
              <w:bottom w:val="single" w:color="auto" w:sz="4" w:space="0"/>
              <w:right w:val="single" w:color="auto" w:sz="4" w:space="0"/>
            </w:tcBorders>
            <w:vAlign w:val="center"/>
          </w:tcPr>
          <w:p w14:paraId="0B045BCD">
            <w:pPr>
              <w:rPr>
                <w:b/>
                <w:bCs w:val="0"/>
                <w:color w:val="auto"/>
                <w:highlight w:val="none"/>
              </w:rPr>
            </w:pPr>
            <w:r>
              <w:rPr>
                <w:b/>
                <w:bCs w:val="0"/>
                <w:color w:val="auto"/>
                <w:highlight w:val="none"/>
              </w:rPr>
              <w:t>小计</w:t>
            </w:r>
          </w:p>
          <w:p w14:paraId="6CB049BF">
            <w:pPr>
              <w:rPr>
                <w:b/>
                <w:bCs w:val="0"/>
                <w:color w:val="auto"/>
                <w:highlight w:val="none"/>
              </w:rPr>
            </w:pPr>
            <w:r>
              <w:rPr>
                <w:b/>
                <w:bCs w:val="0"/>
                <w:color w:val="auto"/>
                <w:highlight w:val="none"/>
              </w:rPr>
              <w:t>（元）</w:t>
            </w:r>
          </w:p>
        </w:tc>
        <w:tc>
          <w:tcPr>
            <w:tcW w:w="742" w:type="dxa"/>
            <w:tcBorders>
              <w:top w:val="single" w:color="auto" w:sz="4" w:space="0"/>
              <w:left w:val="nil"/>
              <w:bottom w:val="single" w:color="auto" w:sz="4" w:space="0"/>
              <w:right w:val="single" w:color="auto" w:sz="4" w:space="0"/>
            </w:tcBorders>
            <w:vAlign w:val="center"/>
          </w:tcPr>
          <w:p w14:paraId="4E9C8912">
            <w:pPr>
              <w:rPr>
                <w:b/>
                <w:bCs w:val="0"/>
                <w:color w:val="auto"/>
                <w:highlight w:val="none"/>
              </w:rPr>
            </w:pPr>
            <w:r>
              <w:rPr>
                <w:b/>
                <w:bCs w:val="0"/>
                <w:color w:val="auto"/>
                <w:highlight w:val="none"/>
              </w:rPr>
              <w:t>备注</w:t>
            </w:r>
          </w:p>
        </w:tc>
      </w:tr>
      <w:tr w14:paraId="2EC91B52">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14:paraId="5649323F">
            <w:pPr>
              <w:rPr>
                <w:color w:val="auto"/>
                <w:highlight w:val="none"/>
              </w:rPr>
            </w:pPr>
            <w:r>
              <w:rPr>
                <w:rFonts w:hint="eastAsia"/>
                <w:color w:val="auto"/>
                <w:highlight w:val="none"/>
              </w:rPr>
              <w:t>1</w:t>
            </w:r>
          </w:p>
        </w:tc>
        <w:tc>
          <w:tcPr>
            <w:tcW w:w="1441" w:type="dxa"/>
            <w:tcBorders>
              <w:top w:val="single" w:color="auto" w:sz="4" w:space="0"/>
              <w:left w:val="nil"/>
              <w:bottom w:val="single" w:color="auto" w:sz="4" w:space="0"/>
              <w:right w:val="single" w:color="auto" w:sz="4" w:space="0"/>
            </w:tcBorders>
            <w:vAlign w:val="center"/>
          </w:tcPr>
          <w:p w14:paraId="0740F552">
            <w:pPr>
              <w:rPr>
                <w:color w:val="auto"/>
                <w:highlight w:val="none"/>
              </w:rPr>
            </w:pPr>
          </w:p>
        </w:tc>
        <w:tc>
          <w:tcPr>
            <w:tcW w:w="2051" w:type="dxa"/>
            <w:tcBorders>
              <w:top w:val="single" w:color="auto" w:sz="4" w:space="0"/>
              <w:left w:val="nil"/>
              <w:bottom w:val="single" w:color="auto" w:sz="4" w:space="0"/>
              <w:right w:val="single" w:color="auto" w:sz="4" w:space="0"/>
            </w:tcBorders>
            <w:vAlign w:val="center"/>
          </w:tcPr>
          <w:p w14:paraId="0BE16224">
            <w:pPr>
              <w:rPr>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14:paraId="27F43087">
            <w:pPr>
              <w:rPr>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73FD984B">
            <w:pPr>
              <w:rPr>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84AA64F">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22A470AF">
            <w:pPr>
              <w:rPr>
                <w:color w:val="auto"/>
                <w:highlight w:val="none"/>
              </w:rPr>
            </w:pPr>
          </w:p>
        </w:tc>
      </w:tr>
      <w:tr w14:paraId="095E8611">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14:paraId="57C411A2">
            <w:pPr>
              <w:rPr>
                <w:color w:val="auto"/>
                <w:highlight w:val="none"/>
              </w:rPr>
            </w:pPr>
            <w:r>
              <w:rPr>
                <w:rFonts w:hint="eastAsia"/>
                <w:color w:val="auto"/>
                <w:highlight w:val="none"/>
              </w:rPr>
              <w:t>2</w:t>
            </w:r>
          </w:p>
        </w:tc>
        <w:tc>
          <w:tcPr>
            <w:tcW w:w="1441" w:type="dxa"/>
            <w:tcBorders>
              <w:top w:val="single" w:color="auto" w:sz="4" w:space="0"/>
              <w:left w:val="nil"/>
              <w:bottom w:val="single" w:color="auto" w:sz="4" w:space="0"/>
              <w:right w:val="single" w:color="auto" w:sz="4" w:space="0"/>
            </w:tcBorders>
            <w:vAlign w:val="center"/>
          </w:tcPr>
          <w:p w14:paraId="5141DFEF">
            <w:pPr>
              <w:rPr>
                <w:color w:val="auto"/>
                <w:highlight w:val="none"/>
              </w:rPr>
            </w:pPr>
          </w:p>
        </w:tc>
        <w:tc>
          <w:tcPr>
            <w:tcW w:w="2051" w:type="dxa"/>
            <w:tcBorders>
              <w:top w:val="single" w:color="auto" w:sz="4" w:space="0"/>
              <w:left w:val="nil"/>
              <w:bottom w:val="single" w:color="auto" w:sz="4" w:space="0"/>
              <w:right w:val="single" w:color="auto" w:sz="4" w:space="0"/>
            </w:tcBorders>
            <w:vAlign w:val="center"/>
          </w:tcPr>
          <w:p w14:paraId="7AE499E2">
            <w:pPr>
              <w:rPr>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14:paraId="75F7D57F">
            <w:pPr>
              <w:rPr>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569A53A">
            <w:pPr>
              <w:rPr>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0621505">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66CAD0FE">
            <w:pPr>
              <w:rPr>
                <w:color w:val="auto"/>
                <w:highlight w:val="none"/>
              </w:rPr>
            </w:pPr>
          </w:p>
        </w:tc>
      </w:tr>
      <w:tr w14:paraId="5094EB9B">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14:paraId="6439E17C">
            <w:pPr>
              <w:rPr>
                <w:color w:val="auto"/>
                <w:highlight w:val="none"/>
              </w:rPr>
            </w:pPr>
            <w:r>
              <w:rPr>
                <w:rFonts w:hint="eastAsia"/>
                <w:color w:val="auto"/>
                <w:highlight w:val="none"/>
              </w:rPr>
              <w:t>3</w:t>
            </w:r>
          </w:p>
        </w:tc>
        <w:tc>
          <w:tcPr>
            <w:tcW w:w="1441" w:type="dxa"/>
            <w:tcBorders>
              <w:top w:val="single" w:color="auto" w:sz="4" w:space="0"/>
              <w:left w:val="nil"/>
              <w:bottom w:val="single" w:color="auto" w:sz="4" w:space="0"/>
              <w:right w:val="single" w:color="auto" w:sz="4" w:space="0"/>
            </w:tcBorders>
            <w:vAlign w:val="center"/>
          </w:tcPr>
          <w:p w14:paraId="486807E8">
            <w:pPr>
              <w:rPr>
                <w:color w:val="auto"/>
                <w:highlight w:val="none"/>
              </w:rPr>
            </w:pPr>
          </w:p>
        </w:tc>
        <w:tc>
          <w:tcPr>
            <w:tcW w:w="2051" w:type="dxa"/>
            <w:tcBorders>
              <w:top w:val="single" w:color="auto" w:sz="4" w:space="0"/>
              <w:left w:val="nil"/>
              <w:bottom w:val="single" w:color="auto" w:sz="4" w:space="0"/>
              <w:right w:val="single" w:color="auto" w:sz="4" w:space="0"/>
            </w:tcBorders>
            <w:vAlign w:val="center"/>
          </w:tcPr>
          <w:p w14:paraId="0562D60D">
            <w:pPr>
              <w:rPr>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14:paraId="566A6456">
            <w:pPr>
              <w:rPr>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E4B1168">
            <w:pPr>
              <w:rPr>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4902CFFA">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73561D3F">
            <w:pPr>
              <w:rPr>
                <w:color w:val="auto"/>
                <w:highlight w:val="none"/>
              </w:rPr>
            </w:pPr>
          </w:p>
        </w:tc>
      </w:tr>
      <w:tr w14:paraId="7564FFAD">
        <w:tblPrEx>
          <w:tblCellMar>
            <w:top w:w="0" w:type="dxa"/>
            <w:left w:w="108" w:type="dxa"/>
            <w:bottom w:w="0" w:type="dxa"/>
            <w:right w:w="108" w:type="dxa"/>
          </w:tblCellMar>
        </w:tblPrEx>
        <w:trPr>
          <w:trHeight w:val="608" w:hRule="atLeast"/>
          <w:tblHeader/>
          <w:jc w:val="center"/>
        </w:trPr>
        <w:tc>
          <w:tcPr>
            <w:tcW w:w="705" w:type="dxa"/>
            <w:tcBorders>
              <w:top w:val="nil"/>
              <w:left w:val="single" w:color="auto" w:sz="4" w:space="0"/>
              <w:bottom w:val="single" w:color="auto" w:sz="4" w:space="0"/>
              <w:right w:val="single" w:color="auto" w:sz="4" w:space="0"/>
            </w:tcBorders>
            <w:vAlign w:val="center"/>
          </w:tcPr>
          <w:p w14:paraId="68A0CC16">
            <w:pPr>
              <w:rPr>
                <w:color w:val="auto"/>
                <w:highlight w:val="none"/>
              </w:rPr>
            </w:pPr>
            <w:r>
              <w:rPr>
                <w:rFonts w:hint="eastAsia"/>
                <w:color w:val="auto"/>
                <w:highlight w:val="none"/>
              </w:rPr>
              <w:t>4</w:t>
            </w:r>
          </w:p>
        </w:tc>
        <w:tc>
          <w:tcPr>
            <w:tcW w:w="1441" w:type="dxa"/>
            <w:tcBorders>
              <w:top w:val="nil"/>
              <w:left w:val="nil"/>
              <w:bottom w:val="single" w:color="auto" w:sz="4" w:space="0"/>
              <w:right w:val="single" w:color="auto" w:sz="4" w:space="0"/>
            </w:tcBorders>
            <w:vAlign w:val="center"/>
          </w:tcPr>
          <w:p w14:paraId="692B3E10">
            <w:pPr>
              <w:rPr>
                <w:color w:val="auto"/>
                <w:highlight w:val="none"/>
              </w:rPr>
            </w:pPr>
          </w:p>
        </w:tc>
        <w:tc>
          <w:tcPr>
            <w:tcW w:w="2051" w:type="dxa"/>
            <w:tcBorders>
              <w:top w:val="nil"/>
              <w:left w:val="nil"/>
              <w:bottom w:val="single" w:color="auto" w:sz="4" w:space="0"/>
              <w:right w:val="single" w:color="auto" w:sz="4" w:space="0"/>
            </w:tcBorders>
            <w:vAlign w:val="center"/>
          </w:tcPr>
          <w:p w14:paraId="08BC368E">
            <w:pPr>
              <w:rPr>
                <w:color w:val="auto"/>
                <w:highlight w:val="none"/>
              </w:rPr>
            </w:pPr>
          </w:p>
        </w:tc>
        <w:tc>
          <w:tcPr>
            <w:tcW w:w="1010" w:type="dxa"/>
            <w:tcBorders>
              <w:top w:val="nil"/>
              <w:left w:val="single" w:color="auto" w:sz="4" w:space="0"/>
              <w:bottom w:val="single" w:color="auto" w:sz="4" w:space="0"/>
              <w:right w:val="single" w:color="auto" w:sz="4" w:space="0"/>
            </w:tcBorders>
            <w:vAlign w:val="center"/>
          </w:tcPr>
          <w:p w14:paraId="31914D1C">
            <w:pPr>
              <w:rPr>
                <w:color w:val="auto"/>
                <w:highlight w:val="none"/>
              </w:rPr>
            </w:pPr>
          </w:p>
        </w:tc>
        <w:tc>
          <w:tcPr>
            <w:tcW w:w="1170" w:type="dxa"/>
            <w:tcBorders>
              <w:top w:val="nil"/>
              <w:left w:val="single" w:color="auto" w:sz="4" w:space="0"/>
              <w:bottom w:val="single" w:color="auto" w:sz="4" w:space="0"/>
              <w:right w:val="single" w:color="auto" w:sz="4" w:space="0"/>
            </w:tcBorders>
            <w:vAlign w:val="center"/>
          </w:tcPr>
          <w:p w14:paraId="72F0F623">
            <w:pPr>
              <w:rPr>
                <w:color w:val="auto"/>
                <w:highlight w:val="none"/>
              </w:rPr>
            </w:pPr>
          </w:p>
        </w:tc>
        <w:tc>
          <w:tcPr>
            <w:tcW w:w="1230" w:type="dxa"/>
            <w:tcBorders>
              <w:top w:val="nil"/>
              <w:left w:val="single" w:color="auto" w:sz="4" w:space="0"/>
              <w:bottom w:val="single" w:color="auto" w:sz="4" w:space="0"/>
              <w:right w:val="single" w:color="auto" w:sz="4" w:space="0"/>
            </w:tcBorders>
            <w:vAlign w:val="center"/>
          </w:tcPr>
          <w:p w14:paraId="52E7B1A4">
            <w:pPr>
              <w:rPr>
                <w:color w:val="auto"/>
                <w:highlight w:val="none"/>
              </w:rPr>
            </w:pPr>
          </w:p>
        </w:tc>
        <w:tc>
          <w:tcPr>
            <w:tcW w:w="742" w:type="dxa"/>
            <w:tcBorders>
              <w:top w:val="nil"/>
              <w:left w:val="single" w:color="auto" w:sz="4" w:space="0"/>
              <w:bottom w:val="single" w:color="auto" w:sz="4" w:space="0"/>
              <w:right w:val="single" w:color="auto" w:sz="4" w:space="0"/>
            </w:tcBorders>
            <w:vAlign w:val="center"/>
          </w:tcPr>
          <w:p w14:paraId="0635B761">
            <w:pPr>
              <w:rPr>
                <w:color w:val="auto"/>
                <w:highlight w:val="none"/>
              </w:rPr>
            </w:pPr>
          </w:p>
        </w:tc>
      </w:tr>
      <w:tr w14:paraId="36275685">
        <w:tblPrEx>
          <w:tblCellMar>
            <w:top w:w="0" w:type="dxa"/>
            <w:left w:w="108" w:type="dxa"/>
            <w:bottom w:w="0" w:type="dxa"/>
            <w:right w:w="108" w:type="dxa"/>
          </w:tblCellMar>
        </w:tblPrEx>
        <w:trPr>
          <w:trHeight w:val="616"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14:paraId="1DFA8318">
            <w:pPr>
              <w:rPr>
                <w:color w:val="auto"/>
                <w:highlight w:val="none"/>
              </w:rPr>
            </w:pPr>
            <w:r>
              <w:rPr>
                <w:rFonts w:hint="eastAsia"/>
                <w:color w:val="auto"/>
                <w:highlight w:val="none"/>
              </w:rPr>
              <w:t>5</w:t>
            </w:r>
          </w:p>
        </w:tc>
        <w:tc>
          <w:tcPr>
            <w:tcW w:w="1441" w:type="dxa"/>
            <w:tcBorders>
              <w:top w:val="single" w:color="auto" w:sz="4" w:space="0"/>
              <w:left w:val="nil"/>
              <w:bottom w:val="single" w:color="auto" w:sz="4" w:space="0"/>
              <w:right w:val="single" w:color="auto" w:sz="4" w:space="0"/>
            </w:tcBorders>
            <w:vAlign w:val="center"/>
          </w:tcPr>
          <w:p w14:paraId="78F86073">
            <w:pPr>
              <w:rPr>
                <w:color w:val="auto"/>
                <w:highlight w:val="none"/>
              </w:rPr>
            </w:pPr>
          </w:p>
        </w:tc>
        <w:tc>
          <w:tcPr>
            <w:tcW w:w="2051" w:type="dxa"/>
            <w:tcBorders>
              <w:top w:val="single" w:color="auto" w:sz="4" w:space="0"/>
              <w:left w:val="nil"/>
              <w:bottom w:val="single" w:color="auto" w:sz="4" w:space="0"/>
              <w:right w:val="single" w:color="auto" w:sz="4" w:space="0"/>
            </w:tcBorders>
            <w:vAlign w:val="center"/>
          </w:tcPr>
          <w:p w14:paraId="41B50C47">
            <w:pPr>
              <w:rPr>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14:paraId="3C8BFA9C">
            <w:pPr>
              <w:rPr>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361DF43">
            <w:pPr>
              <w:rPr>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EAD7F6C">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703DD8E7">
            <w:pPr>
              <w:rPr>
                <w:color w:val="auto"/>
                <w:highlight w:val="none"/>
              </w:rPr>
            </w:pPr>
          </w:p>
        </w:tc>
      </w:tr>
      <w:tr w14:paraId="22996A28">
        <w:tblPrEx>
          <w:tblCellMar>
            <w:top w:w="0" w:type="dxa"/>
            <w:left w:w="108" w:type="dxa"/>
            <w:bottom w:w="0" w:type="dxa"/>
            <w:right w:w="108" w:type="dxa"/>
          </w:tblCellMar>
        </w:tblPrEx>
        <w:trPr>
          <w:trHeight w:val="610"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14:paraId="50C3D4F1">
            <w:pPr>
              <w:rPr>
                <w:color w:val="auto"/>
                <w:highlight w:val="none"/>
              </w:rPr>
            </w:pPr>
            <w:r>
              <w:rPr>
                <w:color w:val="auto"/>
                <w:highlight w:val="none"/>
              </w:rPr>
              <w:t>……</w:t>
            </w:r>
          </w:p>
        </w:tc>
        <w:tc>
          <w:tcPr>
            <w:tcW w:w="1441" w:type="dxa"/>
            <w:tcBorders>
              <w:top w:val="single" w:color="auto" w:sz="4" w:space="0"/>
              <w:left w:val="nil"/>
              <w:bottom w:val="single" w:color="auto" w:sz="4" w:space="0"/>
              <w:right w:val="single" w:color="auto" w:sz="4" w:space="0"/>
            </w:tcBorders>
            <w:vAlign w:val="center"/>
          </w:tcPr>
          <w:p w14:paraId="32F18E78">
            <w:pPr>
              <w:rPr>
                <w:color w:val="auto"/>
                <w:highlight w:val="none"/>
              </w:rPr>
            </w:pPr>
          </w:p>
        </w:tc>
        <w:tc>
          <w:tcPr>
            <w:tcW w:w="2051" w:type="dxa"/>
            <w:tcBorders>
              <w:top w:val="single" w:color="auto" w:sz="4" w:space="0"/>
              <w:left w:val="nil"/>
              <w:bottom w:val="single" w:color="auto" w:sz="4" w:space="0"/>
              <w:right w:val="single" w:color="auto" w:sz="4" w:space="0"/>
            </w:tcBorders>
            <w:vAlign w:val="center"/>
          </w:tcPr>
          <w:p w14:paraId="1BD7BD7D">
            <w:pPr>
              <w:rPr>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14:paraId="1AC7A2BA">
            <w:pPr>
              <w:rPr>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95C29F2">
            <w:pPr>
              <w:rPr>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9A5A2B6">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31472207">
            <w:pPr>
              <w:rPr>
                <w:color w:val="auto"/>
                <w:highlight w:val="none"/>
              </w:rPr>
            </w:pPr>
          </w:p>
        </w:tc>
      </w:tr>
      <w:tr w14:paraId="626A48D2">
        <w:tblPrEx>
          <w:tblCellMar>
            <w:top w:w="0" w:type="dxa"/>
            <w:left w:w="108" w:type="dxa"/>
            <w:bottom w:w="0" w:type="dxa"/>
            <w:right w:w="108" w:type="dxa"/>
          </w:tblCellMar>
        </w:tblPrEx>
        <w:trPr>
          <w:trHeight w:val="610" w:hRule="atLeast"/>
          <w:tblHeader/>
          <w:jc w:val="center"/>
        </w:trPr>
        <w:tc>
          <w:tcPr>
            <w:tcW w:w="4197" w:type="dxa"/>
            <w:gridSpan w:val="3"/>
            <w:tcBorders>
              <w:top w:val="single" w:color="auto" w:sz="4" w:space="0"/>
              <w:left w:val="single" w:color="auto" w:sz="4" w:space="0"/>
              <w:bottom w:val="single" w:color="auto" w:sz="4" w:space="0"/>
              <w:right w:val="single" w:color="auto" w:sz="4" w:space="0"/>
            </w:tcBorders>
            <w:vAlign w:val="center"/>
          </w:tcPr>
          <w:p w14:paraId="57566875">
            <w:pPr>
              <w:rPr>
                <w:color w:val="auto"/>
                <w:highlight w:val="none"/>
              </w:rPr>
            </w:pPr>
            <w:r>
              <w:rPr>
                <w:color w:val="auto"/>
                <w:highlight w:val="none"/>
              </w:rPr>
              <w:t>合   计</w:t>
            </w:r>
          </w:p>
        </w:tc>
        <w:tc>
          <w:tcPr>
            <w:tcW w:w="1010" w:type="dxa"/>
            <w:tcBorders>
              <w:top w:val="single" w:color="auto" w:sz="4" w:space="0"/>
              <w:left w:val="single" w:color="auto" w:sz="4" w:space="0"/>
              <w:bottom w:val="single" w:color="auto" w:sz="4" w:space="0"/>
              <w:right w:val="single" w:color="auto" w:sz="4" w:space="0"/>
            </w:tcBorders>
            <w:vAlign w:val="center"/>
          </w:tcPr>
          <w:p w14:paraId="75D42B1C">
            <w:pPr>
              <w:rPr>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793CFF6D">
            <w:pPr>
              <w:rPr>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DABB512">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14:paraId="01E134D9">
            <w:pPr>
              <w:rPr>
                <w:color w:val="auto"/>
                <w:highlight w:val="none"/>
              </w:rPr>
            </w:pPr>
          </w:p>
        </w:tc>
      </w:tr>
    </w:tbl>
    <w:p w14:paraId="25EBBE1D">
      <w:pPr>
        <w:jc w:val="left"/>
        <w:rPr>
          <w:color w:val="auto"/>
          <w:highlight w:val="none"/>
        </w:rPr>
      </w:pPr>
      <w:r>
        <w:rPr>
          <w:color w:val="auto"/>
          <w:highlight w:val="none"/>
        </w:rPr>
        <w:t>特别说明：</w:t>
      </w:r>
    </w:p>
    <w:p w14:paraId="3CD6BF90">
      <w:pPr>
        <w:ind w:firstLine="420" w:firstLineChars="200"/>
        <w:jc w:val="left"/>
        <w:rPr>
          <w:color w:val="auto"/>
          <w:highlight w:val="none"/>
        </w:rPr>
      </w:pPr>
      <w:r>
        <w:rPr>
          <w:rFonts w:hint="eastAsia"/>
          <w:color w:val="auto"/>
          <w:highlight w:val="none"/>
        </w:rPr>
        <w:t>1.本项目总价及分项报价均不接受任何形式的赠送、“零”报价和折扣报价。</w:t>
      </w:r>
    </w:p>
    <w:p w14:paraId="49067A77">
      <w:pPr>
        <w:ind w:firstLine="420" w:firstLineChars="200"/>
        <w:jc w:val="left"/>
        <w:rPr>
          <w:color w:val="auto"/>
          <w:highlight w:val="none"/>
        </w:rPr>
      </w:pPr>
      <w:r>
        <w:rPr>
          <w:rFonts w:hint="eastAsia"/>
          <w:color w:val="auto"/>
          <w:highlight w:val="none"/>
        </w:rPr>
        <w:t>2.如报价不一致，按照投标人须知“19.核价原则”进行修正。</w:t>
      </w:r>
    </w:p>
    <w:p w14:paraId="0B737B1D">
      <w:pPr>
        <w:ind w:firstLine="420" w:firstLineChars="200"/>
        <w:jc w:val="left"/>
        <w:rPr>
          <w:color w:val="auto"/>
          <w:highlight w:val="none"/>
        </w:rPr>
      </w:pPr>
      <w:r>
        <w:rPr>
          <w:rFonts w:hint="eastAsia"/>
          <w:color w:val="auto"/>
          <w:highlight w:val="none"/>
        </w:rPr>
        <w:t>3.本表中小计=数量×单价。</w:t>
      </w:r>
    </w:p>
    <w:p w14:paraId="1C38BF66">
      <w:pPr>
        <w:ind w:firstLine="420" w:firstLineChars="200"/>
        <w:jc w:val="left"/>
        <w:rPr>
          <w:color w:val="auto"/>
          <w:highlight w:val="none"/>
        </w:rPr>
      </w:pPr>
      <w:r>
        <w:rPr>
          <w:rFonts w:hint="eastAsia"/>
          <w:color w:val="auto"/>
          <w:highlight w:val="none"/>
        </w:rPr>
        <w:t>4.本表仅供参考，可扩展。</w:t>
      </w:r>
    </w:p>
    <w:p w14:paraId="1496C031">
      <w:pPr>
        <w:pStyle w:val="11"/>
        <w:jc w:val="left"/>
        <w:rPr>
          <w:color w:val="auto"/>
          <w:highlight w:val="none"/>
        </w:rPr>
      </w:pPr>
    </w:p>
    <w:p w14:paraId="04E98E9B">
      <w:pPr>
        <w:jc w:val="left"/>
        <w:rPr>
          <w:color w:val="auto"/>
          <w:highlight w:val="none"/>
        </w:rPr>
      </w:pPr>
      <w:r>
        <w:rPr>
          <w:rFonts w:hint="eastAsia"/>
          <w:color w:val="auto"/>
          <w:highlight w:val="none"/>
        </w:rPr>
        <w:t>投标人（全称并加盖公章）：</w:t>
      </w:r>
    </w:p>
    <w:p w14:paraId="2199EF49">
      <w:pPr>
        <w:jc w:val="left"/>
        <w:rPr>
          <w:color w:val="auto"/>
          <w:highlight w:val="none"/>
        </w:rPr>
      </w:pPr>
      <w:r>
        <w:rPr>
          <w:rFonts w:hint="eastAsia"/>
          <w:color w:val="auto"/>
          <w:highlight w:val="none"/>
        </w:rPr>
        <w:t>投标人代表（签字）：</w:t>
      </w:r>
    </w:p>
    <w:p w14:paraId="45A64D78">
      <w:pPr>
        <w:jc w:val="left"/>
        <w:rPr>
          <w:color w:val="auto"/>
          <w:highlight w:val="none"/>
        </w:rPr>
      </w:pPr>
      <w:r>
        <w:rPr>
          <w:color w:val="auto"/>
          <w:highlight w:val="none"/>
        </w:rPr>
        <w:t>日期：</w:t>
      </w:r>
    </w:p>
    <w:p w14:paraId="4CB7225C">
      <w:pPr>
        <w:rPr>
          <w:rFonts w:hint="eastAsia"/>
          <w:b/>
          <w:bCs w:val="0"/>
          <w:color w:val="auto"/>
          <w:sz w:val="28"/>
          <w:szCs w:val="28"/>
          <w:highlight w:val="none"/>
        </w:rPr>
      </w:pPr>
      <w:r>
        <w:rPr>
          <w:color w:val="auto"/>
          <w:sz w:val="36"/>
          <w:szCs w:val="36"/>
          <w:highlight w:val="none"/>
        </w:rPr>
        <w:br w:type="page"/>
      </w:r>
      <w:r>
        <w:rPr>
          <w:rFonts w:hint="eastAsia"/>
          <w:b/>
          <w:bCs w:val="0"/>
          <w:color w:val="auto"/>
          <w:sz w:val="28"/>
          <w:szCs w:val="28"/>
          <w:highlight w:val="none"/>
        </w:rPr>
        <w:t>格式</w:t>
      </w:r>
      <w:r>
        <w:rPr>
          <w:rFonts w:hint="eastAsia"/>
          <w:b/>
          <w:bCs w:val="0"/>
          <w:color w:val="auto"/>
          <w:sz w:val="28"/>
          <w:szCs w:val="28"/>
          <w:highlight w:val="none"/>
          <w:lang w:val="en-US" w:eastAsia="zh-CN"/>
        </w:rPr>
        <w:t>10</w:t>
      </w:r>
      <w:r>
        <w:rPr>
          <w:rFonts w:hint="eastAsia"/>
          <w:b/>
          <w:bCs w:val="0"/>
          <w:color w:val="auto"/>
          <w:sz w:val="28"/>
          <w:szCs w:val="28"/>
          <w:highlight w:val="none"/>
        </w:rPr>
        <w:t xml:space="preserve">  授权委托书</w:t>
      </w:r>
    </w:p>
    <w:p w14:paraId="1DA24D8A">
      <w:pPr>
        <w:rPr>
          <w:rFonts w:hint="eastAsia"/>
          <w:b/>
          <w:bCs w:val="0"/>
          <w:color w:val="auto"/>
          <w:sz w:val="28"/>
          <w:szCs w:val="28"/>
          <w:highlight w:val="none"/>
        </w:rPr>
      </w:pPr>
      <w:r>
        <w:rPr>
          <w:rFonts w:hint="eastAsia"/>
          <w:b/>
          <w:bCs w:val="0"/>
          <w:color w:val="auto"/>
          <w:sz w:val="28"/>
          <w:szCs w:val="28"/>
          <w:highlight w:val="none"/>
          <w:lang w:val="en-US" w:eastAsia="zh-CN"/>
        </w:rPr>
        <w:t>10</w:t>
      </w:r>
      <w:r>
        <w:rPr>
          <w:rFonts w:hint="eastAsia"/>
          <w:b/>
          <w:bCs w:val="0"/>
          <w:color w:val="auto"/>
          <w:sz w:val="28"/>
          <w:szCs w:val="28"/>
          <w:highlight w:val="none"/>
        </w:rPr>
        <w:t>-1法定代表人授权委托书</w:t>
      </w:r>
    </w:p>
    <w:p w14:paraId="52748EE2">
      <w:pPr>
        <w:rPr>
          <w:b/>
          <w:color w:val="auto"/>
          <w:sz w:val="24"/>
          <w:highlight w:val="none"/>
        </w:rPr>
      </w:pPr>
      <w:r>
        <w:rPr>
          <w:rFonts w:hint="eastAsia"/>
          <w:color w:val="auto"/>
          <w:highlight w:val="none"/>
        </w:rPr>
        <w:t>(适用于授权代表参加投标)</w:t>
      </w:r>
    </w:p>
    <w:p w14:paraId="7F50E243">
      <w:pPr>
        <w:pStyle w:val="4"/>
        <w:rPr>
          <w:color w:val="auto"/>
          <w:highlight w:val="none"/>
        </w:rPr>
      </w:pPr>
    </w:p>
    <w:p w14:paraId="22344130">
      <w:pPr>
        <w:jc w:val="left"/>
        <w:rPr>
          <w:color w:val="auto"/>
          <w:highlight w:val="none"/>
        </w:rPr>
      </w:pPr>
      <w:r>
        <w:rPr>
          <w:rFonts w:hint="eastAsia" w:cs="宋体"/>
          <w:color w:val="auto"/>
          <w:highlight w:val="none"/>
        </w:rPr>
        <w:t>致</w:t>
      </w:r>
      <w:r>
        <w:rPr>
          <w:color w:val="auto"/>
          <w:highlight w:val="none"/>
        </w:rPr>
        <w:t>____________(</w:t>
      </w:r>
      <w:r>
        <w:rPr>
          <w:rFonts w:hint="eastAsia" w:cs="宋体"/>
          <w:color w:val="auto"/>
          <w:highlight w:val="none"/>
        </w:rPr>
        <w:t>采购人或采购代理机构</w:t>
      </w:r>
      <w:r>
        <w:rPr>
          <w:color w:val="auto"/>
          <w:highlight w:val="none"/>
        </w:rPr>
        <w:t>)</w:t>
      </w:r>
      <w:r>
        <w:rPr>
          <w:rFonts w:hint="eastAsia" w:cs="宋体"/>
          <w:color w:val="auto"/>
          <w:highlight w:val="none"/>
        </w:rPr>
        <w:t>：</w:t>
      </w:r>
    </w:p>
    <w:p w14:paraId="03F073F4">
      <w:pPr>
        <w:ind w:firstLine="420" w:firstLineChars="200"/>
        <w:jc w:val="left"/>
        <w:rPr>
          <w:color w:val="auto"/>
          <w:highlight w:val="none"/>
        </w:rPr>
      </w:pPr>
      <w:r>
        <w:rPr>
          <w:rFonts w:hint="eastAsia"/>
          <w:color w:val="auto"/>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color w:val="auto"/>
          <w:highlight w:val="none"/>
          <w:u w:val="single"/>
        </w:rPr>
        <w:t xml:space="preserve">          项目</w:t>
      </w:r>
      <w:r>
        <w:rPr>
          <w:rFonts w:hint="eastAsia"/>
          <w:color w:val="auto"/>
          <w:highlight w:val="none"/>
        </w:rPr>
        <w:t>》（项目编号：_______）投标、合同的执行，以本公司名义处理一切与之有关的事务。</w:t>
      </w:r>
    </w:p>
    <w:p w14:paraId="62DFB307">
      <w:pPr>
        <w:ind w:firstLine="420" w:firstLineChars="200"/>
        <w:jc w:val="left"/>
        <w:rPr>
          <w:color w:val="auto"/>
          <w:highlight w:val="none"/>
        </w:rPr>
      </w:pPr>
      <w:r>
        <w:rPr>
          <w:rFonts w:hint="eastAsia"/>
          <w:color w:val="auto"/>
          <w:highlight w:val="none"/>
        </w:rPr>
        <w:t>本授权书于______年______月_____日生效，特此声明。</w:t>
      </w:r>
    </w:p>
    <w:p w14:paraId="32359183">
      <w:pPr>
        <w:pStyle w:val="4"/>
        <w:ind w:firstLine="480" w:firstLineChars="200"/>
        <w:jc w:val="left"/>
        <w:rPr>
          <w:color w:val="auto"/>
          <w:highlight w:val="none"/>
        </w:rPr>
      </w:pPr>
      <w:r>
        <w:rPr>
          <w:rFonts w:hint="eastAsia"/>
          <w:color w:val="auto"/>
          <w:kern w:val="2"/>
          <w:highlight w:val="none"/>
        </w:rPr>
        <w:t>被授权投标代表无转委托权。</w:t>
      </w:r>
    </w:p>
    <w:tbl>
      <w:tblPr>
        <w:tblStyle w:val="19"/>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14:paraId="72B6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200EC">
            <w:pPr>
              <w:pStyle w:val="4"/>
              <w:rPr>
                <w:color w:val="auto"/>
                <w:highlight w:val="none"/>
              </w:rPr>
            </w:pPr>
          </w:p>
          <w:p w14:paraId="16F24185">
            <w:pPr>
              <w:pStyle w:val="4"/>
              <w:rPr>
                <w:color w:val="auto"/>
                <w:highlight w:val="none"/>
              </w:rPr>
            </w:pPr>
          </w:p>
          <w:p w14:paraId="38B9BC4F">
            <w:pPr>
              <w:pStyle w:val="4"/>
              <w:rPr>
                <w:color w:val="auto"/>
                <w:highlight w:val="none"/>
              </w:rPr>
            </w:pPr>
          </w:p>
          <w:p w14:paraId="320252BD">
            <w:pPr>
              <w:pStyle w:val="4"/>
              <w:rPr>
                <w:color w:val="auto"/>
                <w:highlight w:val="none"/>
              </w:rPr>
            </w:pPr>
            <w:r>
              <w:rPr>
                <w:rFonts w:hint="eastAsia"/>
                <w:color w:val="auto"/>
                <w:kern w:val="2"/>
                <w:highlight w:val="none"/>
              </w:rPr>
              <w:t>被授权投标代表身份证复印件</w:t>
            </w:r>
          </w:p>
          <w:p w14:paraId="1EF7A8C9">
            <w:pPr>
              <w:pStyle w:val="4"/>
              <w:rPr>
                <w:color w:val="auto"/>
                <w:highlight w:val="none"/>
              </w:rPr>
            </w:pPr>
          </w:p>
          <w:p w14:paraId="0772A718">
            <w:pPr>
              <w:pStyle w:val="4"/>
              <w:rPr>
                <w:color w:val="auto"/>
                <w:highlight w:val="none"/>
              </w:rPr>
            </w:pPr>
          </w:p>
          <w:p w14:paraId="03337FB0">
            <w:pPr>
              <w:pStyle w:val="4"/>
              <w:rPr>
                <w:color w:val="auto"/>
                <w:highlight w:val="none"/>
              </w:rPr>
            </w:pPr>
          </w:p>
        </w:tc>
      </w:tr>
    </w:tbl>
    <w:p w14:paraId="093B2A77">
      <w:pPr>
        <w:jc w:val="left"/>
        <w:rPr>
          <w:color w:val="auto"/>
          <w:highlight w:val="none"/>
        </w:rPr>
      </w:pPr>
      <w:r>
        <w:rPr>
          <w:rFonts w:hint="eastAsia"/>
          <w:color w:val="auto"/>
          <w:highlight w:val="none"/>
        </w:rPr>
        <w:t>投标人名称（公章）：________________</w:t>
      </w:r>
    </w:p>
    <w:p w14:paraId="7852B9B1">
      <w:pPr>
        <w:jc w:val="left"/>
        <w:rPr>
          <w:color w:val="auto"/>
          <w:highlight w:val="none"/>
        </w:rPr>
      </w:pPr>
      <w:r>
        <w:rPr>
          <w:rFonts w:hint="eastAsia"/>
          <w:color w:val="auto"/>
          <w:highlight w:val="none"/>
        </w:rPr>
        <w:t>法定代表人（签字）：________________</w:t>
      </w:r>
    </w:p>
    <w:p w14:paraId="069DF79D">
      <w:pPr>
        <w:jc w:val="left"/>
        <w:rPr>
          <w:color w:val="auto"/>
          <w:highlight w:val="none"/>
        </w:rPr>
      </w:pPr>
      <w:r>
        <w:rPr>
          <w:rFonts w:hint="eastAsia"/>
          <w:color w:val="auto"/>
          <w:highlight w:val="none"/>
        </w:rPr>
        <w:t>被授权投标代表（签字）：________________</w:t>
      </w:r>
    </w:p>
    <w:p w14:paraId="67E09F67">
      <w:pPr>
        <w:jc w:val="left"/>
        <w:rPr>
          <w:color w:val="auto"/>
          <w:highlight w:val="none"/>
        </w:rPr>
      </w:pPr>
      <w:r>
        <w:rPr>
          <w:rFonts w:hint="eastAsia"/>
          <w:color w:val="auto"/>
          <w:highlight w:val="none"/>
        </w:rPr>
        <w:t>被授权投标代表联系电话：____________</w:t>
      </w:r>
    </w:p>
    <w:p w14:paraId="5ED4AC61">
      <w:pPr>
        <w:jc w:val="left"/>
        <w:rPr>
          <w:color w:val="auto"/>
          <w:highlight w:val="none"/>
        </w:rPr>
      </w:pPr>
      <w:r>
        <w:rPr>
          <w:rFonts w:hint="eastAsia"/>
          <w:color w:val="auto"/>
          <w:highlight w:val="none"/>
        </w:rPr>
        <w:t>日期：____________</w:t>
      </w:r>
    </w:p>
    <w:p w14:paraId="7CB3D723">
      <w:pPr>
        <w:jc w:val="left"/>
        <w:rPr>
          <w:color w:val="auto"/>
          <w:highlight w:val="none"/>
        </w:rPr>
      </w:pPr>
    </w:p>
    <w:p w14:paraId="49BCBC78">
      <w:pPr>
        <w:jc w:val="left"/>
        <w:rPr>
          <w:rFonts w:hint="eastAsia"/>
          <w:color w:val="auto"/>
          <w:highlight w:val="none"/>
        </w:rPr>
      </w:pPr>
    </w:p>
    <w:p w14:paraId="742626FB">
      <w:pPr>
        <w:jc w:val="left"/>
        <w:rPr>
          <w:i/>
          <w:iCs/>
          <w:color w:val="auto"/>
          <w:highlight w:val="none"/>
        </w:rPr>
      </w:pPr>
      <w:r>
        <w:rPr>
          <w:rFonts w:hint="eastAsia"/>
          <w:color w:val="auto"/>
          <w:highlight w:val="none"/>
        </w:rPr>
        <w:t>特别说明：</w:t>
      </w:r>
    </w:p>
    <w:p w14:paraId="7BC93C7C">
      <w:pPr>
        <w:ind w:firstLine="420" w:firstLineChars="200"/>
        <w:jc w:val="left"/>
        <w:rPr>
          <w:rFonts w:ascii="宋体" w:hAnsi="宋体"/>
          <w:color w:val="auto"/>
          <w:highlight w:val="none"/>
        </w:rPr>
      </w:pPr>
      <w:r>
        <w:rPr>
          <w:color w:val="auto"/>
          <w:highlight w:val="none"/>
        </w:rPr>
        <w:t>1.</w:t>
      </w:r>
      <w:r>
        <w:rPr>
          <w:rFonts w:hint="eastAsia"/>
          <w:color w:val="auto"/>
          <w:highlight w:val="none"/>
        </w:rPr>
        <w:t>投标人如由被授权投标代表参与投标活动的，须同时提供《法定代表人授权委托书》和被授权投标代表身份证复印件（线上采购项目提供扫描件，下同）。《法定代表人授权委托书》应当按本格式要求加盖与投标人名称全称一致的标准公章，并签署法定代表人或被授权投标代表的全名。</w:t>
      </w:r>
      <w:r>
        <w:rPr>
          <w:color w:val="auto"/>
          <w:highlight w:val="none"/>
        </w:rPr>
        <w:t>(</w:t>
      </w:r>
      <w:r>
        <w:rPr>
          <w:rFonts w:hint="eastAsia"/>
          <w:color w:val="auto"/>
          <w:highlight w:val="none"/>
        </w:rPr>
        <w:t>线上采购项目应上传扫描件</w:t>
      </w:r>
      <w:r>
        <w:rPr>
          <w:color w:val="auto"/>
          <w:highlight w:val="none"/>
        </w:rPr>
        <w:t>)</w:t>
      </w:r>
      <w:r>
        <w:rPr>
          <w:rFonts w:hint="eastAsia"/>
          <w:color w:val="auto"/>
          <w:highlight w:val="none"/>
        </w:rPr>
        <w:t>。</w:t>
      </w:r>
    </w:p>
    <w:p w14:paraId="7231E3E4">
      <w:pPr>
        <w:jc w:val="center"/>
        <w:rPr>
          <w:rFonts w:hint="eastAsia"/>
          <w:b/>
          <w:bCs w:val="0"/>
          <w:color w:val="auto"/>
          <w:sz w:val="28"/>
          <w:szCs w:val="28"/>
          <w:highlight w:val="none"/>
        </w:rPr>
      </w:pPr>
      <w:r>
        <w:rPr>
          <w:rFonts w:hint="eastAsia" w:ascii="宋体" w:hAnsi="宋体"/>
          <w:color w:val="auto"/>
          <w:sz w:val="36"/>
          <w:szCs w:val="36"/>
          <w:highlight w:val="none"/>
        </w:rPr>
        <w:br w:type="page"/>
      </w:r>
      <w:r>
        <w:rPr>
          <w:rFonts w:hint="eastAsia"/>
          <w:b/>
          <w:bCs w:val="0"/>
          <w:color w:val="auto"/>
          <w:sz w:val="28"/>
          <w:szCs w:val="28"/>
          <w:highlight w:val="none"/>
          <w:lang w:val="en-US" w:eastAsia="zh-CN"/>
        </w:rPr>
        <w:t>10</w:t>
      </w:r>
      <w:r>
        <w:rPr>
          <w:rFonts w:hint="eastAsia"/>
          <w:b/>
          <w:bCs w:val="0"/>
          <w:color w:val="auto"/>
          <w:sz w:val="28"/>
          <w:szCs w:val="28"/>
          <w:highlight w:val="none"/>
        </w:rPr>
        <w:t>-2法定代表人身份证明复印件</w:t>
      </w:r>
    </w:p>
    <w:p w14:paraId="6BB36AD2">
      <w:pPr>
        <w:rPr>
          <w:color w:val="auto"/>
          <w:highlight w:val="none"/>
        </w:rPr>
      </w:pPr>
      <w:r>
        <w:rPr>
          <w:rFonts w:hint="eastAsia"/>
          <w:color w:val="auto"/>
          <w:highlight w:val="none"/>
        </w:rPr>
        <w:t>(适用于法定代表人参加投标)</w:t>
      </w:r>
    </w:p>
    <w:p w14:paraId="2E7E1CDC">
      <w:pPr>
        <w:rPr>
          <w:color w:val="auto"/>
          <w:highlight w:val="none"/>
        </w:rPr>
      </w:pPr>
    </w:p>
    <w:tbl>
      <w:tblPr>
        <w:tblStyle w:val="19"/>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14:paraId="7E61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8467E">
            <w:pPr>
              <w:pStyle w:val="4"/>
              <w:rPr>
                <w:color w:val="auto"/>
                <w:highlight w:val="none"/>
              </w:rPr>
            </w:pPr>
          </w:p>
          <w:p w14:paraId="7E81C6BD">
            <w:pPr>
              <w:pStyle w:val="4"/>
              <w:rPr>
                <w:color w:val="auto"/>
                <w:highlight w:val="none"/>
              </w:rPr>
            </w:pPr>
          </w:p>
          <w:p w14:paraId="6C914744">
            <w:pPr>
              <w:pStyle w:val="4"/>
              <w:rPr>
                <w:color w:val="auto"/>
                <w:highlight w:val="none"/>
              </w:rPr>
            </w:pPr>
          </w:p>
          <w:p w14:paraId="621283B2">
            <w:pPr>
              <w:pStyle w:val="4"/>
              <w:rPr>
                <w:color w:val="auto"/>
                <w:highlight w:val="none"/>
              </w:rPr>
            </w:pPr>
          </w:p>
          <w:p w14:paraId="00084B2A">
            <w:pPr>
              <w:pStyle w:val="4"/>
              <w:rPr>
                <w:color w:val="auto"/>
                <w:highlight w:val="none"/>
              </w:rPr>
            </w:pPr>
            <w:r>
              <w:rPr>
                <w:rFonts w:hint="eastAsia"/>
                <w:color w:val="auto"/>
                <w:kern w:val="2"/>
                <w:highlight w:val="none"/>
              </w:rPr>
              <w:t>法定代表人身份证明复印件</w:t>
            </w:r>
          </w:p>
          <w:p w14:paraId="0A74837D">
            <w:pPr>
              <w:pStyle w:val="4"/>
              <w:rPr>
                <w:color w:val="auto"/>
                <w:highlight w:val="none"/>
              </w:rPr>
            </w:pPr>
          </w:p>
          <w:p w14:paraId="2720093A">
            <w:pPr>
              <w:pStyle w:val="4"/>
              <w:rPr>
                <w:color w:val="auto"/>
                <w:highlight w:val="none"/>
              </w:rPr>
            </w:pPr>
          </w:p>
          <w:p w14:paraId="43041C35">
            <w:pPr>
              <w:pStyle w:val="4"/>
              <w:rPr>
                <w:color w:val="auto"/>
                <w:highlight w:val="none"/>
              </w:rPr>
            </w:pPr>
          </w:p>
          <w:p w14:paraId="75D1853A">
            <w:pPr>
              <w:pStyle w:val="4"/>
              <w:rPr>
                <w:color w:val="auto"/>
                <w:highlight w:val="none"/>
              </w:rPr>
            </w:pPr>
          </w:p>
        </w:tc>
      </w:tr>
    </w:tbl>
    <w:p w14:paraId="0289AB9E">
      <w:pPr>
        <w:rPr>
          <w:color w:val="auto"/>
          <w:highlight w:val="none"/>
        </w:rPr>
      </w:pPr>
    </w:p>
    <w:p w14:paraId="5E890B08">
      <w:pPr>
        <w:jc w:val="both"/>
        <w:rPr>
          <w:i/>
          <w:iCs/>
          <w:color w:val="auto"/>
          <w:highlight w:val="none"/>
        </w:rPr>
      </w:pPr>
      <w:r>
        <w:rPr>
          <w:rFonts w:hint="eastAsia"/>
          <w:color w:val="auto"/>
          <w:highlight w:val="none"/>
        </w:rPr>
        <w:t>特别说明：</w:t>
      </w:r>
    </w:p>
    <w:p w14:paraId="267F29CB">
      <w:pPr>
        <w:jc w:val="left"/>
        <w:rPr>
          <w:color w:val="auto"/>
          <w:highlight w:val="none"/>
        </w:rPr>
      </w:pPr>
      <w:r>
        <w:rPr>
          <w:rFonts w:hint="eastAsia"/>
          <w:color w:val="auto"/>
          <w:highlight w:val="none"/>
          <w:lang w:val="en-US" w:eastAsia="zh-CN"/>
        </w:rPr>
        <w:t xml:space="preserve">    </w:t>
      </w:r>
      <w:r>
        <w:rPr>
          <w:rFonts w:hint="eastAsia"/>
          <w:color w:val="auto"/>
          <w:highlight w:val="none"/>
        </w:rPr>
        <w:t>投标人如由法定代表人作为投标代表参与投标活动的，仅须提供法定代表人身份证复印件（线上采购项目提供扫描件，下同）。</w:t>
      </w:r>
    </w:p>
    <w:p w14:paraId="02F947C6">
      <w:pPr>
        <w:pStyle w:val="4"/>
        <w:jc w:val="left"/>
        <w:rPr>
          <w:color w:val="auto"/>
          <w:highlight w:val="none"/>
        </w:rPr>
      </w:pPr>
    </w:p>
    <w:p w14:paraId="3E194104">
      <w:pPr>
        <w:rPr>
          <w:color w:val="auto"/>
          <w:highlight w:val="none"/>
        </w:rPr>
      </w:pPr>
      <w:r>
        <w:rPr>
          <w:rFonts w:hint="eastAsia"/>
          <w:color w:val="auto"/>
          <w:highlight w:val="none"/>
        </w:rPr>
        <w:br w:type="page"/>
      </w:r>
    </w:p>
    <w:p w14:paraId="50DD2DD7">
      <w:pPr>
        <w:jc w:val="center"/>
        <w:rPr>
          <w:rFonts w:hint="eastAsia"/>
          <w:b/>
          <w:bCs w:val="0"/>
          <w:color w:val="auto"/>
          <w:sz w:val="28"/>
          <w:szCs w:val="28"/>
          <w:highlight w:val="none"/>
        </w:rPr>
      </w:pPr>
      <w:r>
        <w:rPr>
          <w:rFonts w:hint="eastAsia"/>
          <w:b/>
          <w:bCs w:val="0"/>
          <w:color w:val="auto"/>
          <w:sz w:val="28"/>
          <w:szCs w:val="28"/>
          <w:highlight w:val="none"/>
          <w:lang w:val="en-US" w:eastAsia="zh-CN"/>
        </w:rPr>
        <w:t>10</w:t>
      </w:r>
      <w:r>
        <w:rPr>
          <w:rFonts w:hint="eastAsia"/>
          <w:b/>
          <w:bCs w:val="0"/>
          <w:color w:val="auto"/>
          <w:sz w:val="28"/>
          <w:szCs w:val="28"/>
          <w:highlight w:val="none"/>
        </w:rPr>
        <w:t>-3自然人授权委托书</w:t>
      </w:r>
    </w:p>
    <w:p w14:paraId="7EDDC618">
      <w:pPr>
        <w:rPr>
          <w:color w:val="auto"/>
          <w:highlight w:val="none"/>
        </w:rPr>
      </w:pPr>
      <w:r>
        <w:rPr>
          <w:rFonts w:hint="eastAsia"/>
          <w:color w:val="auto"/>
          <w:highlight w:val="none"/>
        </w:rPr>
        <w:t>(适用于自然人投标)</w:t>
      </w:r>
    </w:p>
    <w:p w14:paraId="4A6DD355">
      <w:pPr>
        <w:pStyle w:val="4"/>
        <w:rPr>
          <w:color w:val="auto"/>
          <w:highlight w:val="none"/>
        </w:rPr>
      </w:pPr>
    </w:p>
    <w:p w14:paraId="379CA8C4">
      <w:pPr>
        <w:jc w:val="left"/>
        <w:rPr>
          <w:color w:val="auto"/>
          <w:highlight w:val="none"/>
        </w:rPr>
      </w:pPr>
      <w:r>
        <w:rPr>
          <w:rFonts w:hint="eastAsia" w:cs="宋体"/>
          <w:color w:val="auto"/>
          <w:highlight w:val="none"/>
        </w:rPr>
        <w:t>致</w:t>
      </w:r>
      <w:r>
        <w:rPr>
          <w:color w:val="auto"/>
          <w:highlight w:val="none"/>
        </w:rPr>
        <w:t>____________(</w:t>
      </w:r>
      <w:r>
        <w:rPr>
          <w:rFonts w:hint="eastAsia" w:cs="宋体"/>
          <w:color w:val="auto"/>
          <w:highlight w:val="none"/>
        </w:rPr>
        <w:t>采购人或采购代理机构</w:t>
      </w:r>
      <w:r>
        <w:rPr>
          <w:color w:val="auto"/>
          <w:highlight w:val="none"/>
        </w:rPr>
        <w:t>)</w:t>
      </w:r>
      <w:r>
        <w:rPr>
          <w:rFonts w:hint="eastAsia" w:cs="宋体"/>
          <w:color w:val="auto"/>
          <w:highlight w:val="none"/>
        </w:rPr>
        <w:t>：</w:t>
      </w:r>
    </w:p>
    <w:p w14:paraId="2243C7B8">
      <w:pPr>
        <w:ind w:firstLine="420" w:firstLineChars="200"/>
        <w:jc w:val="left"/>
        <w:rPr>
          <w:color w:val="auto"/>
          <w:highlight w:val="none"/>
        </w:rPr>
      </w:pPr>
      <w:r>
        <w:rPr>
          <w:rFonts w:hint="eastAsia"/>
          <w:color w:val="auto"/>
          <w:highlight w:val="none"/>
        </w:rPr>
        <w:t>本授权书声明：我</w:t>
      </w:r>
      <w:r>
        <w:rPr>
          <w:color w:val="auto"/>
          <w:highlight w:val="none"/>
        </w:rPr>
        <w:t>________(</w:t>
      </w:r>
      <w:r>
        <w:rPr>
          <w:rFonts w:hint="eastAsia"/>
          <w:color w:val="auto"/>
          <w:highlight w:val="none"/>
        </w:rPr>
        <w:t>姓名、身份证号码</w:t>
      </w:r>
      <w:r>
        <w:rPr>
          <w:color w:val="auto"/>
          <w:highlight w:val="none"/>
        </w:rPr>
        <w:t>)</w:t>
      </w:r>
      <w:r>
        <w:rPr>
          <w:rFonts w:hint="eastAsia"/>
          <w:color w:val="auto"/>
          <w:highlight w:val="none"/>
        </w:rPr>
        <w:t>系自然人，现授权委托</w:t>
      </w:r>
      <w:r>
        <w:rPr>
          <w:color w:val="auto"/>
          <w:highlight w:val="none"/>
        </w:rPr>
        <w:t>____________(</w:t>
      </w:r>
      <w:r>
        <w:rPr>
          <w:rFonts w:hint="eastAsia"/>
          <w:color w:val="auto"/>
          <w:highlight w:val="none"/>
        </w:rPr>
        <w:t>姓名、身份证号码</w:t>
      </w:r>
      <w:r>
        <w:rPr>
          <w:color w:val="auto"/>
          <w:highlight w:val="none"/>
        </w:rPr>
        <w:t>)</w:t>
      </w:r>
      <w:r>
        <w:rPr>
          <w:rFonts w:hint="eastAsia"/>
          <w:color w:val="auto"/>
          <w:highlight w:val="none"/>
        </w:rPr>
        <w:t>以本人名义参加《项目》（项目编号：）的投标活动，并代表本人全权办理针对上述项目的投标、签约等具体事务和签署相关文件。</w:t>
      </w:r>
    </w:p>
    <w:p w14:paraId="4C382474">
      <w:pPr>
        <w:ind w:firstLine="420" w:firstLineChars="200"/>
        <w:jc w:val="left"/>
        <w:rPr>
          <w:color w:val="auto"/>
          <w:highlight w:val="none"/>
        </w:rPr>
      </w:pPr>
      <w:r>
        <w:rPr>
          <w:rFonts w:hint="eastAsia"/>
          <w:color w:val="auto"/>
          <w:highlight w:val="none"/>
        </w:rPr>
        <w:t>本人对被授权人的签字事项负全部责任。</w:t>
      </w:r>
    </w:p>
    <w:p w14:paraId="4383EDA2">
      <w:pPr>
        <w:ind w:firstLine="420" w:firstLineChars="200"/>
        <w:jc w:val="left"/>
        <w:rPr>
          <w:color w:val="auto"/>
          <w:highlight w:val="none"/>
        </w:rPr>
      </w:pPr>
      <w:r>
        <w:rPr>
          <w:rFonts w:hint="eastAsia"/>
          <w:color w:val="auto"/>
          <w:highlight w:val="none"/>
        </w:rPr>
        <w:t>授权委托代理期限：从</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日起至</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日止。</w:t>
      </w:r>
    </w:p>
    <w:p w14:paraId="0F9BBACB">
      <w:pPr>
        <w:jc w:val="left"/>
        <w:rPr>
          <w:color w:val="auto"/>
          <w:highlight w:val="none"/>
        </w:rPr>
      </w:pPr>
    </w:p>
    <w:p w14:paraId="726F135B">
      <w:pPr>
        <w:ind w:firstLine="420" w:firstLineChars="200"/>
        <w:jc w:val="left"/>
        <w:rPr>
          <w:color w:val="auto"/>
          <w:highlight w:val="none"/>
        </w:rPr>
      </w:pPr>
      <w:r>
        <w:rPr>
          <w:rFonts w:hint="eastAsia"/>
          <w:color w:val="auto"/>
          <w:highlight w:val="none"/>
        </w:rPr>
        <w:t>代理人无转委托权，特此委托。</w:t>
      </w:r>
    </w:p>
    <w:p w14:paraId="455E9EA0">
      <w:pPr>
        <w:jc w:val="left"/>
        <w:rPr>
          <w:color w:val="auto"/>
          <w:highlight w:val="none"/>
        </w:rPr>
      </w:pPr>
    </w:p>
    <w:p w14:paraId="0210E6C7">
      <w:pPr>
        <w:ind w:firstLine="420" w:firstLineChars="200"/>
        <w:jc w:val="left"/>
        <w:rPr>
          <w:color w:val="auto"/>
          <w:highlight w:val="none"/>
        </w:rPr>
      </w:pPr>
      <w:r>
        <w:rPr>
          <w:rFonts w:hint="eastAsia"/>
          <w:color w:val="auto"/>
          <w:highlight w:val="none"/>
        </w:rPr>
        <w:t>我已在下面签字，以资证明。</w:t>
      </w:r>
    </w:p>
    <w:p w14:paraId="6FE0E7F8">
      <w:pPr>
        <w:jc w:val="left"/>
        <w:rPr>
          <w:color w:val="auto"/>
          <w:highlight w:val="none"/>
        </w:rPr>
      </w:pPr>
    </w:p>
    <w:p w14:paraId="797EB165">
      <w:pPr>
        <w:ind w:firstLine="420" w:firstLineChars="200"/>
        <w:jc w:val="left"/>
        <w:rPr>
          <w:color w:val="auto"/>
          <w:highlight w:val="none"/>
        </w:rPr>
      </w:pPr>
      <w:r>
        <w:rPr>
          <w:rFonts w:hint="eastAsia"/>
          <w:color w:val="auto"/>
          <w:highlight w:val="none"/>
        </w:rPr>
        <w:t>自然人签字并在签名处加盖食指指印：</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5FA6219">
      <w:pPr>
        <w:pStyle w:val="4"/>
        <w:jc w:val="left"/>
        <w:rPr>
          <w:color w:val="auto"/>
          <w:highlight w:val="none"/>
        </w:rPr>
      </w:pPr>
    </w:p>
    <w:p w14:paraId="5861A87F">
      <w:pPr>
        <w:jc w:val="left"/>
        <w:rPr>
          <w:color w:val="auto"/>
          <w:highlight w:val="none"/>
        </w:rPr>
      </w:pPr>
    </w:p>
    <w:p w14:paraId="7AD9692A">
      <w:pPr>
        <w:jc w:val="left"/>
        <w:rPr>
          <w:i/>
          <w:iCs/>
          <w:color w:val="auto"/>
          <w:highlight w:val="none"/>
        </w:rPr>
      </w:pPr>
      <w:r>
        <w:rPr>
          <w:rFonts w:hint="eastAsia"/>
          <w:color w:val="auto"/>
          <w:highlight w:val="none"/>
        </w:rPr>
        <w:t>特别说明：</w:t>
      </w:r>
    </w:p>
    <w:p w14:paraId="54231887">
      <w:pPr>
        <w:ind w:firstLine="420" w:firstLineChars="200"/>
        <w:jc w:val="left"/>
        <w:rPr>
          <w:color w:val="auto"/>
          <w:highlight w:val="none"/>
        </w:rPr>
      </w:pPr>
      <w:r>
        <w:rPr>
          <w:rFonts w:hint="eastAsia"/>
          <w:color w:val="auto"/>
          <w:highlight w:val="none"/>
        </w:rPr>
        <w:t>投标人如由</w:t>
      </w:r>
      <w:r>
        <w:rPr>
          <w:rFonts w:hint="eastAsia"/>
          <w:b/>
          <w:color w:val="auto"/>
          <w:highlight w:val="none"/>
        </w:rPr>
        <w:t>被授权人参与投标活动的，</w:t>
      </w:r>
      <w:r>
        <w:rPr>
          <w:rFonts w:hint="eastAsia"/>
          <w:color w:val="auto"/>
          <w:highlight w:val="none"/>
        </w:rPr>
        <w:t>须提供《自然人授权委托书》，《自然人授权委托书》应当按本格式要求签字并由自然人在签名处加盖食指指印。</w:t>
      </w:r>
    </w:p>
    <w:p w14:paraId="30BA085C">
      <w:pPr>
        <w:pStyle w:val="4"/>
        <w:rPr>
          <w:color w:val="auto"/>
          <w:highlight w:val="none"/>
        </w:rPr>
      </w:pPr>
    </w:p>
    <w:p w14:paraId="04436C62">
      <w:pPr>
        <w:pStyle w:val="4"/>
        <w:rPr>
          <w:color w:val="auto"/>
          <w:sz w:val="36"/>
          <w:szCs w:val="36"/>
          <w:highlight w:val="none"/>
        </w:rPr>
      </w:pPr>
      <w:r>
        <w:rPr>
          <w:color w:val="auto"/>
          <w:kern w:val="2"/>
          <w:highlight w:val="none"/>
        </w:rPr>
        <w:br w:type="page"/>
      </w:r>
    </w:p>
    <w:p w14:paraId="1DF4D541">
      <w:pPr>
        <w:jc w:val="center"/>
        <w:rPr>
          <w:rFonts w:hint="eastAsia"/>
          <w:b/>
          <w:bCs w:val="0"/>
          <w:color w:val="auto"/>
          <w:sz w:val="28"/>
          <w:szCs w:val="28"/>
          <w:highlight w:val="none"/>
        </w:rPr>
      </w:pPr>
      <w:r>
        <w:rPr>
          <w:rFonts w:hint="eastAsia"/>
          <w:b/>
          <w:bCs w:val="0"/>
          <w:color w:val="auto"/>
          <w:sz w:val="28"/>
          <w:szCs w:val="28"/>
          <w:highlight w:val="none"/>
        </w:rPr>
        <w:t>格式</w:t>
      </w:r>
      <w:r>
        <w:rPr>
          <w:rFonts w:hint="eastAsia"/>
          <w:b/>
          <w:bCs w:val="0"/>
          <w:color w:val="auto"/>
          <w:sz w:val="28"/>
          <w:szCs w:val="28"/>
          <w:highlight w:val="none"/>
          <w:lang w:val="en-US" w:eastAsia="zh-CN"/>
        </w:rPr>
        <w:t>11</w:t>
      </w:r>
      <w:r>
        <w:rPr>
          <w:rFonts w:hint="eastAsia"/>
          <w:b/>
          <w:bCs w:val="0"/>
          <w:color w:val="auto"/>
          <w:sz w:val="28"/>
          <w:szCs w:val="28"/>
          <w:highlight w:val="none"/>
        </w:rPr>
        <w:t xml:space="preserve">  投标函</w:t>
      </w:r>
    </w:p>
    <w:p w14:paraId="22C137D5">
      <w:pPr>
        <w:jc w:val="left"/>
        <w:rPr>
          <w:color w:val="auto"/>
          <w:highlight w:val="none"/>
        </w:rPr>
      </w:pPr>
      <w:r>
        <w:rPr>
          <w:rFonts w:hint="eastAsia"/>
          <w:color w:val="auto"/>
          <w:highlight w:val="none"/>
        </w:rPr>
        <w:t>致________（采购人或采购代理机构）：</w:t>
      </w:r>
    </w:p>
    <w:p w14:paraId="6460C8A9">
      <w:pPr>
        <w:ind w:firstLine="420" w:firstLineChars="200"/>
        <w:jc w:val="left"/>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14:paraId="48118326">
      <w:pPr>
        <w:ind w:firstLine="420" w:firstLineChars="200"/>
        <w:jc w:val="left"/>
        <w:rPr>
          <w:color w:val="auto"/>
          <w:highlight w:val="none"/>
        </w:rPr>
      </w:pPr>
      <w:r>
        <w:rPr>
          <w:rFonts w:hint="eastAsia"/>
          <w:color w:val="auto"/>
          <w:highlight w:val="none"/>
        </w:rPr>
        <w:t>1.同意在本项目招标文件中规定的开标日起天遵守本投标文件中的承诺，且在期满之前均具有约束力。</w:t>
      </w:r>
    </w:p>
    <w:p w14:paraId="5F064F91">
      <w:pPr>
        <w:ind w:firstLine="420" w:firstLineChars="200"/>
        <w:jc w:val="left"/>
        <w:rPr>
          <w:color w:val="auto"/>
          <w:highlight w:val="none"/>
        </w:rPr>
      </w:pPr>
      <w:r>
        <w:rPr>
          <w:rFonts w:hint="eastAsia"/>
          <w:color w:val="auto"/>
          <w:highlight w:val="none"/>
        </w:rPr>
        <w:t>2.具备政府采购相关法律法规规定的参加政府采购活动的供应商应当具备的条件：</w:t>
      </w:r>
    </w:p>
    <w:p w14:paraId="69CF79ED">
      <w:pPr>
        <w:ind w:firstLine="420" w:firstLineChars="200"/>
        <w:jc w:val="left"/>
        <w:rPr>
          <w:color w:val="auto"/>
          <w:highlight w:val="none"/>
        </w:rPr>
      </w:pPr>
      <w:r>
        <w:rPr>
          <w:rFonts w:hint="eastAsia"/>
          <w:color w:val="auto"/>
          <w:highlight w:val="none"/>
        </w:rPr>
        <w:t>（1）具有独立承担民事责任的能力；</w:t>
      </w:r>
    </w:p>
    <w:p w14:paraId="2E65CE0F">
      <w:pPr>
        <w:ind w:firstLine="420" w:firstLineChars="200"/>
        <w:jc w:val="left"/>
        <w:rPr>
          <w:color w:val="auto"/>
          <w:highlight w:val="none"/>
        </w:rPr>
      </w:pPr>
      <w:r>
        <w:rPr>
          <w:rFonts w:hint="eastAsia"/>
          <w:color w:val="auto"/>
          <w:highlight w:val="none"/>
        </w:rPr>
        <w:t>（2）具有良好的商业信誉和健全的财务会计制度；</w:t>
      </w:r>
    </w:p>
    <w:p w14:paraId="05066D58">
      <w:pPr>
        <w:ind w:firstLine="420" w:firstLineChars="200"/>
        <w:jc w:val="left"/>
        <w:rPr>
          <w:color w:val="auto"/>
          <w:highlight w:val="none"/>
        </w:rPr>
      </w:pPr>
      <w:r>
        <w:rPr>
          <w:rFonts w:hint="eastAsia"/>
          <w:color w:val="auto"/>
          <w:highlight w:val="none"/>
        </w:rPr>
        <w:t>（3）具有履行合同所必需的设备和专业技术能力；</w:t>
      </w:r>
    </w:p>
    <w:p w14:paraId="118F6431">
      <w:pPr>
        <w:ind w:firstLine="420" w:firstLineChars="200"/>
        <w:jc w:val="left"/>
        <w:rPr>
          <w:color w:val="auto"/>
          <w:highlight w:val="none"/>
        </w:rPr>
      </w:pPr>
      <w:r>
        <w:rPr>
          <w:rFonts w:hint="eastAsia"/>
          <w:color w:val="auto"/>
          <w:highlight w:val="none"/>
        </w:rPr>
        <w:t>（4）有依法缴纳税收和社会保障资金的良好记录；</w:t>
      </w:r>
    </w:p>
    <w:p w14:paraId="4A1497C3">
      <w:pPr>
        <w:ind w:firstLine="420" w:firstLineChars="200"/>
        <w:jc w:val="left"/>
        <w:rPr>
          <w:color w:val="auto"/>
          <w:highlight w:val="none"/>
        </w:rPr>
      </w:pPr>
      <w:r>
        <w:rPr>
          <w:rFonts w:hint="eastAsia"/>
          <w:color w:val="auto"/>
          <w:highlight w:val="none"/>
        </w:rPr>
        <w:t>（5）参加此项采购活动前三年内，在经营活动中没有重大违法记录。</w:t>
      </w:r>
    </w:p>
    <w:p w14:paraId="46A2551A">
      <w:pPr>
        <w:ind w:firstLine="420" w:firstLineChars="200"/>
        <w:jc w:val="left"/>
        <w:rPr>
          <w:color w:val="auto"/>
          <w:highlight w:val="none"/>
        </w:rPr>
      </w:pPr>
      <w:r>
        <w:rPr>
          <w:rFonts w:hint="eastAsia"/>
          <w:color w:val="auto"/>
          <w:highlight w:val="none"/>
        </w:rPr>
        <w:t xml:space="preserve">（6）法律、行政法规规定的其他条件。 </w:t>
      </w:r>
    </w:p>
    <w:p w14:paraId="3560E355">
      <w:pPr>
        <w:ind w:firstLine="420" w:firstLineChars="200"/>
        <w:jc w:val="left"/>
        <w:rPr>
          <w:color w:val="auto"/>
          <w:highlight w:val="none"/>
        </w:rPr>
      </w:pPr>
      <w:r>
        <w:rPr>
          <w:rFonts w:hint="eastAsia"/>
          <w:color w:val="auto"/>
          <w:highlight w:val="none"/>
        </w:rPr>
        <w:t>3.具备本项目招标文件中规定的其他要求和资质条件。</w:t>
      </w:r>
    </w:p>
    <w:p w14:paraId="56127602">
      <w:pPr>
        <w:ind w:firstLine="420" w:firstLineChars="200"/>
        <w:jc w:val="left"/>
        <w:rPr>
          <w:color w:val="auto"/>
          <w:highlight w:val="none"/>
        </w:rPr>
      </w:pPr>
      <w:r>
        <w:rPr>
          <w:rFonts w:hint="eastAsia"/>
          <w:color w:val="auto"/>
          <w:highlight w:val="none"/>
        </w:rPr>
        <w:t>4.提供投标人须知规定的全部投标文件。</w:t>
      </w:r>
    </w:p>
    <w:p w14:paraId="14B53067">
      <w:pPr>
        <w:ind w:firstLine="420" w:firstLineChars="200"/>
        <w:jc w:val="left"/>
        <w:rPr>
          <w:color w:val="auto"/>
          <w:highlight w:val="none"/>
        </w:rPr>
      </w:pPr>
      <w:r>
        <w:rPr>
          <w:rFonts w:hint="eastAsia"/>
          <w:color w:val="auto"/>
          <w:highlight w:val="none"/>
        </w:rPr>
        <w:t>5.已详细审阅全部招标文件（包括招标文件澄清函），理解投标人须知的所有条款。</w:t>
      </w:r>
    </w:p>
    <w:p w14:paraId="624F228D">
      <w:pPr>
        <w:ind w:firstLine="420" w:firstLineChars="200"/>
        <w:jc w:val="left"/>
        <w:rPr>
          <w:color w:val="auto"/>
          <w:highlight w:val="none"/>
        </w:rPr>
      </w:pPr>
      <w:bookmarkStart w:id="99" w:name="_Toc15199"/>
      <w:bookmarkStart w:id="100" w:name="_Toc25367"/>
      <w:bookmarkStart w:id="101" w:name="_Toc15033"/>
      <w:r>
        <w:rPr>
          <w:rFonts w:hint="eastAsia"/>
          <w:color w:val="auto"/>
          <w:highlight w:val="none"/>
        </w:rPr>
        <w:t>6.完全理解贵方“最低报价不能作为中标的保证”的规定。</w:t>
      </w:r>
      <w:bookmarkEnd w:id="99"/>
      <w:bookmarkEnd w:id="100"/>
      <w:bookmarkEnd w:id="101"/>
    </w:p>
    <w:p w14:paraId="15335748">
      <w:pPr>
        <w:ind w:firstLine="420" w:firstLineChars="200"/>
        <w:jc w:val="left"/>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14:paraId="13CFB9AD">
      <w:pPr>
        <w:ind w:firstLine="420" w:firstLineChars="200"/>
        <w:jc w:val="left"/>
        <w:rPr>
          <w:color w:val="auto"/>
          <w:highlight w:val="none"/>
        </w:rPr>
      </w:pPr>
      <w:r>
        <w:rPr>
          <w:rFonts w:hint="eastAsia"/>
          <w:color w:val="auto"/>
          <w:highlight w:val="none"/>
        </w:rPr>
        <w:t>8.完全满足和响应招标文件中的各项商务和技术要求，若有偏差，已在投标文件中明确说明。</w:t>
      </w:r>
    </w:p>
    <w:p w14:paraId="6C5B9873">
      <w:pPr>
        <w:ind w:firstLine="420" w:firstLineChars="200"/>
        <w:jc w:val="left"/>
        <w:rPr>
          <w:color w:val="auto"/>
          <w:highlight w:val="none"/>
        </w:rPr>
      </w:pPr>
      <w:r>
        <w:rPr>
          <w:rFonts w:hint="eastAsia"/>
          <w:color w:val="auto"/>
          <w:highlight w:val="none"/>
        </w:rPr>
        <w:t>9.愿意提供任何与投标有关的数据、情况和技术资料等。若贵方需要，愿意提供一切证明材料。</w:t>
      </w:r>
    </w:p>
    <w:p w14:paraId="36C3950B">
      <w:pPr>
        <w:ind w:firstLine="420" w:firstLineChars="200"/>
        <w:jc w:val="left"/>
        <w:rPr>
          <w:color w:val="auto"/>
          <w:highlight w:val="none"/>
        </w:rPr>
      </w:pPr>
      <w:r>
        <w:rPr>
          <w:rFonts w:hint="eastAsia"/>
          <w:color w:val="auto"/>
          <w:highlight w:val="none"/>
        </w:rPr>
        <w:t>10.我方已详细审核全部投标文件、参考资料及有关附件，确认无误。</w:t>
      </w:r>
    </w:p>
    <w:p w14:paraId="54945509">
      <w:pPr>
        <w:ind w:firstLine="420" w:firstLineChars="200"/>
        <w:jc w:val="left"/>
        <w:rPr>
          <w:color w:val="auto"/>
          <w:highlight w:val="none"/>
        </w:rPr>
      </w:pPr>
      <w:r>
        <w:rPr>
          <w:rFonts w:hint="eastAsia"/>
          <w:color w:val="auto"/>
          <w:highlight w:val="none"/>
        </w:rPr>
        <w:t>11.对本次招标内容及与本项目有关的知识产权、技术资料、商业秘密及相关信息保密。</w:t>
      </w:r>
    </w:p>
    <w:p w14:paraId="49FD4897">
      <w:pPr>
        <w:ind w:firstLine="420" w:firstLineChars="200"/>
        <w:jc w:val="left"/>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2421E3E6">
      <w:pPr>
        <w:ind w:firstLine="420" w:firstLineChars="200"/>
        <w:jc w:val="left"/>
        <w:rPr>
          <w:color w:val="auto"/>
          <w:highlight w:val="none"/>
        </w:rPr>
      </w:pPr>
      <w:r>
        <w:rPr>
          <w:rFonts w:hint="eastAsia"/>
          <w:color w:val="auto"/>
          <w:highlight w:val="none"/>
        </w:rPr>
        <w:t>投标人名称（公章）：____________</w:t>
      </w:r>
    </w:p>
    <w:p w14:paraId="30CF695C">
      <w:pPr>
        <w:ind w:firstLine="420" w:firstLineChars="200"/>
        <w:jc w:val="left"/>
        <w:rPr>
          <w:color w:val="auto"/>
          <w:highlight w:val="none"/>
        </w:rPr>
      </w:pPr>
      <w:r>
        <w:rPr>
          <w:rFonts w:hint="eastAsia"/>
          <w:color w:val="auto"/>
          <w:highlight w:val="none"/>
        </w:rPr>
        <w:t>法定代表人（签字）/被授权投标代表（签字）：____________</w:t>
      </w:r>
    </w:p>
    <w:p w14:paraId="47F857EA">
      <w:pPr>
        <w:ind w:firstLine="420" w:firstLineChars="200"/>
        <w:jc w:val="left"/>
        <w:rPr>
          <w:color w:val="auto"/>
          <w:highlight w:val="none"/>
        </w:rPr>
      </w:pPr>
      <w:r>
        <w:rPr>
          <w:rFonts w:hint="eastAsia"/>
          <w:color w:val="auto"/>
          <w:highlight w:val="none"/>
        </w:rPr>
        <w:t>投标人地址：____________</w:t>
      </w:r>
    </w:p>
    <w:p w14:paraId="4C5CB61F">
      <w:pPr>
        <w:ind w:firstLine="420" w:firstLineChars="200"/>
        <w:jc w:val="left"/>
        <w:rPr>
          <w:color w:val="auto"/>
          <w:highlight w:val="none"/>
        </w:rPr>
      </w:pPr>
      <w:r>
        <w:rPr>
          <w:rFonts w:hint="eastAsia"/>
          <w:color w:val="auto"/>
          <w:highlight w:val="none"/>
        </w:rPr>
        <w:t>邮编：____________</w:t>
      </w:r>
    </w:p>
    <w:p w14:paraId="23E33CD0">
      <w:pPr>
        <w:ind w:firstLine="420" w:firstLineChars="200"/>
        <w:jc w:val="left"/>
        <w:rPr>
          <w:color w:val="auto"/>
          <w:highlight w:val="none"/>
        </w:rPr>
      </w:pPr>
      <w:r>
        <w:rPr>
          <w:rFonts w:hint="eastAsia"/>
          <w:color w:val="auto"/>
          <w:highlight w:val="none"/>
        </w:rPr>
        <w:t>电话：____________</w:t>
      </w:r>
    </w:p>
    <w:p w14:paraId="6BC5D808">
      <w:pPr>
        <w:ind w:firstLine="420" w:firstLineChars="200"/>
        <w:jc w:val="left"/>
        <w:rPr>
          <w:color w:val="auto"/>
          <w:highlight w:val="none"/>
        </w:rPr>
      </w:pPr>
      <w:r>
        <w:rPr>
          <w:rFonts w:hint="eastAsia"/>
          <w:color w:val="auto"/>
          <w:highlight w:val="none"/>
        </w:rPr>
        <w:t>传真：____________</w:t>
      </w:r>
    </w:p>
    <w:p w14:paraId="200EE237">
      <w:pPr>
        <w:ind w:firstLine="420" w:firstLineChars="200"/>
        <w:jc w:val="left"/>
        <w:rPr>
          <w:color w:val="auto"/>
          <w:highlight w:val="none"/>
        </w:rPr>
      </w:pPr>
      <w:r>
        <w:rPr>
          <w:rFonts w:hint="eastAsia"/>
          <w:color w:val="auto"/>
          <w:highlight w:val="none"/>
        </w:rPr>
        <w:t xml:space="preserve">日  期：____________          </w:t>
      </w:r>
    </w:p>
    <w:p w14:paraId="40EF27D6">
      <w:pPr>
        <w:jc w:val="left"/>
        <w:rPr>
          <w:color w:val="auto"/>
          <w:highlight w:val="none"/>
        </w:rPr>
      </w:pPr>
    </w:p>
    <w:p w14:paraId="492B557A">
      <w:pPr>
        <w:jc w:val="left"/>
        <w:rPr>
          <w:color w:val="auto"/>
          <w:highlight w:val="none"/>
        </w:rPr>
      </w:pPr>
    </w:p>
    <w:p w14:paraId="799BC559">
      <w:pPr>
        <w:ind w:firstLine="210" w:firstLineChars="100"/>
        <w:jc w:val="left"/>
        <w:rPr>
          <w:color w:val="auto"/>
          <w:highlight w:val="none"/>
        </w:rPr>
      </w:pPr>
      <w:r>
        <w:rPr>
          <w:rFonts w:hint="eastAsia"/>
          <w:color w:val="auto"/>
          <w:highlight w:val="none"/>
        </w:rPr>
        <w:t>特别说明：</w:t>
      </w:r>
    </w:p>
    <w:p w14:paraId="66333127">
      <w:pPr>
        <w:ind w:firstLine="420" w:firstLineChars="200"/>
        <w:jc w:val="left"/>
        <w:rPr>
          <w:color w:val="auto"/>
          <w:highlight w:val="none"/>
        </w:rPr>
      </w:pPr>
      <w:r>
        <w:rPr>
          <w:rFonts w:hint="eastAsia"/>
          <w:color w:val="auto"/>
          <w:highlight w:val="none"/>
        </w:rPr>
        <w:t>投标人应当按上述格式要求加盖与投标人名称全称一致的标准公章，并签署法定代表人或被授权投标代表的全名，线上采购项目应上传扫描件。</w:t>
      </w:r>
    </w:p>
    <w:p w14:paraId="45D9E986">
      <w:pPr>
        <w:jc w:val="left"/>
        <w:rPr>
          <w:rFonts w:ascii="宋体"/>
          <w:color w:val="auto"/>
          <w:highlight w:val="none"/>
        </w:rPr>
      </w:pPr>
      <w:r>
        <w:rPr>
          <w:color w:val="auto"/>
          <w:highlight w:val="none"/>
        </w:rPr>
        <w:br w:type="page"/>
      </w:r>
    </w:p>
    <w:p w14:paraId="250C2086">
      <w:pPr>
        <w:jc w:val="center"/>
        <w:rPr>
          <w:rFonts w:hint="eastAsia"/>
          <w:b/>
          <w:bCs w:val="0"/>
          <w:color w:val="auto"/>
          <w:sz w:val="28"/>
          <w:szCs w:val="28"/>
          <w:highlight w:val="none"/>
        </w:rPr>
      </w:pPr>
      <w:r>
        <w:rPr>
          <w:rFonts w:hint="eastAsia"/>
          <w:b/>
          <w:bCs w:val="0"/>
          <w:color w:val="auto"/>
          <w:sz w:val="28"/>
          <w:szCs w:val="28"/>
          <w:highlight w:val="none"/>
        </w:rPr>
        <w:t>格式1</w:t>
      </w:r>
      <w:r>
        <w:rPr>
          <w:rFonts w:hint="eastAsia"/>
          <w:b/>
          <w:bCs w:val="0"/>
          <w:color w:val="auto"/>
          <w:sz w:val="28"/>
          <w:szCs w:val="28"/>
          <w:highlight w:val="none"/>
          <w:lang w:val="en-US" w:eastAsia="zh-CN"/>
        </w:rPr>
        <w:t>2</w:t>
      </w:r>
      <w:r>
        <w:rPr>
          <w:rFonts w:hint="eastAsia"/>
          <w:b/>
          <w:bCs w:val="0"/>
          <w:color w:val="auto"/>
          <w:sz w:val="28"/>
          <w:szCs w:val="28"/>
          <w:highlight w:val="none"/>
        </w:rPr>
        <w:t xml:space="preserve">  商务条款偏离表</w:t>
      </w:r>
    </w:p>
    <w:tbl>
      <w:tblPr>
        <w:tblStyle w:val="19"/>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98"/>
        <w:gridCol w:w="1545"/>
        <w:gridCol w:w="1530"/>
        <w:gridCol w:w="1515"/>
        <w:gridCol w:w="1086"/>
      </w:tblGrid>
      <w:tr w14:paraId="4D6B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14:paraId="5A1D04B2">
            <w:pPr>
              <w:rPr>
                <w:color w:val="auto"/>
                <w:highlight w:val="none"/>
              </w:rPr>
            </w:pPr>
            <w:r>
              <w:rPr>
                <w:color w:val="auto"/>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14:paraId="047C02C5">
            <w:pPr>
              <w:rPr>
                <w:color w:val="auto"/>
                <w:highlight w:val="none"/>
              </w:rPr>
            </w:pPr>
            <w:r>
              <w:rPr>
                <w:color w:val="auto"/>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51ECF206">
            <w:pPr>
              <w:rPr>
                <w:color w:val="auto"/>
                <w:highlight w:val="none"/>
              </w:rPr>
            </w:pPr>
            <w:r>
              <w:rPr>
                <w:color w:val="auto"/>
                <w:highlight w:val="none"/>
              </w:rPr>
              <w:t>招标文件</w:t>
            </w:r>
          </w:p>
          <w:p w14:paraId="1D6C40DB">
            <w:pPr>
              <w:rPr>
                <w:color w:val="auto"/>
                <w:highlight w:val="none"/>
              </w:rPr>
            </w:pPr>
            <w:r>
              <w:rPr>
                <w:color w:val="auto"/>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14:paraId="66C9D6A4">
            <w:pPr>
              <w:rPr>
                <w:color w:val="auto"/>
                <w:highlight w:val="none"/>
              </w:rPr>
            </w:pPr>
            <w:r>
              <w:rPr>
                <w:color w:val="auto"/>
                <w:highlight w:val="none"/>
              </w:rPr>
              <w:t>投标文件</w:t>
            </w:r>
          </w:p>
          <w:p w14:paraId="6A47975F">
            <w:pPr>
              <w:rPr>
                <w:color w:val="auto"/>
                <w:highlight w:val="none"/>
              </w:rPr>
            </w:pPr>
            <w:r>
              <w:rPr>
                <w:color w:val="auto"/>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14:paraId="34531407">
            <w:pPr>
              <w:rPr>
                <w:color w:val="auto"/>
                <w:highlight w:val="none"/>
              </w:rPr>
            </w:pPr>
            <w:r>
              <w:rPr>
                <w:color w:val="auto"/>
                <w:highlight w:val="none"/>
              </w:rPr>
              <w:t>偏离</w:t>
            </w:r>
          </w:p>
          <w:p w14:paraId="77857A3B">
            <w:pPr>
              <w:rPr>
                <w:color w:val="auto"/>
                <w:highlight w:val="none"/>
              </w:rPr>
            </w:pPr>
            <w:r>
              <w:rPr>
                <w:color w:val="auto"/>
                <w:highlight w:val="none"/>
              </w:rPr>
              <w:t>（无/正/负）</w:t>
            </w:r>
          </w:p>
        </w:tc>
        <w:tc>
          <w:tcPr>
            <w:tcW w:w="1086" w:type="dxa"/>
            <w:tcBorders>
              <w:top w:val="single" w:color="auto" w:sz="4" w:space="0"/>
              <w:left w:val="single" w:color="auto" w:sz="4" w:space="0"/>
              <w:bottom w:val="single" w:color="auto" w:sz="4" w:space="0"/>
              <w:right w:val="single" w:color="auto" w:sz="4" w:space="0"/>
            </w:tcBorders>
            <w:noWrap/>
            <w:vAlign w:val="center"/>
          </w:tcPr>
          <w:p w14:paraId="314B57CD">
            <w:pPr>
              <w:rPr>
                <w:color w:val="auto"/>
                <w:highlight w:val="none"/>
              </w:rPr>
            </w:pPr>
            <w:r>
              <w:rPr>
                <w:color w:val="auto"/>
                <w:highlight w:val="none"/>
              </w:rPr>
              <w:t>说明</w:t>
            </w:r>
          </w:p>
        </w:tc>
      </w:tr>
      <w:tr w14:paraId="79D2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14:paraId="22B50073">
            <w:pPr>
              <w:rPr>
                <w:color w:val="auto"/>
                <w:highlight w:val="none"/>
              </w:rPr>
            </w:pPr>
            <w:r>
              <w:rPr>
                <w:color w:val="auto"/>
                <w:highlight w:val="none"/>
              </w:rPr>
              <w:t>1</w:t>
            </w:r>
          </w:p>
        </w:tc>
        <w:tc>
          <w:tcPr>
            <w:tcW w:w="1798" w:type="dxa"/>
            <w:tcBorders>
              <w:top w:val="single" w:color="auto" w:sz="4" w:space="0"/>
              <w:left w:val="single" w:color="auto" w:sz="4" w:space="0"/>
              <w:bottom w:val="single" w:color="auto" w:sz="4" w:space="0"/>
              <w:right w:val="single" w:color="auto" w:sz="4" w:space="0"/>
            </w:tcBorders>
            <w:noWrap/>
          </w:tcPr>
          <w:p w14:paraId="62902793">
            <w:pPr>
              <w:rPr>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4419F312">
            <w:pPr>
              <w:rPr>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1D1398FA">
            <w:pPr>
              <w:rPr>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17ACD057">
            <w:pPr>
              <w:rPr>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14:paraId="34C74F1C">
            <w:pPr>
              <w:rPr>
                <w:color w:val="auto"/>
                <w:highlight w:val="none"/>
              </w:rPr>
            </w:pPr>
          </w:p>
        </w:tc>
      </w:tr>
      <w:tr w14:paraId="6FF0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14:paraId="1D98B58F">
            <w:pPr>
              <w:rPr>
                <w:color w:val="auto"/>
                <w:highlight w:val="none"/>
              </w:rPr>
            </w:pPr>
            <w:r>
              <w:rPr>
                <w:color w:val="auto"/>
                <w:highlight w:val="none"/>
              </w:rPr>
              <w:t>2</w:t>
            </w:r>
          </w:p>
        </w:tc>
        <w:tc>
          <w:tcPr>
            <w:tcW w:w="1798" w:type="dxa"/>
            <w:tcBorders>
              <w:top w:val="single" w:color="auto" w:sz="4" w:space="0"/>
              <w:left w:val="single" w:color="auto" w:sz="4" w:space="0"/>
              <w:bottom w:val="single" w:color="auto" w:sz="4" w:space="0"/>
              <w:right w:val="single" w:color="auto" w:sz="4" w:space="0"/>
            </w:tcBorders>
            <w:noWrap/>
          </w:tcPr>
          <w:p w14:paraId="07365EDC">
            <w:pPr>
              <w:rPr>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5C03F75B">
            <w:pPr>
              <w:rPr>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2317CF56">
            <w:pPr>
              <w:rPr>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7ECB90A7">
            <w:pPr>
              <w:rPr>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14:paraId="70F06489">
            <w:pPr>
              <w:rPr>
                <w:color w:val="auto"/>
                <w:highlight w:val="none"/>
              </w:rPr>
            </w:pPr>
          </w:p>
        </w:tc>
      </w:tr>
      <w:tr w14:paraId="5748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14:paraId="04339363">
            <w:pPr>
              <w:rPr>
                <w:color w:val="auto"/>
                <w:highlight w:val="none"/>
              </w:rPr>
            </w:pPr>
            <w:r>
              <w:rPr>
                <w:color w:val="auto"/>
                <w:highlight w:val="none"/>
              </w:rPr>
              <w:t>3</w:t>
            </w:r>
          </w:p>
        </w:tc>
        <w:tc>
          <w:tcPr>
            <w:tcW w:w="1798" w:type="dxa"/>
            <w:tcBorders>
              <w:top w:val="single" w:color="auto" w:sz="4" w:space="0"/>
              <w:left w:val="single" w:color="auto" w:sz="4" w:space="0"/>
              <w:bottom w:val="single" w:color="auto" w:sz="4" w:space="0"/>
              <w:right w:val="single" w:color="auto" w:sz="4" w:space="0"/>
            </w:tcBorders>
            <w:noWrap/>
          </w:tcPr>
          <w:p w14:paraId="5E6BD01F">
            <w:pPr>
              <w:rPr>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718E777F">
            <w:pPr>
              <w:rPr>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41969421">
            <w:pPr>
              <w:rPr>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7C4FF7E4">
            <w:pPr>
              <w:rPr>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14:paraId="1B43B5F8">
            <w:pPr>
              <w:rPr>
                <w:color w:val="auto"/>
                <w:highlight w:val="none"/>
              </w:rPr>
            </w:pPr>
          </w:p>
        </w:tc>
      </w:tr>
      <w:tr w14:paraId="2559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14:paraId="31F8F13F">
            <w:pPr>
              <w:rPr>
                <w:color w:val="auto"/>
                <w:highlight w:val="none"/>
              </w:rPr>
            </w:pPr>
            <w:r>
              <w:rPr>
                <w:color w:val="auto"/>
                <w:highlight w:val="none"/>
              </w:rPr>
              <w:t>4</w:t>
            </w:r>
          </w:p>
        </w:tc>
        <w:tc>
          <w:tcPr>
            <w:tcW w:w="1798" w:type="dxa"/>
            <w:tcBorders>
              <w:top w:val="single" w:color="auto" w:sz="4" w:space="0"/>
              <w:left w:val="single" w:color="auto" w:sz="4" w:space="0"/>
              <w:bottom w:val="single" w:color="auto" w:sz="4" w:space="0"/>
              <w:right w:val="single" w:color="auto" w:sz="4" w:space="0"/>
            </w:tcBorders>
            <w:noWrap/>
          </w:tcPr>
          <w:p w14:paraId="49736EF6">
            <w:pPr>
              <w:rPr>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16A635D2">
            <w:pPr>
              <w:rPr>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7B64D148">
            <w:pPr>
              <w:rPr>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5FA662D3">
            <w:pPr>
              <w:rPr>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14:paraId="166F9E40">
            <w:pPr>
              <w:rPr>
                <w:color w:val="auto"/>
                <w:highlight w:val="none"/>
              </w:rPr>
            </w:pPr>
          </w:p>
        </w:tc>
      </w:tr>
      <w:tr w14:paraId="6862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14:paraId="7E54755D">
            <w:pPr>
              <w:rPr>
                <w:color w:val="auto"/>
                <w:highlight w:val="none"/>
              </w:rPr>
            </w:pPr>
            <w:r>
              <w:rPr>
                <w:color w:val="auto"/>
                <w:highlight w:val="none"/>
              </w:rPr>
              <w:t>……</w:t>
            </w:r>
          </w:p>
        </w:tc>
        <w:tc>
          <w:tcPr>
            <w:tcW w:w="1798" w:type="dxa"/>
            <w:tcBorders>
              <w:top w:val="single" w:color="auto" w:sz="4" w:space="0"/>
              <w:left w:val="single" w:color="auto" w:sz="4" w:space="0"/>
              <w:bottom w:val="single" w:color="auto" w:sz="4" w:space="0"/>
              <w:right w:val="single" w:color="auto" w:sz="4" w:space="0"/>
            </w:tcBorders>
            <w:noWrap/>
          </w:tcPr>
          <w:p w14:paraId="18BFCB3D">
            <w:pPr>
              <w:rPr>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14:paraId="75AFE6D6">
            <w:pPr>
              <w:rPr>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14:paraId="539CF91F">
            <w:pPr>
              <w:rPr>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14:paraId="1EF0FD52">
            <w:pPr>
              <w:rPr>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14:paraId="38AD1C00">
            <w:pPr>
              <w:rPr>
                <w:color w:val="auto"/>
                <w:highlight w:val="none"/>
              </w:rPr>
            </w:pPr>
          </w:p>
        </w:tc>
      </w:tr>
    </w:tbl>
    <w:p w14:paraId="42DE542E">
      <w:pPr>
        <w:jc w:val="left"/>
        <w:rPr>
          <w:color w:val="auto"/>
          <w:highlight w:val="none"/>
        </w:rPr>
      </w:pPr>
      <w:r>
        <w:rPr>
          <w:color w:val="auto"/>
          <w:highlight w:val="none"/>
        </w:rPr>
        <w:t>特别说明：</w:t>
      </w:r>
      <w:bookmarkStart w:id="102" w:name="_Hlk55382356"/>
    </w:p>
    <w:p w14:paraId="130837EC">
      <w:pPr>
        <w:ind w:firstLine="420" w:firstLineChars="200"/>
        <w:jc w:val="left"/>
        <w:rPr>
          <w:color w:val="auto"/>
          <w:highlight w:val="none"/>
        </w:rPr>
      </w:pPr>
      <w:r>
        <w:rPr>
          <w:rFonts w:hint="eastAsia"/>
          <w:color w:val="auto"/>
          <w:highlight w:val="none"/>
        </w:rPr>
        <w:t>1.投标人应按招标文件《第六章　项目采购需求》中的</w:t>
      </w:r>
      <w:r>
        <w:rPr>
          <w:rFonts w:hint="eastAsia"/>
          <w:color w:val="auto"/>
          <w:highlight w:val="none"/>
          <w:lang w:eastAsia="zh-CN"/>
        </w:rPr>
        <w:t>“</w:t>
      </w:r>
      <w:r>
        <w:rPr>
          <w:rFonts w:hint="eastAsia"/>
          <w:color w:val="auto"/>
          <w:highlight w:val="none"/>
        </w:rPr>
        <w:t>商务要求</w:t>
      </w:r>
      <w:r>
        <w:rPr>
          <w:rFonts w:hint="eastAsia"/>
          <w:color w:val="auto"/>
          <w:highlight w:val="none"/>
          <w:lang w:eastAsia="zh-CN"/>
        </w:rPr>
        <w:t>”</w:t>
      </w:r>
      <w:r>
        <w:rPr>
          <w:rFonts w:hint="eastAsia"/>
          <w:color w:val="auto"/>
          <w:highlight w:val="none"/>
        </w:rPr>
        <w:t>，结合自身投标情况对商务条款逐条响应，未逐条响应的视为投标无效。</w:t>
      </w:r>
      <w:bookmarkEnd w:id="102"/>
    </w:p>
    <w:p w14:paraId="0B2D1A37">
      <w:pPr>
        <w:ind w:firstLine="420" w:firstLineChars="200"/>
        <w:jc w:val="left"/>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14:paraId="319BA0B2">
      <w:pPr>
        <w:ind w:firstLine="420" w:firstLineChars="200"/>
        <w:jc w:val="left"/>
        <w:rPr>
          <w:color w:val="auto"/>
          <w:highlight w:val="none"/>
        </w:rPr>
      </w:pPr>
      <w:bookmarkStart w:id="103" w:name="_Toc18982"/>
      <w:bookmarkStart w:id="104" w:name="_Toc31372"/>
      <w:bookmarkStart w:id="105" w:name="_Toc18890"/>
      <w:r>
        <w:rPr>
          <w:rFonts w:hint="eastAsia"/>
          <w:color w:val="auto"/>
          <w:highlight w:val="none"/>
        </w:rPr>
        <w:t>3.本表可扩展。</w:t>
      </w:r>
      <w:bookmarkEnd w:id="103"/>
      <w:bookmarkEnd w:id="104"/>
      <w:bookmarkEnd w:id="105"/>
    </w:p>
    <w:p w14:paraId="1858D612">
      <w:pPr>
        <w:jc w:val="left"/>
        <w:rPr>
          <w:color w:val="auto"/>
          <w:highlight w:val="none"/>
        </w:rPr>
      </w:pPr>
    </w:p>
    <w:p w14:paraId="35BE0663">
      <w:pPr>
        <w:jc w:val="left"/>
        <w:rPr>
          <w:rFonts w:cs="宋体"/>
          <w:color w:val="auto"/>
          <w:highlight w:val="none"/>
        </w:rPr>
      </w:pPr>
      <w:r>
        <w:rPr>
          <w:rFonts w:hint="eastAsia" w:cs="宋体"/>
          <w:color w:val="auto"/>
          <w:highlight w:val="none"/>
        </w:rPr>
        <w:t>投标人</w:t>
      </w:r>
      <w:r>
        <w:rPr>
          <w:color w:val="auto"/>
          <w:highlight w:val="none"/>
        </w:rPr>
        <w:t>（全称并加盖公章</w:t>
      </w:r>
      <w:r>
        <w:rPr>
          <w:rFonts w:hint="eastAsia" w:cs="宋体"/>
          <w:color w:val="auto"/>
          <w:highlight w:val="none"/>
        </w:rPr>
        <w:t>）：</w:t>
      </w:r>
    </w:p>
    <w:p w14:paraId="6DC21AE2">
      <w:pPr>
        <w:jc w:val="left"/>
        <w:rPr>
          <w:rFonts w:cs="宋体"/>
          <w:color w:val="auto"/>
          <w:highlight w:val="none"/>
        </w:rPr>
      </w:pPr>
      <w:r>
        <w:rPr>
          <w:rFonts w:hint="eastAsia"/>
          <w:color w:val="auto"/>
          <w:highlight w:val="none"/>
        </w:rPr>
        <w:t>投标人代表（签字）</w:t>
      </w:r>
      <w:r>
        <w:rPr>
          <w:rFonts w:hint="eastAsia" w:cs="宋体"/>
          <w:color w:val="auto"/>
          <w:highlight w:val="none"/>
        </w:rPr>
        <w:t>：</w:t>
      </w:r>
    </w:p>
    <w:p w14:paraId="33B5981C">
      <w:pPr>
        <w:jc w:val="left"/>
        <w:rPr>
          <w:color w:val="auto"/>
          <w:highlight w:val="none"/>
        </w:rPr>
      </w:pPr>
      <w:r>
        <w:rPr>
          <w:rFonts w:hint="eastAsia"/>
          <w:color w:val="auto"/>
          <w:highlight w:val="none"/>
        </w:rPr>
        <w:t>日期：</w:t>
      </w:r>
    </w:p>
    <w:p w14:paraId="7ACC2FF6">
      <w:pPr>
        <w:jc w:val="left"/>
        <w:rPr>
          <w:color w:val="auto"/>
          <w:highlight w:val="none"/>
        </w:rPr>
      </w:pPr>
    </w:p>
    <w:p w14:paraId="73F8C87A">
      <w:pPr>
        <w:pStyle w:val="30"/>
        <w:rPr>
          <w:rFonts w:ascii="Times New Roman" w:hAnsi="Times New Roman"/>
          <w:color w:val="auto"/>
          <w:highlight w:val="none"/>
        </w:rPr>
      </w:pPr>
      <w:r>
        <w:rPr>
          <w:color w:val="auto"/>
          <w:highlight w:val="none"/>
        </w:rPr>
        <w:br w:type="page"/>
      </w:r>
      <w:bookmarkStart w:id="106" w:name="_Toc1381122819"/>
      <w:bookmarkStart w:id="107" w:name="_Toc598152851"/>
      <w:bookmarkStart w:id="108" w:name="_Toc78504842"/>
      <w:bookmarkStart w:id="109" w:name="_Toc1097421187"/>
      <w:bookmarkStart w:id="110" w:name="_Toc680706022"/>
      <w:bookmarkStart w:id="111" w:name="_Toc220361175"/>
      <w:bookmarkStart w:id="112" w:name="_Toc1615545750"/>
      <w:bookmarkStart w:id="113" w:name="_Toc681730266"/>
      <w:bookmarkStart w:id="114" w:name="_Toc1749127877"/>
      <w:bookmarkStart w:id="115" w:name="_Toc113393336"/>
      <w:bookmarkStart w:id="116" w:name="_Toc1652355655"/>
      <w:bookmarkStart w:id="117" w:name="_Toc1403531177"/>
      <w:bookmarkStart w:id="118" w:name="_Toc38030071"/>
      <w:bookmarkStart w:id="119" w:name="_Toc386861148"/>
      <w:bookmarkStart w:id="120" w:name="_Toc38030154"/>
      <w:r>
        <w:rPr>
          <w:rFonts w:hint="eastAsia" w:asciiTheme="minorEastAsia" w:hAnsiTheme="minorEastAsia" w:eastAsiaTheme="minorEastAsia" w:cstheme="minorEastAsia"/>
          <w:b/>
          <w:bCs w:val="0"/>
          <w:color w:val="auto"/>
          <w:sz w:val="28"/>
          <w:szCs w:val="28"/>
          <w:highlight w:val="none"/>
          <w:lang w:val="en-US" w:eastAsia="zh-CN" w:bidi="ar-SA"/>
        </w:rPr>
        <w:t>格式1</w:t>
      </w:r>
      <w:r>
        <w:rPr>
          <w:rFonts w:hint="eastAsia" w:eastAsiaTheme="minorEastAsia" w:cstheme="minorEastAsia"/>
          <w:b/>
          <w:bCs w:val="0"/>
          <w:color w:val="auto"/>
          <w:sz w:val="28"/>
          <w:szCs w:val="28"/>
          <w:highlight w:val="none"/>
          <w:lang w:val="en-US" w:eastAsia="zh-CN" w:bidi="ar-SA"/>
        </w:rPr>
        <w:t>3</w:t>
      </w:r>
      <w:r>
        <w:rPr>
          <w:rFonts w:hint="eastAsia" w:asciiTheme="minorEastAsia" w:hAnsiTheme="minorEastAsia" w:eastAsiaTheme="minorEastAsia" w:cstheme="minorEastAsia"/>
          <w:b/>
          <w:bCs w:val="0"/>
          <w:color w:val="auto"/>
          <w:sz w:val="28"/>
          <w:szCs w:val="28"/>
          <w:highlight w:val="none"/>
          <w:lang w:val="en-US" w:eastAsia="zh-CN" w:bidi="ar-SA"/>
        </w:rPr>
        <w:t xml:space="preserve">  成功案例一览表</w:t>
      </w:r>
      <w:bookmarkEnd w:id="106"/>
      <w:bookmarkEnd w:id="107"/>
      <w:bookmarkEnd w:id="108"/>
      <w:bookmarkEnd w:id="109"/>
      <w:bookmarkEnd w:id="110"/>
      <w:bookmarkEnd w:id="111"/>
      <w:bookmarkEnd w:id="112"/>
      <w:bookmarkEnd w:id="113"/>
      <w:bookmarkEnd w:id="114"/>
    </w:p>
    <w:p w14:paraId="18F562B8">
      <w:pPr>
        <w:rPr>
          <w:color w:val="auto"/>
          <w:highlight w:val="none"/>
        </w:rPr>
      </w:pPr>
      <w:r>
        <w:rPr>
          <w:rFonts w:hint="eastAsia"/>
          <w:color w:val="auto"/>
          <w:highlight w:val="none"/>
        </w:rPr>
        <w:t>（根据招标文件要求调整）</w:t>
      </w:r>
    </w:p>
    <w:tbl>
      <w:tblPr>
        <w:tblStyle w:val="19"/>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265"/>
      </w:tblGrid>
      <w:tr w14:paraId="719C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4564D3A3">
            <w:pPr>
              <w:rPr>
                <w:color w:val="auto"/>
                <w:highlight w:val="none"/>
              </w:rPr>
            </w:pPr>
            <w:r>
              <w:rPr>
                <w:color w:val="auto"/>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14:paraId="2640C13A">
            <w:pPr>
              <w:rPr>
                <w:color w:val="auto"/>
                <w:highlight w:val="none"/>
              </w:rPr>
            </w:pPr>
            <w:r>
              <w:rPr>
                <w:color w:val="auto"/>
                <w:highlight w:val="none"/>
              </w:rPr>
              <w:t>合同</w:t>
            </w:r>
          </w:p>
          <w:p w14:paraId="1ADEBACD">
            <w:pPr>
              <w:rPr>
                <w:color w:val="auto"/>
                <w:highlight w:val="none"/>
              </w:rPr>
            </w:pPr>
            <w:r>
              <w:rPr>
                <w:color w:val="auto"/>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14:paraId="36158F05">
            <w:pPr>
              <w:rPr>
                <w:color w:val="auto"/>
                <w:highlight w:val="none"/>
              </w:rPr>
            </w:pPr>
            <w:r>
              <w:rPr>
                <w:color w:val="auto"/>
                <w:highlight w:val="none"/>
              </w:rPr>
              <w:t>合同</w:t>
            </w:r>
          </w:p>
          <w:p w14:paraId="45A045A5">
            <w:pPr>
              <w:rPr>
                <w:color w:val="auto"/>
                <w:highlight w:val="none"/>
              </w:rPr>
            </w:pPr>
            <w:r>
              <w:rPr>
                <w:color w:val="auto"/>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14:paraId="3A135091">
            <w:pPr>
              <w:rPr>
                <w:color w:val="auto"/>
                <w:highlight w:val="none"/>
              </w:rPr>
            </w:pPr>
            <w:r>
              <w:rPr>
                <w:color w:val="auto"/>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14:paraId="7C047BE1">
            <w:pPr>
              <w:rPr>
                <w:color w:val="auto"/>
                <w:highlight w:val="none"/>
              </w:rPr>
            </w:pPr>
            <w:r>
              <w:rPr>
                <w:color w:val="auto"/>
                <w:highlight w:val="none"/>
              </w:rPr>
              <w:t>合同</w:t>
            </w:r>
          </w:p>
          <w:p w14:paraId="41B1C1AA">
            <w:pPr>
              <w:rPr>
                <w:color w:val="auto"/>
                <w:highlight w:val="none"/>
              </w:rPr>
            </w:pPr>
            <w:r>
              <w:rPr>
                <w:color w:val="auto"/>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14:paraId="1E4C703E">
            <w:pPr>
              <w:rPr>
                <w:color w:val="auto"/>
                <w:highlight w:val="none"/>
              </w:rPr>
            </w:pPr>
            <w:r>
              <w:rPr>
                <w:color w:val="auto"/>
                <w:highlight w:val="none"/>
              </w:rPr>
              <w:t>合同主要</w:t>
            </w:r>
          </w:p>
          <w:p w14:paraId="799A26A3">
            <w:pPr>
              <w:rPr>
                <w:color w:val="auto"/>
                <w:highlight w:val="none"/>
              </w:rPr>
            </w:pPr>
            <w:r>
              <w:rPr>
                <w:color w:val="auto"/>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14:paraId="681CE664">
            <w:pPr>
              <w:rPr>
                <w:color w:val="auto"/>
                <w:highlight w:val="none"/>
              </w:rPr>
            </w:pPr>
            <w:r>
              <w:rPr>
                <w:color w:val="auto"/>
                <w:highlight w:val="none"/>
              </w:rPr>
              <w:t>用  户</w:t>
            </w:r>
          </w:p>
          <w:p w14:paraId="4CAD9B41">
            <w:pPr>
              <w:rPr>
                <w:color w:val="auto"/>
                <w:highlight w:val="none"/>
              </w:rPr>
            </w:pPr>
            <w:r>
              <w:rPr>
                <w:color w:val="auto"/>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14:paraId="6EEF2249">
            <w:pPr>
              <w:rPr>
                <w:color w:val="auto"/>
                <w:highlight w:val="none"/>
              </w:rPr>
            </w:pPr>
            <w:r>
              <w:rPr>
                <w:color w:val="auto"/>
                <w:highlight w:val="none"/>
              </w:rPr>
              <w:t>用户联</w:t>
            </w:r>
          </w:p>
          <w:p w14:paraId="5CAE7B25">
            <w:pPr>
              <w:rPr>
                <w:color w:val="auto"/>
                <w:highlight w:val="none"/>
              </w:rPr>
            </w:pPr>
            <w:r>
              <w:rPr>
                <w:color w:val="auto"/>
                <w:highlight w:val="none"/>
              </w:rPr>
              <w:t>系电话</w:t>
            </w:r>
          </w:p>
        </w:tc>
        <w:tc>
          <w:tcPr>
            <w:tcW w:w="1265" w:type="dxa"/>
            <w:tcBorders>
              <w:top w:val="single" w:color="auto" w:sz="4" w:space="0"/>
              <w:left w:val="single" w:color="auto" w:sz="4" w:space="0"/>
              <w:bottom w:val="single" w:color="auto" w:sz="4" w:space="0"/>
              <w:right w:val="single" w:color="auto" w:sz="4" w:space="0"/>
            </w:tcBorders>
            <w:noWrap/>
            <w:vAlign w:val="center"/>
          </w:tcPr>
          <w:p w14:paraId="1B658636">
            <w:pPr>
              <w:rPr>
                <w:color w:val="auto"/>
                <w:highlight w:val="none"/>
              </w:rPr>
            </w:pPr>
            <w:r>
              <w:rPr>
                <w:color w:val="auto"/>
                <w:highlight w:val="none"/>
              </w:rPr>
              <w:t>备注</w:t>
            </w:r>
          </w:p>
        </w:tc>
      </w:tr>
      <w:tr w14:paraId="2032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00BFFA55">
            <w:pPr>
              <w:rPr>
                <w:color w:val="auto"/>
                <w:highlight w:val="none"/>
              </w:rPr>
            </w:pPr>
            <w:r>
              <w:rPr>
                <w:rFonts w:hint="eastAsia"/>
                <w:color w:val="auto"/>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14:paraId="158EB495">
            <w:pPr>
              <w:rPr>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2FBCAACB">
            <w:pPr>
              <w:rPr>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1AA1C652">
            <w:pPr>
              <w:rPr>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318C70FD">
            <w:pPr>
              <w:rPr>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43F27060">
            <w:pPr>
              <w:rPr>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74953B26">
            <w:pPr>
              <w:rPr>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5761B148">
            <w:pPr>
              <w:rPr>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14:paraId="35407D20">
            <w:pPr>
              <w:rPr>
                <w:color w:val="auto"/>
                <w:highlight w:val="none"/>
              </w:rPr>
            </w:pPr>
          </w:p>
        </w:tc>
      </w:tr>
      <w:tr w14:paraId="2964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33823089">
            <w:pPr>
              <w:rPr>
                <w:color w:val="auto"/>
                <w:highlight w:val="none"/>
              </w:rPr>
            </w:pPr>
            <w:r>
              <w:rPr>
                <w:rFonts w:hint="eastAsia"/>
                <w:color w:val="auto"/>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14:paraId="3AD27C15">
            <w:pPr>
              <w:rPr>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55BD4A2E">
            <w:pPr>
              <w:rPr>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464D6E6B">
            <w:pPr>
              <w:rPr>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23ACDBF5">
            <w:pPr>
              <w:rPr>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7C342C33">
            <w:pPr>
              <w:rPr>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5F57C539">
            <w:pPr>
              <w:rPr>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478B87F8">
            <w:pPr>
              <w:rPr>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14:paraId="5884320C">
            <w:pPr>
              <w:rPr>
                <w:color w:val="auto"/>
                <w:highlight w:val="none"/>
              </w:rPr>
            </w:pPr>
          </w:p>
        </w:tc>
      </w:tr>
      <w:tr w14:paraId="473C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5DC75882">
            <w:pPr>
              <w:rPr>
                <w:color w:val="auto"/>
                <w:highlight w:val="none"/>
              </w:rPr>
            </w:pPr>
            <w:r>
              <w:rPr>
                <w:rFonts w:hint="eastAsia"/>
                <w:color w:val="auto"/>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14:paraId="3A04179C">
            <w:pPr>
              <w:rPr>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7F4527F6">
            <w:pPr>
              <w:rPr>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1F70CB55">
            <w:pPr>
              <w:rPr>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4191FD9F">
            <w:pPr>
              <w:rPr>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6DE1E6A3">
            <w:pPr>
              <w:rPr>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4C7F6102">
            <w:pPr>
              <w:rPr>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185D775">
            <w:pPr>
              <w:rPr>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14:paraId="063C7572">
            <w:pPr>
              <w:rPr>
                <w:color w:val="auto"/>
                <w:highlight w:val="none"/>
              </w:rPr>
            </w:pPr>
          </w:p>
        </w:tc>
      </w:tr>
      <w:tr w14:paraId="6002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778B59E4">
            <w:pPr>
              <w:rPr>
                <w:color w:val="auto"/>
                <w:highlight w:val="none"/>
              </w:rPr>
            </w:pPr>
            <w:r>
              <w:rPr>
                <w:rFonts w:hint="eastAsia"/>
                <w:color w:val="auto"/>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14:paraId="7B7EFE13">
            <w:pPr>
              <w:rPr>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522F7851">
            <w:pPr>
              <w:rPr>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2075EDA9">
            <w:pPr>
              <w:rPr>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3DD8BE55">
            <w:pPr>
              <w:rPr>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22D27B95">
            <w:pPr>
              <w:rPr>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536C6C1E">
            <w:pPr>
              <w:rPr>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571EDE3">
            <w:pPr>
              <w:rPr>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14:paraId="572F09D5">
            <w:pPr>
              <w:rPr>
                <w:color w:val="auto"/>
                <w:highlight w:val="none"/>
              </w:rPr>
            </w:pPr>
          </w:p>
        </w:tc>
      </w:tr>
      <w:tr w14:paraId="3992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6E2DF233">
            <w:pPr>
              <w:rPr>
                <w:color w:val="auto"/>
                <w:highlight w:val="none"/>
              </w:rPr>
            </w:pPr>
            <w:r>
              <w:rPr>
                <w:rFonts w:hint="eastAsia"/>
                <w:color w:val="auto"/>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14:paraId="29FDFA07">
            <w:pPr>
              <w:rPr>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3D3FF6A6">
            <w:pPr>
              <w:rPr>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2A821238">
            <w:pPr>
              <w:rPr>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165475E6">
            <w:pPr>
              <w:rPr>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310631E6">
            <w:pPr>
              <w:rPr>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4186294E">
            <w:pPr>
              <w:rPr>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59AB9D4">
            <w:pPr>
              <w:rPr>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14:paraId="7F3CB0D4">
            <w:pPr>
              <w:rPr>
                <w:color w:val="auto"/>
                <w:highlight w:val="none"/>
              </w:rPr>
            </w:pPr>
          </w:p>
        </w:tc>
      </w:tr>
      <w:tr w14:paraId="31A5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14:paraId="2F8956C1">
            <w:pPr>
              <w:rPr>
                <w:color w:val="auto"/>
                <w:highlight w:val="none"/>
              </w:rPr>
            </w:pPr>
            <w:r>
              <w:rPr>
                <w:color w:val="auto"/>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14:paraId="38B098D5">
            <w:pPr>
              <w:rPr>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14:paraId="62D00459">
            <w:pPr>
              <w:rPr>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14:paraId="290135E6">
            <w:pPr>
              <w:rPr>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14:paraId="52FDCD3F">
            <w:pPr>
              <w:rPr>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14:paraId="703B0966">
            <w:pPr>
              <w:rPr>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14:paraId="76508918">
            <w:pPr>
              <w:rPr>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2F6BA68">
            <w:pPr>
              <w:rPr>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14:paraId="4CDAAD44">
            <w:pPr>
              <w:rPr>
                <w:color w:val="auto"/>
                <w:highlight w:val="none"/>
              </w:rPr>
            </w:pPr>
          </w:p>
        </w:tc>
      </w:tr>
    </w:tbl>
    <w:p w14:paraId="56E9AB77">
      <w:pPr>
        <w:jc w:val="left"/>
        <w:rPr>
          <w:color w:val="auto"/>
          <w:highlight w:val="none"/>
        </w:rPr>
      </w:pPr>
      <w:r>
        <w:rPr>
          <w:color w:val="auto"/>
          <w:highlight w:val="none"/>
        </w:rPr>
        <w:t>特别说明：</w:t>
      </w:r>
    </w:p>
    <w:p w14:paraId="54B66868">
      <w:pPr>
        <w:ind w:firstLine="420" w:firstLineChars="200"/>
        <w:jc w:val="left"/>
        <w:rPr>
          <w:color w:val="auto"/>
          <w:highlight w:val="none"/>
        </w:rPr>
      </w:pPr>
      <w:r>
        <w:rPr>
          <w:rFonts w:hint="eastAsia"/>
          <w:color w:val="auto"/>
          <w:highlight w:val="none"/>
        </w:rPr>
        <w:t>1.提供2021年</w:t>
      </w:r>
      <w:r>
        <w:rPr>
          <w:rFonts w:hint="eastAsia"/>
          <w:color w:val="auto"/>
          <w:highlight w:val="none"/>
          <w:lang w:val="en-US" w:eastAsia="zh-CN"/>
        </w:rPr>
        <w:t>7</w:t>
      </w:r>
      <w:r>
        <w:rPr>
          <w:rFonts w:hint="eastAsia"/>
          <w:color w:val="auto"/>
          <w:highlight w:val="none"/>
        </w:rPr>
        <w:t>月1日以来（以合同签订日期为准），投标人</w:t>
      </w:r>
      <w:r>
        <w:rPr>
          <w:rFonts w:hint="eastAsia"/>
          <w:color w:val="auto"/>
          <w:highlight w:val="none"/>
          <w:lang w:val="en-US" w:eastAsia="zh-CN"/>
        </w:rPr>
        <w:t>承接过为国家机关提供</w:t>
      </w:r>
      <w:r>
        <w:rPr>
          <w:rFonts w:hint="eastAsia"/>
          <w:color w:val="auto"/>
          <w:highlight w:val="none"/>
          <w:u w:val="single"/>
          <w:lang w:val="en-US" w:eastAsia="zh-CN"/>
        </w:rPr>
        <w:t>购买</w:t>
      </w:r>
      <w:r>
        <w:rPr>
          <w:rFonts w:hint="eastAsia"/>
          <w:color w:val="auto"/>
          <w:highlight w:val="none"/>
          <w:lang w:val="en-US" w:eastAsia="zh-CN"/>
        </w:rPr>
        <w:t>服务的项目（非执法辅助服务、档案管理服务、驾驶、会务</w:t>
      </w:r>
      <w:r>
        <w:rPr>
          <w:rFonts w:hint="eastAsia"/>
          <w:color w:val="auto"/>
          <w:highlight w:val="none"/>
          <w:lang w:eastAsia="zh-CN"/>
        </w:rPr>
        <w:t>等项目，任一</w:t>
      </w:r>
      <w:r>
        <w:rPr>
          <w:rFonts w:hint="eastAsia"/>
          <w:color w:val="auto"/>
          <w:highlight w:val="none"/>
        </w:rPr>
        <w:t>）的案例。</w:t>
      </w:r>
    </w:p>
    <w:bookmarkEnd w:id="115"/>
    <w:bookmarkEnd w:id="116"/>
    <w:bookmarkEnd w:id="117"/>
    <w:bookmarkEnd w:id="118"/>
    <w:bookmarkEnd w:id="119"/>
    <w:bookmarkEnd w:id="120"/>
    <w:p w14:paraId="65F188DC">
      <w:pPr>
        <w:ind w:firstLine="420" w:firstLineChars="200"/>
        <w:jc w:val="left"/>
        <w:rPr>
          <w:color w:val="auto"/>
          <w:highlight w:val="none"/>
        </w:rPr>
      </w:pPr>
      <w:r>
        <w:rPr>
          <w:rFonts w:hint="eastAsia"/>
          <w:color w:val="auto"/>
          <w:highlight w:val="none"/>
        </w:rPr>
        <w:t>2.应提供合同复印件（线上采购项目提供扫描件，下同）。合同复印件应能清晰体现合同甲乙双方、合同时间、合同总金额、合同主要内容等，并提供对方联系人及联系方式，否则不能获得相应分值。</w:t>
      </w:r>
    </w:p>
    <w:p w14:paraId="237D6C67">
      <w:pPr>
        <w:pStyle w:val="11"/>
        <w:rPr>
          <w:color w:val="auto"/>
          <w:highlight w:val="none"/>
        </w:rPr>
      </w:pPr>
    </w:p>
    <w:p w14:paraId="682BE288">
      <w:pPr>
        <w:rPr>
          <w:color w:val="auto"/>
          <w:highlight w:val="none"/>
        </w:rPr>
      </w:pPr>
      <w:r>
        <w:rPr>
          <w:rFonts w:hint="eastAsia"/>
          <w:color w:val="auto"/>
          <w:highlight w:val="none"/>
        </w:rPr>
        <w:br w:type="page"/>
      </w:r>
    </w:p>
    <w:p w14:paraId="16D77EE4">
      <w:pPr>
        <w:rPr>
          <w:color w:val="auto"/>
          <w:highlight w:val="none"/>
        </w:rPr>
      </w:pPr>
    </w:p>
    <w:p w14:paraId="2D8EA030">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1EF09D50">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14:paraId="6DF23E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14:paraId="21AFCB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（填写正本或副本）</w:t>
      </w:r>
    </w:p>
    <w:p w14:paraId="705544CD">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highlight w:val="none"/>
        </w:rPr>
      </w:pPr>
    </w:p>
    <w:p w14:paraId="205EC573">
      <w:pPr>
        <w:pStyle w:val="9"/>
        <w:rPr>
          <w:rFonts w:hint="eastAsia" w:asciiTheme="minorEastAsia" w:hAnsiTheme="minorEastAsia" w:eastAsiaTheme="minorEastAsia" w:cstheme="minorEastAsia"/>
          <w:b w:val="0"/>
          <w:bCs/>
          <w:color w:val="auto"/>
          <w:kern w:val="0"/>
          <w:sz w:val="24"/>
          <w:szCs w:val="24"/>
          <w:highlight w:val="none"/>
        </w:rPr>
      </w:pPr>
    </w:p>
    <w:p w14:paraId="220D46DF">
      <w:pPr>
        <w:rPr>
          <w:rFonts w:hint="eastAsia" w:asciiTheme="minorEastAsia" w:hAnsiTheme="minorEastAsia" w:eastAsiaTheme="minorEastAsia" w:cstheme="minorEastAsia"/>
          <w:color w:val="auto"/>
          <w:highlight w:val="none"/>
        </w:rPr>
      </w:pPr>
    </w:p>
    <w:p w14:paraId="5C8B4027">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项目名称：</w:t>
      </w:r>
      <w:r>
        <w:rPr>
          <w:rFonts w:hint="eastAsia" w:asciiTheme="minorEastAsia" w:hAnsiTheme="minorEastAsia" w:eastAsiaTheme="minorEastAsia" w:cstheme="minorEastAsia"/>
          <w:b w:val="0"/>
          <w:bCs/>
          <w:color w:val="auto"/>
          <w:kern w:val="0"/>
          <w:sz w:val="24"/>
          <w:szCs w:val="24"/>
          <w:highlight w:val="none"/>
          <w:u w:val="single"/>
        </w:rPr>
        <w:t xml:space="preserve">               </w:t>
      </w:r>
    </w:p>
    <w:p w14:paraId="44DB4C10">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项目编号：</w:t>
      </w:r>
      <w:r>
        <w:rPr>
          <w:rFonts w:hint="eastAsia" w:asciiTheme="minorEastAsia" w:hAnsiTheme="minorEastAsia" w:eastAsiaTheme="minorEastAsia" w:cstheme="minorEastAsia"/>
          <w:b w:val="0"/>
          <w:bCs/>
          <w:color w:val="auto"/>
          <w:kern w:val="0"/>
          <w:sz w:val="24"/>
          <w:szCs w:val="24"/>
          <w:highlight w:val="none"/>
          <w:u w:val="single"/>
        </w:rPr>
        <w:t xml:space="preserve">               </w:t>
      </w:r>
    </w:p>
    <w:p w14:paraId="516A599B">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所投采购包：</w:t>
      </w:r>
      <w:r>
        <w:rPr>
          <w:rFonts w:hint="eastAsia" w:asciiTheme="minorEastAsia" w:hAnsiTheme="minorEastAsia" w:eastAsiaTheme="minorEastAsia" w:cstheme="minorEastAsia"/>
          <w:b w:val="0"/>
          <w:bCs/>
          <w:color w:val="auto"/>
          <w:kern w:val="0"/>
          <w:sz w:val="24"/>
          <w:szCs w:val="24"/>
          <w:highlight w:val="none"/>
          <w:u w:val="single"/>
        </w:rPr>
        <w:t xml:space="preserve">             </w:t>
      </w:r>
    </w:p>
    <w:p w14:paraId="36E1FC7B">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Theme="minorEastAsia" w:hAnsiTheme="minorEastAsia" w:eastAsiaTheme="minorEastAsia" w:cstheme="minorEastAsia"/>
          <w:b w:val="0"/>
          <w:bCs/>
          <w:color w:val="auto"/>
          <w:kern w:val="0"/>
          <w:sz w:val="24"/>
          <w:szCs w:val="24"/>
          <w:highlight w:val="none"/>
        </w:rPr>
      </w:pPr>
    </w:p>
    <w:p w14:paraId="63F31B7D">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投标人：</w:t>
      </w:r>
      <w:r>
        <w:rPr>
          <w:rFonts w:hint="eastAsia" w:asciiTheme="minorEastAsia" w:hAnsiTheme="minorEastAsia" w:eastAsiaTheme="minorEastAsia" w:cstheme="minorEastAsia"/>
          <w:b w:val="0"/>
          <w:bCs/>
          <w:color w:val="auto"/>
          <w:kern w:val="0"/>
          <w:sz w:val="24"/>
          <w:szCs w:val="24"/>
          <w:highlight w:val="none"/>
          <w:u w:val="single"/>
        </w:rPr>
        <w:t xml:space="preserve">                 </w:t>
      </w:r>
    </w:p>
    <w:p w14:paraId="7314912F">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日  期：</w:t>
      </w:r>
      <w:r>
        <w:rPr>
          <w:rFonts w:hint="eastAsia" w:asciiTheme="minorEastAsia" w:hAnsiTheme="minorEastAsia" w:eastAsiaTheme="minorEastAsia" w:cstheme="minorEastAsia"/>
          <w:b w:val="0"/>
          <w:bCs/>
          <w:color w:val="auto"/>
          <w:kern w:val="0"/>
          <w:sz w:val="24"/>
          <w:szCs w:val="24"/>
          <w:highlight w:val="none"/>
          <w:u w:val="single"/>
        </w:rPr>
        <w:t xml:space="preserve">                 </w:t>
      </w:r>
    </w:p>
    <w:p w14:paraId="5AB604FF">
      <w:pPr>
        <w:rPr>
          <w:color w:val="auto"/>
          <w:highlight w:val="none"/>
        </w:rPr>
      </w:pPr>
    </w:p>
    <w:p w14:paraId="582946EE">
      <w:pPr>
        <w:rPr>
          <w:color w:val="auto"/>
          <w:highlight w:val="none"/>
        </w:rPr>
      </w:pPr>
    </w:p>
    <w:p w14:paraId="373725A2">
      <w:pPr>
        <w:rPr>
          <w:color w:val="auto"/>
          <w:highlight w:val="none"/>
        </w:rPr>
      </w:pPr>
    </w:p>
    <w:p w14:paraId="7208D0F8">
      <w:pPr>
        <w:rPr>
          <w:color w:val="auto"/>
          <w:highlight w:val="none"/>
        </w:rPr>
      </w:pPr>
    </w:p>
    <w:p w14:paraId="3FC1DEB8">
      <w:pPr>
        <w:rPr>
          <w:color w:val="auto"/>
          <w:highlight w:val="none"/>
        </w:rPr>
      </w:pPr>
    </w:p>
    <w:p w14:paraId="3343CC3A">
      <w:pPr>
        <w:rPr>
          <w:color w:val="auto"/>
          <w:highlight w:val="none"/>
        </w:rPr>
      </w:pPr>
    </w:p>
    <w:p w14:paraId="3A55784F">
      <w:pPr>
        <w:rPr>
          <w:color w:val="auto"/>
          <w:highlight w:val="none"/>
        </w:rPr>
      </w:pPr>
    </w:p>
    <w:p w14:paraId="6214FAA6">
      <w:pPr>
        <w:rPr>
          <w:color w:val="auto"/>
          <w:highlight w:val="none"/>
        </w:rPr>
      </w:pPr>
    </w:p>
    <w:p w14:paraId="145674C2">
      <w:pPr>
        <w:rPr>
          <w:color w:val="auto"/>
          <w:highlight w:val="none"/>
        </w:rPr>
      </w:pPr>
    </w:p>
    <w:p w14:paraId="2DFD5FF1">
      <w:pPr>
        <w:rPr>
          <w:color w:val="auto"/>
          <w:highlight w:val="none"/>
        </w:rPr>
      </w:pPr>
    </w:p>
    <w:p w14:paraId="4B8918E0">
      <w:pPr>
        <w:rPr>
          <w:color w:val="auto"/>
          <w:highlight w:val="none"/>
        </w:rPr>
      </w:pPr>
    </w:p>
    <w:p w14:paraId="0C4155D0">
      <w:pPr>
        <w:rPr>
          <w:color w:val="auto"/>
          <w:highlight w:val="none"/>
        </w:rPr>
      </w:pPr>
    </w:p>
    <w:p w14:paraId="3DA3AA43">
      <w:pPr>
        <w:rPr>
          <w:color w:val="auto"/>
          <w:highlight w:val="none"/>
        </w:rPr>
      </w:pPr>
    </w:p>
    <w:p w14:paraId="7EF71283">
      <w:pPr>
        <w:rPr>
          <w:color w:val="auto"/>
          <w:highlight w:val="none"/>
        </w:rPr>
      </w:pPr>
    </w:p>
    <w:p w14:paraId="12E2BD9F">
      <w:pPr>
        <w:rPr>
          <w:color w:val="auto"/>
          <w:highlight w:val="none"/>
        </w:rPr>
      </w:pPr>
    </w:p>
    <w:p w14:paraId="49C36257">
      <w:pPr>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bidi="ar-SA"/>
        </w:rPr>
        <w:t>格式1</w:t>
      </w:r>
      <w:r>
        <w:rPr>
          <w:rFonts w:hint="eastAsia" w:cstheme="minorEastAsia"/>
          <w:b/>
          <w:bCs w:val="0"/>
          <w:color w:val="auto"/>
          <w:sz w:val="28"/>
          <w:szCs w:val="28"/>
          <w:highlight w:val="none"/>
          <w:lang w:val="en-US" w:eastAsia="zh-CN" w:bidi="ar-SA"/>
        </w:rPr>
        <w:t>4</w:t>
      </w:r>
      <w:r>
        <w:rPr>
          <w:rFonts w:hint="eastAsia" w:asciiTheme="minorEastAsia" w:hAnsiTheme="minorEastAsia" w:eastAsiaTheme="minorEastAsia" w:cstheme="minorEastAsia"/>
          <w:b/>
          <w:bCs w:val="0"/>
          <w:color w:val="auto"/>
          <w:sz w:val="28"/>
          <w:szCs w:val="28"/>
          <w:highlight w:val="none"/>
          <w:lang w:val="en-US" w:eastAsia="zh-CN" w:bidi="ar-SA"/>
        </w:rPr>
        <w:t xml:space="preserve">  技术条款偏离表</w:t>
      </w:r>
    </w:p>
    <w:p w14:paraId="7459B768">
      <w:pPr>
        <w:rPr>
          <w:rFonts w:hint="eastAsia" w:asciiTheme="minorEastAsia" w:hAnsiTheme="minorEastAsia" w:eastAsiaTheme="minorEastAsia" w:cstheme="minorEastAsia"/>
          <w:b/>
          <w:bCs w:val="0"/>
          <w:color w:val="auto"/>
          <w:sz w:val="28"/>
          <w:szCs w:val="28"/>
          <w:highlight w:val="none"/>
          <w:lang w:val="en-US" w:eastAsia="zh-CN" w:bidi="ar-SA"/>
        </w:rPr>
      </w:pPr>
    </w:p>
    <w:tbl>
      <w:tblPr>
        <w:tblStyle w:val="19"/>
        <w:tblW w:w="85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7"/>
        <w:gridCol w:w="1516"/>
        <w:gridCol w:w="2116"/>
        <w:gridCol w:w="1684"/>
        <w:gridCol w:w="1879"/>
        <w:gridCol w:w="759"/>
      </w:tblGrid>
      <w:tr w14:paraId="0B5C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14:paraId="11C0590E">
            <w:pPr>
              <w:rPr>
                <w:color w:val="auto"/>
                <w:highlight w:val="none"/>
              </w:rPr>
            </w:pPr>
            <w:r>
              <w:rPr>
                <w:color w:val="auto"/>
                <w:highlight w:val="none"/>
              </w:rPr>
              <w:t>序号</w:t>
            </w:r>
          </w:p>
        </w:tc>
        <w:tc>
          <w:tcPr>
            <w:tcW w:w="1516" w:type="dxa"/>
            <w:noWrap/>
          </w:tcPr>
          <w:p w14:paraId="028C630C">
            <w:pPr>
              <w:rPr>
                <w:color w:val="auto"/>
                <w:highlight w:val="none"/>
              </w:rPr>
            </w:pPr>
            <w:r>
              <w:rPr>
                <w:color w:val="auto"/>
                <w:highlight w:val="none"/>
              </w:rPr>
              <w:t>招标文件</w:t>
            </w:r>
          </w:p>
          <w:p w14:paraId="7EBE921C">
            <w:pPr>
              <w:rPr>
                <w:color w:val="auto"/>
                <w:highlight w:val="none"/>
              </w:rPr>
            </w:pPr>
            <w:r>
              <w:rPr>
                <w:color w:val="auto"/>
                <w:highlight w:val="none"/>
              </w:rPr>
              <w:t>技术部分序号</w:t>
            </w:r>
          </w:p>
        </w:tc>
        <w:tc>
          <w:tcPr>
            <w:tcW w:w="2116" w:type="dxa"/>
            <w:noWrap/>
            <w:vAlign w:val="center"/>
          </w:tcPr>
          <w:p w14:paraId="4365C03D">
            <w:pPr>
              <w:rPr>
                <w:color w:val="auto"/>
                <w:highlight w:val="none"/>
              </w:rPr>
            </w:pPr>
            <w:r>
              <w:rPr>
                <w:color w:val="auto"/>
                <w:highlight w:val="none"/>
              </w:rPr>
              <w:t>招标文件</w:t>
            </w:r>
          </w:p>
          <w:p w14:paraId="0DDFF2CD">
            <w:pPr>
              <w:rPr>
                <w:color w:val="auto"/>
                <w:highlight w:val="none"/>
              </w:rPr>
            </w:pPr>
            <w:r>
              <w:rPr>
                <w:color w:val="auto"/>
                <w:highlight w:val="none"/>
              </w:rPr>
              <w:t>技术部分内容要求</w:t>
            </w:r>
          </w:p>
        </w:tc>
        <w:tc>
          <w:tcPr>
            <w:tcW w:w="1684" w:type="dxa"/>
            <w:noWrap/>
            <w:vAlign w:val="center"/>
          </w:tcPr>
          <w:p w14:paraId="026240AF">
            <w:pPr>
              <w:rPr>
                <w:color w:val="auto"/>
                <w:highlight w:val="none"/>
              </w:rPr>
            </w:pPr>
            <w:r>
              <w:rPr>
                <w:color w:val="auto"/>
                <w:highlight w:val="none"/>
              </w:rPr>
              <w:t>投标文件</w:t>
            </w:r>
          </w:p>
          <w:p w14:paraId="6B4DD35D">
            <w:pPr>
              <w:rPr>
                <w:color w:val="auto"/>
                <w:highlight w:val="none"/>
              </w:rPr>
            </w:pPr>
            <w:r>
              <w:rPr>
                <w:color w:val="auto"/>
                <w:highlight w:val="none"/>
              </w:rPr>
              <w:t>应答情况</w:t>
            </w:r>
          </w:p>
        </w:tc>
        <w:tc>
          <w:tcPr>
            <w:tcW w:w="1879" w:type="dxa"/>
            <w:noWrap/>
            <w:vAlign w:val="center"/>
          </w:tcPr>
          <w:p w14:paraId="07AABB75">
            <w:pPr>
              <w:rPr>
                <w:color w:val="auto"/>
                <w:highlight w:val="none"/>
              </w:rPr>
            </w:pPr>
            <w:r>
              <w:rPr>
                <w:color w:val="auto"/>
                <w:highlight w:val="none"/>
              </w:rPr>
              <w:t>偏离（无/正/负）</w:t>
            </w:r>
          </w:p>
        </w:tc>
        <w:tc>
          <w:tcPr>
            <w:tcW w:w="759" w:type="dxa"/>
            <w:noWrap/>
            <w:vAlign w:val="center"/>
          </w:tcPr>
          <w:p w14:paraId="4B1D147E">
            <w:pPr>
              <w:rPr>
                <w:color w:val="auto"/>
                <w:highlight w:val="none"/>
              </w:rPr>
            </w:pPr>
            <w:r>
              <w:rPr>
                <w:color w:val="auto"/>
                <w:highlight w:val="none"/>
              </w:rPr>
              <w:t>备注</w:t>
            </w:r>
          </w:p>
        </w:tc>
      </w:tr>
      <w:tr w14:paraId="5D21F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14:paraId="7D15999A">
            <w:pPr>
              <w:rPr>
                <w:color w:val="auto"/>
                <w:highlight w:val="none"/>
              </w:rPr>
            </w:pPr>
            <w:r>
              <w:rPr>
                <w:rFonts w:hint="eastAsia"/>
                <w:color w:val="auto"/>
                <w:highlight w:val="none"/>
              </w:rPr>
              <w:t>1</w:t>
            </w:r>
          </w:p>
        </w:tc>
        <w:tc>
          <w:tcPr>
            <w:tcW w:w="1516" w:type="dxa"/>
            <w:noWrap/>
            <w:vAlign w:val="center"/>
          </w:tcPr>
          <w:p w14:paraId="4FDABB8F">
            <w:pPr>
              <w:rPr>
                <w:color w:val="auto"/>
                <w:highlight w:val="none"/>
              </w:rPr>
            </w:pPr>
          </w:p>
        </w:tc>
        <w:tc>
          <w:tcPr>
            <w:tcW w:w="2116" w:type="dxa"/>
            <w:noWrap/>
            <w:vAlign w:val="center"/>
          </w:tcPr>
          <w:p w14:paraId="01F959F8">
            <w:pPr>
              <w:rPr>
                <w:color w:val="auto"/>
                <w:highlight w:val="none"/>
              </w:rPr>
            </w:pPr>
          </w:p>
        </w:tc>
        <w:tc>
          <w:tcPr>
            <w:tcW w:w="1684" w:type="dxa"/>
            <w:noWrap/>
            <w:vAlign w:val="center"/>
          </w:tcPr>
          <w:p w14:paraId="0FA71ADE">
            <w:pPr>
              <w:rPr>
                <w:color w:val="auto"/>
                <w:highlight w:val="none"/>
              </w:rPr>
            </w:pPr>
          </w:p>
        </w:tc>
        <w:tc>
          <w:tcPr>
            <w:tcW w:w="1879" w:type="dxa"/>
            <w:noWrap/>
            <w:vAlign w:val="center"/>
          </w:tcPr>
          <w:p w14:paraId="2C56E203">
            <w:pPr>
              <w:rPr>
                <w:color w:val="auto"/>
                <w:highlight w:val="none"/>
              </w:rPr>
            </w:pPr>
          </w:p>
        </w:tc>
        <w:tc>
          <w:tcPr>
            <w:tcW w:w="759" w:type="dxa"/>
            <w:noWrap/>
            <w:vAlign w:val="center"/>
          </w:tcPr>
          <w:p w14:paraId="58471F18">
            <w:pPr>
              <w:rPr>
                <w:color w:val="auto"/>
                <w:highlight w:val="none"/>
              </w:rPr>
            </w:pPr>
          </w:p>
        </w:tc>
      </w:tr>
      <w:tr w14:paraId="04C83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14:paraId="6B7AE79F">
            <w:pPr>
              <w:rPr>
                <w:color w:val="auto"/>
                <w:highlight w:val="none"/>
              </w:rPr>
            </w:pPr>
            <w:r>
              <w:rPr>
                <w:rFonts w:hint="eastAsia"/>
                <w:color w:val="auto"/>
                <w:highlight w:val="none"/>
              </w:rPr>
              <w:t>2</w:t>
            </w:r>
          </w:p>
        </w:tc>
        <w:tc>
          <w:tcPr>
            <w:tcW w:w="1516" w:type="dxa"/>
            <w:noWrap/>
            <w:vAlign w:val="center"/>
          </w:tcPr>
          <w:p w14:paraId="7AE6F4E8">
            <w:pPr>
              <w:rPr>
                <w:color w:val="auto"/>
                <w:highlight w:val="none"/>
              </w:rPr>
            </w:pPr>
          </w:p>
        </w:tc>
        <w:tc>
          <w:tcPr>
            <w:tcW w:w="2116" w:type="dxa"/>
            <w:noWrap/>
            <w:vAlign w:val="center"/>
          </w:tcPr>
          <w:p w14:paraId="517E9F69">
            <w:pPr>
              <w:rPr>
                <w:color w:val="auto"/>
                <w:highlight w:val="none"/>
              </w:rPr>
            </w:pPr>
          </w:p>
        </w:tc>
        <w:tc>
          <w:tcPr>
            <w:tcW w:w="1684" w:type="dxa"/>
            <w:noWrap/>
            <w:vAlign w:val="center"/>
          </w:tcPr>
          <w:p w14:paraId="2E0C1BA0">
            <w:pPr>
              <w:rPr>
                <w:color w:val="auto"/>
                <w:highlight w:val="none"/>
              </w:rPr>
            </w:pPr>
          </w:p>
        </w:tc>
        <w:tc>
          <w:tcPr>
            <w:tcW w:w="1879" w:type="dxa"/>
            <w:noWrap/>
            <w:vAlign w:val="center"/>
          </w:tcPr>
          <w:p w14:paraId="464FBB1E">
            <w:pPr>
              <w:rPr>
                <w:color w:val="auto"/>
                <w:highlight w:val="none"/>
              </w:rPr>
            </w:pPr>
          </w:p>
        </w:tc>
        <w:tc>
          <w:tcPr>
            <w:tcW w:w="759" w:type="dxa"/>
            <w:noWrap/>
            <w:vAlign w:val="center"/>
          </w:tcPr>
          <w:p w14:paraId="44603306">
            <w:pPr>
              <w:rPr>
                <w:color w:val="auto"/>
                <w:highlight w:val="none"/>
              </w:rPr>
            </w:pPr>
          </w:p>
        </w:tc>
      </w:tr>
      <w:tr w14:paraId="6DDC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14:paraId="53F4964E">
            <w:pPr>
              <w:rPr>
                <w:color w:val="auto"/>
                <w:highlight w:val="none"/>
              </w:rPr>
            </w:pPr>
            <w:r>
              <w:rPr>
                <w:rFonts w:hint="eastAsia"/>
                <w:color w:val="auto"/>
                <w:highlight w:val="none"/>
              </w:rPr>
              <w:t>3</w:t>
            </w:r>
          </w:p>
        </w:tc>
        <w:tc>
          <w:tcPr>
            <w:tcW w:w="1516" w:type="dxa"/>
            <w:noWrap/>
            <w:vAlign w:val="center"/>
          </w:tcPr>
          <w:p w14:paraId="4050A3D1">
            <w:pPr>
              <w:rPr>
                <w:color w:val="auto"/>
                <w:highlight w:val="none"/>
              </w:rPr>
            </w:pPr>
          </w:p>
        </w:tc>
        <w:tc>
          <w:tcPr>
            <w:tcW w:w="2116" w:type="dxa"/>
            <w:noWrap/>
            <w:vAlign w:val="center"/>
          </w:tcPr>
          <w:p w14:paraId="3211E0F8">
            <w:pPr>
              <w:rPr>
                <w:color w:val="auto"/>
                <w:highlight w:val="none"/>
              </w:rPr>
            </w:pPr>
          </w:p>
        </w:tc>
        <w:tc>
          <w:tcPr>
            <w:tcW w:w="1684" w:type="dxa"/>
            <w:noWrap/>
            <w:vAlign w:val="center"/>
          </w:tcPr>
          <w:p w14:paraId="4F2E3413">
            <w:pPr>
              <w:rPr>
                <w:color w:val="auto"/>
                <w:highlight w:val="none"/>
              </w:rPr>
            </w:pPr>
          </w:p>
        </w:tc>
        <w:tc>
          <w:tcPr>
            <w:tcW w:w="1879" w:type="dxa"/>
            <w:noWrap/>
            <w:vAlign w:val="center"/>
          </w:tcPr>
          <w:p w14:paraId="26DDB819">
            <w:pPr>
              <w:rPr>
                <w:color w:val="auto"/>
                <w:highlight w:val="none"/>
              </w:rPr>
            </w:pPr>
          </w:p>
        </w:tc>
        <w:tc>
          <w:tcPr>
            <w:tcW w:w="759" w:type="dxa"/>
            <w:noWrap/>
            <w:vAlign w:val="center"/>
          </w:tcPr>
          <w:p w14:paraId="0B80D1F6">
            <w:pPr>
              <w:rPr>
                <w:color w:val="auto"/>
                <w:highlight w:val="none"/>
              </w:rPr>
            </w:pPr>
          </w:p>
        </w:tc>
      </w:tr>
      <w:tr w14:paraId="73B40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14:paraId="217DCF20">
            <w:pPr>
              <w:rPr>
                <w:color w:val="auto"/>
                <w:highlight w:val="none"/>
              </w:rPr>
            </w:pPr>
            <w:r>
              <w:rPr>
                <w:rFonts w:hint="eastAsia"/>
                <w:color w:val="auto"/>
                <w:highlight w:val="none"/>
              </w:rPr>
              <w:t>4</w:t>
            </w:r>
          </w:p>
        </w:tc>
        <w:tc>
          <w:tcPr>
            <w:tcW w:w="1516" w:type="dxa"/>
            <w:noWrap/>
            <w:vAlign w:val="center"/>
          </w:tcPr>
          <w:p w14:paraId="15C1DBFF">
            <w:pPr>
              <w:rPr>
                <w:color w:val="auto"/>
                <w:highlight w:val="none"/>
              </w:rPr>
            </w:pPr>
          </w:p>
        </w:tc>
        <w:tc>
          <w:tcPr>
            <w:tcW w:w="2116" w:type="dxa"/>
            <w:noWrap/>
            <w:vAlign w:val="center"/>
          </w:tcPr>
          <w:p w14:paraId="2DC9839B">
            <w:pPr>
              <w:rPr>
                <w:color w:val="auto"/>
                <w:highlight w:val="none"/>
              </w:rPr>
            </w:pPr>
          </w:p>
        </w:tc>
        <w:tc>
          <w:tcPr>
            <w:tcW w:w="1684" w:type="dxa"/>
            <w:noWrap/>
            <w:vAlign w:val="center"/>
          </w:tcPr>
          <w:p w14:paraId="67298B98">
            <w:pPr>
              <w:rPr>
                <w:color w:val="auto"/>
                <w:highlight w:val="none"/>
              </w:rPr>
            </w:pPr>
          </w:p>
        </w:tc>
        <w:tc>
          <w:tcPr>
            <w:tcW w:w="1879" w:type="dxa"/>
            <w:noWrap/>
            <w:vAlign w:val="center"/>
          </w:tcPr>
          <w:p w14:paraId="6B816C17">
            <w:pPr>
              <w:rPr>
                <w:color w:val="auto"/>
                <w:highlight w:val="none"/>
              </w:rPr>
            </w:pPr>
          </w:p>
        </w:tc>
        <w:tc>
          <w:tcPr>
            <w:tcW w:w="759" w:type="dxa"/>
            <w:noWrap/>
            <w:vAlign w:val="center"/>
          </w:tcPr>
          <w:p w14:paraId="3D3C91AD">
            <w:pPr>
              <w:rPr>
                <w:color w:val="auto"/>
                <w:highlight w:val="none"/>
              </w:rPr>
            </w:pPr>
          </w:p>
        </w:tc>
      </w:tr>
      <w:tr w14:paraId="79C30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14:paraId="16812BBE">
            <w:pPr>
              <w:rPr>
                <w:color w:val="auto"/>
                <w:highlight w:val="none"/>
              </w:rPr>
            </w:pPr>
            <w:r>
              <w:rPr>
                <w:rFonts w:hint="eastAsia"/>
                <w:color w:val="auto"/>
                <w:highlight w:val="none"/>
              </w:rPr>
              <w:t>5</w:t>
            </w:r>
          </w:p>
        </w:tc>
        <w:tc>
          <w:tcPr>
            <w:tcW w:w="1516" w:type="dxa"/>
            <w:noWrap/>
            <w:vAlign w:val="center"/>
          </w:tcPr>
          <w:p w14:paraId="55272772">
            <w:pPr>
              <w:rPr>
                <w:color w:val="auto"/>
                <w:highlight w:val="none"/>
              </w:rPr>
            </w:pPr>
          </w:p>
        </w:tc>
        <w:tc>
          <w:tcPr>
            <w:tcW w:w="2116" w:type="dxa"/>
            <w:noWrap/>
            <w:vAlign w:val="center"/>
          </w:tcPr>
          <w:p w14:paraId="72A20196">
            <w:pPr>
              <w:rPr>
                <w:color w:val="auto"/>
                <w:highlight w:val="none"/>
              </w:rPr>
            </w:pPr>
          </w:p>
        </w:tc>
        <w:tc>
          <w:tcPr>
            <w:tcW w:w="1684" w:type="dxa"/>
            <w:noWrap/>
            <w:vAlign w:val="center"/>
          </w:tcPr>
          <w:p w14:paraId="273A3985">
            <w:pPr>
              <w:rPr>
                <w:color w:val="auto"/>
                <w:highlight w:val="none"/>
              </w:rPr>
            </w:pPr>
          </w:p>
        </w:tc>
        <w:tc>
          <w:tcPr>
            <w:tcW w:w="1879" w:type="dxa"/>
            <w:noWrap/>
            <w:vAlign w:val="center"/>
          </w:tcPr>
          <w:p w14:paraId="63FC55D6">
            <w:pPr>
              <w:rPr>
                <w:color w:val="auto"/>
                <w:highlight w:val="none"/>
              </w:rPr>
            </w:pPr>
          </w:p>
        </w:tc>
        <w:tc>
          <w:tcPr>
            <w:tcW w:w="759" w:type="dxa"/>
            <w:noWrap/>
            <w:vAlign w:val="center"/>
          </w:tcPr>
          <w:p w14:paraId="1511476E">
            <w:pPr>
              <w:rPr>
                <w:color w:val="auto"/>
                <w:highlight w:val="none"/>
              </w:rPr>
            </w:pPr>
          </w:p>
        </w:tc>
      </w:tr>
      <w:tr w14:paraId="0DF69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14:paraId="2C83AB03">
            <w:pPr>
              <w:rPr>
                <w:color w:val="auto"/>
                <w:highlight w:val="none"/>
              </w:rPr>
            </w:pPr>
            <w:r>
              <w:rPr>
                <w:color w:val="auto"/>
                <w:highlight w:val="none"/>
              </w:rPr>
              <w:t>……</w:t>
            </w:r>
          </w:p>
        </w:tc>
        <w:tc>
          <w:tcPr>
            <w:tcW w:w="1516" w:type="dxa"/>
            <w:noWrap/>
            <w:vAlign w:val="center"/>
          </w:tcPr>
          <w:p w14:paraId="183448AE">
            <w:pPr>
              <w:rPr>
                <w:color w:val="auto"/>
                <w:highlight w:val="none"/>
              </w:rPr>
            </w:pPr>
          </w:p>
        </w:tc>
        <w:tc>
          <w:tcPr>
            <w:tcW w:w="2116" w:type="dxa"/>
            <w:noWrap/>
            <w:vAlign w:val="center"/>
          </w:tcPr>
          <w:p w14:paraId="68CEBD50">
            <w:pPr>
              <w:rPr>
                <w:color w:val="auto"/>
                <w:highlight w:val="none"/>
              </w:rPr>
            </w:pPr>
          </w:p>
        </w:tc>
        <w:tc>
          <w:tcPr>
            <w:tcW w:w="1684" w:type="dxa"/>
            <w:noWrap/>
            <w:vAlign w:val="center"/>
          </w:tcPr>
          <w:p w14:paraId="6215B378">
            <w:pPr>
              <w:rPr>
                <w:color w:val="auto"/>
                <w:highlight w:val="none"/>
              </w:rPr>
            </w:pPr>
          </w:p>
        </w:tc>
        <w:tc>
          <w:tcPr>
            <w:tcW w:w="1879" w:type="dxa"/>
            <w:noWrap/>
            <w:vAlign w:val="center"/>
          </w:tcPr>
          <w:p w14:paraId="085CBD39">
            <w:pPr>
              <w:rPr>
                <w:color w:val="auto"/>
                <w:highlight w:val="none"/>
              </w:rPr>
            </w:pPr>
          </w:p>
        </w:tc>
        <w:tc>
          <w:tcPr>
            <w:tcW w:w="759" w:type="dxa"/>
            <w:noWrap/>
            <w:vAlign w:val="center"/>
          </w:tcPr>
          <w:p w14:paraId="022623D5">
            <w:pPr>
              <w:rPr>
                <w:color w:val="auto"/>
                <w:highlight w:val="none"/>
              </w:rPr>
            </w:pPr>
          </w:p>
        </w:tc>
      </w:tr>
    </w:tbl>
    <w:p w14:paraId="0644DEF3">
      <w:pPr>
        <w:jc w:val="left"/>
        <w:rPr>
          <w:color w:val="auto"/>
          <w:highlight w:val="none"/>
        </w:rPr>
      </w:pPr>
      <w:r>
        <w:rPr>
          <w:rFonts w:hint="eastAsia"/>
          <w:color w:val="auto"/>
          <w:highlight w:val="none"/>
        </w:rPr>
        <w:t>特别说明：</w:t>
      </w:r>
    </w:p>
    <w:p w14:paraId="3C94FB84">
      <w:pPr>
        <w:ind w:firstLine="420" w:firstLineChars="200"/>
        <w:jc w:val="left"/>
        <w:rPr>
          <w:color w:val="auto"/>
          <w:highlight w:val="none"/>
        </w:rPr>
      </w:pPr>
      <w:r>
        <w:rPr>
          <w:rFonts w:hint="eastAsia"/>
          <w:color w:val="auto"/>
          <w:highlight w:val="none"/>
        </w:rPr>
        <w:t>1.投标人应按招标文件《第六章　项目采购需求》中的</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w:t>
      </w:r>
      <w:r>
        <w:rPr>
          <w:rFonts w:hint="eastAsia"/>
          <w:color w:val="auto"/>
          <w:highlight w:val="none"/>
        </w:rPr>
        <w:t>，结合自身投标情况对技术条款逐条响应，未逐条响应的视为投标无效。</w:t>
      </w:r>
    </w:p>
    <w:p w14:paraId="6ECF0B1F">
      <w:pPr>
        <w:ind w:firstLine="420" w:firstLineChars="200"/>
        <w:jc w:val="left"/>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14:paraId="2CD39560">
      <w:pPr>
        <w:ind w:firstLine="420" w:firstLineChars="200"/>
        <w:jc w:val="left"/>
        <w:rPr>
          <w:color w:val="auto"/>
          <w:highlight w:val="none"/>
        </w:rPr>
      </w:pPr>
      <w:bookmarkStart w:id="121" w:name="_Toc31002"/>
      <w:bookmarkStart w:id="122" w:name="_Toc25459"/>
      <w:bookmarkStart w:id="123" w:name="_Toc6265"/>
      <w:r>
        <w:rPr>
          <w:rFonts w:hint="eastAsia"/>
          <w:color w:val="auto"/>
          <w:highlight w:val="none"/>
        </w:rPr>
        <w:t>3.本表可扩展。</w:t>
      </w:r>
      <w:bookmarkEnd w:id="121"/>
      <w:bookmarkEnd w:id="122"/>
      <w:bookmarkEnd w:id="123"/>
    </w:p>
    <w:p w14:paraId="6C92C88C">
      <w:pPr>
        <w:jc w:val="left"/>
        <w:rPr>
          <w:color w:val="auto"/>
          <w:highlight w:val="none"/>
        </w:rPr>
      </w:pPr>
    </w:p>
    <w:p w14:paraId="3313735C">
      <w:pPr>
        <w:pStyle w:val="26"/>
        <w:spacing w:after="156"/>
        <w:jc w:val="left"/>
        <w:rPr>
          <w:color w:val="auto"/>
          <w:sz w:val="21"/>
          <w:szCs w:val="21"/>
          <w:highlight w:val="none"/>
        </w:rPr>
      </w:pPr>
    </w:p>
    <w:p w14:paraId="07E735A7">
      <w:pPr>
        <w:jc w:val="left"/>
        <w:rPr>
          <w:rFonts w:cs="宋体"/>
          <w:color w:val="auto"/>
          <w:highlight w:val="none"/>
        </w:rPr>
      </w:pPr>
      <w:r>
        <w:rPr>
          <w:rFonts w:hint="eastAsia" w:cs="宋体"/>
          <w:color w:val="auto"/>
          <w:highlight w:val="none"/>
        </w:rPr>
        <w:t>投标人</w:t>
      </w:r>
      <w:r>
        <w:rPr>
          <w:color w:val="auto"/>
          <w:highlight w:val="none"/>
        </w:rPr>
        <w:t>（全称并加盖公章</w:t>
      </w:r>
      <w:r>
        <w:rPr>
          <w:rFonts w:hint="eastAsia" w:cs="宋体"/>
          <w:color w:val="auto"/>
          <w:highlight w:val="none"/>
        </w:rPr>
        <w:t>）：</w:t>
      </w:r>
    </w:p>
    <w:p w14:paraId="650A782E">
      <w:pPr>
        <w:jc w:val="left"/>
        <w:rPr>
          <w:rFonts w:cs="宋体"/>
          <w:color w:val="auto"/>
          <w:highlight w:val="none"/>
        </w:rPr>
      </w:pPr>
      <w:r>
        <w:rPr>
          <w:rFonts w:hint="eastAsia"/>
          <w:color w:val="auto"/>
          <w:highlight w:val="none"/>
        </w:rPr>
        <w:t>投标人代表（签字）</w:t>
      </w:r>
      <w:r>
        <w:rPr>
          <w:rFonts w:hint="eastAsia" w:cs="宋体"/>
          <w:color w:val="auto"/>
          <w:highlight w:val="none"/>
        </w:rPr>
        <w:t>：</w:t>
      </w:r>
    </w:p>
    <w:p w14:paraId="60D1D685">
      <w:pPr>
        <w:jc w:val="left"/>
        <w:rPr>
          <w:color w:val="auto"/>
          <w:highlight w:val="none"/>
        </w:rPr>
      </w:pPr>
      <w:r>
        <w:rPr>
          <w:rFonts w:hint="eastAsia"/>
          <w:color w:val="auto"/>
          <w:highlight w:val="none"/>
        </w:rPr>
        <w:t>日期：</w:t>
      </w:r>
    </w:p>
    <w:p w14:paraId="2C875753">
      <w:pPr>
        <w:jc w:val="center"/>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hAnsi="宋体" w:cs="宋体"/>
          <w:color w:val="auto"/>
          <w:sz w:val="24"/>
          <w:highlight w:val="none"/>
        </w:rPr>
        <w:br w:type="page"/>
      </w:r>
      <w:bookmarkStart w:id="124" w:name="_Toc1979"/>
      <w:bookmarkStart w:id="125" w:name="_Toc22335"/>
      <w:bookmarkStart w:id="126" w:name="_Toc751"/>
      <w:r>
        <w:rPr>
          <w:rFonts w:hint="eastAsia" w:asciiTheme="minorEastAsia" w:hAnsiTheme="minorEastAsia" w:eastAsiaTheme="minorEastAsia" w:cstheme="minorEastAsia"/>
          <w:b/>
          <w:bCs w:val="0"/>
          <w:color w:val="auto"/>
          <w:sz w:val="28"/>
          <w:szCs w:val="28"/>
          <w:highlight w:val="none"/>
          <w:lang w:val="en-US" w:eastAsia="zh-CN" w:bidi="ar-SA"/>
        </w:rPr>
        <w:t>格式1</w:t>
      </w:r>
      <w:r>
        <w:rPr>
          <w:rFonts w:hint="eastAsia" w:cstheme="minorEastAsia"/>
          <w:b/>
          <w:bCs w:val="0"/>
          <w:color w:val="auto"/>
          <w:sz w:val="28"/>
          <w:szCs w:val="28"/>
          <w:highlight w:val="none"/>
          <w:lang w:val="en-US" w:eastAsia="zh-CN" w:bidi="ar-SA"/>
        </w:rPr>
        <w:t>5</w:t>
      </w:r>
      <w:r>
        <w:rPr>
          <w:rFonts w:hint="eastAsia" w:asciiTheme="minorEastAsia" w:hAnsiTheme="minorEastAsia" w:eastAsiaTheme="minorEastAsia" w:cstheme="minorEastAsia"/>
          <w:b/>
          <w:bCs w:val="0"/>
          <w:color w:val="auto"/>
          <w:sz w:val="28"/>
          <w:szCs w:val="28"/>
          <w:highlight w:val="none"/>
          <w:lang w:val="en-US" w:eastAsia="zh-CN" w:bidi="ar-SA"/>
        </w:rPr>
        <w:t xml:space="preserve">  服务方案、实施方案及技术方案</w:t>
      </w:r>
      <w:bookmarkEnd w:id="124"/>
      <w:bookmarkEnd w:id="125"/>
      <w:bookmarkEnd w:id="126"/>
    </w:p>
    <w:p w14:paraId="0F8618D9">
      <w:pPr>
        <w:rPr>
          <w:color w:val="auto"/>
          <w:highlight w:val="none"/>
        </w:rPr>
      </w:pPr>
    </w:p>
    <w:p w14:paraId="366EDC6D">
      <w:pPr>
        <w:jc w:val="center"/>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bidi="ar-SA"/>
        </w:rPr>
        <w:t>服务方案说明</w:t>
      </w:r>
    </w:p>
    <w:p w14:paraId="3D7802F1">
      <w:pPr>
        <w:jc w:val="left"/>
        <w:rPr>
          <w:color w:val="auto"/>
          <w:highlight w:val="none"/>
        </w:rPr>
      </w:pPr>
      <w:r>
        <w:rPr>
          <w:rFonts w:hint="eastAsia"/>
          <w:color w:val="auto"/>
          <w:highlight w:val="none"/>
        </w:rPr>
        <w:t>服务类项目供应商应根据第六章规定编写服务方案说明。服务方案说明包括但不限于：</w:t>
      </w:r>
    </w:p>
    <w:p w14:paraId="5DE115F7">
      <w:pPr>
        <w:jc w:val="left"/>
        <w:rPr>
          <w:color w:val="auto"/>
          <w:highlight w:val="none"/>
        </w:rPr>
      </w:pPr>
      <w:r>
        <w:rPr>
          <w:rFonts w:hint="eastAsia"/>
          <w:color w:val="auto"/>
          <w:highlight w:val="none"/>
        </w:rPr>
        <w:t>(1)服务目标、范围和任务；</w:t>
      </w:r>
    </w:p>
    <w:p w14:paraId="4C812BD4">
      <w:pPr>
        <w:jc w:val="left"/>
        <w:rPr>
          <w:color w:val="auto"/>
          <w:highlight w:val="none"/>
        </w:rPr>
      </w:pPr>
      <w:r>
        <w:rPr>
          <w:rFonts w:hint="eastAsia"/>
          <w:color w:val="auto"/>
          <w:highlight w:val="none"/>
        </w:rPr>
        <w:t>(2)服务方案；</w:t>
      </w:r>
    </w:p>
    <w:p w14:paraId="24E11DA3">
      <w:pPr>
        <w:jc w:val="left"/>
        <w:rPr>
          <w:color w:val="auto"/>
          <w:highlight w:val="none"/>
        </w:rPr>
      </w:pPr>
      <w:r>
        <w:rPr>
          <w:rFonts w:hint="eastAsia"/>
          <w:color w:val="auto"/>
          <w:highlight w:val="none"/>
        </w:rPr>
        <w:t>(3)服务团队组织安排计划；</w:t>
      </w:r>
    </w:p>
    <w:p w14:paraId="45D40688">
      <w:pPr>
        <w:jc w:val="left"/>
        <w:rPr>
          <w:color w:val="auto"/>
          <w:highlight w:val="none"/>
        </w:rPr>
      </w:pPr>
      <w:r>
        <w:rPr>
          <w:rFonts w:hint="eastAsia"/>
          <w:color w:val="auto"/>
          <w:highlight w:val="none"/>
        </w:rPr>
        <w:t>(4)工作流程；</w:t>
      </w:r>
    </w:p>
    <w:p w14:paraId="5D74B115">
      <w:pPr>
        <w:jc w:val="left"/>
        <w:rPr>
          <w:color w:val="auto"/>
          <w:highlight w:val="none"/>
        </w:rPr>
      </w:pPr>
      <w:r>
        <w:rPr>
          <w:rFonts w:hint="eastAsia"/>
          <w:color w:val="auto"/>
          <w:highlight w:val="none"/>
        </w:rPr>
        <w:t>(5)进度计划及保证措施；</w:t>
      </w:r>
    </w:p>
    <w:p w14:paraId="0DA4248F">
      <w:pPr>
        <w:jc w:val="left"/>
        <w:rPr>
          <w:color w:val="auto"/>
          <w:highlight w:val="none"/>
        </w:rPr>
      </w:pPr>
      <w:r>
        <w:rPr>
          <w:rFonts w:hint="eastAsia"/>
          <w:color w:val="auto"/>
          <w:highlight w:val="none"/>
        </w:rPr>
        <w:t>(6)质量保证措施；</w:t>
      </w:r>
    </w:p>
    <w:p w14:paraId="52511B6C">
      <w:pPr>
        <w:jc w:val="left"/>
        <w:rPr>
          <w:color w:val="auto"/>
          <w:highlight w:val="none"/>
        </w:rPr>
      </w:pPr>
      <w:r>
        <w:rPr>
          <w:rFonts w:hint="eastAsia"/>
          <w:color w:val="auto"/>
          <w:highlight w:val="none"/>
        </w:rPr>
        <w:t>(7)合理化建议；</w:t>
      </w:r>
    </w:p>
    <w:p w14:paraId="7FBCEC09">
      <w:pPr>
        <w:jc w:val="left"/>
        <w:rPr>
          <w:color w:val="auto"/>
          <w:highlight w:val="none"/>
        </w:rPr>
      </w:pPr>
      <w:r>
        <w:rPr>
          <w:rFonts w:hint="eastAsia"/>
          <w:color w:val="auto"/>
          <w:highlight w:val="none"/>
        </w:rPr>
        <w:t>(8)其他。</w:t>
      </w:r>
    </w:p>
    <w:p w14:paraId="62DBD45F">
      <w:pPr>
        <w:jc w:val="left"/>
        <w:rPr>
          <w:color w:val="auto"/>
          <w:highlight w:val="none"/>
        </w:rPr>
      </w:pPr>
    </w:p>
    <w:p w14:paraId="4A81DBA7">
      <w:pPr>
        <w:jc w:val="center"/>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bidi="ar-SA"/>
        </w:rPr>
        <w:t>实施方案</w:t>
      </w:r>
    </w:p>
    <w:p w14:paraId="1DD251C1">
      <w:pPr>
        <w:jc w:val="left"/>
        <w:rPr>
          <w:color w:val="auto"/>
          <w:highlight w:val="none"/>
        </w:rPr>
      </w:pPr>
      <w:r>
        <w:rPr>
          <w:rFonts w:hint="eastAsia"/>
          <w:color w:val="auto"/>
          <w:highlight w:val="none"/>
        </w:rPr>
        <w:t>(示例略)</w:t>
      </w:r>
    </w:p>
    <w:p w14:paraId="09B7957B">
      <w:pPr>
        <w:jc w:val="left"/>
        <w:rPr>
          <w:color w:val="auto"/>
          <w:highlight w:val="none"/>
        </w:rPr>
      </w:pPr>
    </w:p>
    <w:p w14:paraId="7F9F5C0D">
      <w:pPr>
        <w:jc w:val="left"/>
        <w:rPr>
          <w:color w:val="auto"/>
          <w:highlight w:val="none"/>
        </w:rPr>
      </w:pPr>
    </w:p>
    <w:p w14:paraId="414A0DAD">
      <w:pPr>
        <w:jc w:val="center"/>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bidi="ar-SA"/>
        </w:rPr>
        <w:t>技术方案</w:t>
      </w:r>
    </w:p>
    <w:p w14:paraId="2429FDF0">
      <w:pPr>
        <w:jc w:val="left"/>
        <w:rPr>
          <w:color w:val="auto"/>
          <w:highlight w:val="none"/>
        </w:rPr>
      </w:pPr>
      <w:r>
        <w:rPr>
          <w:rFonts w:hint="eastAsia"/>
          <w:color w:val="auto"/>
          <w:highlight w:val="none"/>
        </w:rPr>
        <w:t>(示例略)</w:t>
      </w:r>
    </w:p>
    <w:p w14:paraId="13C95D4C">
      <w:pPr>
        <w:rPr>
          <w:color w:val="auto"/>
          <w:highlight w:val="none"/>
        </w:rPr>
      </w:pPr>
    </w:p>
    <w:p w14:paraId="07B2E670">
      <w:pPr>
        <w:rPr>
          <w:color w:val="auto"/>
          <w:highlight w:val="none"/>
        </w:rPr>
      </w:pPr>
    </w:p>
    <w:p w14:paraId="3F6E0C3C">
      <w:pPr>
        <w:pStyle w:val="9"/>
        <w:rPr>
          <w:color w:val="auto"/>
          <w:highlight w:val="none"/>
        </w:rPr>
      </w:pPr>
    </w:p>
    <w:p w14:paraId="5BA9581D">
      <w:pPr>
        <w:rPr>
          <w:color w:val="auto"/>
          <w:highlight w:val="none"/>
        </w:rPr>
      </w:pPr>
    </w:p>
    <w:p w14:paraId="1CC35F30">
      <w:pPr>
        <w:rPr>
          <w:color w:val="auto"/>
          <w:highlight w:val="none"/>
        </w:rPr>
      </w:pPr>
    </w:p>
    <w:p w14:paraId="69EA8721">
      <w:pPr>
        <w:rPr>
          <w:color w:val="auto"/>
          <w:highlight w:val="none"/>
        </w:rPr>
      </w:pPr>
    </w:p>
    <w:p w14:paraId="650AD32F">
      <w:pPr>
        <w:pStyle w:val="24"/>
        <w:rPr>
          <w:color w:val="auto"/>
          <w:highlight w:val="none"/>
        </w:rPr>
      </w:pPr>
    </w:p>
    <w:p w14:paraId="20E664D3">
      <w:pPr>
        <w:pStyle w:val="25"/>
        <w:rPr>
          <w:rFonts w:ascii="宋体" w:hAnsi="宋体" w:cs="宋体"/>
          <w:b/>
          <w:bCs/>
          <w:color w:val="auto"/>
          <w:sz w:val="28"/>
          <w:szCs w:val="28"/>
          <w:highlight w:val="none"/>
        </w:rPr>
      </w:pPr>
    </w:p>
    <w:p w14:paraId="6DC71FC8">
      <w:pPr>
        <w:pStyle w:val="25"/>
        <w:rPr>
          <w:rFonts w:ascii="宋体" w:hAnsi="宋体" w:cs="宋体"/>
          <w:b/>
          <w:bCs/>
          <w:color w:val="auto"/>
          <w:sz w:val="28"/>
          <w:szCs w:val="28"/>
          <w:highlight w:val="none"/>
        </w:rPr>
      </w:pPr>
    </w:p>
    <w:p w14:paraId="218C9443">
      <w:pPr>
        <w:pStyle w:val="25"/>
        <w:rPr>
          <w:rFonts w:ascii="宋体" w:hAnsi="宋体" w:cs="宋体"/>
          <w:b/>
          <w:bCs/>
          <w:color w:val="auto"/>
          <w:sz w:val="28"/>
          <w:szCs w:val="28"/>
          <w:highlight w:val="none"/>
        </w:rPr>
      </w:pPr>
    </w:p>
    <w:p w14:paraId="620EBBD2">
      <w:pPr>
        <w:pStyle w:val="25"/>
        <w:rPr>
          <w:rFonts w:ascii="宋体" w:hAnsi="宋体" w:cs="宋体"/>
          <w:b/>
          <w:bCs/>
          <w:color w:val="auto"/>
          <w:sz w:val="28"/>
          <w:szCs w:val="28"/>
          <w:highlight w:val="none"/>
        </w:rPr>
      </w:pPr>
    </w:p>
    <w:p w14:paraId="26E448D2">
      <w:pPr>
        <w:jc w:val="center"/>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bidi="ar-SA"/>
        </w:rPr>
        <w:t>格式</w:t>
      </w:r>
      <w:bookmarkStart w:id="127" w:name="_Toc231801039"/>
      <w:r>
        <w:rPr>
          <w:rFonts w:hint="eastAsia" w:asciiTheme="minorEastAsia" w:hAnsiTheme="minorEastAsia" w:eastAsiaTheme="minorEastAsia" w:cstheme="minorEastAsia"/>
          <w:b/>
          <w:bCs w:val="0"/>
          <w:color w:val="auto"/>
          <w:sz w:val="28"/>
          <w:szCs w:val="28"/>
          <w:highlight w:val="none"/>
          <w:lang w:val="en-US" w:eastAsia="zh-CN" w:bidi="ar-SA"/>
        </w:rPr>
        <w:t>1</w:t>
      </w:r>
      <w:r>
        <w:rPr>
          <w:rFonts w:hint="eastAsia" w:cstheme="minorEastAsia"/>
          <w:b/>
          <w:bCs w:val="0"/>
          <w:color w:val="auto"/>
          <w:sz w:val="28"/>
          <w:szCs w:val="28"/>
          <w:highlight w:val="none"/>
          <w:lang w:val="en-US" w:eastAsia="zh-CN" w:bidi="ar-SA"/>
        </w:rPr>
        <w:t>6</w:t>
      </w:r>
      <w:r>
        <w:rPr>
          <w:rFonts w:hint="eastAsia" w:asciiTheme="minorEastAsia" w:hAnsiTheme="minorEastAsia" w:eastAsiaTheme="minorEastAsia" w:cstheme="minorEastAsia"/>
          <w:b/>
          <w:bCs w:val="0"/>
          <w:color w:val="auto"/>
          <w:sz w:val="28"/>
          <w:szCs w:val="28"/>
          <w:highlight w:val="none"/>
          <w:lang w:val="en-US" w:eastAsia="zh-CN" w:bidi="ar-SA"/>
        </w:rPr>
        <w:t xml:space="preserve">  技术力量一览表</w:t>
      </w: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14:paraId="2DA7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14:paraId="5797B347">
            <w:pPr>
              <w:rPr>
                <w:color w:val="auto"/>
                <w:highlight w:val="none"/>
              </w:rPr>
            </w:pPr>
            <w:r>
              <w:rPr>
                <w:color w:val="auto"/>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14:paraId="7E9CDE2D">
            <w:pPr>
              <w:rPr>
                <w:color w:val="auto"/>
                <w:highlight w:val="none"/>
              </w:rPr>
            </w:pPr>
            <w:r>
              <w:rPr>
                <w:color w:val="auto"/>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14:paraId="3C583DED">
            <w:pPr>
              <w:rPr>
                <w:color w:val="auto"/>
                <w:highlight w:val="none"/>
              </w:rPr>
            </w:pPr>
            <w:r>
              <w:rPr>
                <w:color w:val="auto"/>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14:paraId="1B9F4298">
            <w:pPr>
              <w:rPr>
                <w:rFonts w:hint="eastAsia" w:eastAsiaTheme="minorEastAsia"/>
                <w:color w:val="auto"/>
                <w:highlight w:val="none"/>
                <w:lang w:eastAsia="zh-CN"/>
              </w:rPr>
            </w:pPr>
            <w:r>
              <w:rPr>
                <w:color w:val="auto"/>
                <w:highlight w:val="none"/>
              </w:rPr>
              <w:t>人员</w:t>
            </w:r>
            <w:r>
              <w:rPr>
                <w:rFonts w:hint="eastAsia"/>
                <w:color w:val="auto"/>
                <w:highlight w:val="none"/>
                <w:lang w:val="en-US" w:eastAsia="zh-CN"/>
              </w:rPr>
              <w:t>学历</w:t>
            </w:r>
          </w:p>
        </w:tc>
        <w:tc>
          <w:tcPr>
            <w:tcW w:w="1275" w:type="dxa"/>
            <w:tcBorders>
              <w:top w:val="single" w:color="auto" w:sz="4" w:space="0"/>
              <w:left w:val="single" w:color="auto" w:sz="4" w:space="0"/>
              <w:bottom w:val="single" w:color="auto" w:sz="4" w:space="0"/>
              <w:right w:val="single" w:color="auto" w:sz="4" w:space="0"/>
            </w:tcBorders>
            <w:noWrap/>
            <w:vAlign w:val="center"/>
          </w:tcPr>
          <w:p w14:paraId="423FA2CB">
            <w:pPr>
              <w:rPr>
                <w:color w:val="auto"/>
                <w:highlight w:val="none"/>
              </w:rPr>
            </w:pPr>
            <w:r>
              <w:rPr>
                <w:color w:val="auto"/>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14:paraId="0A35B630">
            <w:pPr>
              <w:rPr>
                <w:color w:val="auto"/>
                <w:highlight w:val="none"/>
              </w:rPr>
            </w:pPr>
            <w:r>
              <w:rPr>
                <w:color w:val="auto"/>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14:paraId="3FBC9591">
            <w:pPr>
              <w:rPr>
                <w:color w:val="auto"/>
                <w:highlight w:val="none"/>
              </w:rPr>
            </w:pPr>
            <w:r>
              <w:rPr>
                <w:rFonts w:hint="eastAsia"/>
                <w:color w:val="auto"/>
                <w:highlight w:val="none"/>
                <w:lang w:val="en-US" w:eastAsia="zh-CN"/>
              </w:rPr>
              <w:t>资格</w:t>
            </w:r>
            <w:r>
              <w:rPr>
                <w:color w:val="auto"/>
                <w:highlight w:val="none"/>
              </w:rPr>
              <w:t>情况</w:t>
            </w:r>
          </w:p>
        </w:tc>
      </w:tr>
      <w:tr w14:paraId="10A4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3E11B276">
            <w:pPr>
              <w:rPr>
                <w:color w:val="auto"/>
                <w:highlight w:val="none"/>
              </w:rPr>
            </w:pPr>
            <w:r>
              <w:rPr>
                <w:rFonts w:hint="eastAsia"/>
                <w:color w:val="auto"/>
                <w:highlight w:val="none"/>
              </w:rPr>
              <w:t>（一）XX人员</w:t>
            </w:r>
          </w:p>
        </w:tc>
      </w:tr>
      <w:tr w14:paraId="1163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14:paraId="2F5F4CEA">
            <w:pPr>
              <w:rPr>
                <w:color w:val="auto"/>
                <w:highlight w:val="none"/>
              </w:rPr>
            </w:pPr>
            <w:r>
              <w:rPr>
                <w:rFonts w:hint="eastAsia"/>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2A43DF02">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456CDD9D">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5B575203">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3F31CD3">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3357B87D">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537CB0D0">
            <w:pPr>
              <w:rPr>
                <w:color w:val="auto"/>
                <w:highlight w:val="none"/>
              </w:rPr>
            </w:pPr>
          </w:p>
        </w:tc>
      </w:tr>
      <w:tr w14:paraId="4AFD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6F31EB20">
            <w:pPr>
              <w:rPr>
                <w:color w:val="auto"/>
                <w:highlight w:val="none"/>
              </w:rPr>
            </w:pPr>
            <w:r>
              <w:rPr>
                <w:rFonts w:hint="eastAsia"/>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1695F36B">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450E3406">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7C2F5199">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C89F2F0">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37136317">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072125AD">
            <w:pPr>
              <w:rPr>
                <w:color w:val="auto"/>
                <w:highlight w:val="none"/>
              </w:rPr>
            </w:pPr>
          </w:p>
        </w:tc>
      </w:tr>
      <w:tr w14:paraId="17CF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099044DE">
            <w:pPr>
              <w:rPr>
                <w:color w:val="auto"/>
                <w:highlight w:val="none"/>
              </w:rPr>
            </w:pPr>
            <w:r>
              <w:rPr>
                <w:rFonts w:hint="eastAsia"/>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6E1E6695">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26D21402">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482E5499">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DC3787C">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2BA5DEDF">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3EBFA10B">
            <w:pPr>
              <w:rPr>
                <w:color w:val="auto"/>
                <w:highlight w:val="none"/>
              </w:rPr>
            </w:pPr>
          </w:p>
        </w:tc>
      </w:tr>
      <w:tr w14:paraId="7AF5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0C629A37">
            <w:pPr>
              <w:rPr>
                <w:color w:val="auto"/>
                <w:highlight w:val="none"/>
              </w:rPr>
            </w:pPr>
            <w:r>
              <w:rPr>
                <w:rFonts w:hint="eastAsia"/>
                <w:color w:val="auto"/>
                <w:highlight w:val="none"/>
              </w:rPr>
              <w:t>（二）XX人员</w:t>
            </w:r>
          </w:p>
        </w:tc>
      </w:tr>
      <w:tr w14:paraId="2982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51A232EE">
            <w:pPr>
              <w:rPr>
                <w:color w:val="auto"/>
                <w:highlight w:val="none"/>
              </w:rPr>
            </w:pPr>
            <w:r>
              <w:rPr>
                <w:rFonts w:hint="eastAsia"/>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66358523">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53F738F3">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1BA2C706">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EECFDFE">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565BC27F">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19A41378">
            <w:pPr>
              <w:rPr>
                <w:color w:val="auto"/>
                <w:highlight w:val="none"/>
              </w:rPr>
            </w:pPr>
          </w:p>
        </w:tc>
      </w:tr>
      <w:tr w14:paraId="156E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60AB87C0">
            <w:pPr>
              <w:rPr>
                <w:color w:val="auto"/>
                <w:highlight w:val="none"/>
              </w:rPr>
            </w:pPr>
            <w:r>
              <w:rPr>
                <w:rFonts w:hint="eastAsia"/>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24C53A1C">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69F245DF">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1CF15AAF">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1030516">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3154994F">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76654971">
            <w:pPr>
              <w:rPr>
                <w:color w:val="auto"/>
                <w:highlight w:val="none"/>
              </w:rPr>
            </w:pPr>
          </w:p>
        </w:tc>
      </w:tr>
      <w:tr w14:paraId="5F32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0CD488BC">
            <w:pPr>
              <w:rPr>
                <w:color w:val="auto"/>
                <w:highlight w:val="none"/>
              </w:rPr>
            </w:pPr>
            <w:r>
              <w:rPr>
                <w:rFonts w:hint="eastAsia"/>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69222192">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632BC4D2">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5E6DE057">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3A39C21">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68E45DBE">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0A714118">
            <w:pPr>
              <w:rPr>
                <w:color w:val="auto"/>
                <w:highlight w:val="none"/>
              </w:rPr>
            </w:pPr>
          </w:p>
        </w:tc>
      </w:tr>
      <w:tr w14:paraId="569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3C59D3F7">
            <w:pPr>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）XX人员</w:t>
            </w:r>
          </w:p>
        </w:tc>
      </w:tr>
      <w:tr w14:paraId="7865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5B4AC52A">
            <w:pPr>
              <w:rPr>
                <w:color w:val="auto"/>
                <w:highlight w:val="none"/>
              </w:rPr>
            </w:pPr>
            <w:r>
              <w:rPr>
                <w:rFonts w:hint="eastAsia"/>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14:paraId="05669AC0">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6E8EB765">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49C88872">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2EF720E">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3293FA5C">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7D1A6D47">
            <w:pPr>
              <w:rPr>
                <w:color w:val="auto"/>
                <w:highlight w:val="none"/>
              </w:rPr>
            </w:pPr>
          </w:p>
        </w:tc>
      </w:tr>
      <w:tr w14:paraId="0EB0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3EAE0A49">
            <w:pPr>
              <w:rPr>
                <w:color w:val="auto"/>
                <w:highlight w:val="none"/>
              </w:rPr>
            </w:pPr>
            <w:r>
              <w:rPr>
                <w:rFonts w:hint="eastAsia"/>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14:paraId="16A0E369">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7344F63F">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02B8B9AE">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CE4AEB2">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1E925E8B">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5DE3E7A3">
            <w:pPr>
              <w:rPr>
                <w:color w:val="auto"/>
                <w:highlight w:val="none"/>
              </w:rPr>
            </w:pPr>
          </w:p>
        </w:tc>
      </w:tr>
      <w:tr w14:paraId="5E22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14:paraId="5F21F2FF">
            <w:pPr>
              <w:rPr>
                <w:color w:val="auto"/>
                <w:highlight w:val="none"/>
              </w:rPr>
            </w:pPr>
            <w:r>
              <w:rPr>
                <w:rFonts w:hint="eastAsia"/>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14:paraId="096FE42A">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14:paraId="4CC681EA">
            <w:pPr>
              <w:rPr>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14:paraId="512E3AD7">
            <w:pPr>
              <w:rPr>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0916EFE">
            <w:pPr>
              <w:rPr>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14:paraId="4ED68F06">
            <w:pPr>
              <w:rPr>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14:paraId="653022EC">
            <w:pPr>
              <w:rPr>
                <w:color w:val="auto"/>
                <w:highlight w:val="none"/>
              </w:rPr>
            </w:pPr>
          </w:p>
        </w:tc>
      </w:tr>
      <w:tr w14:paraId="29FF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14:paraId="1028A31A">
            <w:pPr>
              <w:rPr>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）XX人员</w:t>
            </w:r>
          </w:p>
        </w:tc>
      </w:tr>
      <w:tr w14:paraId="700A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D5D3C0F">
            <w:pPr>
              <w:rPr>
                <w:color w:val="auto"/>
                <w:highlight w:val="none"/>
              </w:rPr>
            </w:pPr>
            <w:r>
              <w:rPr>
                <w:rFonts w:hint="eastAsia"/>
                <w:color w:val="auto"/>
                <w:highlight w:val="none"/>
              </w:rPr>
              <w:t>1</w:t>
            </w:r>
          </w:p>
        </w:tc>
        <w:tc>
          <w:tcPr>
            <w:tcW w:w="1356" w:type="dxa"/>
            <w:vAlign w:val="center"/>
          </w:tcPr>
          <w:p w14:paraId="04E30008">
            <w:pPr>
              <w:rPr>
                <w:color w:val="auto"/>
                <w:highlight w:val="none"/>
              </w:rPr>
            </w:pPr>
          </w:p>
        </w:tc>
        <w:tc>
          <w:tcPr>
            <w:tcW w:w="1187" w:type="dxa"/>
            <w:vAlign w:val="center"/>
          </w:tcPr>
          <w:p w14:paraId="1C6C6B5E">
            <w:pPr>
              <w:rPr>
                <w:color w:val="auto"/>
                <w:highlight w:val="none"/>
              </w:rPr>
            </w:pPr>
          </w:p>
        </w:tc>
        <w:tc>
          <w:tcPr>
            <w:tcW w:w="1189" w:type="dxa"/>
            <w:vAlign w:val="center"/>
          </w:tcPr>
          <w:p w14:paraId="41278720">
            <w:pPr>
              <w:rPr>
                <w:color w:val="auto"/>
                <w:highlight w:val="none"/>
              </w:rPr>
            </w:pPr>
          </w:p>
        </w:tc>
        <w:tc>
          <w:tcPr>
            <w:tcW w:w="1275" w:type="dxa"/>
            <w:vAlign w:val="center"/>
          </w:tcPr>
          <w:p w14:paraId="61DB43EF">
            <w:pPr>
              <w:rPr>
                <w:color w:val="auto"/>
                <w:highlight w:val="none"/>
              </w:rPr>
            </w:pPr>
          </w:p>
        </w:tc>
        <w:tc>
          <w:tcPr>
            <w:tcW w:w="1243" w:type="dxa"/>
            <w:vAlign w:val="center"/>
          </w:tcPr>
          <w:p w14:paraId="0463530A">
            <w:pPr>
              <w:rPr>
                <w:color w:val="auto"/>
                <w:highlight w:val="none"/>
              </w:rPr>
            </w:pPr>
          </w:p>
        </w:tc>
        <w:tc>
          <w:tcPr>
            <w:tcW w:w="1916" w:type="dxa"/>
            <w:vAlign w:val="center"/>
          </w:tcPr>
          <w:p w14:paraId="5A6E201D">
            <w:pPr>
              <w:rPr>
                <w:color w:val="auto"/>
                <w:highlight w:val="none"/>
              </w:rPr>
            </w:pPr>
          </w:p>
        </w:tc>
      </w:tr>
      <w:tr w14:paraId="7137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2DA8E31F">
            <w:pPr>
              <w:rPr>
                <w:color w:val="auto"/>
                <w:highlight w:val="none"/>
              </w:rPr>
            </w:pPr>
            <w:r>
              <w:rPr>
                <w:rFonts w:hint="eastAsia"/>
                <w:color w:val="auto"/>
                <w:highlight w:val="none"/>
              </w:rPr>
              <w:t>2</w:t>
            </w:r>
          </w:p>
        </w:tc>
        <w:tc>
          <w:tcPr>
            <w:tcW w:w="1356" w:type="dxa"/>
            <w:vAlign w:val="center"/>
          </w:tcPr>
          <w:p w14:paraId="384DE15A">
            <w:pPr>
              <w:rPr>
                <w:color w:val="auto"/>
                <w:highlight w:val="none"/>
              </w:rPr>
            </w:pPr>
          </w:p>
        </w:tc>
        <w:tc>
          <w:tcPr>
            <w:tcW w:w="1187" w:type="dxa"/>
            <w:vAlign w:val="center"/>
          </w:tcPr>
          <w:p w14:paraId="17ECF5EA">
            <w:pPr>
              <w:rPr>
                <w:color w:val="auto"/>
                <w:highlight w:val="none"/>
              </w:rPr>
            </w:pPr>
          </w:p>
        </w:tc>
        <w:tc>
          <w:tcPr>
            <w:tcW w:w="1189" w:type="dxa"/>
            <w:vAlign w:val="center"/>
          </w:tcPr>
          <w:p w14:paraId="38F14D9F">
            <w:pPr>
              <w:rPr>
                <w:color w:val="auto"/>
                <w:highlight w:val="none"/>
              </w:rPr>
            </w:pPr>
          </w:p>
        </w:tc>
        <w:tc>
          <w:tcPr>
            <w:tcW w:w="1275" w:type="dxa"/>
            <w:vAlign w:val="center"/>
          </w:tcPr>
          <w:p w14:paraId="090FFF80">
            <w:pPr>
              <w:rPr>
                <w:color w:val="auto"/>
                <w:highlight w:val="none"/>
              </w:rPr>
            </w:pPr>
          </w:p>
        </w:tc>
        <w:tc>
          <w:tcPr>
            <w:tcW w:w="1243" w:type="dxa"/>
            <w:vAlign w:val="center"/>
          </w:tcPr>
          <w:p w14:paraId="31333472">
            <w:pPr>
              <w:rPr>
                <w:color w:val="auto"/>
                <w:highlight w:val="none"/>
              </w:rPr>
            </w:pPr>
          </w:p>
        </w:tc>
        <w:tc>
          <w:tcPr>
            <w:tcW w:w="1916" w:type="dxa"/>
            <w:vAlign w:val="center"/>
          </w:tcPr>
          <w:p w14:paraId="5FED2A91">
            <w:pPr>
              <w:rPr>
                <w:color w:val="auto"/>
                <w:highlight w:val="none"/>
              </w:rPr>
            </w:pPr>
          </w:p>
        </w:tc>
      </w:tr>
      <w:tr w14:paraId="729B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29C2CD69">
            <w:pPr>
              <w:rPr>
                <w:color w:val="auto"/>
                <w:highlight w:val="none"/>
              </w:rPr>
            </w:pPr>
            <w:r>
              <w:rPr>
                <w:color w:val="auto"/>
                <w:highlight w:val="none"/>
              </w:rPr>
              <w:t>……</w:t>
            </w:r>
          </w:p>
        </w:tc>
        <w:tc>
          <w:tcPr>
            <w:tcW w:w="1356" w:type="dxa"/>
            <w:vAlign w:val="center"/>
          </w:tcPr>
          <w:p w14:paraId="57C3E0F0">
            <w:pPr>
              <w:rPr>
                <w:color w:val="auto"/>
                <w:highlight w:val="none"/>
              </w:rPr>
            </w:pPr>
          </w:p>
        </w:tc>
        <w:tc>
          <w:tcPr>
            <w:tcW w:w="1187" w:type="dxa"/>
            <w:vAlign w:val="center"/>
          </w:tcPr>
          <w:p w14:paraId="3B26FC5C">
            <w:pPr>
              <w:rPr>
                <w:color w:val="auto"/>
                <w:highlight w:val="none"/>
              </w:rPr>
            </w:pPr>
          </w:p>
        </w:tc>
        <w:tc>
          <w:tcPr>
            <w:tcW w:w="1189" w:type="dxa"/>
            <w:vAlign w:val="center"/>
          </w:tcPr>
          <w:p w14:paraId="713EF6A2">
            <w:pPr>
              <w:rPr>
                <w:color w:val="auto"/>
                <w:highlight w:val="none"/>
              </w:rPr>
            </w:pPr>
          </w:p>
        </w:tc>
        <w:tc>
          <w:tcPr>
            <w:tcW w:w="1275" w:type="dxa"/>
            <w:vAlign w:val="center"/>
          </w:tcPr>
          <w:p w14:paraId="4C374BAE">
            <w:pPr>
              <w:rPr>
                <w:color w:val="auto"/>
                <w:highlight w:val="none"/>
              </w:rPr>
            </w:pPr>
          </w:p>
        </w:tc>
        <w:tc>
          <w:tcPr>
            <w:tcW w:w="1243" w:type="dxa"/>
            <w:vAlign w:val="center"/>
          </w:tcPr>
          <w:p w14:paraId="3EF75B25">
            <w:pPr>
              <w:rPr>
                <w:color w:val="auto"/>
                <w:highlight w:val="none"/>
              </w:rPr>
            </w:pPr>
          </w:p>
        </w:tc>
        <w:tc>
          <w:tcPr>
            <w:tcW w:w="1916" w:type="dxa"/>
            <w:vAlign w:val="center"/>
          </w:tcPr>
          <w:p w14:paraId="21ED0ADE">
            <w:pPr>
              <w:rPr>
                <w:color w:val="auto"/>
                <w:highlight w:val="none"/>
              </w:rPr>
            </w:pPr>
          </w:p>
        </w:tc>
      </w:tr>
      <w:bookmarkEnd w:id="127"/>
    </w:tbl>
    <w:p w14:paraId="783281B0">
      <w:pPr>
        <w:jc w:val="left"/>
        <w:rPr>
          <w:color w:val="auto"/>
          <w:highlight w:val="none"/>
        </w:rPr>
      </w:pPr>
      <w:r>
        <w:rPr>
          <w:color w:val="auto"/>
          <w:highlight w:val="none"/>
        </w:rPr>
        <w:t>特别说明：</w:t>
      </w:r>
    </w:p>
    <w:p w14:paraId="2CDEA30D">
      <w:pPr>
        <w:ind w:firstLine="420" w:firstLineChars="200"/>
        <w:jc w:val="left"/>
        <w:rPr>
          <w:color w:val="auto"/>
          <w:highlight w:val="none"/>
        </w:rPr>
      </w:pPr>
      <w:r>
        <w:rPr>
          <w:rFonts w:hint="eastAsia"/>
          <w:color w:val="auto"/>
          <w:highlight w:val="none"/>
        </w:rPr>
        <w:t>1.投标人须按照上述格式填写投入本项目所有人员的相关信息。</w:t>
      </w:r>
    </w:p>
    <w:p w14:paraId="709BA57F">
      <w:pPr>
        <w:pStyle w:val="8"/>
        <w:ind w:firstLine="420" w:firstLineChars="200"/>
        <w:jc w:val="left"/>
        <w:rPr>
          <w:color w:val="auto"/>
          <w:highlight w:val="none"/>
        </w:rPr>
      </w:pPr>
      <w:r>
        <w:rPr>
          <w:rFonts w:hint="eastAsia"/>
          <w:color w:val="auto"/>
          <w:highlight w:val="none"/>
        </w:rPr>
        <w:t>2.投标人依据本项目《第三章 评标方法及标准》、第六章《项目采购需求》的要求，提供拟投入人员清单及投入人员的</w:t>
      </w:r>
      <w:r>
        <w:rPr>
          <w:rFonts w:hint="eastAsia"/>
          <w:color w:val="auto"/>
          <w:highlight w:val="none"/>
          <w:lang w:eastAsia="zh-CN"/>
        </w:rPr>
        <w:t>学历、</w:t>
      </w:r>
      <w:r>
        <w:rPr>
          <w:rFonts w:hint="eastAsia"/>
          <w:color w:val="auto"/>
          <w:highlight w:val="none"/>
        </w:rPr>
        <w:t>相关资格证书</w:t>
      </w:r>
      <w:r>
        <w:rPr>
          <w:rFonts w:hint="eastAsia"/>
          <w:color w:val="auto"/>
          <w:highlight w:val="none"/>
          <w:lang w:eastAsia="zh-CN"/>
        </w:rPr>
        <w:t>（</w:t>
      </w:r>
      <w:r>
        <w:rPr>
          <w:rFonts w:hint="eastAsia"/>
          <w:color w:val="auto"/>
          <w:highlight w:val="none"/>
          <w:lang w:val="en-US" w:eastAsia="zh-CN"/>
        </w:rPr>
        <w:t>如驾驶证）</w:t>
      </w:r>
      <w:r>
        <w:rPr>
          <w:rFonts w:hint="eastAsia"/>
          <w:color w:val="auto"/>
          <w:highlight w:val="none"/>
          <w:lang w:eastAsia="zh-CN"/>
        </w:rPr>
        <w:t>、工作年限证明（如有）</w:t>
      </w:r>
      <w:r>
        <w:rPr>
          <w:rFonts w:hint="eastAsia"/>
          <w:color w:val="auto"/>
          <w:highlight w:val="none"/>
          <w:lang w:val="en-US" w:eastAsia="zh-CN"/>
        </w:rPr>
        <w:t>等</w:t>
      </w:r>
      <w:r>
        <w:rPr>
          <w:rFonts w:hint="eastAsia"/>
          <w:color w:val="auto"/>
          <w:highlight w:val="none"/>
        </w:rPr>
        <w:t>复印件，以及</w:t>
      </w:r>
      <w:r>
        <w:rPr>
          <w:rFonts w:hint="eastAsia"/>
          <w:color w:val="auto"/>
          <w:highlight w:val="none"/>
          <w:lang w:eastAsia="zh-CN"/>
        </w:rPr>
        <w:t>拟投入</w:t>
      </w:r>
      <w:r>
        <w:rPr>
          <w:rFonts w:hint="eastAsia"/>
          <w:color w:val="auto"/>
          <w:highlight w:val="none"/>
        </w:rPr>
        <w:t>人员与投标</w:t>
      </w:r>
      <w:r>
        <w:rPr>
          <w:rFonts w:hint="eastAsia"/>
          <w:color w:val="auto"/>
          <w:highlight w:val="none"/>
          <w:lang w:eastAsia="zh-CN"/>
        </w:rPr>
        <w:t>人</w:t>
      </w:r>
      <w:r>
        <w:rPr>
          <w:rFonts w:hint="eastAsia"/>
          <w:color w:val="auto"/>
          <w:highlight w:val="none"/>
        </w:rPr>
        <w:t>签署的劳动合同（截止本项目开标当天合同仍在有效期内）复印件。以上材料均需加盖公章（投标人如能够在线查询的材料，请提供查询网址链接，可以不用同时提供纸质材料）。</w:t>
      </w:r>
    </w:p>
    <w:p w14:paraId="3D7E1B50">
      <w:pPr>
        <w:jc w:val="both"/>
        <w:rPr>
          <w:rFonts w:hint="eastAsia" w:asciiTheme="minorEastAsia" w:hAnsiTheme="minorEastAsia" w:eastAsiaTheme="minorEastAsia" w:cstheme="minorEastAsia"/>
          <w:b/>
          <w:bCs w:val="0"/>
          <w:color w:val="auto"/>
          <w:sz w:val="28"/>
          <w:szCs w:val="28"/>
          <w:highlight w:val="none"/>
          <w:lang w:val="en-US" w:eastAsia="zh-CN" w:bidi="ar-SA"/>
        </w:rPr>
      </w:pPr>
      <w:r>
        <w:rPr>
          <w:rFonts w:hint="eastAsia"/>
          <w:color w:val="auto"/>
          <w:highlight w:val="none"/>
        </w:rPr>
        <w:br w:type="page"/>
      </w:r>
      <w:r>
        <w:rPr>
          <w:rFonts w:hint="eastAsia"/>
          <w:color w:val="auto"/>
          <w:highlight w:val="none"/>
        </w:rPr>
        <w:t xml:space="preserve">               </w:t>
      </w:r>
      <w:r>
        <w:rPr>
          <w:rFonts w:hint="eastAsia" w:asciiTheme="minorEastAsia" w:hAnsiTheme="minorEastAsia" w:eastAsiaTheme="minorEastAsia" w:cstheme="minorEastAsia"/>
          <w:b/>
          <w:bCs w:val="0"/>
          <w:color w:val="auto"/>
          <w:sz w:val="28"/>
          <w:szCs w:val="28"/>
          <w:highlight w:val="none"/>
          <w:lang w:val="en-US" w:eastAsia="zh-CN" w:bidi="ar-SA"/>
        </w:rPr>
        <w:t xml:space="preserve">  </w:t>
      </w:r>
      <w:r>
        <w:rPr>
          <w:rFonts w:hint="eastAsia" w:cstheme="minorEastAsia"/>
          <w:b/>
          <w:bCs w:val="0"/>
          <w:color w:val="auto"/>
          <w:sz w:val="28"/>
          <w:szCs w:val="28"/>
          <w:highlight w:val="none"/>
          <w:lang w:val="en-US" w:eastAsia="zh-CN" w:bidi="ar-SA"/>
        </w:rPr>
        <w:t xml:space="preserve">   </w:t>
      </w:r>
      <w:r>
        <w:rPr>
          <w:rFonts w:hint="eastAsia" w:asciiTheme="minorEastAsia" w:hAnsiTheme="minorEastAsia" w:eastAsiaTheme="minorEastAsia" w:cstheme="minorEastAsia"/>
          <w:b/>
          <w:bCs w:val="0"/>
          <w:color w:val="auto"/>
          <w:sz w:val="28"/>
          <w:szCs w:val="28"/>
          <w:highlight w:val="none"/>
          <w:lang w:val="en-US" w:eastAsia="zh-CN" w:bidi="ar-SA"/>
        </w:rPr>
        <w:t xml:space="preserve"> 格式1</w:t>
      </w:r>
      <w:r>
        <w:rPr>
          <w:rFonts w:hint="eastAsia" w:cstheme="minorEastAsia"/>
          <w:b/>
          <w:bCs w:val="0"/>
          <w:color w:val="auto"/>
          <w:sz w:val="28"/>
          <w:szCs w:val="28"/>
          <w:highlight w:val="none"/>
          <w:lang w:val="en-US" w:eastAsia="zh-CN" w:bidi="ar-SA"/>
        </w:rPr>
        <w:t>7</w:t>
      </w:r>
      <w:r>
        <w:rPr>
          <w:rFonts w:hint="eastAsia" w:asciiTheme="minorEastAsia" w:hAnsiTheme="minorEastAsia" w:eastAsiaTheme="minorEastAsia" w:cstheme="minorEastAsia"/>
          <w:b/>
          <w:bCs w:val="0"/>
          <w:color w:val="auto"/>
          <w:sz w:val="28"/>
          <w:szCs w:val="28"/>
          <w:highlight w:val="none"/>
          <w:lang w:val="en-US" w:eastAsia="zh-CN" w:bidi="ar-SA"/>
        </w:rPr>
        <w:t xml:space="preserve">  人员简历表</w:t>
      </w:r>
    </w:p>
    <w:tbl>
      <w:tblPr>
        <w:tblStyle w:val="19"/>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343"/>
        <w:gridCol w:w="2145"/>
        <w:gridCol w:w="1088"/>
        <w:gridCol w:w="2363"/>
        <w:gridCol w:w="891"/>
      </w:tblGrid>
      <w:tr w14:paraId="75D5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14:paraId="59AF29CC">
            <w:pPr>
              <w:rPr>
                <w:color w:val="auto"/>
                <w:highlight w:val="none"/>
              </w:rPr>
            </w:pPr>
            <w:r>
              <w:rPr>
                <w:rFonts w:hint="eastAsia"/>
                <w:color w:val="auto"/>
                <w:highlight w:val="none"/>
              </w:rPr>
              <w:t>姓   名</w:t>
            </w:r>
          </w:p>
        </w:tc>
        <w:tc>
          <w:tcPr>
            <w:tcW w:w="1343" w:type="dxa"/>
            <w:tcBorders>
              <w:top w:val="single" w:color="auto" w:sz="4" w:space="0"/>
              <w:left w:val="single" w:color="auto" w:sz="4" w:space="0"/>
              <w:bottom w:val="single" w:color="auto" w:sz="4" w:space="0"/>
              <w:right w:val="single" w:color="auto" w:sz="4" w:space="0"/>
            </w:tcBorders>
            <w:vAlign w:val="center"/>
          </w:tcPr>
          <w:p w14:paraId="75A0FF82">
            <w:pPr>
              <w:rPr>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14:paraId="726580F0">
            <w:pPr>
              <w:rPr>
                <w:color w:val="auto"/>
                <w:highlight w:val="none"/>
              </w:rPr>
            </w:pPr>
            <w:r>
              <w:rPr>
                <w:rFonts w:hint="eastAsia"/>
                <w:color w:val="auto"/>
                <w:highlight w:val="none"/>
              </w:rPr>
              <w:t>性    别</w:t>
            </w:r>
          </w:p>
        </w:tc>
        <w:tc>
          <w:tcPr>
            <w:tcW w:w="1088" w:type="dxa"/>
            <w:tcBorders>
              <w:top w:val="single" w:color="auto" w:sz="4" w:space="0"/>
              <w:left w:val="single" w:color="auto" w:sz="4" w:space="0"/>
              <w:bottom w:val="single" w:color="auto" w:sz="4" w:space="0"/>
              <w:right w:val="single" w:color="auto" w:sz="4" w:space="0"/>
            </w:tcBorders>
            <w:vAlign w:val="center"/>
          </w:tcPr>
          <w:p w14:paraId="3634D956">
            <w:pPr>
              <w:rPr>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49EE177A">
            <w:pPr>
              <w:rPr>
                <w:color w:val="auto"/>
                <w:highlight w:val="none"/>
              </w:rPr>
            </w:pPr>
            <w:r>
              <w:rPr>
                <w:rFonts w:hint="eastAsia"/>
                <w:color w:val="auto"/>
                <w:highlight w:val="none"/>
              </w:rPr>
              <w:t>出生日期</w:t>
            </w:r>
          </w:p>
        </w:tc>
        <w:tc>
          <w:tcPr>
            <w:tcW w:w="891" w:type="dxa"/>
            <w:tcBorders>
              <w:top w:val="single" w:color="auto" w:sz="4" w:space="0"/>
              <w:left w:val="single" w:color="auto" w:sz="4" w:space="0"/>
              <w:bottom w:val="single" w:color="auto" w:sz="4" w:space="0"/>
              <w:right w:val="single" w:color="auto" w:sz="4" w:space="0"/>
            </w:tcBorders>
            <w:vAlign w:val="center"/>
          </w:tcPr>
          <w:p w14:paraId="16052F3E">
            <w:pPr>
              <w:rPr>
                <w:color w:val="auto"/>
                <w:highlight w:val="none"/>
              </w:rPr>
            </w:pPr>
          </w:p>
        </w:tc>
      </w:tr>
      <w:tr w14:paraId="1875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14:paraId="280E6143">
            <w:pPr>
              <w:rPr>
                <w:color w:val="auto"/>
                <w:highlight w:val="none"/>
              </w:rPr>
            </w:pPr>
            <w:r>
              <w:rPr>
                <w:rFonts w:hint="eastAsia"/>
                <w:color w:val="auto"/>
                <w:highlight w:val="none"/>
              </w:rPr>
              <w:t>学   历</w:t>
            </w:r>
          </w:p>
        </w:tc>
        <w:tc>
          <w:tcPr>
            <w:tcW w:w="1343" w:type="dxa"/>
            <w:tcBorders>
              <w:top w:val="single" w:color="auto" w:sz="4" w:space="0"/>
              <w:left w:val="single" w:color="auto" w:sz="4" w:space="0"/>
              <w:bottom w:val="single" w:color="auto" w:sz="4" w:space="0"/>
              <w:right w:val="single" w:color="auto" w:sz="4" w:space="0"/>
            </w:tcBorders>
            <w:vAlign w:val="center"/>
          </w:tcPr>
          <w:p w14:paraId="286BD5D6">
            <w:pPr>
              <w:rPr>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14:paraId="43E90747">
            <w:pPr>
              <w:rPr>
                <w:color w:val="auto"/>
                <w:highlight w:val="none"/>
              </w:rPr>
            </w:pPr>
            <w:r>
              <w:rPr>
                <w:rFonts w:hint="eastAsia"/>
                <w:color w:val="auto"/>
                <w:highlight w:val="none"/>
              </w:rPr>
              <w:t>毕业学校</w:t>
            </w:r>
          </w:p>
        </w:tc>
        <w:tc>
          <w:tcPr>
            <w:tcW w:w="1088" w:type="dxa"/>
            <w:tcBorders>
              <w:top w:val="single" w:color="auto" w:sz="4" w:space="0"/>
              <w:left w:val="single" w:color="auto" w:sz="4" w:space="0"/>
              <w:bottom w:val="single" w:color="auto" w:sz="4" w:space="0"/>
              <w:right w:val="single" w:color="auto" w:sz="4" w:space="0"/>
            </w:tcBorders>
            <w:vAlign w:val="center"/>
          </w:tcPr>
          <w:p w14:paraId="2347DEA9">
            <w:pPr>
              <w:rPr>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75644B80">
            <w:pPr>
              <w:rPr>
                <w:color w:val="auto"/>
                <w:highlight w:val="none"/>
              </w:rPr>
            </w:pPr>
            <w:r>
              <w:rPr>
                <w:rFonts w:hint="eastAsia"/>
                <w:color w:val="auto"/>
                <w:highlight w:val="none"/>
              </w:rPr>
              <w:t>技术职称</w:t>
            </w:r>
          </w:p>
        </w:tc>
        <w:tc>
          <w:tcPr>
            <w:tcW w:w="891" w:type="dxa"/>
            <w:tcBorders>
              <w:top w:val="single" w:color="auto" w:sz="4" w:space="0"/>
              <w:left w:val="single" w:color="auto" w:sz="4" w:space="0"/>
              <w:bottom w:val="single" w:color="auto" w:sz="4" w:space="0"/>
              <w:right w:val="single" w:color="auto" w:sz="4" w:space="0"/>
            </w:tcBorders>
            <w:vAlign w:val="center"/>
          </w:tcPr>
          <w:p w14:paraId="0C7467BD">
            <w:pPr>
              <w:rPr>
                <w:color w:val="auto"/>
                <w:highlight w:val="none"/>
              </w:rPr>
            </w:pPr>
          </w:p>
        </w:tc>
      </w:tr>
      <w:tr w14:paraId="5BC9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14:paraId="3147ACEF">
            <w:pPr>
              <w:rPr>
                <w:color w:val="auto"/>
                <w:highlight w:val="none"/>
              </w:rPr>
            </w:pPr>
            <w:r>
              <w:rPr>
                <w:rFonts w:hint="eastAsia"/>
                <w:color w:val="auto"/>
                <w:highlight w:val="none"/>
              </w:rPr>
              <w:t>公司职务</w:t>
            </w:r>
          </w:p>
        </w:tc>
        <w:tc>
          <w:tcPr>
            <w:tcW w:w="1343" w:type="dxa"/>
            <w:tcBorders>
              <w:top w:val="single" w:color="auto" w:sz="4" w:space="0"/>
              <w:left w:val="single" w:color="auto" w:sz="4" w:space="0"/>
              <w:bottom w:val="single" w:color="auto" w:sz="4" w:space="0"/>
              <w:right w:val="single" w:color="auto" w:sz="4" w:space="0"/>
            </w:tcBorders>
            <w:vAlign w:val="center"/>
          </w:tcPr>
          <w:p w14:paraId="0E99C64E">
            <w:pPr>
              <w:rPr>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14:paraId="3FEDEF2D">
            <w:pPr>
              <w:rPr>
                <w:color w:val="auto"/>
                <w:highlight w:val="none"/>
              </w:rPr>
            </w:pPr>
            <w:r>
              <w:rPr>
                <w:rFonts w:hint="eastAsia"/>
                <w:color w:val="auto"/>
                <w:highlight w:val="none"/>
              </w:rPr>
              <w:t>任职时间</w:t>
            </w:r>
          </w:p>
        </w:tc>
        <w:tc>
          <w:tcPr>
            <w:tcW w:w="1088" w:type="dxa"/>
            <w:tcBorders>
              <w:top w:val="single" w:color="auto" w:sz="4" w:space="0"/>
              <w:left w:val="single" w:color="auto" w:sz="4" w:space="0"/>
              <w:bottom w:val="single" w:color="auto" w:sz="4" w:space="0"/>
              <w:right w:val="single" w:color="auto" w:sz="4" w:space="0"/>
            </w:tcBorders>
            <w:vAlign w:val="center"/>
          </w:tcPr>
          <w:p w14:paraId="42EE4844">
            <w:pPr>
              <w:rPr>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6653C301">
            <w:pPr>
              <w:rPr>
                <w:color w:val="auto"/>
                <w:highlight w:val="none"/>
              </w:rPr>
            </w:pPr>
            <w:r>
              <w:rPr>
                <w:rFonts w:hint="eastAsia"/>
                <w:color w:val="auto"/>
                <w:highlight w:val="none"/>
              </w:rPr>
              <w:t>本项目任职</w:t>
            </w:r>
          </w:p>
        </w:tc>
        <w:tc>
          <w:tcPr>
            <w:tcW w:w="891" w:type="dxa"/>
            <w:tcBorders>
              <w:top w:val="single" w:color="auto" w:sz="4" w:space="0"/>
              <w:left w:val="single" w:color="auto" w:sz="4" w:space="0"/>
              <w:bottom w:val="single" w:color="auto" w:sz="4" w:space="0"/>
              <w:right w:val="single" w:color="auto" w:sz="4" w:space="0"/>
            </w:tcBorders>
            <w:vAlign w:val="center"/>
          </w:tcPr>
          <w:p w14:paraId="099CF696">
            <w:pPr>
              <w:rPr>
                <w:color w:val="auto"/>
                <w:highlight w:val="none"/>
              </w:rPr>
            </w:pPr>
          </w:p>
        </w:tc>
      </w:tr>
      <w:tr w14:paraId="6F66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9" w:type="dxa"/>
            <w:tcBorders>
              <w:top w:val="single" w:color="auto" w:sz="4" w:space="0"/>
              <w:left w:val="single" w:color="auto" w:sz="4" w:space="0"/>
              <w:bottom w:val="single" w:color="auto" w:sz="4" w:space="0"/>
              <w:right w:val="single" w:color="auto" w:sz="4" w:space="0"/>
            </w:tcBorders>
            <w:vAlign w:val="center"/>
          </w:tcPr>
          <w:p w14:paraId="60ABBA09">
            <w:pPr>
              <w:rPr>
                <w:color w:val="auto"/>
                <w:highlight w:val="none"/>
              </w:rPr>
            </w:pPr>
            <w:r>
              <w:rPr>
                <w:rFonts w:hint="eastAsia"/>
                <w:color w:val="auto"/>
                <w:highlight w:val="none"/>
              </w:rPr>
              <w:t>人员级别</w:t>
            </w:r>
          </w:p>
        </w:tc>
        <w:tc>
          <w:tcPr>
            <w:tcW w:w="1343" w:type="dxa"/>
            <w:tcBorders>
              <w:top w:val="single" w:color="auto" w:sz="4" w:space="0"/>
              <w:left w:val="single" w:color="auto" w:sz="4" w:space="0"/>
              <w:bottom w:val="single" w:color="auto" w:sz="4" w:space="0"/>
              <w:right w:val="single" w:color="auto" w:sz="4" w:space="0"/>
            </w:tcBorders>
            <w:vAlign w:val="center"/>
          </w:tcPr>
          <w:p w14:paraId="4732DC3B">
            <w:pPr>
              <w:rPr>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14:paraId="455AAEFE">
            <w:pPr>
              <w:rPr>
                <w:color w:val="auto"/>
                <w:highlight w:val="none"/>
              </w:rPr>
            </w:pPr>
            <w:r>
              <w:rPr>
                <w:rFonts w:hint="eastAsia"/>
                <w:color w:val="auto"/>
                <w:highlight w:val="none"/>
              </w:rPr>
              <w:t>从事XXX工作年限</w:t>
            </w:r>
          </w:p>
        </w:tc>
        <w:tc>
          <w:tcPr>
            <w:tcW w:w="1088" w:type="dxa"/>
            <w:tcBorders>
              <w:top w:val="single" w:color="auto" w:sz="4" w:space="0"/>
              <w:left w:val="single" w:color="auto" w:sz="4" w:space="0"/>
              <w:bottom w:val="single" w:color="auto" w:sz="4" w:space="0"/>
              <w:right w:val="single" w:color="auto" w:sz="4" w:space="0"/>
            </w:tcBorders>
            <w:vAlign w:val="center"/>
          </w:tcPr>
          <w:p w14:paraId="0A20C375">
            <w:pPr>
              <w:rPr>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639F5598">
            <w:pPr>
              <w:rPr>
                <w:color w:val="auto"/>
                <w:highlight w:val="none"/>
              </w:rPr>
            </w:pPr>
            <w:r>
              <w:rPr>
                <w:rFonts w:hint="eastAsia"/>
                <w:color w:val="auto"/>
                <w:highlight w:val="none"/>
              </w:rPr>
              <w:t>从事XXXX年限</w:t>
            </w:r>
          </w:p>
        </w:tc>
        <w:tc>
          <w:tcPr>
            <w:tcW w:w="891" w:type="dxa"/>
            <w:tcBorders>
              <w:top w:val="single" w:color="auto" w:sz="4" w:space="0"/>
              <w:left w:val="single" w:color="auto" w:sz="4" w:space="0"/>
              <w:bottom w:val="single" w:color="auto" w:sz="4" w:space="0"/>
              <w:right w:val="single" w:color="auto" w:sz="4" w:space="0"/>
            </w:tcBorders>
            <w:vAlign w:val="center"/>
          </w:tcPr>
          <w:p w14:paraId="54E8D42A">
            <w:pPr>
              <w:rPr>
                <w:color w:val="auto"/>
                <w:highlight w:val="none"/>
              </w:rPr>
            </w:pPr>
          </w:p>
        </w:tc>
      </w:tr>
      <w:tr w14:paraId="79B6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9" w:type="dxa"/>
            <w:tcBorders>
              <w:top w:val="single" w:color="auto" w:sz="4" w:space="0"/>
              <w:left w:val="single" w:color="auto" w:sz="4" w:space="0"/>
              <w:bottom w:val="single" w:color="auto" w:sz="4" w:space="0"/>
              <w:right w:val="single" w:color="auto" w:sz="4" w:space="0"/>
            </w:tcBorders>
            <w:vAlign w:val="center"/>
          </w:tcPr>
          <w:p w14:paraId="5FC34B79">
            <w:pPr>
              <w:rPr>
                <w:color w:val="auto"/>
                <w:highlight w:val="none"/>
              </w:rPr>
            </w:pPr>
            <w:r>
              <w:rPr>
                <w:rFonts w:hint="eastAsia"/>
                <w:color w:val="auto"/>
                <w:highlight w:val="none"/>
              </w:rPr>
              <w:t>认证证书</w:t>
            </w:r>
          </w:p>
        </w:tc>
        <w:tc>
          <w:tcPr>
            <w:tcW w:w="7830" w:type="dxa"/>
            <w:gridSpan w:val="5"/>
            <w:tcBorders>
              <w:top w:val="single" w:color="auto" w:sz="4" w:space="0"/>
              <w:left w:val="single" w:color="auto" w:sz="4" w:space="0"/>
              <w:bottom w:val="single" w:color="auto" w:sz="4" w:space="0"/>
              <w:right w:val="single" w:color="auto" w:sz="4" w:space="0"/>
            </w:tcBorders>
            <w:vAlign w:val="center"/>
          </w:tcPr>
          <w:p w14:paraId="779636DF">
            <w:pPr>
              <w:rPr>
                <w:color w:val="auto"/>
                <w:highlight w:val="none"/>
              </w:rPr>
            </w:pPr>
          </w:p>
        </w:tc>
      </w:tr>
      <w:tr w14:paraId="1ECD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4" w:hRule="atLeast"/>
        </w:trPr>
        <w:tc>
          <w:tcPr>
            <w:tcW w:w="9199" w:type="dxa"/>
            <w:gridSpan w:val="6"/>
            <w:tcBorders>
              <w:top w:val="single" w:color="auto" w:sz="4" w:space="0"/>
              <w:left w:val="single" w:color="auto" w:sz="4" w:space="0"/>
              <w:bottom w:val="single" w:color="auto" w:sz="4" w:space="0"/>
              <w:right w:val="single" w:color="auto" w:sz="4" w:space="0"/>
            </w:tcBorders>
          </w:tcPr>
          <w:p w14:paraId="729B9E24">
            <w:pPr>
              <w:rPr>
                <w:color w:val="auto"/>
                <w:highlight w:val="none"/>
              </w:rPr>
            </w:pPr>
            <w:r>
              <w:rPr>
                <w:rFonts w:hint="eastAsia"/>
                <w:color w:val="auto"/>
                <w:highlight w:val="none"/>
              </w:rPr>
              <w:t>工作简历及主要业绩</w:t>
            </w:r>
          </w:p>
          <w:p w14:paraId="5D304B88">
            <w:pPr>
              <w:rPr>
                <w:color w:val="auto"/>
                <w:highlight w:val="none"/>
              </w:rPr>
            </w:pPr>
          </w:p>
        </w:tc>
      </w:tr>
    </w:tbl>
    <w:p w14:paraId="2F9F5C32">
      <w:pPr>
        <w:jc w:val="left"/>
        <w:rPr>
          <w:color w:val="auto"/>
          <w:highlight w:val="none"/>
        </w:rPr>
      </w:pPr>
      <w:r>
        <w:rPr>
          <w:color w:val="auto"/>
          <w:highlight w:val="none"/>
        </w:rPr>
        <w:t>特别说明：投标人应提供投入本项目</w:t>
      </w:r>
      <w:r>
        <w:rPr>
          <w:rFonts w:hint="eastAsia"/>
          <w:color w:val="auto"/>
          <w:highlight w:val="none"/>
        </w:rPr>
        <w:t>人员</w:t>
      </w:r>
      <w:r>
        <w:rPr>
          <w:color w:val="auto"/>
          <w:highlight w:val="none"/>
        </w:rPr>
        <w:t>的简历。</w:t>
      </w:r>
    </w:p>
    <w:p w14:paraId="16DC30DE">
      <w:pPr>
        <w:rPr>
          <w:color w:val="auto"/>
          <w:highlight w:val="none"/>
        </w:rPr>
      </w:pPr>
    </w:p>
    <w:p w14:paraId="68521412">
      <w:pPr>
        <w:rPr>
          <w:color w:val="auto"/>
          <w:highlight w:val="none"/>
        </w:rPr>
      </w:pPr>
    </w:p>
    <w:p w14:paraId="61DA5250">
      <w:pPr>
        <w:rPr>
          <w:rFonts w:hint="eastAsia" w:asciiTheme="minorEastAsia" w:hAnsiTheme="minorEastAsia" w:eastAsiaTheme="minorEastAsia" w:cstheme="minorEastAsia"/>
          <w:b/>
          <w:bCs w:val="0"/>
          <w:color w:val="auto"/>
          <w:sz w:val="28"/>
          <w:szCs w:val="28"/>
          <w:highlight w:val="none"/>
          <w:lang w:val="en-US" w:eastAsia="zh-CN" w:bidi="ar-SA"/>
        </w:rPr>
      </w:pPr>
      <w:r>
        <w:rPr>
          <w:color w:val="auto"/>
          <w:sz w:val="36"/>
          <w:szCs w:val="36"/>
          <w:highlight w:val="none"/>
        </w:rPr>
        <w:br w:type="page"/>
      </w:r>
      <w:r>
        <w:rPr>
          <w:rFonts w:hint="eastAsia" w:asciiTheme="minorEastAsia" w:hAnsiTheme="minorEastAsia" w:eastAsiaTheme="minorEastAsia" w:cstheme="minorEastAsia"/>
          <w:b/>
          <w:bCs w:val="0"/>
          <w:color w:val="auto"/>
          <w:sz w:val="28"/>
          <w:szCs w:val="28"/>
          <w:highlight w:val="none"/>
          <w:lang w:val="en-US" w:eastAsia="zh-CN" w:bidi="ar-SA"/>
        </w:rPr>
        <w:t>格式1</w:t>
      </w:r>
      <w:r>
        <w:rPr>
          <w:rFonts w:hint="eastAsia" w:cstheme="minorEastAsia"/>
          <w:b/>
          <w:bCs w:val="0"/>
          <w:color w:val="auto"/>
          <w:sz w:val="28"/>
          <w:szCs w:val="28"/>
          <w:highlight w:val="none"/>
          <w:lang w:val="en-US" w:eastAsia="zh-CN" w:bidi="ar-SA"/>
        </w:rPr>
        <w:t>8</w:t>
      </w:r>
      <w:r>
        <w:rPr>
          <w:rFonts w:hint="eastAsia" w:asciiTheme="minorEastAsia" w:hAnsiTheme="minorEastAsia" w:eastAsiaTheme="minorEastAsia" w:cstheme="minorEastAsia"/>
          <w:b/>
          <w:bCs w:val="0"/>
          <w:color w:val="auto"/>
          <w:sz w:val="28"/>
          <w:szCs w:val="28"/>
          <w:highlight w:val="none"/>
          <w:lang w:val="en-US" w:eastAsia="zh-CN" w:bidi="ar-SA"/>
        </w:rPr>
        <w:t xml:space="preserve">  投标人售后服务承诺</w:t>
      </w:r>
    </w:p>
    <w:p w14:paraId="32866330">
      <w:pPr>
        <w:rPr>
          <w:color w:val="auto"/>
          <w:highlight w:val="none"/>
        </w:rPr>
      </w:pPr>
    </w:p>
    <w:p w14:paraId="147B27C7">
      <w:pPr>
        <w:rPr>
          <w:color w:val="auto"/>
          <w:highlight w:val="none"/>
        </w:rPr>
      </w:pPr>
      <w:r>
        <w:rPr>
          <w:color w:val="auto"/>
          <w:highlight w:val="none"/>
        </w:rPr>
        <w:t>(示例略)</w:t>
      </w:r>
    </w:p>
    <w:p w14:paraId="0394B69E">
      <w:pPr>
        <w:rPr>
          <w:color w:val="auto"/>
          <w:highlight w:val="none"/>
        </w:rPr>
        <w:sectPr>
          <w:pgSz w:w="11906" w:h="16838"/>
          <w:pgMar w:top="1417" w:right="1417" w:bottom="1417" w:left="1417" w:header="851" w:footer="992" w:gutter="0"/>
          <w:cols w:space="720" w:num="1"/>
          <w:titlePg/>
          <w:docGrid w:type="lines" w:linePitch="312" w:charSpace="0"/>
        </w:sectPr>
      </w:pPr>
    </w:p>
    <w:p w14:paraId="4951F8C7">
      <w:pPr>
        <w:rPr>
          <w:color w:val="auto"/>
          <w:highlight w:val="none"/>
        </w:rPr>
      </w:pPr>
    </w:p>
    <w:p w14:paraId="6BC6B033">
      <w:pPr>
        <w:rPr>
          <w:color w:val="auto"/>
          <w:highlight w:val="none"/>
        </w:rPr>
      </w:pPr>
    </w:p>
    <w:p w14:paraId="22A3D73F">
      <w:pPr>
        <w:pStyle w:val="5"/>
        <w:rPr>
          <w:rFonts w:hint="eastAsia" w:ascii="黑体" w:hAnsi="黑体" w:eastAsia="黑体" w:cs="黑体"/>
          <w:color w:val="auto"/>
          <w:sz w:val="72"/>
          <w:szCs w:val="72"/>
          <w:highlight w:val="none"/>
        </w:rPr>
      </w:pPr>
      <w:bookmarkStart w:id="128" w:name="_Toc23740"/>
      <w:bookmarkStart w:id="129" w:name="_Toc132880285"/>
      <w:r>
        <w:rPr>
          <w:rFonts w:hint="eastAsia" w:ascii="黑体" w:hAnsi="黑体" w:eastAsia="黑体" w:cs="黑体"/>
          <w:color w:val="auto"/>
          <w:sz w:val="72"/>
          <w:szCs w:val="72"/>
          <w:highlight w:val="none"/>
        </w:rPr>
        <w:t>招 标 文 件</w:t>
      </w:r>
      <w:bookmarkEnd w:id="128"/>
    </w:p>
    <w:p w14:paraId="4EBCDFDE">
      <w:pPr>
        <w:pStyle w:val="5"/>
        <w:rPr>
          <w:rFonts w:hint="eastAsia" w:ascii="黑体" w:hAnsi="黑体" w:eastAsia="黑体" w:cs="黑体"/>
          <w:color w:val="auto"/>
          <w:sz w:val="72"/>
          <w:szCs w:val="72"/>
          <w:highlight w:val="none"/>
        </w:rPr>
      </w:pPr>
      <w:bookmarkStart w:id="130" w:name="_Toc32697"/>
      <w:r>
        <w:rPr>
          <w:rFonts w:hint="eastAsia" w:ascii="黑体" w:hAnsi="黑体" w:eastAsia="黑体" w:cs="黑体"/>
          <w:color w:val="auto"/>
          <w:sz w:val="72"/>
          <w:szCs w:val="72"/>
          <w:highlight w:val="none"/>
        </w:rPr>
        <w:t>（技术部分）</w:t>
      </w:r>
      <w:bookmarkEnd w:id="130"/>
    </w:p>
    <w:p w14:paraId="0EECB6CD">
      <w:pPr>
        <w:pStyle w:val="9"/>
        <w:rPr>
          <w:color w:val="auto"/>
          <w:highlight w:val="none"/>
        </w:rPr>
      </w:pPr>
    </w:p>
    <w:p w14:paraId="2D53B8D9">
      <w:pPr>
        <w:rPr>
          <w:color w:val="auto"/>
          <w:highlight w:val="none"/>
        </w:rPr>
      </w:pPr>
    </w:p>
    <w:p w14:paraId="53FA26E8">
      <w:pPr>
        <w:rPr>
          <w:color w:val="auto"/>
          <w:highlight w:val="none"/>
        </w:rPr>
      </w:pPr>
    </w:p>
    <w:p w14:paraId="54C4898E">
      <w:pPr>
        <w:spacing w:line="360" w:lineRule="auto"/>
        <w:ind w:firstLine="321" w:firstLineChars="100"/>
        <w:jc w:val="both"/>
        <w:outlineLvl w:val="0"/>
        <w:rPr>
          <w:rFonts w:hint="eastAsia" w:asciiTheme="minorEastAsia" w:hAnsiTheme="minorEastAsia" w:eastAsiaTheme="minorEastAsia" w:cstheme="minorEastAsia"/>
          <w:b/>
          <w:bCs/>
          <w:color w:val="auto"/>
          <w:sz w:val="32"/>
          <w:szCs w:val="32"/>
          <w:highlight w:val="none"/>
          <w:lang w:eastAsia="zh-CN"/>
        </w:rPr>
      </w:pPr>
      <w:bookmarkStart w:id="131" w:name="_Toc20930"/>
      <w:r>
        <w:rPr>
          <w:rFonts w:hint="eastAsia" w:asciiTheme="minorEastAsia" w:hAnsiTheme="minorEastAsia" w:eastAsiaTheme="minorEastAsia" w:cstheme="minor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lang w:eastAsia="zh-CN"/>
        </w:rPr>
        <w:t>国家税务总局来宾市兴宾区税务局</w:t>
      </w:r>
    </w:p>
    <w:p w14:paraId="7B51D9CE">
      <w:pPr>
        <w:spacing w:line="360" w:lineRule="auto"/>
        <w:ind w:firstLine="1928" w:firstLineChars="600"/>
        <w:jc w:val="both"/>
        <w:outlineLvl w:val="0"/>
        <w:rPr>
          <w:rFonts w:hint="eastAsia" w:asciiTheme="minorEastAsia" w:hAnsiTheme="minorEastAsia" w:eastAsiaTheme="minorEastAsia" w:cstheme="minorEastAsia"/>
          <w:b/>
          <w:bCs/>
          <w:color w:val="auto"/>
          <w:sz w:val="32"/>
          <w:szCs w:val="32"/>
          <w:highlight w:val="none"/>
          <w:lang w:eastAsia="zh-CN"/>
        </w:rPr>
      </w:pPr>
      <w:r>
        <w:rPr>
          <w:rFonts w:hint="eastAsia" w:cstheme="minorEastAsia"/>
          <w:b/>
          <w:bCs/>
          <w:color w:val="auto"/>
          <w:sz w:val="32"/>
          <w:szCs w:val="32"/>
          <w:highlight w:val="none"/>
          <w:lang w:val="en-US" w:eastAsia="zh-CN"/>
        </w:rPr>
        <w:t>2024年非执法类辅助性服务采购项目</w:t>
      </w:r>
    </w:p>
    <w:p w14:paraId="473E00D8">
      <w:pPr>
        <w:spacing w:line="360" w:lineRule="auto"/>
        <w:ind w:firstLine="321" w:firstLineChars="100"/>
        <w:rPr>
          <w:rFonts w:asciiTheme="minorEastAsia" w:hAnsiTheme="minorEastAsia" w:eastAsiaTheme="minorEastAsia" w:cstheme="minorEastAsia"/>
          <w:b/>
          <w:bCs/>
          <w:color w:val="auto"/>
          <w:sz w:val="32"/>
          <w:szCs w:val="32"/>
          <w:highlight w:val="none"/>
        </w:rPr>
      </w:pPr>
    </w:p>
    <w:p w14:paraId="6392B3C3">
      <w:pPr>
        <w:spacing w:line="360" w:lineRule="auto"/>
        <w:ind w:firstLine="321" w:firstLineChars="100"/>
        <w:jc w:val="both"/>
        <w:outlineLvl w:val="0"/>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项目编号：</w:t>
      </w:r>
      <w:r>
        <w:rPr>
          <w:rFonts w:hint="eastAsia" w:cstheme="minorEastAsia"/>
          <w:b/>
          <w:bCs/>
          <w:color w:val="auto"/>
          <w:sz w:val="32"/>
          <w:szCs w:val="32"/>
          <w:highlight w:val="none"/>
          <w:lang w:eastAsia="zh-CN"/>
        </w:rPr>
        <w:t>GX2024-DLGK-C</w:t>
      </w:r>
      <w:r>
        <w:rPr>
          <w:rFonts w:hint="eastAsia" w:cstheme="minorEastAsia"/>
          <w:b/>
          <w:bCs/>
          <w:color w:val="auto"/>
          <w:sz w:val="32"/>
          <w:szCs w:val="32"/>
          <w:highlight w:val="none"/>
          <w:lang w:val="en-US" w:eastAsia="zh-CN"/>
        </w:rPr>
        <w:t>0052</w:t>
      </w:r>
      <w:r>
        <w:rPr>
          <w:rFonts w:hint="eastAsia" w:cstheme="minorEastAsia"/>
          <w:b/>
          <w:bCs/>
          <w:color w:val="auto"/>
          <w:sz w:val="32"/>
          <w:szCs w:val="32"/>
          <w:highlight w:val="none"/>
          <w:lang w:eastAsia="zh-CN"/>
        </w:rPr>
        <w:t>-B00</w:t>
      </w:r>
    </w:p>
    <w:p w14:paraId="3C1E04F6">
      <w:pPr>
        <w:spacing w:line="360" w:lineRule="auto"/>
        <w:ind w:firstLine="321" w:firstLineChars="100"/>
        <w:rPr>
          <w:rFonts w:asciiTheme="minorEastAsia" w:hAnsiTheme="minorEastAsia" w:eastAsiaTheme="minorEastAsia" w:cstheme="minorEastAsia"/>
          <w:b/>
          <w:bCs/>
          <w:color w:val="auto"/>
          <w:sz w:val="32"/>
          <w:szCs w:val="32"/>
          <w:highlight w:val="none"/>
        </w:rPr>
      </w:pPr>
    </w:p>
    <w:p w14:paraId="3D31B6C9">
      <w:pPr>
        <w:spacing w:line="360" w:lineRule="auto"/>
        <w:ind w:firstLine="321" w:firstLineChars="100"/>
        <w:jc w:val="both"/>
        <w:outlineLvl w:val="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cstheme="minorEastAsia"/>
          <w:b/>
          <w:bCs/>
          <w:color w:val="auto"/>
          <w:sz w:val="32"/>
          <w:szCs w:val="32"/>
          <w:highlight w:val="none"/>
          <w:lang w:eastAsia="zh-CN"/>
        </w:rPr>
        <w:t>国家税务总局来宾市兴宾区税务局</w:t>
      </w:r>
    </w:p>
    <w:p w14:paraId="14E882D4">
      <w:pPr>
        <w:spacing w:line="360" w:lineRule="auto"/>
        <w:ind w:firstLine="321" w:firstLineChars="100"/>
        <w:rPr>
          <w:rFonts w:asciiTheme="minorEastAsia" w:hAnsiTheme="minorEastAsia" w:eastAsiaTheme="minorEastAsia" w:cstheme="minorEastAsia"/>
          <w:b/>
          <w:bCs/>
          <w:color w:val="auto"/>
          <w:sz w:val="32"/>
          <w:szCs w:val="32"/>
          <w:highlight w:val="none"/>
        </w:rPr>
      </w:pPr>
    </w:p>
    <w:p w14:paraId="3F411CB0">
      <w:pPr>
        <w:spacing w:line="360" w:lineRule="auto"/>
        <w:ind w:firstLine="321" w:firstLineChars="100"/>
        <w:jc w:val="both"/>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采购代理机构：广西众联工程项目管理有限公司</w:t>
      </w:r>
    </w:p>
    <w:p w14:paraId="16C0B8C4">
      <w:pPr>
        <w:topLinePunct/>
        <w:autoSpaceDE w:val="0"/>
        <w:autoSpaceDN w:val="0"/>
        <w:spacing w:line="460" w:lineRule="exact"/>
        <w:rPr>
          <w:rFonts w:asciiTheme="minorEastAsia" w:hAnsiTheme="minorEastAsia" w:eastAsiaTheme="minorEastAsia" w:cstheme="minorEastAsia"/>
          <w:b/>
          <w:bCs/>
          <w:color w:val="auto"/>
          <w:sz w:val="32"/>
          <w:szCs w:val="32"/>
          <w:highlight w:val="none"/>
        </w:rPr>
      </w:pPr>
    </w:p>
    <w:p w14:paraId="27C5E31B">
      <w:pPr>
        <w:topLinePunct/>
        <w:autoSpaceDE w:val="0"/>
        <w:autoSpaceDN w:val="0"/>
        <w:spacing w:line="460" w:lineRule="exact"/>
        <w:jc w:val="center"/>
        <w:rPr>
          <w:rFonts w:asciiTheme="minorEastAsia" w:hAnsiTheme="minorEastAsia" w:eastAsiaTheme="minorEastAsia" w:cstheme="minorEastAsia"/>
          <w:b/>
          <w:bCs/>
          <w:color w:val="auto"/>
          <w:sz w:val="32"/>
          <w:szCs w:val="32"/>
          <w:highlight w:val="none"/>
        </w:rPr>
      </w:pPr>
    </w:p>
    <w:p w14:paraId="1CFD656B">
      <w:pPr>
        <w:topLinePunct/>
        <w:autoSpaceDE w:val="0"/>
        <w:autoSpaceDN w:val="0"/>
        <w:spacing w:line="460" w:lineRule="exact"/>
        <w:jc w:val="center"/>
        <w:rPr>
          <w:rFonts w:asciiTheme="minorEastAsia" w:hAnsiTheme="minorEastAsia" w:eastAsiaTheme="minorEastAsia" w:cstheme="minorEastAsia"/>
          <w:b/>
          <w:bCs/>
          <w:color w:val="auto"/>
          <w:sz w:val="32"/>
          <w:szCs w:val="32"/>
          <w:highlight w:val="none"/>
        </w:rPr>
      </w:pPr>
    </w:p>
    <w:p w14:paraId="3598ABCB">
      <w:pPr>
        <w:topLinePunct/>
        <w:autoSpaceDE w:val="0"/>
        <w:autoSpaceDN w:val="0"/>
        <w:spacing w:line="460" w:lineRule="exact"/>
        <w:jc w:val="center"/>
        <w:outlineLvl w:val="0"/>
        <w:rPr>
          <w:rFonts w:hint="eastAsia" w:asciiTheme="minorEastAsia" w:hAnsiTheme="minorEastAsia" w:eastAsiaTheme="minorEastAsia" w:cstheme="minorEastAsia"/>
          <w:b/>
          <w:bCs/>
          <w:color w:val="auto"/>
          <w:sz w:val="32"/>
          <w:szCs w:val="32"/>
          <w:highlight w:val="none"/>
          <w:lang w:eastAsia="zh-CN"/>
        </w:rPr>
      </w:pPr>
      <w:r>
        <w:rPr>
          <w:rFonts w:hint="eastAsia" w:cstheme="minorEastAsia"/>
          <w:b/>
          <w:bCs/>
          <w:color w:val="auto"/>
          <w:sz w:val="32"/>
          <w:szCs w:val="32"/>
          <w:highlight w:val="none"/>
          <w:lang w:eastAsia="zh-CN"/>
        </w:rPr>
        <w:t>国家税务总局来宾市兴宾区税务局</w:t>
      </w:r>
    </w:p>
    <w:p w14:paraId="64DB3385">
      <w:pPr>
        <w:topLinePunct/>
        <w:autoSpaceDE w:val="0"/>
        <w:autoSpaceDN w:val="0"/>
        <w:spacing w:line="160" w:lineRule="exact"/>
        <w:jc w:val="center"/>
        <w:rPr>
          <w:rFonts w:asciiTheme="minorEastAsia" w:hAnsiTheme="minorEastAsia" w:eastAsiaTheme="minorEastAsia" w:cstheme="minorEastAsia"/>
          <w:b/>
          <w:bCs/>
          <w:color w:val="auto"/>
          <w:sz w:val="32"/>
          <w:szCs w:val="32"/>
          <w:highlight w:val="none"/>
        </w:rPr>
      </w:pPr>
    </w:p>
    <w:p w14:paraId="2CEA3390">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2024年</w:t>
      </w:r>
      <w:r>
        <w:rPr>
          <w:rFonts w:hint="eastAsia" w:cstheme="minorEastAsia"/>
          <w:b/>
          <w:bCs/>
          <w:color w:val="auto"/>
          <w:sz w:val="32"/>
          <w:szCs w:val="32"/>
          <w:highlight w:val="none"/>
          <w:lang w:val="en-US" w:eastAsia="zh-CN"/>
        </w:rPr>
        <w:t>7</w:t>
      </w:r>
      <w:r>
        <w:rPr>
          <w:rFonts w:hint="eastAsia" w:asciiTheme="minorEastAsia" w:hAnsiTheme="minorEastAsia" w:eastAsiaTheme="minorEastAsia" w:cstheme="minorEastAsia"/>
          <w:b/>
          <w:bCs/>
          <w:color w:val="auto"/>
          <w:sz w:val="32"/>
          <w:szCs w:val="32"/>
          <w:highlight w:val="none"/>
        </w:rPr>
        <w:t>月</w:t>
      </w:r>
      <w:r>
        <w:rPr>
          <w:rFonts w:hint="eastAsia" w:cstheme="minorEastAsia"/>
          <w:b/>
          <w:bCs/>
          <w:color w:val="auto"/>
          <w:sz w:val="32"/>
          <w:szCs w:val="32"/>
          <w:highlight w:val="none"/>
          <w:lang w:val="en-US" w:eastAsia="zh-CN"/>
        </w:rPr>
        <w:t>25</w:t>
      </w:r>
      <w:r>
        <w:rPr>
          <w:rFonts w:hint="eastAsia" w:asciiTheme="minorEastAsia" w:hAnsiTheme="minorEastAsia" w:eastAsiaTheme="minorEastAsia" w:cstheme="minorEastAsia"/>
          <w:b/>
          <w:bCs/>
          <w:color w:val="auto"/>
          <w:sz w:val="32"/>
          <w:szCs w:val="32"/>
          <w:highlight w:val="none"/>
        </w:rPr>
        <w:t>日</w:t>
      </w:r>
    </w:p>
    <w:p w14:paraId="5CF2D841">
      <w:pPr>
        <w:pStyle w:val="5"/>
        <w:rPr>
          <w:rFonts w:ascii="黑体" w:hAnsi="黑体" w:eastAsia="黑体" w:cs="黑体"/>
          <w:color w:val="auto"/>
          <w:szCs w:val="32"/>
          <w:highlight w:val="none"/>
        </w:rPr>
      </w:pPr>
      <w:r>
        <w:rPr>
          <w:rFonts w:hint="eastAsia"/>
          <w:color w:val="auto"/>
          <w:highlight w:val="none"/>
        </w:rPr>
        <w:t>第六章 项目采购需求</w:t>
      </w:r>
      <w:bookmarkEnd w:id="129"/>
      <w:bookmarkEnd w:id="131"/>
    </w:p>
    <w:p w14:paraId="4CEFC07C">
      <w:pPr>
        <w:jc w:val="left"/>
        <w:rPr>
          <w:color w:val="auto"/>
          <w:highlight w:val="none"/>
        </w:rPr>
      </w:pPr>
      <w:bookmarkStart w:id="132" w:name="_Toc1560"/>
      <w:bookmarkStart w:id="133" w:name="_Toc129529569"/>
      <w:bookmarkStart w:id="134" w:name="_Toc132880286"/>
      <w:r>
        <w:rPr>
          <w:rFonts w:hint="eastAsia"/>
          <w:color w:val="auto"/>
          <w:highlight w:val="none"/>
        </w:rPr>
        <w:t>说明：</w:t>
      </w:r>
    </w:p>
    <w:p w14:paraId="73EABF2E">
      <w:pPr>
        <w:ind w:firstLine="420" w:firstLineChars="200"/>
        <w:jc w:val="left"/>
        <w:rPr>
          <w:color w:val="auto"/>
          <w:highlight w:val="none"/>
        </w:rPr>
      </w:pPr>
      <w:r>
        <w:rPr>
          <w:rFonts w:hint="eastAsia"/>
          <w:color w:val="auto"/>
          <w:highlight w:val="none"/>
        </w:rPr>
        <w:t>1.标“</w:t>
      </w:r>
      <w:r>
        <w:rPr>
          <w:rFonts w:hint="eastAsia"/>
          <w:color w:val="auto"/>
          <w:sz w:val="24"/>
          <w:szCs w:val="24"/>
          <w:highlight w:val="none"/>
        </w:rPr>
        <w:t>★</w:t>
      </w:r>
      <w:r>
        <w:rPr>
          <w:rFonts w:hint="eastAsia"/>
          <w:color w:val="auto"/>
          <w:highlight w:val="none"/>
        </w:rPr>
        <w:t>”为实质性参数要求和条件，投标人必须满足并在投标文件中如实作出响应，否则投标无效；标“</w:t>
      </w:r>
      <w:r>
        <w:rPr>
          <w:rFonts w:hint="eastAsia"/>
          <w:color w:val="auto"/>
          <w:sz w:val="24"/>
          <w:szCs w:val="24"/>
          <w:highlight w:val="none"/>
        </w:rPr>
        <w:t>▲</w:t>
      </w:r>
      <w:r>
        <w:rPr>
          <w:rFonts w:hint="eastAsia"/>
          <w:color w:val="auto"/>
          <w:highlight w:val="none"/>
        </w:rPr>
        <w:t>”为重点指标；无标识的为一般指标。</w:t>
      </w:r>
    </w:p>
    <w:p w14:paraId="04F6535C">
      <w:pPr>
        <w:ind w:firstLine="420" w:firstLineChars="200"/>
        <w:jc w:val="left"/>
        <w:rPr>
          <w:color w:val="auto"/>
          <w:highlight w:val="none"/>
        </w:rPr>
      </w:pPr>
      <w:r>
        <w:rPr>
          <w:rFonts w:hint="eastAsia"/>
          <w:color w:val="auto"/>
          <w:highlight w:val="none"/>
        </w:rPr>
        <w:t>2.投标人投标时必须在投标文件中对所有项目要求及技术需求内容、商务要求表中内容及附件内容（如有）逐条响应并一一对应。</w:t>
      </w:r>
    </w:p>
    <w:p w14:paraId="49B2F832">
      <w:pPr>
        <w:ind w:firstLine="420" w:firstLineChars="200"/>
        <w:jc w:val="left"/>
        <w:rPr>
          <w:rFonts w:hint="eastAsia" w:eastAsiaTheme="minorEastAsia"/>
          <w:color w:val="auto"/>
          <w:highlight w:val="none"/>
          <w:lang w:eastAsia="zh-CN"/>
        </w:rPr>
      </w:pPr>
      <w:r>
        <w:rPr>
          <w:rFonts w:hint="eastAsia"/>
          <w:color w:val="auto"/>
          <w:highlight w:val="none"/>
        </w:rPr>
        <w:t>3</w:t>
      </w:r>
      <w:r>
        <w:rPr>
          <w:color w:val="auto"/>
          <w:highlight w:val="none"/>
        </w:rPr>
        <w:t>.</w:t>
      </w:r>
      <w:r>
        <w:rPr>
          <w:rFonts w:hint="eastAsia"/>
          <w:color w:val="auto"/>
          <w:highlight w:val="none"/>
          <w:lang w:val="en-US" w:eastAsia="zh-CN"/>
        </w:rPr>
        <w:t>本项目</w:t>
      </w:r>
      <w:r>
        <w:rPr>
          <w:rFonts w:hint="eastAsia"/>
          <w:color w:val="auto"/>
          <w:highlight w:val="none"/>
        </w:rPr>
        <w:t>采购标的对应的中小企业划分标准所属行业</w:t>
      </w:r>
      <w:r>
        <w:rPr>
          <w:rFonts w:hint="eastAsia"/>
          <w:color w:val="auto"/>
          <w:highlight w:val="none"/>
          <w:lang w:eastAsia="zh-CN"/>
        </w:rPr>
        <w:t>：租赁和商务服务业</w:t>
      </w:r>
    </w:p>
    <w:p w14:paraId="6A9303DD">
      <w:pPr>
        <w:pStyle w:val="24"/>
        <w:rPr>
          <w:rFonts w:hint="eastAsia"/>
          <w:color w:val="auto"/>
          <w:highlight w:val="none"/>
          <w:lang w:val="en-US" w:eastAsia="zh-CN"/>
        </w:rPr>
      </w:pPr>
      <w:r>
        <w:rPr>
          <w:rFonts w:hint="eastAsia"/>
          <w:color w:val="auto"/>
          <w:highlight w:val="none"/>
          <w:lang w:val="en-US" w:eastAsia="zh-CN"/>
        </w:rPr>
        <w:t>4.</w:t>
      </w:r>
      <w:r>
        <w:rPr>
          <w:rFonts w:hint="eastAsia"/>
          <w:color w:val="auto"/>
          <w:highlight w:val="none"/>
        </w:rPr>
        <w:t>本</w:t>
      </w:r>
      <w:r>
        <w:rPr>
          <w:rFonts w:hint="eastAsia"/>
          <w:color w:val="auto"/>
          <w:highlight w:val="none"/>
          <w:lang w:eastAsia="zh-CN"/>
        </w:rPr>
        <w:t>章</w:t>
      </w:r>
      <w:r>
        <w:rPr>
          <w:rFonts w:hint="eastAsia"/>
          <w:color w:val="auto"/>
          <w:highlight w:val="none"/>
        </w:rPr>
        <w:t>所称的“以上”“以下”“内”“以内”，包括本数；所称的“不足”，不包括本数。</w:t>
      </w:r>
    </w:p>
    <w:bookmarkEnd w:id="132"/>
    <w:bookmarkEnd w:id="133"/>
    <w:bookmarkEnd w:id="134"/>
    <w:p w14:paraId="1154BBA8">
      <w:pPr>
        <w:pStyle w:val="9"/>
        <w:jc w:val="center"/>
        <w:rPr>
          <w:rFonts w:hint="eastAsia"/>
          <w:b/>
          <w:bCs w:val="0"/>
          <w:color w:val="auto"/>
          <w:sz w:val="28"/>
          <w:szCs w:val="28"/>
          <w:highlight w:val="none"/>
          <w:lang w:val="en-US" w:eastAsia="zh-CN"/>
        </w:rPr>
      </w:pPr>
    </w:p>
    <w:tbl>
      <w:tblPr>
        <w:tblStyle w:val="19"/>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07"/>
        <w:gridCol w:w="818"/>
        <w:gridCol w:w="6787"/>
      </w:tblGrid>
      <w:tr w14:paraId="7251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8" w:type="dxa"/>
            <w:gridSpan w:val="4"/>
            <w:noWrap w:val="0"/>
            <w:vAlign w:val="top"/>
          </w:tcPr>
          <w:p w14:paraId="42B98543">
            <w:pPr>
              <w:keepNext w:val="0"/>
              <w:keepLines w:val="0"/>
              <w:pageBreakBefore w:val="0"/>
              <w:widowControl/>
              <w:kinsoku/>
              <w:wordWrap/>
              <w:overflowPunct w:val="0"/>
              <w:topLinePunct w:val="0"/>
              <w:autoSpaceDE w:val="0"/>
              <w:autoSpaceDN w:val="0"/>
              <w:bidi w:val="0"/>
              <w:adjustRightInd w:val="0"/>
              <w:spacing w:line="360" w:lineRule="auto"/>
              <w:ind w:left="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一、</w:t>
            </w:r>
            <w:r>
              <w:rPr>
                <w:rFonts w:hint="eastAsia" w:ascii="宋体" w:hAnsi="宋体" w:eastAsia="宋体" w:cs="宋体"/>
                <w:b/>
                <w:bCs w:val="0"/>
                <w:color w:val="auto"/>
                <w:sz w:val="21"/>
                <w:szCs w:val="21"/>
                <w:highlight w:val="none"/>
                <w:lang w:val="en-US" w:eastAsia="zh-CN"/>
              </w:rPr>
              <w:t>技术要求</w:t>
            </w:r>
          </w:p>
        </w:tc>
      </w:tr>
      <w:tr w14:paraId="5241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noWrap w:val="0"/>
            <w:vAlign w:val="center"/>
          </w:tcPr>
          <w:p w14:paraId="3070689E">
            <w:pPr>
              <w:keepNext w:val="0"/>
              <w:keepLines w:val="0"/>
              <w:pageBreakBefore w:val="0"/>
              <w:widowControl/>
              <w:kinsoku/>
              <w:wordWrap/>
              <w:overflowPunct w:val="0"/>
              <w:topLinePunct w:val="0"/>
              <w:autoSpaceDE w:val="0"/>
              <w:autoSpaceDN w:val="0"/>
              <w:bidi w:val="0"/>
              <w:adjustRightIn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007" w:type="dxa"/>
            <w:noWrap w:val="0"/>
            <w:vAlign w:val="center"/>
          </w:tcPr>
          <w:p w14:paraId="2D649897">
            <w:pPr>
              <w:keepNext w:val="0"/>
              <w:keepLines w:val="0"/>
              <w:pageBreakBefore w:val="0"/>
              <w:widowControl/>
              <w:kinsoku/>
              <w:wordWrap/>
              <w:overflowPunct w:val="0"/>
              <w:topLinePunct w:val="0"/>
              <w:autoSpaceDE w:val="0"/>
              <w:autoSpaceDN w:val="0"/>
              <w:bidi w:val="0"/>
              <w:adjustRightIn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818" w:type="dxa"/>
            <w:noWrap w:val="0"/>
            <w:vAlign w:val="center"/>
          </w:tcPr>
          <w:p w14:paraId="5A2D96ED">
            <w:pPr>
              <w:keepNext w:val="0"/>
              <w:keepLines w:val="0"/>
              <w:pageBreakBefore w:val="0"/>
              <w:widowControl/>
              <w:kinsoku/>
              <w:wordWrap/>
              <w:overflowPunct w:val="0"/>
              <w:topLinePunct w:val="0"/>
              <w:autoSpaceDE w:val="0"/>
              <w:autoSpaceDN w:val="0"/>
              <w:bidi w:val="0"/>
              <w:adjustRightInd w:val="0"/>
              <w:spacing w:line="240" w:lineRule="auto"/>
              <w:ind w:lef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及</w:t>
            </w:r>
          </w:p>
          <w:p w14:paraId="0DEE01FE">
            <w:pPr>
              <w:keepNext w:val="0"/>
              <w:keepLines w:val="0"/>
              <w:pageBreakBefore w:val="0"/>
              <w:widowControl/>
              <w:kinsoku/>
              <w:wordWrap/>
              <w:overflowPunct w:val="0"/>
              <w:topLinePunct w:val="0"/>
              <w:autoSpaceDE w:val="0"/>
              <w:autoSpaceDN w:val="0"/>
              <w:bidi w:val="0"/>
              <w:adjustRightIn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87" w:type="dxa"/>
            <w:noWrap w:val="0"/>
            <w:vAlign w:val="center"/>
          </w:tcPr>
          <w:p w14:paraId="0EAFACF0">
            <w:pPr>
              <w:keepNext w:val="0"/>
              <w:keepLines w:val="0"/>
              <w:pageBreakBefore w:val="0"/>
              <w:widowControl/>
              <w:kinsoku/>
              <w:wordWrap/>
              <w:overflowPunct w:val="0"/>
              <w:topLinePunct w:val="0"/>
              <w:autoSpaceDE w:val="0"/>
              <w:autoSpaceDN w:val="0"/>
              <w:bidi w:val="0"/>
              <w:adjustRightInd w:val="0"/>
              <w:spacing w:line="24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技术参数要求</w:t>
            </w:r>
          </w:p>
        </w:tc>
      </w:tr>
      <w:tr w14:paraId="0E97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426" w:type="dxa"/>
            <w:noWrap w:val="0"/>
            <w:vAlign w:val="center"/>
          </w:tcPr>
          <w:p w14:paraId="0AAD31A7">
            <w:pPr>
              <w:keepNext w:val="0"/>
              <w:keepLines w:val="0"/>
              <w:pageBreakBefore w:val="0"/>
              <w:widowControl/>
              <w:kinsoku/>
              <w:wordWrap/>
              <w:overflowPunct w:val="0"/>
              <w:topLinePunct w:val="0"/>
              <w:autoSpaceDE w:val="0"/>
              <w:autoSpaceDN w:val="0"/>
              <w:bidi w:val="0"/>
              <w:adjustRightInd w:val="0"/>
              <w:spacing w:line="360" w:lineRule="auto"/>
              <w:ind w:left="0" w:left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007" w:type="dxa"/>
            <w:noWrap w:val="0"/>
            <w:vAlign w:val="center"/>
          </w:tcPr>
          <w:p w14:paraId="46DE228D">
            <w:pPr>
              <w:keepNext w:val="0"/>
              <w:keepLines w:val="0"/>
              <w:pageBreakBefore w:val="0"/>
              <w:widowControl/>
              <w:kinsoku/>
              <w:wordWrap/>
              <w:overflowPunct w:val="0"/>
              <w:topLinePunct w:val="0"/>
              <w:autoSpaceDE w:val="0"/>
              <w:autoSpaceDN w:val="0"/>
              <w:bidi w:val="0"/>
              <w:adjustRightInd w:val="0"/>
              <w:spacing w:line="360" w:lineRule="auto"/>
              <w:ind w:left="0" w:leftChars="0"/>
              <w:jc w:val="center"/>
              <w:textAlignment w:val="baseline"/>
              <w:rPr>
                <w:rFonts w:hint="default" w:ascii="宋体" w:hAnsi="宋体" w:eastAsia="宋体" w:cs="宋体"/>
                <w:color w:val="auto"/>
                <w:kern w:val="2"/>
                <w:sz w:val="21"/>
                <w:szCs w:val="21"/>
                <w:highlight w:val="none"/>
                <w:lang w:val="en-US" w:eastAsia="zh-CN" w:bidi="ar-SA"/>
              </w:rPr>
            </w:pPr>
            <w:r>
              <w:rPr>
                <w:rFonts w:hint="eastAsia"/>
                <w:color w:val="auto"/>
                <w:highlight w:val="none"/>
                <w:lang w:eastAsia="zh-CN"/>
              </w:rPr>
              <w:t>国家税务总局来宾市兴宾区税务局2024年非执法类辅助性服务采购项目</w:t>
            </w:r>
          </w:p>
        </w:tc>
        <w:tc>
          <w:tcPr>
            <w:tcW w:w="818" w:type="dxa"/>
            <w:noWrap w:val="0"/>
            <w:vAlign w:val="center"/>
          </w:tcPr>
          <w:p w14:paraId="0425034D">
            <w:pPr>
              <w:keepNext w:val="0"/>
              <w:keepLines w:val="0"/>
              <w:pageBreakBefore w:val="0"/>
              <w:widowControl/>
              <w:kinsoku/>
              <w:wordWrap/>
              <w:overflowPunct w:val="0"/>
              <w:topLinePunct w:val="0"/>
              <w:autoSpaceDE w:val="0"/>
              <w:autoSpaceDN w:val="0"/>
              <w:bidi w:val="0"/>
              <w:adjustRightInd w:val="0"/>
              <w:spacing w:line="360" w:lineRule="auto"/>
              <w:ind w:left="0" w:leftChars="0"/>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w:t>
            </w:r>
          </w:p>
        </w:tc>
        <w:tc>
          <w:tcPr>
            <w:tcW w:w="6787" w:type="dxa"/>
            <w:noWrap w:val="0"/>
            <w:vAlign w:val="top"/>
          </w:tcPr>
          <w:p w14:paraId="5BB0C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2" w:firstLineChars="200"/>
              <w:jc w:val="both"/>
              <w:textAlignment w:val="auto"/>
              <w:outlineLvl w:val="0"/>
              <w:rPr>
                <w:rFonts w:hint="eastAsia" w:ascii="宋体" w:hAnsi="宋体" w:eastAsia="宋体" w:cs="宋体"/>
                <w:b/>
                <w:bCs w:val="0"/>
                <w:iCs/>
                <w:color w:val="auto"/>
                <w:sz w:val="21"/>
                <w:szCs w:val="21"/>
                <w:highlight w:val="none"/>
              </w:rPr>
            </w:pPr>
            <w:r>
              <w:rPr>
                <w:rFonts w:hint="eastAsia" w:ascii="宋体" w:hAnsi="宋体" w:eastAsia="宋体" w:cs="宋体"/>
                <w:b/>
                <w:bCs w:val="0"/>
                <w:iCs/>
                <w:color w:val="auto"/>
                <w:kern w:val="2"/>
                <w:sz w:val="21"/>
                <w:szCs w:val="21"/>
                <w:highlight w:val="none"/>
                <w:lang w:val="en-US" w:eastAsia="zh-CN" w:bidi="ar-SA"/>
              </w:rPr>
              <w:t>一、</w:t>
            </w:r>
            <w:r>
              <w:rPr>
                <w:rFonts w:hint="eastAsia" w:ascii="宋体" w:hAnsi="宋体" w:eastAsia="宋体" w:cs="宋体"/>
                <w:b/>
                <w:bCs w:val="0"/>
                <w:iCs/>
                <w:color w:val="auto"/>
                <w:sz w:val="21"/>
                <w:szCs w:val="21"/>
                <w:highlight w:val="none"/>
              </w:rPr>
              <w:t>项目概述</w:t>
            </w:r>
          </w:p>
          <w:p w14:paraId="0AD09C67">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1"/>
              <w:rPr>
                <w:rFonts w:hint="eastAsia" w:ascii="宋体" w:hAnsi="宋体" w:eastAsia="宋体" w:cs="宋体"/>
                <w:color w:val="auto"/>
                <w:kern w:val="32"/>
                <w:sz w:val="21"/>
                <w:szCs w:val="21"/>
                <w:highlight w:val="none"/>
              </w:rPr>
            </w:pPr>
            <w:r>
              <w:rPr>
                <w:rFonts w:hint="eastAsia" w:ascii="宋体" w:hAnsi="宋体" w:eastAsia="宋体" w:cs="宋体"/>
                <w:color w:val="auto"/>
                <w:kern w:val="32"/>
                <w:sz w:val="21"/>
                <w:szCs w:val="21"/>
                <w:highlight w:val="none"/>
                <w:lang w:eastAsia="zh-CN"/>
              </w:rPr>
              <w:t>（一）</w:t>
            </w:r>
            <w:r>
              <w:rPr>
                <w:rFonts w:hint="eastAsia" w:ascii="宋体" w:hAnsi="宋体" w:eastAsia="宋体" w:cs="宋体"/>
                <w:color w:val="auto"/>
                <w:kern w:val="32"/>
                <w:sz w:val="21"/>
                <w:szCs w:val="21"/>
                <w:highlight w:val="none"/>
              </w:rPr>
              <w:t>项目背景</w:t>
            </w:r>
          </w:p>
          <w:p w14:paraId="399BF090">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Cs/>
                <w:color w:val="auto"/>
                <w:kern w:val="2"/>
                <w:sz w:val="21"/>
                <w:szCs w:val="21"/>
                <w:highlight w:val="none"/>
                <w:lang w:val="en-US" w:eastAsia="zh-CN" w:bidi="ar-SA"/>
              </w:rPr>
            </w:pPr>
            <w:r>
              <w:rPr>
                <w:rFonts w:hint="eastAsia" w:ascii="宋体" w:hAnsi="宋体" w:eastAsia="宋体" w:cs="宋体"/>
                <w:iCs/>
                <w:color w:val="auto"/>
                <w:kern w:val="2"/>
                <w:sz w:val="21"/>
                <w:szCs w:val="21"/>
                <w:highlight w:val="none"/>
                <w:lang w:val="en-US" w:eastAsia="zh-CN" w:bidi="ar-SA"/>
              </w:rPr>
              <w:t>为满足国家税务总局来宾市兴宾区税务局税收工作需求，保障税收工作顺利开展，进一步优化税收营商环境，为纳税人缴费人提供更加高效、优质的纳税服务，国家税务总局来宾市兴宾区税务局拟采购</w:t>
            </w:r>
            <w:r>
              <w:rPr>
                <w:rFonts w:hint="eastAsia" w:ascii="宋体" w:hAnsi="宋体" w:eastAsia="宋体" w:cs="宋体"/>
                <w:i w:val="0"/>
                <w:iCs w:val="0"/>
                <w:snapToGrid w:val="0"/>
                <w:color w:val="auto"/>
                <w:kern w:val="0"/>
                <w:sz w:val="21"/>
                <w:szCs w:val="21"/>
                <w:highlight w:val="none"/>
                <w:lang w:eastAsia="zh-CN"/>
              </w:rPr>
              <w:t>非执法类办税服务厅辅助服务、非执法类税费管理辅助服务、非执法类综合管理服务、机关后勤服务、档案管理服务。</w:t>
            </w:r>
          </w:p>
          <w:p w14:paraId="186A92A9">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1"/>
              <w:rPr>
                <w:rFonts w:hint="eastAsia" w:ascii="宋体" w:hAnsi="宋体" w:eastAsia="宋体" w:cs="宋体"/>
                <w:color w:val="auto"/>
                <w:kern w:val="32"/>
                <w:sz w:val="21"/>
                <w:szCs w:val="21"/>
                <w:highlight w:val="none"/>
              </w:rPr>
            </w:pPr>
            <w:r>
              <w:rPr>
                <w:rFonts w:hint="eastAsia" w:ascii="宋体" w:hAnsi="宋体" w:eastAsia="宋体" w:cs="宋体"/>
                <w:color w:val="auto"/>
                <w:kern w:val="32"/>
                <w:sz w:val="21"/>
                <w:szCs w:val="21"/>
                <w:highlight w:val="none"/>
              </w:rPr>
              <w:t>（二）项目内容</w:t>
            </w:r>
          </w:p>
          <w:p w14:paraId="784E4E89">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实施地点：</w:t>
            </w:r>
            <w:r>
              <w:rPr>
                <w:rFonts w:hint="eastAsia" w:ascii="宋体" w:hAnsi="宋体" w:eastAsia="宋体" w:cs="宋体"/>
                <w:b w:val="0"/>
                <w:bCs w:val="0"/>
                <w:i w:val="0"/>
                <w:iCs w:val="0"/>
                <w:snapToGrid w:val="0"/>
                <w:color w:val="auto"/>
                <w:kern w:val="0"/>
                <w:sz w:val="21"/>
                <w:szCs w:val="21"/>
                <w:highlight w:val="none"/>
                <w:lang w:val="en-US" w:eastAsia="zh-CN"/>
              </w:rPr>
              <w:t>国家税务总局来宾市兴宾区税务局（维林大道417号）；兴宾区税务局城北分局（中南路271号）；兴宾区税务局第二税务分局（大桥路8号）；兴宾区税务局第一税务分局（来宾市政务中心一楼大厅、兴宾区政务中心一楼大厅）。</w:t>
            </w:r>
          </w:p>
          <w:p w14:paraId="2E127CE9">
            <w:pPr>
              <w:pStyle w:val="31"/>
              <w:keepNext w:val="0"/>
              <w:keepLines w:val="0"/>
              <w:pageBreakBefore w:val="0"/>
              <w:widowControl w:val="0"/>
              <w:kinsoku/>
              <w:wordWrap/>
              <w:overflowPunct/>
              <w:topLinePunct w:val="0"/>
              <w:bidi w:val="0"/>
              <w:snapToGrid/>
              <w:spacing w:line="560" w:lineRule="exact"/>
              <w:ind w:left="0" w:firstLine="420" w:firstLineChars="200"/>
              <w:jc w:val="both"/>
              <w:textAlignment w:val="auto"/>
              <w:rPr>
                <w:rFonts w:hint="default"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t>服务期限：</w:t>
            </w:r>
            <w:r>
              <w:rPr>
                <w:rFonts w:hint="eastAsia" w:ascii="宋体" w:hAnsi="宋体" w:cs="宋体"/>
                <w:iCs/>
                <w:color w:val="auto"/>
                <w:sz w:val="21"/>
                <w:szCs w:val="21"/>
                <w:highlight w:val="none"/>
                <w:lang w:val="en-US" w:eastAsia="zh-CN"/>
              </w:rPr>
              <w:t>1年</w:t>
            </w:r>
          </w:p>
          <w:p w14:paraId="781D6057">
            <w:pPr>
              <w:pStyle w:val="31"/>
              <w:keepNext w:val="0"/>
              <w:keepLines w:val="0"/>
              <w:pageBreakBefore w:val="0"/>
              <w:widowControl w:val="0"/>
              <w:numPr>
                <w:ilvl w:val="0"/>
                <w:numId w:val="0"/>
              </w:numPr>
              <w:kinsoku/>
              <w:wordWrap/>
              <w:overflowPunct/>
              <w:topLinePunct w:val="0"/>
              <w:bidi w:val="0"/>
              <w:snapToGrid/>
              <w:spacing w:line="560" w:lineRule="exact"/>
              <w:ind w:firstLine="420" w:firstLineChars="200"/>
              <w:jc w:val="both"/>
              <w:textAlignment w:val="auto"/>
              <w:outlineLvl w:val="0"/>
              <w:rPr>
                <w:rFonts w:hint="eastAsia" w:ascii="宋体" w:hAnsi="宋体" w:eastAsia="宋体" w:cs="宋体"/>
                <w:color w:val="auto"/>
                <w:kern w:val="44"/>
                <w:sz w:val="21"/>
                <w:szCs w:val="21"/>
                <w:highlight w:val="none"/>
                <w:lang w:eastAsia="zh-CN"/>
              </w:rPr>
            </w:pPr>
          </w:p>
          <w:p w14:paraId="5BD9F940">
            <w:pPr>
              <w:pStyle w:val="31"/>
              <w:keepNext w:val="0"/>
              <w:keepLines w:val="0"/>
              <w:pageBreakBefore w:val="0"/>
              <w:widowControl w:val="0"/>
              <w:numPr>
                <w:ilvl w:val="0"/>
                <w:numId w:val="0"/>
              </w:numPr>
              <w:kinsoku/>
              <w:wordWrap/>
              <w:overflowPunct/>
              <w:topLinePunct w:val="0"/>
              <w:bidi w:val="0"/>
              <w:snapToGrid/>
              <w:spacing w:line="560" w:lineRule="exact"/>
              <w:ind w:firstLine="422" w:firstLineChars="200"/>
              <w:jc w:val="both"/>
              <w:textAlignment w:val="auto"/>
              <w:outlineLvl w:val="0"/>
              <w:rPr>
                <w:rFonts w:hint="eastAsia" w:ascii="宋体" w:hAnsi="宋体" w:eastAsia="宋体" w:cs="宋体"/>
                <w:b/>
                <w:bCs w:val="0"/>
                <w:color w:val="auto"/>
                <w:kern w:val="44"/>
                <w:sz w:val="21"/>
                <w:szCs w:val="21"/>
                <w:highlight w:val="none"/>
              </w:rPr>
            </w:pPr>
            <w:r>
              <w:rPr>
                <w:rFonts w:hint="eastAsia" w:ascii="宋体" w:hAnsi="宋体" w:eastAsia="宋体" w:cs="宋体"/>
                <w:b/>
                <w:bCs w:val="0"/>
                <w:color w:val="auto"/>
                <w:kern w:val="44"/>
                <w:sz w:val="21"/>
                <w:szCs w:val="21"/>
                <w:highlight w:val="none"/>
                <w:lang w:val="en-US" w:eastAsia="zh-CN"/>
              </w:rPr>
              <w:t>二</w:t>
            </w:r>
            <w:r>
              <w:rPr>
                <w:rFonts w:hint="eastAsia" w:ascii="宋体" w:hAnsi="宋体" w:eastAsia="宋体" w:cs="宋体"/>
                <w:b/>
                <w:bCs w:val="0"/>
                <w:color w:val="auto"/>
                <w:kern w:val="44"/>
                <w:sz w:val="21"/>
                <w:szCs w:val="21"/>
                <w:highlight w:val="none"/>
                <w:lang w:eastAsia="zh-CN"/>
              </w:rPr>
              <w:t>、</w:t>
            </w:r>
            <w:r>
              <w:rPr>
                <w:rFonts w:hint="eastAsia" w:ascii="宋体" w:hAnsi="宋体" w:eastAsia="宋体" w:cs="宋体"/>
                <w:b/>
                <w:bCs w:val="0"/>
                <w:color w:val="auto"/>
                <w:kern w:val="44"/>
                <w:sz w:val="21"/>
                <w:szCs w:val="21"/>
                <w:highlight w:val="none"/>
              </w:rPr>
              <w:t>项目需求</w:t>
            </w:r>
          </w:p>
          <w:p w14:paraId="76F92BF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为更好地保障税收工作的开展，结合</w:t>
            </w:r>
            <w:r>
              <w:rPr>
                <w:rFonts w:hint="eastAsia" w:ascii="宋体" w:hAnsi="宋体" w:eastAsia="宋体" w:cs="宋体"/>
                <w:iCs/>
                <w:color w:val="auto"/>
                <w:kern w:val="2"/>
                <w:sz w:val="21"/>
                <w:szCs w:val="21"/>
                <w:highlight w:val="none"/>
                <w:lang w:val="en-US" w:eastAsia="zh-CN" w:bidi="ar-SA"/>
              </w:rPr>
              <w:t>国家税务总局来宾市兴宾区税务局</w:t>
            </w:r>
            <w:r>
              <w:rPr>
                <w:rFonts w:hint="eastAsia" w:ascii="宋体" w:hAnsi="宋体" w:eastAsia="宋体" w:cs="宋体"/>
                <w:iCs/>
                <w:color w:val="auto"/>
                <w:sz w:val="21"/>
                <w:szCs w:val="21"/>
                <w:highlight w:val="none"/>
                <w:lang w:val="en-US" w:eastAsia="zh-CN"/>
              </w:rPr>
              <w:t>实际情况，拟</w:t>
            </w:r>
            <w:r>
              <w:rPr>
                <w:rFonts w:hint="eastAsia" w:ascii="宋体" w:hAnsi="宋体" w:eastAsia="宋体" w:cs="宋体"/>
                <w:iCs/>
                <w:color w:val="auto"/>
                <w:kern w:val="2"/>
                <w:sz w:val="21"/>
                <w:szCs w:val="21"/>
                <w:highlight w:val="none"/>
                <w:lang w:val="en-US" w:eastAsia="zh-CN" w:bidi="ar-SA"/>
              </w:rPr>
              <w:t>采购</w:t>
            </w:r>
            <w:r>
              <w:rPr>
                <w:rFonts w:hint="eastAsia" w:ascii="宋体" w:hAnsi="宋体" w:eastAsia="宋体" w:cs="宋体"/>
                <w:i w:val="0"/>
                <w:iCs w:val="0"/>
                <w:snapToGrid w:val="0"/>
                <w:color w:val="auto"/>
                <w:kern w:val="0"/>
                <w:sz w:val="21"/>
                <w:szCs w:val="21"/>
                <w:highlight w:val="none"/>
                <w:lang w:eastAsia="zh-CN"/>
              </w:rPr>
              <w:t>非执法类办税服务厅辅助服务、非执法类税费管理辅助服务、非执法类综合管理服务、机关后勤服务、档案管理服务</w:t>
            </w:r>
            <w:r>
              <w:rPr>
                <w:rFonts w:hint="eastAsia" w:ascii="宋体" w:hAnsi="宋体" w:eastAsia="宋体" w:cs="宋体"/>
                <w:iCs/>
                <w:color w:val="auto"/>
                <w:sz w:val="21"/>
                <w:szCs w:val="21"/>
                <w:highlight w:val="none"/>
                <w:lang w:val="en-US" w:eastAsia="zh-CN"/>
              </w:rPr>
              <w:t>。具体需求如下：</w:t>
            </w:r>
          </w:p>
          <w:p w14:paraId="06167695">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bidi="ar-SA"/>
              </w:rPr>
            </w:pPr>
            <w:r>
              <w:rPr>
                <w:rFonts w:hint="eastAsia" w:ascii="宋体" w:hAnsi="宋体" w:eastAsia="宋体" w:cs="宋体"/>
                <w:b/>
                <w:bCs/>
                <w:i w:val="0"/>
                <w:iCs w:val="0"/>
                <w:snapToGrid w:val="0"/>
                <w:color w:val="auto"/>
                <w:kern w:val="0"/>
                <w:sz w:val="21"/>
                <w:szCs w:val="21"/>
                <w:highlight w:val="none"/>
                <w:lang w:val="en-US" w:eastAsia="zh-CN" w:bidi="ar-SA"/>
              </w:rPr>
              <w:t>（一）非执法类办税服务厅辅助服务</w:t>
            </w:r>
          </w:p>
          <w:p w14:paraId="39AD9EF8">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1.提供纳税咨询服务，</w:t>
            </w:r>
            <w:r>
              <w:rPr>
                <w:rFonts w:hint="eastAsia" w:ascii="宋体" w:hAnsi="宋体" w:eastAsia="宋体" w:cs="宋体"/>
                <w:i w:val="0"/>
                <w:iCs w:val="0"/>
                <w:snapToGrid w:val="0"/>
                <w:color w:val="auto"/>
                <w:kern w:val="0"/>
                <w:sz w:val="21"/>
                <w:szCs w:val="21"/>
                <w:highlight w:val="none"/>
                <w:lang w:val="en-US" w:eastAsia="zh-CN"/>
              </w:rPr>
              <w:t>通过对外电话、办税平台、税企微信群等，线上线下为纳税人提供涉税业务办理操作的咨询服务，如业务、系统、</w:t>
            </w:r>
            <w:r>
              <w:rPr>
                <w:rFonts w:hint="eastAsia" w:ascii="宋体" w:hAnsi="宋体" w:eastAsia="宋体" w:cs="宋体"/>
                <w:i w:val="0"/>
                <w:iCs w:val="0"/>
                <w:snapToGrid w:val="0"/>
                <w:color w:val="auto"/>
                <w:kern w:val="0"/>
                <w:sz w:val="21"/>
                <w:szCs w:val="21"/>
                <w:highlight w:val="none"/>
                <w:u w:val="none"/>
                <w:lang w:val="en-US" w:eastAsia="zh-CN"/>
              </w:rPr>
              <w:t>操作</w:t>
            </w:r>
            <w:r>
              <w:rPr>
                <w:rFonts w:hint="eastAsia" w:ascii="宋体" w:hAnsi="宋体" w:eastAsia="宋体" w:cs="宋体"/>
                <w:i w:val="0"/>
                <w:iCs w:val="0"/>
                <w:snapToGrid w:val="0"/>
                <w:color w:val="auto"/>
                <w:kern w:val="0"/>
                <w:sz w:val="21"/>
                <w:szCs w:val="21"/>
                <w:highlight w:val="none"/>
                <w:lang w:val="en-US" w:eastAsia="zh-CN"/>
              </w:rPr>
              <w:t>等层面任何与网上办税平台有关的咨询服务；解答纳税人缴费人办税(费)过程中遇到的税务问题，增进纳税人缴费人权利与义务对等观念，提高纳税人缴费人诚信纳税意识</w:t>
            </w:r>
            <w:r>
              <w:rPr>
                <w:rFonts w:hint="eastAsia" w:ascii="宋体" w:hAnsi="宋体" w:eastAsia="宋体" w:cs="宋体"/>
                <w:i w:val="0"/>
                <w:iCs w:val="0"/>
                <w:snapToGrid w:val="0"/>
                <w:color w:val="auto"/>
                <w:kern w:val="0"/>
                <w:sz w:val="21"/>
                <w:szCs w:val="21"/>
                <w:highlight w:val="none"/>
                <w:lang w:val="en-US" w:eastAsia="zh-CN" w:bidi="ar-SA"/>
              </w:rPr>
              <w:t>。</w:t>
            </w:r>
          </w:p>
          <w:p w14:paraId="121F5F06">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2.提供导税服务，根</w:t>
            </w:r>
            <w:r>
              <w:rPr>
                <w:rFonts w:hint="eastAsia" w:ascii="宋体" w:hAnsi="宋体" w:eastAsia="宋体" w:cs="宋体"/>
                <w:i w:val="0"/>
                <w:iCs w:val="0"/>
                <w:snapToGrid w:val="0"/>
                <w:color w:val="auto"/>
                <w:kern w:val="0"/>
                <w:sz w:val="21"/>
                <w:szCs w:val="21"/>
                <w:highlight w:val="none"/>
                <w:lang w:val="en-US" w:eastAsia="zh-CN"/>
              </w:rPr>
              <w:t>据纳税人缴费人的业务需求，主动为纳税人提供准确引导，积极响应进厅纳税人的办税需求，合理有效分流人员；引导纳税人缴费人前往正确的涉税窗口办理业务；根据纳税人缴费人的业务需要为其提供相应的办税表单</w:t>
            </w:r>
            <w:r>
              <w:rPr>
                <w:rFonts w:hint="eastAsia" w:ascii="宋体" w:hAnsi="宋体" w:eastAsia="宋体" w:cs="宋体"/>
                <w:i w:val="0"/>
                <w:iCs w:val="0"/>
                <w:snapToGrid w:val="0"/>
                <w:color w:val="auto"/>
                <w:kern w:val="0"/>
                <w:sz w:val="21"/>
                <w:szCs w:val="21"/>
                <w:highlight w:val="none"/>
                <w:lang w:val="en-US" w:eastAsia="zh-CN" w:bidi="ar-SA"/>
              </w:rPr>
              <w:t>。</w:t>
            </w:r>
          </w:p>
          <w:p w14:paraId="64AA89B5">
            <w:pPr>
              <w:pStyle w:val="33"/>
              <w:keepNext w:val="0"/>
              <w:keepLines w:val="0"/>
              <w:pageBreakBefore w:val="0"/>
              <w:widowControl/>
              <w:kinsoku/>
              <w:wordWrap/>
              <w:overflowPunct/>
              <w:topLinePunct w:val="0"/>
              <w:autoSpaceDE/>
              <w:autoSpaceDN/>
              <w:bidi w:val="0"/>
              <w:adjustRightInd/>
              <w:snapToGrid/>
              <w:spacing w:beforeLines="0" w:afterLines="0"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bidi="ar-SA"/>
              </w:rPr>
              <w:t>3.优化自助服务区功能，</w:t>
            </w:r>
            <w:r>
              <w:rPr>
                <w:rFonts w:hint="eastAsia" w:ascii="宋体" w:hAnsi="宋体" w:eastAsia="宋体" w:cs="宋体"/>
                <w:i w:val="0"/>
                <w:iCs w:val="0"/>
                <w:snapToGrid w:val="0"/>
                <w:color w:val="auto"/>
                <w:kern w:val="0"/>
                <w:sz w:val="21"/>
                <w:szCs w:val="21"/>
                <w:highlight w:val="none"/>
                <w:lang w:val="en-US" w:eastAsia="zh-CN"/>
              </w:rPr>
              <w:t>引导纳税人到自助办税区办理各项涉税事项，对纳税人进行合理引导；辅导纳税人填写涉税资料和自助办税；巡视自助办税服务区，主动辅导纳税人使用自助办税设备等。</w:t>
            </w:r>
          </w:p>
          <w:p w14:paraId="64B4B438">
            <w:pPr>
              <w:keepNext w:val="0"/>
              <w:keepLines w:val="0"/>
              <w:pageBreakBefore w:val="0"/>
              <w:kinsoku/>
              <w:topLinePunct w:val="0"/>
              <w:bidi w:val="0"/>
              <w:spacing w:line="56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 w:val="0"/>
                <w:iCs w:val="0"/>
                <w:snapToGrid w:val="0"/>
                <w:color w:val="auto"/>
                <w:kern w:val="0"/>
                <w:sz w:val="21"/>
                <w:szCs w:val="21"/>
                <w:highlight w:val="none"/>
                <w:lang w:val="en-US" w:eastAsia="zh-CN" w:bidi="ar-SA"/>
              </w:rPr>
              <w:t>4.</w:t>
            </w:r>
            <w:r>
              <w:rPr>
                <w:rFonts w:hint="eastAsia" w:ascii="宋体" w:hAnsi="宋体" w:eastAsia="宋体" w:cs="宋体"/>
                <w:b w:val="0"/>
                <w:bCs w:val="0"/>
                <w:color w:val="auto"/>
                <w:sz w:val="21"/>
                <w:szCs w:val="21"/>
                <w:highlight w:val="none"/>
                <w:lang w:val="en-US" w:eastAsia="zh-CN"/>
              </w:rPr>
              <w:t>提供“亲情陪办”服务，为进厅办事的纳税人缴费人提供“亲情陪办”服务，陪伴岗“亲情陪办员”佩戴蓝牌，自助办税区“亲情陪办员”佩戴绿牌，提高纳税人满意度。</w:t>
            </w:r>
          </w:p>
          <w:p w14:paraId="3EDB9AE7">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bidi="ar-SA"/>
              </w:rPr>
            </w:pPr>
            <w:r>
              <w:rPr>
                <w:rFonts w:hint="eastAsia" w:ascii="宋体" w:hAnsi="宋体" w:eastAsia="宋体" w:cs="宋体"/>
                <w:b/>
                <w:bCs/>
                <w:i w:val="0"/>
                <w:iCs w:val="0"/>
                <w:snapToGrid w:val="0"/>
                <w:color w:val="auto"/>
                <w:kern w:val="0"/>
                <w:sz w:val="21"/>
                <w:szCs w:val="21"/>
                <w:highlight w:val="none"/>
                <w:lang w:val="en-US" w:eastAsia="zh-CN" w:bidi="ar-SA"/>
              </w:rPr>
              <w:t>（二）非执法类税费管理辅助服务</w:t>
            </w:r>
          </w:p>
          <w:p w14:paraId="6EF8EB00">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1.税费咨询辅导，</w:t>
            </w:r>
            <w:r>
              <w:rPr>
                <w:rFonts w:hint="eastAsia" w:ascii="宋体" w:hAnsi="宋体" w:eastAsia="宋体" w:cs="宋体"/>
                <w:i w:val="0"/>
                <w:iCs w:val="0"/>
                <w:snapToGrid w:val="0"/>
                <w:color w:val="auto"/>
                <w:kern w:val="0"/>
                <w:sz w:val="21"/>
                <w:szCs w:val="21"/>
                <w:highlight w:val="none"/>
                <w:lang w:val="en-US" w:eastAsia="zh-CN"/>
              </w:rPr>
              <w:t>辅导纳税人缴费人进行相关表单的正确填写；引导纳税人缴费人使用广西电子税务局、自然人电子税务局或其他自助办税渠道，办理个税申报、缴纳税款、发票代开、存款账号报告、完税证明打印等相关涉税业务，提高纳税人缴费人的网上办事意识。</w:t>
            </w:r>
          </w:p>
          <w:p w14:paraId="5B8BD79E">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2.协助税费管理员做好税收宣传，非税收入政策宣传，通过固定组织宣传辅导工作，有效引导有需求的纳税人在固定时间、固定场所获取相应服务。</w:t>
            </w:r>
          </w:p>
          <w:p w14:paraId="54838C3B">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3.探索推进各类政策个性化精准服务，协助梳理关于新电子税务局、数电票热点问题、当前纳税人关注热点问题，借助多元化渠道实施精确答复。</w:t>
            </w:r>
          </w:p>
          <w:p w14:paraId="46E8397D">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bidi="ar-SA"/>
              </w:rPr>
            </w:pPr>
            <w:r>
              <w:rPr>
                <w:rFonts w:hint="eastAsia" w:ascii="宋体" w:hAnsi="宋体" w:eastAsia="宋体" w:cs="宋体"/>
                <w:b/>
                <w:bCs/>
                <w:i w:val="0"/>
                <w:iCs w:val="0"/>
                <w:snapToGrid w:val="0"/>
                <w:color w:val="auto"/>
                <w:kern w:val="0"/>
                <w:sz w:val="21"/>
                <w:szCs w:val="21"/>
                <w:highlight w:val="none"/>
                <w:lang w:val="en-US" w:eastAsia="zh-CN" w:bidi="ar-SA"/>
              </w:rPr>
              <w:t>（三）非执法类综合管理服务</w:t>
            </w:r>
          </w:p>
          <w:p w14:paraId="7011831B">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bidi="ar-SA"/>
              </w:rPr>
              <w:t>负责统筹协调（一）、（二）项服务的管理人员，以分组的形式，协调、管理、指导本组组员更好地为纳税人缴费人提供服务，以及征管资料的整理归档及其他工作。</w:t>
            </w:r>
          </w:p>
          <w:p w14:paraId="2523F9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bidi="ar-SA"/>
              </w:rPr>
            </w:pPr>
            <w:r>
              <w:rPr>
                <w:rFonts w:hint="eastAsia" w:ascii="宋体" w:hAnsi="宋体" w:eastAsia="宋体" w:cs="宋体"/>
                <w:b/>
                <w:bCs/>
                <w:i w:val="0"/>
                <w:iCs w:val="0"/>
                <w:snapToGrid w:val="0"/>
                <w:color w:val="auto"/>
                <w:kern w:val="0"/>
                <w:sz w:val="21"/>
                <w:szCs w:val="21"/>
                <w:highlight w:val="none"/>
                <w:lang w:val="en-US" w:eastAsia="zh-CN" w:bidi="ar-SA"/>
              </w:rPr>
              <w:t>（四）机关后勤服务</w:t>
            </w:r>
          </w:p>
          <w:p w14:paraId="1CD834D1">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bidi="ar-SA"/>
              </w:rPr>
            </w:pPr>
            <w:r>
              <w:rPr>
                <w:rFonts w:hint="eastAsia" w:ascii="宋体" w:hAnsi="宋体" w:eastAsia="宋体" w:cs="宋体"/>
                <w:b/>
                <w:bCs/>
                <w:i w:val="0"/>
                <w:iCs w:val="0"/>
                <w:snapToGrid w:val="0"/>
                <w:color w:val="auto"/>
                <w:kern w:val="0"/>
                <w:sz w:val="21"/>
                <w:szCs w:val="21"/>
                <w:highlight w:val="none"/>
                <w:lang w:val="en-US" w:eastAsia="zh-CN"/>
              </w:rPr>
              <w:t>1.</w:t>
            </w:r>
            <w:r>
              <w:rPr>
                <w:rFonts w:hint="eastAsia" w:ascii="宋体" w:hAnsi="宋体" w:eastAsia="宋体" w:cs="宋体"/>
                <w:b/>
                <w:bCs/>
                <w:i w:val="0"/>
                <w:iCs w:val="0"/>
                <w:snapToGrid w:val="0"/>
                <w:color w:val="auto"/>
                <w:kern w:val="0"/>
                <w:sz w:val="21"/>
                <w:szCs w:val="21"/>
                <w:highlight w:val="none"/>
                <w:lang w:val="en-US" w:eastAsia="zh-CN" w:bidi="ar-SA"/>
              </w:rPr>
              <w:t>司勤服务</w:t>
            </w:r>
          </w:p>
          <w:p w14:paraId="5636DF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（1）提供车辆驾驶服务，</w:t>
            </w:r>
            <w:r>
              <w:rPr>
                <w:rFonts w:hint="eastAsia" w:ascii="宋体" w:hAnsi="宋体" w:eastAsia="宋体" w:cs="宋体"/>
                <w:b w:val="0"/>
                <w:bCs w:val="0"/>
                <w:color w:val="auto"/>
                <w:sz w:val="21"/>
                <w:szCs w:val="21"/>
                <w:highlight w:val="none"/>
                <w:lang w:val="en-US" w:eastAsia="zh-CN"/>
              </w:rPr>
              <w:t>出车准时，随叫随到；行车时严格遵守交通规则，确保行车安全，</w:t>
            </w:r>
            <w:r>
              <w:rPr>
                <w:rFonts w:hint="eastAsia" w:ascii="宋体" w:hAnsi="宋体" w:eastAsia="宋体" w:cs="宋体"/>
                <w:b w:val="0"/>
                <w:bCs w:val="0"/>
                <w:color w:val="auto"/>
                <w:sz w:val="21"/>
                <w:szCs w:val="21"/>
                <w:highlight w:val="none"/>
              </w:rPr>
              <w:t>选择最合理的线路行车，以保证准确、快速的将乘车人送至目的地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i w:val="0"/>
                <w:iCs w:val="0"/>
                <w:snapToGrid w:val="0"/>
                <w:color w:val="auto"/>
                <w:kern w:val="0"/>
                <w:sz w:val="21"/>
                <w:szCs w:val="21"/>
                <w:highlight w:val="none"/>
                <w:lang w:val="en-US" w:eastAsia="zh-CN"/>
              </w:rPr>
              <w:t>爱护车辆，保管好各类证件，按有关规定检查和保养车辆，</w:t>
            </w:r>
            <w:r>
              <w:rPr>
                <w:rFonts w:hint="eastAsia" w:ascii="宋体" w:hAnsi="宋体" w:eastAsia="宋体" w:cs="宋体"/>
                <w:b w:val="0"/>
                <w:bCs w:val="0"/>
                <w:color w:val="auto"/>
                <w:sz w:val="21"/>
                <w:szCs w:val="21"/>
                <w:highlight w:val="none"/>
              </w:rPr>
              <w:t>出车前对车辆进行检查，</w:t>
            </w:r>
            <w:r>
              <w:rPr>
                <w:rFonts w:hint="eastAsia" w:ascii="宋体" w:hAnsi="宋体" w:eastAsia="宋体" w:cs="宋体"/>
                <w:i w:val="0"/>
                <w:iCs w:val="0"/>
                <w:snapToGrid w:val="0"/>
                <w:color w:val="auto"/>
                <w:kern w:val="0"/>
                <w:sz w:val="21"/>
                <w:szCs w:val="21"/>
                <w:highlight w:val="none"/>
                <w:lang w:val="en-US" w:eastAsia="zh-CN"/>
              </w:rPr>
              <w:t>每次使用车辆后要保持车辆清洁、车况良好。</w:t>
            </w:r>
          </w:p>
          <w:p w14:paraId="7A94CF7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工作期间不得擅自离岗，不得迟到、早退、旷工（按照本单位规定的上班时间执行），如遇特殊情景，必须提前请假。具有吃苦耐劳精神，能无条件服从采购人岗位安排及调整和正常工作时间外的值班、加班安排。</w:t>
            </w:r>
          </w:p>
          <w:p w14:paraId="034D3D58">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按照规定加油和进行车辆维修，如有违反规定的，除退回违反规定的价款外，另视情节轻重，处相应的赔偿。</w:t>
            </w:r>
          </w:p>
          <w:p w14:paraId="41B4C943">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司勤服务人员必须遵守国家的交通法规等有关条例，若出现由司勤服务人员本人造成的违章（如闯红灯、不按规定路线行驶、超速等），由本人承担罚款和相应的记分。</w:t>
            </w:r>
          </w:p>
          <w:p w14:paraId="16B998C1">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bidi="ar-SA"/>
              </w:rPr>
            </w:pPr>
            <w:r>
              <w:rPr>
                <w:rFonts w:hint="eastAsia" w:ascii="宋体" w:hAnsi="宋体" w:eastAsia="宋体" w:cs="宋体"/>
                <w:b/>
                <w:bCs/>
                <w:i w:val="0"/>
                <w:iCs w:val="0"/>
                <w:snapToGrid w:val="0"/>
                <w:color w:val="auto"/>
                <w:kern w:val="0"/>
                <w:sz w:val="21"/>
                <w:szCs w:val="21"/>
                <w:highlight w:val="none"/>
                <w:lang w:val="en-US" w:eastAsia="zh-CN" w:bidi="ar-SA"/>
              </w:rPr>
              <w:t>2.会议服务</w:t>
            </w:r>
          </w:p>
          <w:p w14:paraId="415FED4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rPr>
              <w:t>（1）</w:t>
            </w:r>
            <w:r>
              <w:rPr>
                <w:rFonts w:hint="eastAsia" w:ascii="宋体" w:hAnsi="宋体" w:eastAsia="宋体" w:cs="宋体"/>
                <w:i w:val="0"/>
                <w:iCs w:val="0"/>
                <w:snapToGrid w:val="0"/>
                <w:color w:val="auto"/>
                <w:kern w:val="0"/>
                <w:sz w:val="21"/>
                <w:szCs w:val="21"/>
                <w:highlight w:val="none"/>
                <w:lang w:val="en-US" w:eastAsia="zh-CN" w:bidi="ar-SA"/>
              </w:rPr>
              <w:t>会务人员要明确主办部门、会议名称、内容、召开时间、地点、参会人员范围和人数；根据会议承办部门要求布置会场。协助布置会标、横幅、会议桌椅摆放，摆放主席台领导座次、发言席。</w:t>
            </w:r>
          </w:p>
          <w:p w14:paraId="0E594E84">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rPr>
              <w:t>（2）</w:t>
            </w:r>
            <w:r>
              <w:rPr>
                <w:rFonts w:hint="eastAsia" w:ascii="宋体" w:hAnsi="宋体" w:eastAsia="宋体" w:cs="宋体"/>
                <w:i w:val="0"/>
                <w:iCs w:val="0"/>
                <w:snapToGrid w:val="0"/>
                <w:color w:val="auto"/>
                <w:kern w:val="0"/>
                <w:sz w:val="21"/>
                <w:szCs w:val="21"/>
                <w:highlight w:val="none"/>
                <w:lang w:val="en-US" w:eastAsia="zh-CN" w:bidi="ar-SA"/>
              </w:rPr>
              <w:t>会场茶杯摆放整齐、规范，茶水准备充分；做好会场卫生,保证会场干净整洁﹐秩序井然有序；检查会场照明、通风、空调等设施是否正常运行。</w:t>
            </w:r>
          </w:p>
          <w:p w14:paraId="30F45FC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rPr>
              <w:t>（3）</w:t>
            </w:r>
            <w:r>
              <w:rPr>
                <w:rFonts w:hint="eastAsia" w:ascii="宋体" w:hAnsi="宋体" w:eastAsia="宋体" w:cs="宋体"/>
                <w:i w:val="0"/>
                <w:iCs w:val="0"/>
                <w:snapToGrid w:val="0"/>
                <w:color w:val="auto"/>
                <w:kern w:val="0"/>
                <w:sz w:val="21"/>
                <w:szCs w:val="21"/>
                <w:highlight w:val="none"/>
                <w:lang w:val="en-US" w:eastAsia="zh-CN" w:bidi="ar-SA"/>
              </w:rPr>
              <w:t>会务人员提前30分钟到达会场﹐</w:t>
            </w:r>
            <w:r>
              <w:rPr>
                <w:rFonts w:hint="eastAsia" w:ascii="宋体" w:hAnsi="宋体" w:eastAsia="宋体" w:cs="宋体"/>
                <w:b w:val="0"/>
                <w:bCs w:val="0"/>
                <w:color w:val="auto"/>
                <w:sz w:val="21"/>
                <w:szCs w:val="21"/>
                <w:highlight w:val="none"/>
                <w:lang w:eastAsia="zh-CN"/>
              </w:rPr>
              <w:t>保持良好的工作状态和仪容、仪表，</w:t>
            </w:r>
            <w:r>
              <w:rPr>
                <w:rFonts w:hint="eastAsia" w:ascii="宋体" w:hAnsi="宋体" w:eastAsia="宋体" w:cs="宋体"/>
                <w:i w:val="0"/>
                <w:iCs w:val="0"/>
                <w:snapToGrid w:val="0"/>
                <w:color w:val="auto"/>
                <w:kern w:val="0"/>
                <w:sz w:val="21"/>
                <w:szCs w:val="21"/>
                <w:highlight w:val="none"/>
                <w:lang w:val="en-US" w:eastAsia="zh-CN" w:bidi="ar-SA"/>
              </w:rPr>
              <w:t>做好茶水供应工作，做好会务准备及引导服务工作、协助维持会场秩序；服务时有礼貌、步伐轻盈、面带微笑、操作规范。</w:t>
            </w:r>
          </w:p>
          <w:p w14:paraId="332F4DF9">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rPr>
              <w:t>（4）</w:t>
            </w:r>
            <w:r>
              <w:rPr>
                <w:rFonts w:hint="eastAsia" w:ascii="宋体" w:hAnsi="宋体" w:eastAsia="宋体" w:cs="宋体"/>
                <w:i w:val="0"/>
                <w:iCs w:val="0"/>
                <w:snapToGrid w:val="0"/>
                <w:color w:val="auto"/>
                <w:kern w:val="0"/>
                <w:sz w:val="21"/>
                <w:szCs w:val="21"/>
                <w:highlight w:val="none"/>
                <w:lang w:val="en-US" w:eastAsia="zh-CN" w:bidi="ar-SA"/>
              </w:rPr>
              <w:t>会场实行专人负责，并按照要求及时到位，每30分钟添加一次茶水，遵守会场纪律、对会议内容保密。</w:t>
            </w:r>
          </w:p>
          <w:p w14:paraId="7414EC44">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rPr>
              <w:t>（5）</w:t>
            </w:r>
            <w:r>
              <w:rPr>
                <w:rFonts w:hint="eastAsia" w:ascii="宋体" w:hAnsi="宋体" w:eastAsia="宋体" w:cs="宋体"/>
                <w:i w:val="0"/>
                <w:iCs w:val="0"/>
                <w:snapToGrid w:val="0"/>
                <w:color w:val="auto"/>
                <w:kern w:val="0"/>
                <w:sz w:val="21"/>
                <w:szCs w:val="21"/>
                <w:highlight w:val="none"/>
                <w:lang w:val="en-US" w:eastAsia="zh-CN" w:bidi="ar-SA"/>
              </w:rPr>
              <w:t>清理会场，收拾茶杯、座牌，检查会场遗落的物品，并及时上交承办会议股室工作人员；清洗茶杯，要求无污垢，无印记，并进行消毒，整齐摆放；关闭空调、门窗。</w:t>
            </w:r>
          </w:p>
          <w:p w14:paraId="4184811F">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bidi="ar-SA"/>
              </w:rPr>
            </w:pPr>
            <w:r>
              <w:rPr>
                <w:rFonts w:hint="eastAsia" w:ascii="宋体" w:hAnsi="宋体" w:eastAsia="宋体" w:cs="宋体"/>
                <w:b/>
                <w:bCs/>
                <w:i w:val="0"/>
                <w:iCs w:val="0"/>
                <w:snapToGrid w:val="0"/>
                <w:color w:val="auto"/>
                <w:kern w:val="0"/>
                <w:sz w:val="21"/>
                <w:szCs w:val="21"/>
                <w:highlight w:val="none"/>
                <w:lang w:val="en-US" w:eastAsia="zh-CN" w:bidi="ar-SA"/>
              </w:rPr>
              <w:t>（五）档案管理服务</w:t>
            </w:r>
          </w:p>
          <w:p w14:paraId="7206A44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1.负责一般文件资料的起草、打印。</w:t>
            </w:r>
          </w:p>
          <w:p w14:paraId="528A6573">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2.负责电子邮件、传真的收发管理工作。</w:t>
            </w:r>
          </w:p>
          <w:p w14:paraId="2BCD59F4">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3.负责各类档案的接手、整理、保管和统计工作。</w:t>
            </w:r>
          </w:p>
          <w:p w14:paraId="51009EBB">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4.负责档案的借阅，使用的记录。</w:t>
            </w:r>
          </w:p>
          <w:p w14:paraId="4216BAC1">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5.负责归档文件的验收、鉴定，做到归档文件完整，签署齐全，装订整齐，分类科学，使用方便。</w:t>
            </w:r>
          </w:p>
          <w:p w14:paraId="099AD5A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6.定期清查档案，做到账物相符。</w:t>
            </w:r>
          </w:p>
          <w:p w14:paraId="1F5164E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7.负责做好办公室安排的临时协助工作。</w:t>
            </w:r>
          </w:p>
          <w:p w14:paraId="46026FFE">
            <w:pPr>
              <w:pStyle w:val="16"/>
              <w:keepNext w:val="0"/>
              <w:keepLines w:val="0"/>
              <w:pageBreakBefore w:val="0"/>
              <w:widowControl w:val="0"/>
              <w:numPr>
                <w:ilvl w:val="0"/>
                <w:numId w:val="0"/>
              </w:numPr>
              <w:kinsoku/>
              <w:wordWrap/>
              <w:overflowPunct/>
              <w:topLinePunct w:val="0"/>
              <w:bidi w:val="0"/>
              <w:snapToGrid/>
              <w:spacing w:before="0" w:after="0" w:line="560" w:lineRule="exact"/>
              <w:ind w:firstLine="422" w:firstLineChars="200"/>
              <w:contextualSpacing/>
              <w:jc w:val="both"/>
              <w:textAlignment w:val="auto"/>
              <w:rPr>
                <w:rFonts w:hint="eastAsia" w:ascii="宋体" w:hAnsi="宋体" w:eastAsia="宋体" w:cs="宋体"/>
                <w:bCs w:val="0"/>
                <w:i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项目实施要求</w:t>
            </w:r>
            <w:bookmarkStart w:id="135" w:name="_Toc498687534"/>
            <w:bookmarkEnd w:id="135"/>
            <w:bookmarkStart w:id="136" w:name="_Toc504554256"/>
            <w:bookmarkEnd w:id="136"/>
            <w:bookmarkStart w:id="137" w:name="_Toc498688895"/>
            <w:bookmarkEnd w:id="137"/>
            <w:bookmarkStart w:id="138" w:name="_Toc504561408"/>
            <w:bookmarkEnd w:id="138"/>
            <w:bookmarkStart w:id="139" w:name="_Toc504554366"/>
            <w:bookmarkEnd w:id="139"/>
            <w:bookmarkStart w:id="140" w:name="_Toc498526189"/>
            <w:bookmarkEnd w:id="140"/>
            <w:bookmarkStart w:id="141" w:name="_Toc498932449"/>
            <w:bookmarkEnd w:id="141"/>
            <w:bookmarkStart w:id="142" w:name="_Toc498932451"/>
            <w:bookmarkEnd w:id="142"/>
            <w:bookmarkStart w:id="143" w:name="_Toc504554258"/>
            <w:bookmarkEnd w:id="143"/>
            <w:bookmarkStart w:id="144" w:name="_Toc504554257"/>
            <w:bookmarkEnd w:id="144"/>
            <w:bookmarkStart w:id="145" w:name="_Toc504554367"/>
            <w:bookmarkEnd w:id="145"/>
            <w:bookmarkStart w:id="146" w:name="_Toc535358540"/>
            <w:bookmarkEnd w:id="146"/>
            <w:bookmarkStart w:id="147" w:name="_Toc504554365"/>
            <w:bookmarkEnd w:id="147"/>
            <w:bookmarkStart w:id="148" w:name="_Toc498691870"/>
            <w:bookmarkEnd w:id="148"/>
            <w:bookmarkStart w:id="149" w:name="_Toc498688897"/>
            <w:bookmarkEnd w:id="149"/>
            <w:bookmarkStart w:id="150" w:name="_Toc498691869"/>
            <w:bookmarkEnd w:id="150"/>
            <w:bookmarkStart w:id="151" w:name="_Toc498687535"/>
            <w:bookmarkEnd w:id="151"/>
            <w:bookmarkStart w:id="152" w:name="_Toc498687536"/>
            <w:bookmarkEnd w:id="152"/>
            <w:bookmarkStart w:id="153" w:name="_Toc535358541"/>
            <w:bookmarkEnd w:id="153"/>
            <w:bookmarkStart w:id="154" w:name="_Toc498691868"/>
            <w:bookmarkEnd w:id="154"/>
            <w:bookmarkStart w:id="155" w:name="_Toc504561409"/>
            <w:bookmarkEnd w:id="155"/>
            <w:bookmarkStart w:id="156" w:name="_Toc535358539"/>
            <w:bookmarkEnd w:id="156"/>
            <w:bookmarkStart w:id="157" w:name="_Toc498932450"/>
            <w:bookmarkEnd w:id="157"/>
            <w:bookmarkStart w:id="158" w:name="_Toc498526190"/>
            <w:bookmarkEnd w:id="158"/>
            <w:bookmarkStart w:id="159" w:name="_Toc504561410"/>
            <w:bookmarkEnd w:id="159"/>
            <w:bookmarkStart w:id="160" w:name="_Toc498688896"/>
            <w:bookmarkEnd w:id="160"/>
            <w:bookmarkStart w:id="161" w:name="_Toc498526188"/>
            <w:bookmarkEnd w:id="161"/>
          </w:p>
          <w:p w14:paraId="348B2972">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i w:val="0"/>
                <w:iCs w:val="0"/>
                <w:snapToGrid w:val="0"/>
                <w:color w:val="auto"/>
                <w:kern w:val="0"/>
                <w:sz w:val="21"/>
                <w:szCs w:val="21"/>
                <w:highlight w:val="none"/>
                <w:lang w:val="en-US" w:eastAsia="zh-CN"/>
              </w:rPr>
            </w:pPr>
            <w:r>
              <w:rPr>
                <w:rFonts w:hint="eastAsia" w:ascii="宋体" w:hAnsi="宋体" w:eastAsia="宋体" w:cs="宋体"/>
                <w:b/>
                <w:bCs/>
                <w:i w:val="0"/>
                <w:iCs w:val="0"/>
                <w:snapToGrid w:val="0"/>
                <w:color w:val="auto"/>
                <w:kern w:val="0"/>
                <w:sz w:val="21"/>
                <w:szCs w:val="21"/>
                <w:highlight w:val="none"/>
                <w:lang w:val="en-US" w:eastAsia="zh-CN"/>
              </w:rPr>
              <w:t>（一）人员配备要求</w:t>
            </w:r>
          </w:p>
          <w:p w14:paraId="1877F580">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bidi="ar-SA"/>
              </w:rPr>
              <w:t>1.</w:t>
            </w:r>
            <w:r>
              <w:rPr>
                <w:rFonts w:hint="eastAsia" w:ascii="宋体" w:hAnsi="宋体" w:eastAsia="宋体" w:cs="宋体"/>
                <w:i w:val="0"/>
                <w:iCs w:val="0"/>
                <w:snapToGrid w:val="0"/>
                <w:color w:val="auto"/>
                <w:kern w:val="0"/>
                <w:sz w:val="21"/>
                <w:szCs w:val="21"/>
                <w:highlight w:val="none"/>
                <w:lang w:val="en-US" w:eastAsia="zh-CN"/>
              </w:rPr>
              <w:t xml:space="preserve">投标人拟投入的服务人员必须符合国家法律、政策的有关规定，对服务人员的职业病进行防护和对服务人员的人身安全负责。投标人在项目进场服务前须对所有服务人员进行健康体检，体检合格，将体检报告交采购人核对无误后，方能进场开展服务。 </w:t>
            </w:r>
          </w:p>
          <w:p w14:paraId="1F197535">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bidi="ar-SA"/>
              </w:rPr>
              <w:t>2.</w:t>
            </w:r>
            <w:r>
              <w:rPr>
                <w:rFonts w:hint="eastAsia" w:ascii="宋体" w:hAnsi="宋体" w:eastAsia="宋体" w:cs="宋体"/>
                <w:i w:val="0"/>
                <w:iCs w:val="0"/>
                <w:snapToGrid w:val="0"/>
                <w:color w:val="auto"/>
                <w:kern w:val="0"/>
                <w:sz w:val="21"/>
                <w:szCs w:val="21"/>
                <w:highlight w:val="none"/>
                <w:lang w:val="en-US" w:eastAsia="zh-CN"/>
              </w:rPr>
              <w:t>派驻服务人数不能满足要求且不及时补充的，采购人有权扣减相应的服务费。</w:t>
            </w:r>
          </w:p>
          <w:p w14:paraId="67BE34F0">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bidi="ar-SA"/>
              </w:rPr>
              <w:t>3.</w:t>
            </w:r>
            <w:r>
              <w:rPr>
                <w:rFonts w:hint="eastAsia" w:ascii="宋体" w:hAnsi="宋体" w:eastAsia="宋体" w:cs="宋体"/>
                <w:i w:val="0"/>
                <w:iCs w:val="0"/>
                <w:snapToGrid w:val="0"/>
                <w:color w:val="auto"/>
                <w:kern w:val="0"/>
                <w:sz w:val="21"/>
                <w:szCs w:val="21"/>
                <w:highlight w:val="none"/>
                <w:lang w:val="en-US" w:eastAsia="zh-CN"/>
              </w:rPr>
              <w:t>派驻服务人员具体要求如下：</w:t>
            </w:r>
          </w:p>
          <w:p w14:paraId="6D7C9864">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（1）非执法类办税服务厅辅助服务（不少于24人）、非执法类税费管理辅助服务（不少于11人）、非执法类综合管理服务（不少于6人）要求：</w:t>
            </w:r>
          </w:p>
          <w:p w14:paraId="2F6D604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男女不限，年龄45周岁以下，</w:t>
            </w:r>
            <w:r>
              <w:rPr>
                <w:rFonts w:hint="eastAsia" w:ascii="宋体" w:hAnsi="宋体" w:eastAsia="宋体" w:cs="宋体"/>
                <w:iCs/>
                <w:color w:val="auto"/>
                <w:sz w:val="21"/>
                <w:szCs w:val="21"/>
                <w:highlight w:val="none"/>
                <w:lang w:eastAsia="zh-CN"/>
              </w:rPr>
              <w:t>具有中华人民共和国国籍，拥护党的方针政策，热爱祖国，遵纪守法；具有良好的思想品德，作风正派，无违法犯罪记录；</w:t>
            </w:r>
            <w:r>
              <w:rPr>
                <w:rFonts w:hint="eastAsia" w:ascii="宋体" w:hAnsi="宋体" w:eastAsia="宋体" w:cs="宋体"/>
                <w:i w:val="0"/>
                <w:iCs w:val="0"/>
                <w:snapToGrid w:val="0"/>
                <w:color w:val="auto"/>
                <w:kern w:val="0"/>
                <w:sz w:val="21"/>
                <w:szCs w:val="21"/>
                <w:highlight w:val="none"/>
                <w:lang w:val="en-US" w:eastAsia="zh-CN"/>
              </w:rPr>
              <w:t>具有大专（含）以上文化程度；有1年相关工作经验；能熟练地运用和操作计算机，且具有一定的税收管理知识；身体健康，无慢性病史、传染病史和精神病史；无酗酒和违反公共道德标准的不良嗜好。</w:t>
            </w:r>
          </w:p>
          <w:p w14:paraId="0F13E3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（2）机关后勤服务不少于2人：</w:t>
            </w:r>
          </w:p>
          <w:p w14:paraId="0DE0B3A2">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①司勤服务不少于1人</w:t>
            </w:r>
          </w:p>
          <w:p w14:paraId="55A5AB5B">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驾驶员须为男性，年龄50周岁以下，</w:t>
            </w:r>
            <w:r>
              <w:rPr>
                <w:rFonts w:hint="eastAsia" w:ascii="宋体" w:hAnsi="宋体" w:eastAsia="宋体" w:cs="宋体"/>
                <w:iCs/>
                <w:color w:val="auto"/>
                <w:sz w:val="21"/>
                <w:szCs w:val="21"/>
                <w:highlight w:val="none"/>
                <w:lang w:eastAsia="zh-CN"/>
              </w:rPr>
              <w:t>具有中华人民共和国国籍，拥护党的方针政策，热爱祖国，遵纪守法；具有良好的思想品德，作风正派，无违法犯罪记录；</w:t>
            </w:r>
            <w:r>
              <w:rPr>
                <w:rFonts w:hint="eastAsia" w:ascii="宋体" w:hAnsi="宋体" w:eastAsia="宋体" w:cs="宋体"/>
                <w:i w:val="0"/>
                <w:iCs w:val="0"/>
                <w:snapToGrid w:val="0"/>
                <w:color w:val="auto"/>
                <w:kern w:val="0"/>
                <w:sz w:val="21"/>
                <w:szCs w:val="21"/>
                <w:highlight w:val="none"/>
                <w:lang w:val="en-US" w:eastAsia="zh-CN"/>
              </w:rPr>
              <w:t>身体健康，无影响正常驾驶的慢性疾病；具有高中（含）以上文化程度；须持有C1及以上驾驶证，</w:t>
            </w:r>
            <w:r>
              <w:rPr>
                <w:rFonts w:hint="eastAsia"/>
                <w:color w:val="auto"/>
                <w:highlight w:val="none"/>
                <w:lang w:val="en-US" w:eastAsia="zh-CN"/>
              </w:rPr>
              <w:t>取得驾照时间</w:t>
            </w:r>
            <w:r>
              <w:rPr>
                <w:rFonts w:hint="eastAsia" w:ascii="宋体" w:hAnsi="宋体" w:eastAsia="宋体" w:cs="宋体"/>
                <w:i w:val="0"/>
                <w:iCs w:val="0"/>
                <w:snapToGrid w:val="0"/>
                <w:color w:val="auto"/>
                <w:kern w:val="0"/>
                <w:sz w:val="21"/>
                <w:szCs w:val="21"/>
                <w:highlight w:val="none"/>
                <w:lang w:val="en-US" w:eastAsia="zh-CN"/>
              </w:rPr>
              <w:t>3年，</w:t>
            </w:r>
            <w:r>
              <w:rPr>
                <w:rFonts w:hint="eastAsia" w:ascii="宋体" w:hAnsi="宋体" w:eastAsia="宋体" w:cs="宋体"/>
                <w:i w:val="0"/>
                <w:iCs w:val="0"/>
                <w:snapToGrid w:val="0"/>
                <w:color w:val="auto"/>
                <w:kern w:val="0"/>
                <w:sz w:val="21"/>
                <w:szCs w:val="21"/>
                <w:highlight w:val="none"/>
                <w:lang w:val="en-US" w:eastAsia="zh-CN" w:bidi="ar-SA"/>
              </w:rPr>
              <w:t>熟悉来宾城市道路和广西高速道路；</w:t>
            </w:r>
            <w:r>
              <w:rPr>
                <w:rFonts w:hint="eastAsia" w:ascii="宋体" w:hAnsi="宋体" w:eastAsia="宋体" w:cs="宋体"/>
                <w:i w:val="0"/>
                <w:iCs w:val="0"/>
                <w:snapToGrid w:val="0"/>
                <w:color w:val="auto"/>
                <w:kern w:val="0"/>
                <w:sz w:val="21"/>
                <w:szCs w:val="21"/>
                <w:highlight w:val="none"/>
                <w:lang w:val="en-US" w:eastAsia="zh-CN"/>
              </w:rPr>
              <w:t>无严重道路交通责任事故记录。</w:t>
            </w:r>
          </w:p>
          <w:p w14:paraId="31130AF1">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②会议服务不少于1人</w:t>
            </w:r>
          </w:p>
          <w:p w14:paraId="77F1BB91">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女性，年龄45周岁以下，</w:t>
            </w:r>
            <w:r>
              <w:rPr>
                <w:rFonts w:hint="eastAsia" w:ascii="宋体" w:hAnsi="宋体" w:eastAsia="宋体" w:cs="宋体"/>
                <w:iCs/>
                <w:color w:val="auto"/>
                <w:sz w:val="21"/>
                <w:szCs w:val="21"/>
                <w:highlight w:val="none"/>
                <w:lang w:eastAsia="zh-CN"/>
              </w:rPr>
              <w:t>具有中华人民共和国国籍，拥护党的方针政策，热爱祖国，遵纪守法；具有良好的思想品德，作风正派，无违法犯罪记录；</w:t>
            </w:r>
            <w:r>
              <w:rPr>
                <w:rFonts w:hint="eastAsia" w:ascii="宋体" w:hAnsi="宋体" w:eastAsia="宋体" w:cs="宋体"/>
                <w:i w:val="0"/>
                <w:iCs w:val="0"/>
                <w:snapToGrid w:val="0"/>
                <w:color w:val="auto"/>
                <w:kern w:val="0"/>
                <w:sz w:val="21"/>
                <w:szCs w:val="21"/>
                <w:highlight w:val="none"/>
                <w:lang w:val="en-US" w:eastAsia="zh-CN"/>
              </w:rPr>
              <w:t>具有高中（含）以上文化程度；五官端正，善于沟通，有1年以上相关工作经验，熟练操作电脑、各种音响、会议话筒等各类会场设备；无酗酒和违反公共道德标准的不良嗜好。</w:t>
            </w:r>
          </w:p>
          <w:p w14:paraId="4C48A5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210" w:firstLineChars="100"/>
              <w:jc w:val="both"/>
              <w:textAlignment w:val="auto"/>
              <w:rPr>
                <w:rFonts w:hint="eastAsia" w:ascii="宋体" w:hAnsi="宋体" w:eastAsia="宋体" w:cs="宋体"/>
                <w:i w:val="0"/>
                <w:iCs w:val="0"/>
                <w:snapToGrid w:val="0"/>
                <w:color w:val="auto"/>
                <w:kern w:val="0"/>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（3）档案管理服务不少于1人：</w:t>
            </w:r>
          </w:p>
          <w:p w14:paraId="104FBC81">
            <w:pPr>
              <w:pStyle w:val="27"/>
              <w:keepNext w:val="0"/>
              <w:keepLines w:val="0"/>
              <w:pageBreakBefore w:val="0"/>
              <w:numPr>
                <w:ilvl w:val="0"/>
                <w:numId w:val="0"/>
              </w:numPr>
              <w:kinsoku/>
              <w:wordWrap/>
              <w:overflowPunct/>
              <w:topLinePunct w:val="0"/>
              <w:bidi w:val="0"/>
              <w:snapToGrid/>
              <w:spacing w:line="560" w:lineRule="exact"/>
              <w:ind w:firstLine="420" w:firstLineChars="200"/>
              <w:jc w:val="both"/>
              <w:outlineLvl w:val="1"/>
              <w:rPr>
                <w:rFonts w:hint="eastAsia" w:ascii="宋体" w:hAnsi="宋体" w:eastAsia="宋体" w:cs="宋体"/>
                <w:iCs/>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男女不限，年龄45周岁以下，</w:t>
            </w:r>
            <w:r>
              <w:rPr>
                <w:rFonts w:hint="eastAsia" w:ascii="宋体" w:hAnsi="宋体" w:eastAsia="宋体" w:cs="宋体"/>
                <w:iCs/>
                <w:color w:val="auto"/>
                <w:sz w:val="21"/>
                <w:szCs w:val="21"/>
                <w:highlight w:val="none"/>
                <w:lang w:eastAsia="zh-CN"/>
              </w:rPr>
              <w:t>具有中华人民共和国国籍，拥护党的方针政策，热爱祖国，遵纪守法；具有良好的思想品德，作风正派，无违法犯罪记录；</w:t>
            </w:r>
            <w:r>
              <w:rPr>
                <w:rFonts w:hint="eastAsia" w:ascii="宋体" w:hAnsi="宋体" w:eastAsia="宋体" w:cs="宋体"/>
                <w:i w:val="0"/>
                <w:iCs w:val="0"/>
                <w:snapToGrid w:val="0"/>
                <w:color w:val="auto"/>
                <w:kern w:val="0"/>
                <w:sz w:val="21"/>
                <w:szCs w:val="21"/>
                <w:highlight w:val="none"/>
                <w:lang w:val="en-US" w:eastAsia="zh-CN"/>
              </w:rPr>
              <w:t>具有大专（含）以上文化程度；有1年相关工作经验；</w:t>
            </w:r>
            <w:r>
              <w:rPr>
                <w:rFonts w:hint="eastAsia" w:ascii="宋体" w:hAnsi="宋体" w:eastAsia="宋体" w:cs="宋体"/>
                <w:i w:val="0"/>
                <w:iCs w:val="0"/>
                <w:snapToGrid w:val="0"/>
                <w:color w:val="auto"/>
                <w:kern w:val="0"/>
                <w:sz w:val="21"/>
                <w:szCs w:val="21"/>
                <w:highlight w:val="none"/>
                <w:lang w:val="en-US" w:eastAsia="zh-CN" w:bidi="ar-SA"/>
              </w:rPr>
              <w:t>具有较强的文字功底、归纳整理能力，能熟练操作各种办公设备，</w:t>
            </w:r>
            <w:r>
              <w:rPr>
                <w:rFonts w:hint="eastAsia" w:ascii="宋体" w:hAnsi="宋体" w:eastAsia="宋体" w:cs="宋体"/>
                <w:i w:val="0"/>
                <w:iCs w:val="0"/>
                <w:snapToGrid w:val="0"/>
                <w:color w:val="auto"/>
                <w:kern w:val="0"/>
                <w:sz w:val="21"/>
                <w:szCs w:val="21"/>
                <w:highlight w:val="none"/>
                <w:lang w:val="en-US" w:eastAsia="zh-CN"/>
              </w:rPr>
              <w:t>运用各类办公软件且具有一定的文字功底；身体健康，无慢性病史、传染病史和精神病史；无酗酒和违反公共道德标准的不良嗜好。</w:t>
            </w:r>
          </w:p>
          <w:p w14:paraId="1A60733D">
            <w:pPr>
              <w:pStyle w:val="27"/>
              <w:keepNext w:val="0"/>
              <w:keepLines w:val="0"/>
              <w:pageBreakBefore w:val="0"/>
              <w:kinsoku/>
              <w:wordWrap/>
              <w:overflowPunct/>
              <w:topLinePunct w:val="0"/>
              <w:bidi w:val="0"/>
              <w:snapToGrid/>
              <w:spacing w:line="560" w:lineRule="exact"/>
              <w:ind w:firstLine="422" w:firstLineChars="200"/>
              <w:jc w:val="both"/>
              <w:outlineLvl w:val="2"/>
              <w:rPr>
                <w:rFonts w:hint="eastAsia" w:ascii="宋体" w:hAnsi="宋体" w:eastAsia="宋体" w:cs="宋体"/>
                <w:b/>
                <w:bCs/>
                <w:iCs/>
                <w:color w:val="auto"/>
                <w:sz w:val="21"/>
                <w:szCs w:val="21"/>
                <w:highlight w:val="none"/>
                <w:lang w:eastAsia="zh-CN"/>
              </w:rPr>
            </w:pPr>
            <w:r>
              <w:rPr>
                <w:rFonts w:hint="eastAsia" w:ascii="宋体" w:hAnsi="宋体" w:eastAsia="宋体" w:cs="宋体"/>
                <w:b/>
                <w:bCs/>
                <w:iCs/>
                <w:color w:val="auto"/>
                <w:sz w:val="21"/>
                <w:szCs w:val="21"/>
                <w:highlight w:val="none"/>
                <w:lang w:val="en-US" w:eastAsia="zh-CN"/>
              </w:rPr>
              <w:t>（二）</w:t>
            </w:r>
            <w:r>
              <w:rPr>
                <w:rFonts w:hint="eastAsia" w:ascii="宋体" w:hAnsi="宋体" w:eastAsia="宋体" w:cs="宋体"/>
                <w:b/>
                <w:bCs/>
                <w:iCs/>
                <w:color w:val="auto"/>
                <w:sz w:val="21"/>
                <w:szCs w:val="21"/>
                <w:highlight w:val="none"/>
                <w:lang w:eastAsia="zh-CN"/>
              </w:rPr>
              <w:t xml:space="preserve">服务质量保障 </w:t>
            </w:r>
          </w:p>
          <w:p w14:paraId="4EB32154">
            <w:pPr>
              <w:pStyle w:val="27"/>
              <w:keepNext w:val="0"/>
              <w:keepLines w:val="0"/>
              <w:pageBreakBefore w:val="0"/>
              <w:kinsoku/>
              <w:wordWrap/>
              <w:overflowPunct/>
              <w:topLinePunct w:val="0"/>
              <w:bidi w:val="0"/>
              <w:snapToGrid/>
              <w:spacing w:line="560" w:lineRule="exact"/>
              <w:ind w:firstLine="420" w:firstLineChars="200"/>
              <w:jc w:val="both"/>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val="en-US" w:eastAsia="zh-CN"/>
              </w:rPr>
              <w:t>1.</w:t>
            </w:r>
            <w:r>
              <w:rPr>
                <w:rFonts w:hint="eastAsia" w:ascii="宋体" w:hAnsi="宋体" w:eastAsia="宋体" w:cs="宋体"/>
                <w:iCs/>
                <w:color w:val="auto"/>
                <w:sz w:val="21"/>
                <w:szCs w:val="21"/>
                <w:highlight w:val="none"/>
                <w:lang w:eastAsia="zh-CN"/>
              </w:rPr>
              <w:t>投标人投入本项目的服务人员在服务过程中须按照采购人的要求完成日常工作，上岗前经过相关培训，培训内容需包含岗前培训、在岗多元化培训、沟通技巧培训等相关内容。投标人应制定培训管理方案，内容包含但不限于：培训计划、培训流程、培训内容、培训成果考核等。</w:t>
            </w:r>
          </w:p>
          <w:p w14:paraId="176BF523">
            <w:pPr>
              <w:pStyle w:val="27"/>
              <w:keepNext w:val="0"/>
              <w:keepLines w:val="0"/>
              <w:pageBreakBefore w:val="0"/>
              <w:numPr>
                <w:ilvl w:val="0"/>
                <w:numId w:val="0"/>
              </w:numPr>
              <w:kinsoku/>
              <w:wordWrap/>
              <w:overflowPunct/>
              <w:topLinePunct w:val="0"/>
              <w:bidi w:val="0"/>
              <w:snapToGrid/>
              <w:spacing w:line="560" w:lineRule="exact"/>
              <w:ind w:firstLine="420" w:firstLineChars="200"/>
              <w:jc w:val="both"/>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val="en-US" w:eastAsia="zh-CN"/>
              </w:rPr>
              <w:t>2.</w:t>
            </w:r>
            <w:r>
              <w:rPr>
                <w:rFonts w:hint="eastAsia" w:ascii="宋体" w:hAnsi="宋体" w:eastAsia="宋体" w:cs="宋体"/>
                <w:iCs/>
                <w:color w:val="auto"/>
                <w:sz w:val="21"/>
                <w:szCs w:val="21"/>
                <w:highlight w:val="none"/>
                <w:lang w:eastAsia="zh-CN"/>
              </w:rPr>
              <w:t>投标人投入本项目的服务人员应当遵守保密要求，保守国家秘密、税收工作秘密和服务对象秘密。投标人应当建立</w:t>
            </w:r>
            <w:r>
              <w:rPr>
                <w:rFonts w:hint="eastAsia" w:ascii="宋体" w:hAnsi="宋体" w:eastAsia="宋体" w:cs="宋体"/>
                <w:b w:val="0"/>
                <w:bCs w:val="0"/>
                <w:iCs/>
                <w:color w:val="auto"/>
                <w:sz w:val="21"/>
                <w:szCs w:val="21"/>
                <w:highlight w:val="none"/>
                <w:lang w:eastAsia="zh-CN"/>
              </w:rPr>
              <w:t>保密制度</w:t>
            </w:r>
            <w:r>
              <w:rPr>
                <w:rFonts w:hint="eastAsia" w:ascii="宋体" w:hAnsi="宋体" w:eastAsia="宋体" w:cs="宋体"/>
                <w:iCs/>
                <w:color w:val="auto"/>
                <w:sz w:val="21"/>
                <w:szCs w:val="21"/>
                <w:highlight w:val="none"/>
                <w:lang w:eastAsia="zh-CN"/>
              </w:rPr>
              <w:t>，内容包含但不限于保密制度及警示案例的学习、签订保密协议、泄密处理条例等。若在服务过程中泄露采购人的工作秘密，投标人须承担全部责任。</w:t>
            </w:r>
          </w:p>
          <w:p w14:paraId="6DB8F77D">
            <w:pPr>
              <w:pStyle w:val="27"/>
              <w:keepNext w:val="0"/>
              <w:keepLines w:val="0"/>
              <w:pageBreakBefore w:val="0"/>
              <w:numPr>
                <w:ilvl w:val="0"/>
                <w:numId w:val="0"/>
              </w:numPr>
              <w:kinsoku/>
              <w:wordWrap/>
              <w:overflowPunct/>
              <w:topLinePunct w:val="0"/>
              <w:bidi w:val="0"/>
              <w:snapToGrid/>
              <w:spacing w:line="560" w:lineRule="exact"/>
              <w:ind w:firstLine="420" w:firstLineChars="200"/>
              <w:jc w:val="both"/>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val="en-US" w:eastAsia="zh-CN"/>
              </w:rPr>
              <w:t>3.</w:t>
            </w:r>
            <w:r>
              <w:rPr>
                <w:rFonts w:hint="eastAsia" w:ascii="宋体" w:hAnsi="宋体" w:eastAsia="宋体" w:cs="宋体"/>
                <w:iCs/>
                <w:color w:val="auto"/>
                <w:sz w:val="21"/>
                <w:szCs w:val="21"/>
                <w:highlight w:val="none"/>
                <w:lang w:eastAsia="zh-CN"/>
              </w:rPr>
              <w:t>投标人应建立完善的</w:t>
            </w:r>
            <w:r>
              <w:rPr>
                <w:rFonts w:hint="eastAsia" w:ascii="宋体" w:hAnsi="宋体" w:eastAsia="宋体" w:cs="宋体"/>
                <w:b w:val="0"/>
                <w:bCs w:val="0"/>
                <w:iCs/>
                <w:color w:val="auto"/>
                <w:sz w:val="21"/>
                <w:szCs w:val="21"/>
                <w:highlight w:val="none"/>
                <w:lang w:eastAsia="zh-CN"/>
              </w:rPr>
              <w:t>应急预案</w:t>
            </w:r>
            <w:r>
              <w:rPr>
                <w:rFonts w:hint="eastAsia" w:ascii="宋体" w:hAnsi="宋体" w:eastAsia="宋体" w:cs="宋体"/>
                <w:iCs/>
                <w:color w:val="auto"/>
                <w:sz w:val="21"/>
                <w:szCs w:val="21"/>
                <w:highlight w:val="none"/>
                <w:lang w:eastAsia="zh-CN"/>
              </w:rPr>
              <w:t>，内容包含但不限于舆情事件应急处理、大厅纠纷应急预案等。</w:t>
            </w:r>
          </w:p>
          <w:p w14:paraId="18411B0B">
            <w:pPr>
              <w:pStyle w:val="27"/>
              <w:keepNext w:val="0"/>
              <w:keepLines w:val="0"/>
              <w:pageBreakBefore w:val="0"/>
              <w:kinsoku/>
              <w:wordWrap/>
              <w:overflowPunct/>
              <w:topLinePunct w:val="0"/>
              <w:bidi w:val="0"/>
              <w:snapToGrid/>
              <w:spacing w:line="560" w:lineRule="exact"/>
              <w:ind w:firstLine="420" w:firstLineChars="200"/>
              <w:jc w:val="both"/>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val="en-US" w:eastAsia="zh-CN"/>
              </w:rPr>
              <w:t>4.</w:t>
            </w:r>
            <w:r>
              <w:rPr>
                <w:rFonts w:hint="eastAsia" w:ascii="宋体" w:hAnsi="宋体" w:eastAsia="宋体" w:cs="宋体"/>
                <w:iCs/>
                <w:color w:val="auto"/>
                <w:sz w:val="21"/>
                <w:szCs w:val="21"/>
                <w:highlight w:val="none"/>
                <w:lang w:eastAsia="zh-CN"/>
              </w:rPr>
              <w:t>投标人应按照采购人的要求，配合采购人对项目进行日常管理和考核工作。</w:t>
            </w:r>
          </w:p>
          <w:p w14:paraId="1658CB2F">
            <w:pPr>
              <w:pStyle w:val="27"/>
              <w:keepNext w:val="0"/>
              <w:keepLines w:val="0"/>
              <w:pageBreakBefore w:val="0"/>
              <w:kinsoku/>
              <w:wordWrap/>
              <w:overflowPunct/>
              <w:topLinePunct w:val="0"/>
              <w:bidi w:val="0"/>
              <w:snapToGrid/>
              <w:spacing w:line="560" w:lineRule="exact"/>
              <w:ind w:firstLine="420" w:firstLineChars="200"/>
              <w:jc w:val="both"/>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val="en-US" w:eastAsia="zh-CN"/>
              </w:rPr>
              <w:t>5.</w:t>
            </w:r>
            <w:r>
              <w:rPr>
                <w:rFonts w:hint="eastAsia" w:ascii="宋体" w:hAnsi="宋体" w:eastAsia="宋体" w:cs="宋体"/>
                <w:iCs/>
                <w:color w:val="auto"/>
                <w:sz w:val="21"/>
                <w:szCs w:val="21"/>
                <w:highlight w:val="none"/>
                <w:lang w:eastAsia="zh-CN"/>
              </w:rPr>
              <w:t>为保障服务质量，投标人所提供的</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人员须具有稳定性及连续性，不得擅自更换</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人员，如果有</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人员更换的情况需提前15日向采购人书面说明原因，并及时补充</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人员，妥善办理交接手续，因</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人员擅自离岗造成的损失由投标人承担。对不能胜任工作、违反采购人工作制度或出现重大失误的</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人员，采购人有权要求投标人进行</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人员更换，投标人须按照采购人的要求在5个工作日内及时予以补充</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人员并承担退回</w:t>
            </w:r>
            <w:r>
              <w:rPr>
                <w:rFonts w:hint="eastAsia" w:ascii="宋体" w:hAnsi="宋体" w:eastAsia="宋体" w:cs="宋体"/>
                <w:iCs/>
                <w:color w:val="auto"/>
                <w:sz w:val="21"/>
                <w:szCs w:val="21"/>
                <w:highlight w:val="none"/>
                <w:lang w:val="en-US" w:eastAsia="zh-CN"/>
              </w:rPr>
              <w:t>服务</w:t>
            </w:r>
            <w:r>
              <w:rPr>
                <w:rFonts w:hint="eastAsia" w:ascii="宋体" w:hAnsi="宋体" w:eastAsia="宋体" w:cs="宋体"/>
                <w:iCs/>
                <w:color w:val="auto"/>
                <w:sz w:val="21"/>
                <w:szCs w:val="21"/>
                <w:highlight w:val="none"/>
                <w:lang w:eastAsia="zh-CN"/>
              </w:rPr>
              <w:t>人员的安置及费用。</w:t>
            </w:r>
          </w:p>
          <w:p w14:paraId="6611EB33">
            <w:pPr>
              <w:pStyle w:val="27"/>
              <w:keepNext w:val="0"/>
              <w:keepLines w:val="0"/>
              <w:pageBreakBefore w:val="0"/>
              <w:kinsoku/>
              <w:wordWrap/>
              <w:overflowPunct/>
              <w:topLinePunct w:val="0"/>
              <w:bidi w:val="0"/>
              <w:snapToGrid/>
              <w:spacing w:line="560" w:lineRule="exact"/>
              <w:ind w:firstLine="420" w:firstLineChars="200"/>
              <w:jc w:val="both"/>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eastAsia="zh-CN"/>
              </w:rPr>
              <w:t>投标人应有</w:t>
            </w:r>
            <w:r>
              <w:rPr>
                <w:rFonts w:hint="eastAsia" w:ascii="宋体" w:hAnsi="宋体" w:eastAsia="宋体" w:cs="宋体"/>
                <w:b w:val="0"/>
                <w:bCs w:val="0"/>
                <w:iCs/>
                <w:color w:val="auto"/>
                <w:sz w:val="21"/>
                <w:szCs w:val="21"/>
                <w:highlight w:val="none"/>
                <w:lang w:eastAsia="zh-CN"/>
              </w:rPr>
              <w:t>健全的服务质量管理体系</w:t>
            </w:r>
            <w:r>
              <w:rPr>
                <w:rFonts w:hint="eastAsia" w:ascii="宋体" w:hAnsi="宋体" w:eastAsia="宋体" w:cs="宋体"/>
                <w:iCs/>
                <w:color w:val="auto"/>
                <w:sz w:val="21"/>
                <w:szCs w:val="21"/>
                <w:highlight w:val="none"/>
                <w:lang w:eastAsia="zh-CN"/>
              </w:rPr>
              <w:t>，包括但不限于：人员管理制度、人员激励及处罚机制、人员行为规范（包括但不限于仪表仪容整洁）、岗位工作标准、安全操作等，并制定具体的落实措施和考核办法，确保服务过程得到有效运行、控制和服务质量的持续改进。</w:t>
            </w:r>
          </w:p>
          <w:p w14:paraId="13C762C0">
            <w:pPr>
              <w:pStyle w:val="27"/>
              <w:keepNext w:val="0"/>
              <w:keepLines w:val="0"/>
              <w:pageBreakBefore w:val="0"/>
              <w:numPr>
                <w:ilvl w:val="0"/>
                <w:numId w:val="0"/>
              </w:numPr>
              <w:kinsoku/>
              <w:wordWrap/>
              <w:overflowPunct/>
              <w:topLinePunct w:val="0"/>
              <w:bidi w:val="0"/>
              <w:snapToGrid/>
              <w:spacing w:line="560" w:lineRule="exact"/>
              <w:ind w:firstLine="420" w:firstLineChars="200"/>
              <w:jc w:val="both"/>
              <w:rPr>
                <w:rFonts w:hint="eastAsia" w:ascii="宋体" w:hAnsi="宋体" w:eastAsia="宋体" w:cs="宋体"/>
                <w:iCs/>
                <w:color w:val="auto"/>
                <w:sz w:val="21"/>
                <w:szCs w:val="21"/>
                <w:highlight w:val="none"/>
                <w:lang w:eastAsia="zh-CN"/>
              </w:rPr>
            </w:pPr>
            <w:r>
              <w:rPr>
                <w:rFonts w:hint="eastAsia" w:ascii="宋体" w:hAnsi="宋体" w:eastAsia="宋体" w:cs="宋体"/>
                <w:iCs/>
                <w:color w:val="auto"/>
                <w:sz w:val="21"/>
                <w:szCs w:val="21"/>
                <w:highlight w:val="none"/>
                <w:lang w:val="en-US" w:eastAsia="zh-CN"/>
              </w:rPr>
              <w:t>6.</w:t>
            </w:r>
            <w:r>
              <w:rPr>
                <w:rFonts w:hint="eastAsia" w:ascii="宋体" w:hAnsi="宋体" w:eastAsia="宋体" w:cs="宋体"/>
                <w:iCs/>
                <w:color w:val="auto"/>
                <w:sz w:val="21"/>
                <w:szCs w:val="21"/>
                <w:highlight w:val="none"/>
                <w:lang w:eastAsia="zh-CN"/>
              </w:rPr>
              <w:t>本项目使用的电脑、打印机等工作设备由采购人提供，服务人员下班后需关闭所有办公电子设备电源，锁存印章、票证、档案等重要办公用品和文件，非正常原因造成的设备损坏由投标人负责赔偿。投标人应登记资产使用台帐并建立</w:t>
            </w:r>
            <w:r>
              <w:rPr>
                <w:rFonts w:hint="eastAsia" w:ascii="宋体" w:hAnsi="宋体" w:eastAsia="宋体" w:cs="宋体"/>
                <w:b w:val="0"/>
                <w:bCs w:val="0"/>
                <w:iCs/>
                <w:color w:val="auto"/>
                <w:sz w:val="21"/>
                <w:szCs w:val="21"/>
                <w:highlight w:val="none"/>
                <w:lang w:eastAsia="zh-CN"/>
              </w:rPr>
              <w:t>资产管理制度</w:t>
            </w:r>
            <w:r>
              <w:rPr>
                <w:rFonts w:hint="eastAsia" w:ascii="宋体" w:hAnsi="宋体" w:eastAsia="宋体" w:cs="宋体"/>
                <w:iCs/>
                <w:color w:val="auto"/>
                <w:sz w:val="21"/>
                <w:szCs w:val="21"/>
                <w:highlight w:val="none"/>
                <w:lang w:eastAsia="zh-CN"/>
              </w:rPr>
              <w:t>，内容包括但不限于资产领用、保管、交回、非正常损失赔偿等。</w:t>
            </w:r>
          </w:p>
          <w:p w14:paraId="23E65BB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7.应有健全的各项</w:t>
            </w:r>
            <w:r>
              <w:rPr>
                <w:rFonts w:hint="eastAsia" w:ascii="宋体" w:hAnsi="宋体" w:eastAsia="宋体" w:cs="宋体"/>
                <w:b w:val="0"/>
                <w:bCs w:val="0"/>
                <w:i w:val="0"/>
                <w:iCs w:val="0"/>
                <w:snapToGrid w:val="0"/>
                <w:color w:val="auto"/>
                <w:kern w:val="0"/>
                <w:sz w:val="21"/>
                <w:szCs w:val="21"/>
                <w:highlight w:val="none"/>
                <w:lang w:val="en-US" w:eastAsia="zh-CN" w:bidi="ar-SA"/>
              </w:rPr>
              <w:t>财务管理制度</w:t>
            </w:r>
            <w:r>
              <w:rPr>
                <w:rFonts w:hint="eastAsia" w:ascii="宋体" w:hAnsi="宋体" w:eastAsia="宋体" w:cs="宋体"/>
                <w:i w:val="0"/>
                <w:iCs w:val="0"/>
                <w:snapToGrid w:val="0"/>
                <w:color w:val="auto"/>
                <w:kern w:val="0"/>
                <w:sz w:val="21"/>
                <w:szCs w:val="21"/>
                <w:highlight w:val="none"/>
                <w:lang w:val="en-US" w:eastAsia="zh-CN" w:bidi="ar-SA"/>
              </w:rPr>
              <w:t>，收费、会计核算、税收等财务管理工作应严格执行国家、广西的有关规定。</w:t>
            </w:r>
          </w:p>
          <w:p w14:paraId="135BFB53">
            <w:pPr>
              <w:pStyle w:val="27"/>
              <w:keepNext w:val="0"/>
              <w:keepLines w:val="0"/>
              <w:pageBreakBefore w:val="0"/>
              <w:kinsoku/>
              <w:wordWrap/>
              <w:overflowPunct/>
              <w:topLinePunct w:val="0"/>
              <w:bidi w:val="0"/>
              <w:snapToGrid/>
              <w:spacing w:line="560" w:lineRule="exact"/>
              <w:ind w:firstLine="422" w:firstLineChars="200"/>
              <w:jc w:val="both"/>
              <w:outlineLvl w:val="2"/>
              <w:rPr>
                <w:rFonts w:hint="eastAsia" w:ascii="宋体" w:hAnsi="宋体" w:eastAsia="宋体" w:cs="宋体"/>
                <w:b/>
                <w:bCs/>
                <w:iCs/>
                <w:color w:val="auto"/>
                <w:sz w:val="21"/>
                <w:szCs w:val="21"/>
                <w:highlight w:val="none"/>
                <w:lang w:val="en-US" w:eastAsia="zh-CN"/>
              </w:rPr>
            </w:pPr>
            <w:r>
              <w:rPr>
                <w:rFonts w:hint="eastAsia" w:ascii="宋体" w:hAnsi="宋体" w:eastAsia="宋体" w:cs="宋体"/>
                <w:b/>
                <w:bCs/>
                <w:iCs/>
                <w:color w:val="auto"/>
                <w:sz w:val="21"/>
                <w:szCs w:val="21"/>
                <w:highlight w:val="none"/>
                <w:lang w:val="en-US" w:eastAsia="zh-CN"/>
              </w:rPr>
              <w:t>（三）其他要求</w:t>
            </w:r>
          </w:p>
          <w:p w14:paraId="370DEB25">
            <w:pPr>
              <w:pStyle w:val="26"/>
              <w:widowControl/>
              <w:autoSpaceDE/>
              <w:autoSpaceDN/>
              <w:adjustRightInd/>
              <w:spacing w:afterLines="0"/>
              <w:rPr>
                <w:rFonts w:hint="eastAsia" w:ascii="宋体" w:hAnsi="宋体" w:eastAsia="宋体" w:cs="宋体"/>
                <w:iCs/>
                <w:color w:val="auto"/>
                <w:kern w:val="2"/>
                <w:sz w:val="21"/>
                <w:szCs w:val="21"/>
                <w:highlight w:val="none"/>
                <w:lang w:val="en-US" w:eastAsia="zh-CN" w:bidi="ar-SA"/>
              </w:rPr>
            </w:pPr>
            <w:r>
              <w:rPr>
                <w:rFonts w:hint="eastAsia" w:ascii="宋体" w:hAnsi="宋体" w:eastAsia="宋体" w:cs="宋体"/>
                <w:iCs/>
                <w:color w:val="auto"/>
                <w:sz w:val="21"/>
                <w:szCs w:val="21"/>
                <w:highlight w:val="none"/>
                <w:lang w:val="en-US" w:eastAsia="zh-CN"/>
              </w:rPr>
              <w:t>1.</w:t>
            </w:r>
            <w:r>
              <w:rPr>
                <w:rFonts w:hint="eastAsia" w:ascii="宋体" w:hAnsi="宋体" w:eastAsia="宋体" w:cs="宋体"/>
                <w:iCs/>
                <w:color w:val="auto"/>
                <w:kern w:val="2"/>
                <w:sz w:val="21"/>
                <w:szCs w:val="21"/>
                <w:highlight w:val="none"/>
                <w:lang w:val="en-US" w:eastAsia="zh-CN" w:bidi="ar-SA"/>
              </w:rPr>
              <w:t xml:space="preserve">服务期限内若中标人不能按规定执行合同，采购人有权终止合同，并要求投标人赔偿因不能正常履行合同给采购人造成的损失。 </w:t>
            </w:r>
          </w:p>
          <w:p w14:paraId="759D5B47">
            <w:pPr>
              <w:pStyle w:val="27"/>
              <w:keepNext w:val="0"/>
              <w:keepLines w:val="0"/>
              <w:pageBreakBefore w:val="0"/>
              <w:numPr>
                <w:ilvl w:val="0"/>
                <w:numId w:val="0"/>
              </w:numPr>
              <w:kinsoku/>
              <w:wordWrap/>
              <w:overflowPunct/>
              <w:topLinePunct w:val="0"/>
              <w:bidi w:val="0"/>
              <w:snapToGrid/>
              <w:spacing w:line="560" w:lineRule="exact"/>
              <w:ind w:firstLine="420" w:firstLineChars="200"/>
              <w:jc w:val="both"/>
              <w:rPr>
                <w:rFonts w:hint="eastAsia" w:ascii="宋体" w:hAnsi="宋体" w:eastAsia="宋体" w:cs="宋体"/>
                <w:iCs/>
                <w:color w:val="auto"/>
                <w:kern w:val="2"/>
                <w:sz w:val="21"/>
                <w:szCs w:val="21"/>
                <w:highlight w:val="none"/>
                <w:lang w:val="en-US" w:eastAsia="zh-CN" w:bidi="ar-SA"/>
              </w:rPr>
            </w:pPr>
            <w:r>
              <w:rPr>
                <w:rFonts w:hint="eastAsia" w:hAnsi="宋体" w:cs="宋体"/>
                <w:i w:val="0"/>
                <w:iCs w:val="0"/>
                <w:snapToGrid w:val="0"/>
                <w:color w:val="auto"/>
                <w:kern w:val="0"/>
                <w:sz w:val="21"/>
                <w:szCs w:val="21"/>
                <w:highlight w:val="none"/>
                <w:lang w:val="en-US" w:eastAsia="zh-CN"/>
              </w:rPr>
              <w:t>2</w:t>
            </w:r>
            <w:r>
              <w:rPr>
                <w:rFonts w:hint="eastAsia" w:ascii="宋体" w:hAnsi="宋体" w:eastAsia="宋体" w:cs="宋体"/>
                <w:i w:val="0"/>
                <w:iCs w:val="0"/>
                <w:snapToGrid w:val="0"/>
                <w:color w:val="auto"/>
                <w:kern w:val="0"/>
                <w:sz w:val="21"/>
                <w:szCs w:val="21"/>
                <w:highlight w:val="none"/>
                <w:lang w:val="en-US" w:eastAsia="zh-CN"/>
              </w:rPr>
              <w:t>.投标人不得以采购人的名义对外发生经济业务往来，并应对提供的派驻服务人员实行严格管理，对于投标人派驻服务人员给采购人造成利益损害的，投标人应承担相关法律责任。</w:t>
            </w:r>
          </w:p>
          <w:p w14:paraId="1AB2F735">
            <w:pPr>
              <w:pStyle w:val="27"/>
              <w:keepNext w:val="0"/>
              <w:keepLines w:val="0"/>
              <w:pageBreakBefore w:val="0"/>
              <w:kinsoku/>
              <w:wordWrap/>
              <w:overflowPunct/>
              <w:topLinePunct w:val="0"/>
              <w:bidi w:val="0"/>
              <w:snapToGrid/>
              <w:spacing w:line="560" w:lineRule="exact"/>
              <w:ind w:firstLine="420" w:firstLineChars="200"/>
              <w:jc w:val="both"/>
              <w:rPr>
                <w:rFonts w:hint="eastAsia" w:ascii="宋体" w:hAnsi="宋体" w:eastAsia="宋体" w:cs="宋体"/>
                <w:iCs/>
                <w:color w:val="auto"/>
                <w:kern w:val="2"/>
                <w:sz w:val="21"/>
                <w:szCs w:val="21"/>
                <w:highlight w:val="none"/>
                <w:lang w:val="en-US" w:eastAsia="zh-CN" w:bidi="ar-SA"/>
              </w:rPr>
            </w:pPr>
            <w:r>
              <w:rPr>
                <w:rFonts w:hint="eastAsia" w:hAnsi="宋体" w:cs="宋体"/>
                <w:iCs/>
                <w:color w:val="auto"/>
                <w:kern w:val="2"/>
                <w:sz w:val="21"/>
                <w:szCs w:val="21"/>
                <w:highlight w:val="none"/>
                <w:lang w:val="en-US" w:eastAsia="zh-CN" w:bidi="ar-SA"/>
              </w:rPr>
              <w:t>3</w:t>
            </w:r>
            <w:r>
              <w:rPr>
                <w:rFonts w:hint="eastAsia" w:ascii="宋体" w:hAnsi="宋体" w:eastAsia="宋体" w:cs="宋体"/>
                <w:iCs/>
                <w:color w:val="auto"/>
                <w:kern w:val="2"/>
                <w:sz w:val="21"/>
                <w:szCs w:val="21"/>
                <w:highlight w:val="none"/>
                <w:lang w:val="en-US" w:eastAsia="zh-CN" w:bidi="ar-SA"/>
              </w:rPr>
              <w:t>.</w:t>
            </w:r>
            <w:r>
              <w:rPr>
                <w:rFonts w:hint="eastAsia" w:ascii="微软雅黑" w:hAnsi="微软雅黑" w:eastAsia="微软雅黑" w:cs="微软雅黑"/>
                <w:color w:val="auto"/>
                <w:highlight w:val="none"/>
                <w:lang w:val="en-US" w:eastAsia="zh-CN"/>
              </w:rPr>
              <w:t>★</w:t>
            </w:r>
            <w:r>
              <w:rPr>
                <w:rFonts w:hint="eastAsia" w:ascii="宋体" w:hAnsi="宋体" w:eastAsia="宋体" w:cs="宋体"/>
                <w:iCs/>
                <w:color w:val="auto"/>
                <w:kern w:val="2"/>
                <w:sz w:val="21"/>
                <w:szCs w:val="21"/>
                <w:highlight w:val="none"/>
                <w:lang w:val="en-US" w:eastAsia="zh-CN" w:bidi="ar-SA"/>
              </w:rPr>
              <w:t>本项目若涉及国家税收政策或机构人员的调整，涉及项目需求变更或调整服务内容及要求，</w:t>
            </w:r>
            <w:r>
              <w:rPr>
                <w:rFonts w:hint="eastAsia" w:ascii="宋体" w:hAnsi="宋体" w:eastAsia="宋体" w:cs="宋体"/>
                <w:i w:val="0"/>
                <w:iCs w:val="0"/>
                <w:snapToGrid w:val="0"/>
                <w:color w:val="auto"/>
                <w:kern w:val="0"/>
                <w:sz w:val="21"/>
                <w:szCs w:val="21"/>
                <w:highlight w:val="none"/>
                <w:lang w:val="en-US" w:eastAsia="zh-CN"/>
              </w:rPr>
              <w:t>投标</w:t>
            </w:r>
            <w:r>
              <w:rPr>
                <w:rFonts w:hint="eastAsia" w:ascii="宋体" w:hAnsi="宋体" w:eastAsia="宋体" w:cs="宋体"/>
                <w:iCs/>
                <w:color w:val="auto"/>
                <w:kern w:val="2"/>
                <w:sz w:val="21"/>
                <w:szCs w:val="21"/>
                <w:highlight w:val="none"/>
                <w:lang w:val="en-US" w:eastAsia="zh-CN" w:bidi="ar-SA"/>
              </w:rPr>
              <w:t>人应按采购人的要求终止或变更合同内容或签补充协议。</w:t>
            </w:r>
          </w:p>
          <w:p w14:paraId="1F9A4727">
            <w:pPr>
              <w:pStyle w:val="27"/>
              <w:keepNext w:val="0"/>
              <w:keepLines w:val="0"/>
              <w:pageBreakBefore w:val="0"/>
              <w:kinsoku/>
              <w:wordWrap/>
              <w:overflowPunct/>
              <w:topLinePunct w:val="0"/>
              <w:bidi w:val="0"/>
              <w:snapToGrid/>
              <w:spacing w:line="560" w:lineRule="exact"/>
              <w:ind w:firstLine="420" w:firstLineChars="200"/>
              <w:jc w:val="both"/>
              <w:rPr>
                <w:rFonts w:hint="eastAsia" w:ascii="宋体" w:hAnsi="宋体" w:eastAsia="宋体" w:cs="宋体"/>
                <w:iCs/>
                <w:color w:val="auto"/>
                <w:kern w:val="2"/>
                <w:sz w:val="21"/>
                <w:szCs w:val="21"/>
                <w:highlight w:val="none"/>
                <w:lang w:val="en-US" w:eastAsia="zh-CN" w:bidi="ar-SA"/>
              </w:rPr>
            </w:pPr>
            <w:r>
              <w:rPr>
                <w:rFonts w:hint="eastAsia" w:hAnsi="宋体" w:cs="宋体"/>
                <w:iCs/>
                <w:color w:val="auto"/>
                <w:kern w:val="2"/>
                <w:sz w:val="21"/>
                <w:szCs w:val="21"/>
                <w:highlight w:val="none"/>
                <w:lang w:val="en-US" w:eastAsia="zh-CN" w:bidi="ar-SA"/>
              </w:rPr>
              <w:t>4</w:t>
            </w:r>
            <w:r>
              <w:rPr>
                <w:rFonts w:hint="eastAsia" w:ascii="宋体" w:hAnsi="宋体" w:eastAsia="宋体" w:cs="宋体"/>
                <w:iCs/>
                <w:color w:val="auto"/>
                <w:kern w:val="2"/>
                <w:sz w:val="21"/>
                <w:szCs w:val="21"/>
                <w:highlight w:val="none"/>
                <w:lang w:val="en-US" w:eastAsia="zh-CN" w:bidi="ar-SA"/>
              </w:rPr>
              <w:t>.</w:t>
            </w:r>
            <w:r>
              <w:rPr>
                <w:rFonts w:hint="eastAsia" w:ascii="宋体" w:hAnsi="宋体" w:eastAsia="宋体" w:cs="宋体"/>
                <w:i w:val="0"/>
                <w:iCs w:val="0"/>
                <w:snapToGrid w:val="0"/>
                <w:color w:val="auto"/>
                <w:kern w:val="0"/>
                <w:sz w:val="21"/>
                <w:szCs w:val="21"/>
                <w:highlight w:val="none"/>
                <w:lang w:val="en-US" w:eastAsia="zh-CN"/>
              </w:rPr>
              <w:t>服务人员不履行岗位职责或违法乱纪行为对采购人造成损害的，中标人应承担违约责任，并按所负责任进行赔偿；触犯刑律的，交由司法部门依法处理。</w:t>
            </w:r>
          </w:p>
          <w:p w14:paraId="76A4CB90">
            <w:pPr>
              <w:keepNext w:val="0"/>
              <w:keepLines w:val="0"/>
              <w:pageBreakBefore w:val="0"/>
              <w:kinsoku/>
              <w:wordWrap/>
              <w:overflowPunct/>
              <w:topLinePunct w:val="0"/>
              <w:bidi w:val="0"/>
              <w:snapToGrid/>
              <w:spacing w:line="560" w:lineRule="exact"/>
              <w:ind w:firstLine="420" w:firstLineChars="200"/>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考核</w:t>
            </w:r>
            <w:r>
              <w:rPr>
                <w:rFonts w:hint="eastAsia" w:ascii="宋体" w:hAnsi="宋体" w:eastAsia="宋体" w:cs="宋体"/>
                <w:color w:val="auto"/>
                <w:kern w:val="0"/>
                <w:sz w:val="21"/>
                <w:szCs w:val="21"/>
                <w:highlight w:val="none"/>
              </w:rPr>
              <w:t>验收要求</w:t>
            </w:r>
          </w:p>
          <w:p w14:paraId="130BAB47">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rPr>
              <w:t>采购人对中标人的服务质量采取定期方式进行考核（详见附表一：《国家税务总局来宾市兴宾区税务局2024年非执法类辅助性服务日常考核情况表》，考核记录经双方签字确认后保存在采购人处。采购人有权根据考核结果对中标人实施扣款，并下达书面整改通知责令中标人限期整改。中标人应派人参加考核，采购人发现问题则当场告知，中标人应根据考核发现问题，自采购人当场告知后5个工作日内提出整改意见，及时落实整改采购人对项目履行情况。采购人按照考核结果支付服务费用，当月考核有罚款的，当月最终服务费用为扣除罚款后实际支付的费用，累计违反五次以上的，或发生重大安全责任事故的，采购人有权单方面解除合同。</w:t>
            </w:r>
          </w:p>
          <w:p w14:paraId="5306CF09">
            <w:pPr>
              <w:pStyle w:val="9"/>
              <w:ind w:firstLine="420" w:firstLineChars="200"/>
              <w:jc w:val="left"/>
              <w:rPr>
                <w:rFonts w:hint="eastAsia"/>
                <w:color w:val="auto"/>
                <w:highlight w:val="none"/>
                <w:lang w:val="en-US" w:eastAsia="zh-CN"/>
              </w:rPr>
            </w:pPr>
          </w:p>
        </w:tc>
      </w:tr>
      <w:tr w14:paraId="5707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8" w:type="dxa"/>
            <w:gridSpan w:val="4"/>
            <w:noWrap w:val="0"/>
            <w:vAlign w:val="top"/>
          </w:tcPr>
          <w:p w14:paraId="69B9ED4E">
            <w:pPr>
              <w:keepNext w:val="0"/>
              <w:keepLines w:val="0"/>
              <w:pageBreakBefore w:val="0"/>
              <w:widowControl/>
              <w:kinsoku/>
              <w:wordWrap/>
              <w:overflowPunct w:val="0"/>
              <w:topLinePunct w:val="0"/>
              <w:autoSpaceDE w:val="0"/>
              <w:autoSpaceDN w:val="0"/>
              <w:bidi w:val="0"/>
              <w:adjustRightInd w:val="0"/>
              <w:spacing w:line="360" w:lineRule="auto"/>
              <w:ind w:left="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商务要求</w:t>
            </w:r>
          </w:p>
        </w:tc>
      </w:tr>
      <w:tr w14:paraId="728D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251" w:type="dxa"/>
            <w:gridSpan w:val="3"/>
            <w:noWrap w:val="0"/>
            <w:vAlign w:val="center"/>
          </w:tcPr>
          <w:p w14:paraId="3A4DE1CD">
            <w:pPr>
              <w:keepNext w:val="0"/>
              <w:keepLines w:val="0"/>
              <w:pageBreakBefore w:val="0"/>
              <w:widowControl/>
              <w:kinsoku/>
              <w:wordWrap/>
              <w:overflowPunct w:val="0"/>
              <w:topLinePunct w:val="0"/>
              <w:autoSpaceDE w:val="0"/>
              <w:autoSpaceDN w:val="0"/>
              <w:bidi w:val="0"/>
              <w:adjustRightInd w:val="0"/>
              <w:spacing w:line="36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★投标报价要求</w:t>
            </w:r>
          </w:p>
        </w:tc>
        <w:tc>
          <w:tcPr>
            <w:tcW w:w="6787" w:type="dxa"/>
            <w:noWrap w:val="0"/>
            <w:vAlign w:val="top"/>
          </w:tcPr>
          <w:p w14:paraId="616D33C5">
            <w:pPr>
              <w:pStyle w:val="26"/>
              <w:overflowPunct/>
              <w:autoSpaceDE/>
              <w:autoSpaceDN/>
              <w:adjustRightInd/>
              <w:snapToGrid/>
              <w:spacing w:afterLines="0" w:line="560" w:lineRule="exact"/>
              <w:jc w:val="both"/>
              <w:textAlignment w:val="auto"/>
              <w:rPr>
                <w:rFonts w:hint="default"/>
                <w:color w:val="auto"/>
                <w:highlight w:val="none"/>
                <w:lang w:val="en-US"/>
              </w:rPr>
            </w:pPr>
            <w:r>
              <w:rPr>
                <w:rFonts w:hint="eastAsia" w:ascii="宋体" w:hAnsi="宋体" w:eastAsia="宋体" w:cs="宋体"/>
                <w:i w:val="0"/>
                <w:iCs w:val="0"/>
                <w:snapToGrid w:val="0"/>
                <w:color w:val="auto"/>
                <w:kern w:val="0"/>
                <w:sz w:val="21"/>
                <w:szCs w:val="21"/>
                <w:highlight w:val="none"/>
                <w:lang w:val="en-US" w:eastAsia="zh-CN"/>
              </w:rPr>
              <w:t>本项目</w:t>
            </w:r>
            <w:r>
              <w:rPr>
                <w:rFonts w:hint="eastAsia" w:ascii="宋体" w:hAnsi="宋体" w:eastAsia="宋体" w:cs="宋体"/>
                <w:i w:val="0"/>
                <w:iCs w:val="0"/>
                <w:snapToGrid w:val="0"/>
                <w:color w:val="auto"/>
                <w:kern w:val="0"/>
                <w:sz w:val="21"/>
                <w:szCs w:val="21"/>
                <w:highlight w:val="none"/>
                <w:lang w:eastAsia="zh-CN"/>
              </w:rPr>
              <w:t>采购预算和最高限价为</w:t>
            </w:r>
            <w:r>
              <w:rPr>
                <w:rFonts w:hint="eastAsia" w:ascii="宋体" w:hAnsi="宋体" w:eastAsia="宋体" w:cs="宋体"/>
                <w:i w:val="0"/>
                <w:iCs w:val="0"/>
                <w:snapToGrid w:val="0"/>
                <w:color w:val="auto"/>
                <w:kern w:val="0"/>
                <w:sz w:val="21"/>
                <w:szCs w:val="21"/>
                <w:highlight w:val="none"/>
                <w:lang w:val="en-US" w:eastAsia="zh-CN"/>
              </w:rPr>
              <w:t>2899100.00元</w:t>
            </w:r>
            <w:r>
              <w:rPr>
                <w:rFonts w:hint="eastAsia" w:ascii="宋体" w:hAnsi="宋体" w:eastAsia="宋体" w:cs="宋体"/>
                <w:i w:val="0"/>
                <w:iCs w:val="0"/>
                <w:snapToGrid w:val="0"/>
                <w:color w:val="auto"/>
                <w:kern w:val="0"/>
                <w:sz w:val="21"/>
                <w:szCs w:val="21"/>
                <w:highlight w:val="none"/>
                <w:lang w:eastAsia="zh-CN"/>
              </w:rPr>
              <w:t>/年，</w:t>
            </w:r>
            <w:r>
              <w:rPr>
                <w:rFonts w:hint="eastAsia" w:ascii="宋体" w:hAnsi="宋体" w:eastAsia="宋体" w:cs="宋体"/>
                <w:i w:val="0"/>
                <w:iCs w:val="0"/>
                <w:snapToGrid w:val="0"/>
                <w:color w:val="auto"/>
                <w:kern w:val="0"/>
                <w:sz w:val="21"/>
                <w:szCs w:val="21"/>
                <w:highlight w:val="none"/>
                <w:lang w:val="en-US" w:eastAsia="zh-CN"/>
              </w:rPr>
              <w:t>投标</w:t>
            </w:r>
            <w:r>
              <w:rPr>
                <w:rFonts w:hint="eastAsia" w:ascii="宋体" w:hAnsi="宋体" w:eastAsia="宋体" w:cs="宋体"/>
                <w:i w:val="0"/>
                <w:iCs w:val="0"/>
                <w:snapToGrid w:val="0"/>
                <w:color w:val="auto"/>
                <w:kern w:val="0"/>
                <w:sz w:val="21"/>
                <w:szCs w:val="21"/>
                <w:highlight w:val="none"/>
                <w:lang w:eastAsia="zh-CN"/>
              </w:rPr>
              <w:t>报价为完成采购人指定内容的整体包干价，本项目下所有服务的全部成本、费用、税费、利润等均已包含于合同价中。</w:t>
            </w:r>
            <w:r>
              <w:rPr>
                <w:rFonts w:hint="eastAsia"/>
                <w:color w:val="auto"/>
                <w:sz w:val="21"/>
                <w:szCs w:val="21"/>
                <w:highlight w:val="none"/>
              </w:rPr>
              <w:t>在本项目服务期内，投标总价不予调整，采购人不再支付中标价格以外的任何费用</w:t>
            </w:r>
            <w:r>
              <w:rPr>
                <w:rFonts w:hint="eastAsia" w:ascii="宋体" w:hAnsi="宋体" w:eastAsia="宋体" w:cs="宋体"/>
                <w:i w:val="0"/>
                <w:iCs w:val="0"/>
                <w:snapToGrid w:val="0"/>
                <w:color w:val="auto"/>
                <w:kern w:val="0"/>
                <w:sz w:val="21"/>
                <w:szCs w:val="21"/>
                <w:highlight w:val="none"/>
                <w:lang w:eastAsia="zh-CN"/>
              </w:rPr>
              <w:t>。</w:t>
            </w:r>
          </w:p>
        </w:tc>
      </w:tr>
      <w:tr w14:paraId="3106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251" w:type="dxa"/>
            <w:gridSpan w:val="3"/>
            <w:noWrap w:val="0"/>
            <w:vAlign w:val="center"/>
          </w:tcPr>
          <w:p w14:paraId="644CCE40">
            <w:pPr>
              <w:keepNext w:val="0"/>
              <w:keepLines w:val="0"/>
              <w:pageBreakBefore w:val="0"/>
              <w:widowControl/>
              <w:kinsoku/>
              <w:wordWrap/>
              <w:overflowPunct w:val="0"/>
              <w:topLinePunct w:val="0"/>
              <w:autoSpaceDE w:val="0"/>
              <w:autoSpaceDN w:val="0"/>
              <w:bidi w:val="0"/>
              <w:adjustRightInd w:val="0"/>
              <w:spacing w:line="36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及地点</w:t>
            </w:r>
          </w:p>
        </w:tc>
        <w:tc>
          <w:tcPr>
            <w:tcW w:w="6787" w:type="dxa"/>
            <w:noWrap w:val="0"/>
            <w:vAlign w:val="top"/>
          </w:tcPr>
          <w:p w14:paraId="6359543D">
            <w:pPr>
              <w:pStyle w:val="31"/>
              <w:spacing w:line="360" w:lineRule="auto"/>
              <w:ind w:firstLine="0" w:firstLineChars="0"/>
              <w:jc w:val="left"/>
              <w:rPr>
                <w:rFonts w:hint="default"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rPr>
              <w:t>服务期限：</w:t>
            </w:r>
            <w:r>
              <w:rPr>
                <w:rFonts w:hint="eastAsia" w:ascii="宋体" w:hAnsi="宋体" w:cs="宋体"/>
                <w:iCs/>
                <w:color w:val="auto"/>
                <w:sz w:val="21"/>
                <w:szCs w:val="21"/>
                <w:highlight w:val="none"/>
                <w:lang w:val="en-US" w:eastAsia="zh-CN"/>
              </w:rPr>
              <w:t>1年</w:t>
            </w:r>
          </w:p>
          <w:p w14:paraId="4A8DEBB5">
            <w:pPr>
              <w:pStyle w:val="31"/>
              <w:widowControl/>
              <w:overflowPunct/>
              <w:snapToGrid/>
              <w:spacing w:line="360" w:lineRule="auto"/>
              <w:ind w:firstLine="0" w:firstLineChars="0"/>
              <w:jc w:val="left"/>
              <w:textAlignment w:val="auto"/>
              <w:rPr>
                <w:rFonts w:hint="eastAsia"/>
                <w:color w:val="auto"/>
                <w:highlight w:val="none"/>
              </w:rPr>
            </w:pPr>
            <w:r>
              <w:rPr>
                <w:rFonts w:hint="eastAsia" w:ascii="宋体" w:hAnsi="宋体" w:eastAsia="宋体" w:cs="宋体"/>
                <w:iCs/>
                <w:color w:val="auto"/>
                <w:sz w:val="21"/>
                <w:szCs w:val="21"/>
                <w:highlight w:val="none"/>
                <w:lang w:val="en-US" w:eastAsia="zh-CN"/>
              </w:rPr>
              <w:t>服务地点：</w:t>
            </w:r>
            <w:r>
              <w:rPr>
                <w:rFonts w:hint="eastAsia" w:ascii="宋体" w:hAnsi="宋体" w:eastAsia="宋体" w:cs="宋体"/>
                <w:b w:val="0"/>
                <w:bCs w:val="0"/>
                <w:i w:val="0"/>
                <w:iCs w:val="0"/>
                <w:snapToGrid w:val="0"/>
                <w:color w:val="auto"/>
                <w:kern w:val="0"/>
                <w:sz w:val="21"/>
                <w:szCs w:val="21"/>
                <w:highlight w:val="none"/>
                <w:lang w:val="en-US" w:eastAsia="zh-CN"/>
              </w:rPr>
              <w:t>国家税务总局来宾市兴宾区税务局（维林大道417号）；兴宾区税务局城北分局（中南路271号）；兴宾区税务局第二税务分局（大桥路8号）；兴宾区税务局第一税务分局（来宾市政务中心一楼大厅、兴宾区政务中心一楼大厅）。</w:t>
            </w:r>
          </w:p>
        </w:tc>
      </w:tr>
      <w:tr w14:paraId="1E77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251" w:type="dxa"/>
            <w:gridSpan w:val="3"/>
            <w:noWrap w:val="0"/>
            <w:vAlign w:val="center"/>
          </w:tcPr>
          <w:p w14:paraId="2EDE501D">
            <w:pPr>
              <w:keepNext w:val="0"/>
              <w:keepLines w:val="0"/>
              <w:pageBreakBefore w:val="0"/>
              <w:widowControl/>
              <w:kinsoku/>
              <w:wordWrap/>
              <w:overflowPunct w:val="0"/>
              <w:topLinePunct w:val="0"/>
              <w:autoSpaceDE w:val="0"/>
              <w:autoSpaceDN w:val="0"/>
              <w:bidi w:val="0"/>
              <w:adjustRightInd w:val="0"/>
              <w:spacing w:line="36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787" w:type="dxa"/>
            <w:noWrap w:val="0"/>
            <w:vAlign w:val="top"/>
          </w:tcPr>
          <w:p w14:paraId="187F48DD">
            <w:pPr>
              <w:pStyle w:val="26"/>
              <w:keepNext w:val="0"/>
              <w:keepLines w:val="0"/>
              <w:pageBreakBefore w:val="0"/>
              <w:widowControl/>
              <w:kinsoku/>
              <w:wordWrap/>
              <w:overflowPunct/>
              <w:topLinePunct w:val="0"/>
              <w:autoSpaceDE/>
              <w:autoSpaceDN/>
              <w:bidi w:val="0"/>
              <w:adjustRightInd/>
              <w:snapToGrid/>
              <w:spacing w:afterLines="0" w:line="560" w:lineRule="exact"/>
              <w:jc w:val="both"/>
              <w:textAlignment w:val="auto"/>
              <w:rPr>
                <w:rFonts w:hint="eastAsia" w:ascii="宋体" w:hAnsi="宋体" w:eastAsia="宋体" w:cs="宋体"/>
                <w:i w:val="0"/>
                <w:iCs w:val="0"/>
                <w:snapToGrid w:val="0"/>
                <w:color w:val="auto"/>
                <w:kern w:val="0"/>
                <w:sz w:val="21"/>
                <w:szCs w:val="21"/>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宋体" w:hAnsi="宋体" w:eastAsia="宋体" w:cs="宋体"/>
                <w:i w:val="0"/>
                <w:iCs w:val="0"/>
                <w:snapToGrid w:val="0"/>
                <w:color w:val="auto"/>
                <w:kern w:val="0"/>
                <w:sz w:val="21"/>
                <w:szCs w:val="21"/>
                <w:highlight w:val="none"/>
                <w:lang w:eastAsia="zh-CN"/>
              </w:rPr>
              <w:t>服务费支付方式及时间：</w:t>
            </w:r>
            <w:r>
              <w:rPr>
                <w:rFonts w:hint="eastAsia" w:ascii="宋体" w:hAnsi="宋体" w:eastAsia="宋体" w:cs="宋体"/>
                <w:i w:val="0"/>
                <w:iCs w:val="0"/>
                <w:snapToGrid w:val="0"/>
                <w:color w:val="auto"/>
                <w:kern w:val="0"/>
                <w:sz w:val="21"/>
                <w:szCs w:val="21"/>
                <w:highlight w:val="none"/>
                <w:lang w:val="en-US" w:eastAsia="zh-CN" w:bidi="ar-SA"/>
              </w:rPr>
              <w:t>采购人采取先服务后付款、按月考核结算的方式。每月末，采购人根据</w:t>
            </w:r>
            <w:r>
              <w:rPr>
                <w:rFonts w:hint="eastAsia" w:ascii="宋体" w:hAnsi="宋体" w:eastAsia="宋体" w:cs="宋体"/>
                <w:i w:val="0"/>
                <w:iCs w:val="0"/>
                <w:snapToGrid w:val="0"/>
                <w:color w:val="auto"/>
                <w:kern w:val="0"/>
                <w:sz w:val="21"/>
                <w:szCs w:val="21"/>
                <w:highlight w:val="none"/>
                <w:lang w:val="en-US" w:eastAsia="zh-CN"/>
              </w:rPr>
              <w:t>《国家税务总局来宾市兴宾区税务局2024年非执法类辅助性服务日常考核情况表》</w:t>
            </w:r>
            <w:r>
              <w:rPr>
                <w:rFonts w:hint="eastAsia" w:ascii="宋体" w:hAnsi="宋体" w:eastAsia="宋体" w:cs="宋体"/>
                <w:i w:val="0"/>
                <w:iCs w:val="0"/>
                <w:snapToGrid w:val="0"/>
                <w:color w:val="auto"/>
                <w:kern w:val="0"/>
                <w:sz w:val="21"/>
                <w:szCs w:val="21"/>
                <w:highlight w:val="none"/>
                <w:lang w:val="en-US" w:eastAsia="zh-CN" w:bidi="ar-SA"/>
              </w:rPr>
              <w:t>考核汇总扣款后结算当月服务费。</w:t>
            </w:r>
          </w:p>
          <w:p w14:paraId="6DA66EDB">
            <w:pPr>
              <w:pStyle w:val="26"/>
              <w:widowControl/>
              <w:spacing w:afterLines="0"/>
              <w:rPr>
                <w:rFonts w:hint="eastAsia" w:ascii="宋体" w:hAnsi="宋体" w:eastAsia="宋体" w:cs="宋体"/>
                <w:i w:val="0"/>
                <w:iCs w:val="0"/>
                <w:snapToGrid w:val="0"/>
                <w:color w:val="auto"/>
                <w:kern w:val="0"/>
                <w:sz w:val="21"/>
                <w:szCs w:val="21"/>
                <w:highlight w:val="none"/>
                <w:lang w:val="en-US" w:eastAsia="zh-CN" w:bidi="ar-SA"/>
              </w:rPr>
            </w:pPr>
            <w:r>
              <w:rPr>
                <w:rFonts w:hint="eastAsia" w:ascii="宋体" w:hAnsi="宋体" w:eastAsia="宋体" w:cs="宋体"/>
                <w:i w:val="0"/>
                <w:iCs w:val="0"/>
                <w:snapToGrid w:val="0"/>
                <w:color w:val="auto"/>
                <w:kern w:val="0"/>
                <w:sz w:val="21"/>
                <w:szCs w:val="21"/>
                <w:highlight w:val="none"/>
                <w:lang w:val="en-US" w:eastAsia="zh-CN" w:bidi="ar-SA"/>
              </w:rPr>
              <w:t>即：当月服务费=年度合同金额/12-当月考核汇总扣款。</w:t>
            </w:r>
          </w:p>
          <w:p w14:paraId="1B202685">
            <w:pPr>
              <w:pStyle w:val="26"/>
              <w:overflowPunct/>
              <w:autoSpaceDE/>
              <w:autoSpaceDN/>
              <w:adjustRightInd/>
              <w:spacing w:afterLines="0" w:line="560" w:lineRule="exact"/>
              <w:jc w:val="both"/>
              <w:textAlignment w:val="auto"/>
              <w:rPr>
                <w:rFonts w:hint="eastAsia"/>
                <w:color w:val="auto"/>
                <w:highlight w:val="none"/>
                <w:lang w:val="en-US" w:eastAsia="zh-CN"/>
              </w:rPr>
            </w:pPr>
            <w:r>
              <w:rPr>
                <w:rFonts w:hint="eastAsia" w:ascii="宋体" w:hAnsi="宋体" w:eastAsia="宋体" w:cs="宋体"/>
                <w:i w:val="0"/>
                <w:iCs w:val="0"/>
                <w:snapToGrid w:val="0"/>
                <w:color w:val="auto"/>
                <w:kern w:val="0"/>
                <w:sz w:val="21"/>
                <w:szCs w:val="21"/>
                <w:highlight w:val="none"/>
                <w:lang w:val="en-US" w:eastAsia="zh-CN" w:bidi="ar-SA"/>
              </w:rPr>
              <w:t>采购人付款前，中标人向采购人提供等额有效的</w:t>
            </w:r>
            <w:r>
              <w:rPr>
                <w:rFonts w:hint="eastAsia" w:ascii="宋体" w:hAnsi="宋体" w:cs="宋体"/>
                <w:i w:val="0"/>
                <w:iCs w:val="0"/>
                <w:snapToGrid w:val="0"/>
                <w:color w:val="auto"/>
                <w:kern w:val="0"/>
                <w:sz w:val="21"/>
                <w:szCs w:val="21"/>
                <w:highlight w:val="none"/>
                <w:lang w:val="en-US" w:eastAsia="zh-CN" w:bidi="ar-SA"/>
              </w:rPr>
              <w:t>增值税</w:t>
            </w:r>
            <w:r>
              <w:rPr>
                <w:rFonts w:hint="eastAsia" w:ascii="宋体" w:hAnsi="宋体" w:eastAsia="宋体" w:cs="宋体"/>
                <w:i w:val="0"/>
                <w:iCs w:val="0"/>
                <w:snapToGrid w:val="0"/>
                <w:color w:val="auto"/>
                <w:kern w:val="0"/>
                <w:sz w:val="21"/>
                <w:szCs w:val="21"/>
                <w:highlight w:val="none"/>
                <w:lang w:val="en-US" w:eastAsia="zh-CN" w:bidi="ar-SA"/>
              </w:rPr>
              <w:t>发票。采购人收到发票后10个工作日内支付中标人的服务费。采购人未收到发票的，有权不予支付相应款项直至中标人提供合格发票，并不承担延迟付款责任。但中标人应按合同约定继续履行服务义务，确保采购人工作正常运转。当发生此等情况时，中标人有义务自行先向所派服务人员支付各种相关费用。</w:t>
            </w:r>
            <w:r>
              <w:rPr>
                <w:rFonts w:hint="eastAsia" w:ascii="宋体" w:hAnsi="宋体" w:eastAsia="宋体" w:cs="宋体"/>
                <w:iCs/>
                <w:color w:val="auto"/>
                <w:sz w:val="21"/>
                <w:szCs w:val="21"/>
                <w:highlight w:val="none"/>
              </w:rPr>
              <w:t>采购人因预算资金未到位暂不能按时支付的，根据预算资金到位情况及时支付，不视为违约。</w:t>
            </w:r>
          </w:p>
        </w:tc>
      </w:tr>
      <w:tr w14:paraId="3E70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38" w:type="dxa"/>
            <w:gridSpan w:val="4"/>
            <w:noWrap w:val="0"/>
            <w:vAlign w:val="center"/>
          </w:tcPr>
          <w:p w14:paraId="1771D106">
            <w:pPr>
              <w:pStyle w:val="9"/>
              <w:spacing w:line="360" w:lineRule="auto"/>
              <w:ind w:firstLine="422" w:firstLineChars="200"/>
              <w:jc w:val="center"/>
              <w:rPr>
                <w:rFonts w:hint="eastAsia" w:ascii="Times New Roman" w:hAnsi="Times New Roman" w:cs="Times New Roman"/>
                <w:color w:val="auto"/>
                <w:kern w:val="2"/>
                <w:sz w:val="21"/>
                <w:szCs w:val="24"/>
                <w:highlight w:val="none"/>
                <w:lang w:val="en-US" w:eastAsia="zh-CN" w:bidi="ar-SA"/>
              </w:rPr>
            </w:pPr>
            <w:r>
              <w:rPr>
                <w:rFonts w:hint="eastAsia"/>
                <w:b/>
                <w:bCs w:val="0"/>
                <w:color w:val="auto"/>
                <w:sz w:val="21"/>
                <w:szCs w:val="21"/>
                <w:highlight w:val="none"/>
                <w:lang w:eastAsia="zh-CN"/>
              </w:rPr>
              <w:t>三、其他事项</w:t>
            </w:r>
          </w:p>
        </w:tc>
      </w:tr>
      <w:tr w14:paraId="6130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038" w:type="dxa"/>
            <w:gridSpan w:val="4"/>
            <w:noWrap w:val="0"/>
            <w:vAlign w:val="center"/>
          </w:tcPr>
          <w:p w14:paraId="7CDF6F83">
            <w:pPr>
              <w:pStyle w:val="29"/>
              <w:bidi w:val="0"/>
              <w:spacing w:line="360" w:lineRule="auto"/>
              <w:jc w:val="left"/>
              <w:rPr>
                <w:rFonts w:hint="eastAsia"/>
                <w:color w:val="auto"/>
                <w:sz w:val="21"/>
                <w:szCs w:val="21"/>
                <w:highlight w:val="none"/>
                <w:lang w:eastAsia="zh-CN"/>
              </w:rPr>
            </w:pPr>
            <w:r>
              <w:rPr>
                <w:color w:val="auto"/>
                <w:sz w:val="21"/>
                <w:szCs w:val="21"/>
                <w:highlight w:val="none"/>
              </w:rPr>
              <w:t>投标人可</w:t>
            </w:r>
            <w:r>
              <w:rPr>
                <w:rFonts w:hint="eastAsia"/>
                <w:color w:val="auto"/>
                <w:sz w:val="21"/>
                <w:szCs w:val="21"/>
                <w:highlight w:val="none"/>
                <w:lang w:eastAsia="zh-CN"/>
              </w:rPr>
              <w:t>以根据项目要求，在投标文件中提供包括但不限于： 项目需求理解、</w:t>
            </w:r>
            <w:r>
              <w:rPr>
                <w:rFonts w:hint="eastAsia"/>
                <w:color w:val="auto"/>
                <w:sz w:val="21"/>
                <w:szCs w:val="21"/>
                <w:highlight w:val="none"/>
                <w:lang w:val="en-US" w:eastAsia="zh-CN"/>
              </w:rPr>
              <w:t>服务</w:t>
            </w:r>
            <w:r>
              <w:rPr>
                <w:rFonts w:hint="eastAsia"/>
                <w:color w:val="auto"/>
                <w:sz w:val="21"/>
                <w:szCs w:val="21"/>
                <w:highlight w:val="none"/>
                <w:lang w:eastAsia="zh-CN"/>
              </w:rPr>
              <w:t>方案、</w:t>
            </w:r>
            <w:r>
              <w:rPr>
                <w:rFonts w:hint="eastAsia"/>
                <w:color w:val="auto"/>
                <w:sz w:val="21"/>
                <w:szCs w:val="21"/>
                <w:highlight w:val="none"/>
                <w:lang w:val="en-US" w:eastAsia="zh-CN"/>
              </w:rPr>
              <w:t>应急预案、管理方案</w:t>
            </w:r>
            <w:r>
              <w:rPr>
                <w:rFonts w:hint="eastAsia"/>
                <w:color w:val="auto"/>
                <w:sz w:val="21"/>
                <w:szCs w:val="21"/>
                <w:highlight w:val="none"/>
                <w:lang w:eastAsia="zh-CN"/>
              </w:rPr>
              <w:t>等。</w:t>
            </w:r>
          </w:p>
          <w:p w14:paraId="67E3D3D5">
            <w:pPr>
              <w:pStyle w:val="29"/>
              <w:jc w:val="left"/>
              <w:rPr>
                <w:rFonts w:hint="eastAsia" w:ascii="宋体" w:hAnsi="宋体" w:eastAsia="宋体" w:cs="宋体"/>
                <w:i w:val="0"/>
                <w:iCs w:val="0"/>
                <w:snapToGrid w:val="0"/>
                <w:color w:val="auto"/>
                <w:kern w:val="0"/>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）项目需求理解：投标人</w:t>
            </w:r>
            <w:r>
              <w:rPr>
                <w:rFonts w:hint="eastAsia" w:ascii="宋体" w:hAnsi="宋体" w:eastAsia="宋体" w:cs="宋体"/>
                <w:i w:val="0"/>
                <w:iCs w:val="0"/>
                <w:snapToGrid w:val="0"/>
                <w:color w:val="auto"/>
                <w:kern w:val="0"/>
                <w:sz w:val="21"/>
                <w:szCs w:val="21"/>
                <w:highlight w:val="none"/>
              </w:rPr>
              <w:t>对招标文件中项目需求部分进行逐一响应，充分理解项目</w:t>
            </w:r>
            <w:r>
              <w:rPr>
                <w:rFonts w:hint="eastAsia" w:ascii="宋体" w:hAnsi="宋体" w:eastAsia="宋体" w:cs="宋体"/>
                <w:i w:val="0"/>
                <w:iCs w:val="0"/>
                <w:snapToGrid w:val="0"/>
                <w:color w:val="auto"/>
                <w:kern w:val="0"/>
                <w:sz w:val="21"/>
                <w:szCs w:val="21"/>
                <w:highlight w:val="none"/>
                <w:lang w:val="en-US" w:eastAsia="zh-CN"/>
              </w:rPr>
              <w:t>需求</w:t>
            </w:r>
            <w:r>
              <w:rPr>
                <w:rFonts w:hint="eastAsia" w:ascii="宋体" w:hAnsi="宋体" w:eastAsia="宋体" w:cs="宋体"/>
                <w:i w:val="0"/>
                <w:iCs w:val="0"/>
                <w:snapToGrid w:val="0"/>
                <w:color w:val="auto"/>
                <w:kern w:val="0"/>
                <w:sz w:val="21"/>
                <w:szCs w:val="21"/>
                <w:highlight w:val="none"/>
              </w:rPr>
              <w:t>内容，对项目</w:t>
            </w:r>
            <w:r>
              <w:rPr>
                <w:rFonts w:hint="eastAsia" w:ascii="宋体" w:hAnsi="宋体" w:eastAsia="宋体" w:cs="宋体"/>
                <w:i w:val="0"/>
                <w:iCs w:val="0"/>
                <w:snapToGrid w:val="0"/>
                <w:color w:val="auto"/>
                <w:kern w:val="0"/>
                <w:sz w:val="21"/>
                <w:szCs w:val="21"/>
                <w:highlight w:val="none"/>
                <w:lang w:val="en-US" w:eastAsia="zh-CN"/>
              </w:rPr>
              <w:t>采购</w:t>
            </w:r>
            <w:r>
              <w:rPr>
                <w:rFonts w:hint="eastAsia"/>
                <w:color w:val="auto"/>
                <w:sz w:val="21"/>
                <w:szCs w:val="21"/>
                <w:highlight w:val="none"/>
              </w:rPr>
              <w:t>需求的基本情况</w:t>
            </w:r>
            <w:r>
              <w:rPr>
                <w:rFonts w:hint="eastAsia" w:ascii="宋体" w:hAnsi="宋体" w:eastAsia="宋体" w:cs="宋体"/>
                <w:i w:val="0"/>
                <w:iCs w:val="0"/>
                <w:snapToGrid w:val="0"/>
                <w:color w:val="auto"/>
                <w:kern w:val="0"/>
                <w:sz w:val="21"/>
                <w:szCs w:val="21"/>
                <w:highlight w:val="none"/>
              </w:rPr>
              <w:t>、</w:t>
            </w:r>
            <w:r>
              <w:rPr>
                <w:rFonts w:hint="eastAsia"/>
                <w:color w:val="auto"/>
                <w:sz w:val="21"/>
                <w:szCs w:val="21"/>
                <w:highlight w:val="none"/>
              </w:rPr>
              <w:t>工作要求、</w:t>
            </w:r>
            <w:r>
              <w:rPr>
                <w:rFonts w:hint="eastAsia"/>
                <w:color w:val="auto"/>
                <w:sz w:val="21"/>
                <w:szCs w:val="21"/>
                <w:highlight w:val="none"/>
                <w:lang w:val="en-US" w:eastAsia="zh-CN"/>
              </w:rPr>
              <w:t>业务流程、</w:t>
            </w:r>
            <w:r>
              <w:rPr>
                <w:color w:val="auto"/>
                <w:sz w:val="21"/>
                <w:szCs w:val="21"/>
                <w:highlight w:val="none"/>
              </w:rPr>
              <w:t>项目实施的</w:t>
            </w:r>
            <w:r>
              <w:rPr>
                <w:rFonts w:hint="eastAsia"/>
                <w:color w:val="auto"/>
                <w:sz w:val="21"/>
                <w:szCs w:val="21"/>
                <w:highlight w:val="none"/>
              </w:rPr>
              <w:t>重点及难点</w:t>
            </w:r>
            <w:r>
              <w:rPr>
                <w:color w:val="auto"/>
                <w:sz w:val="21"/>
                <w:szCs w:val="21"/>
                <w:highlight w:val="none"/>
              </w:rPr>
              <w:t>等</w:t>
            </w:r>
            <w:r>
              <w:rPr>
                <w:rFonts w:hint="eastAsia"/>
                <w:color w:val="auto"/>
                <w:sz w:val="21"/>
                <w:szCs w:val="21"/>
                <w:highlight w:val="none"/>
                <w:lang w:eastAsia="zh-CN"/>
              </w:rPr>
              <w:t>方面进行详细、深入阐述和分析</w:t>
            </w:r>
            <w:r>
              <w:rPr>
                <w:rFonts w:hint="eastAsia" w:ascii="宋体" w:hAnsi="宋体" w:eastAsia="宋体" w:cs="宋体"/>
                <w:i w:val="0"/>
                <w:iCs w:val="0"/>
                <w:snapToGrid w:val="0"/>
                <w:color w:val="auto"/>
                <w:kern w:val="0"/>
                <w:sz w:val="21"/>
                <w:szCs w:val="21"/>
                <w:highlight w:val="none"/>
              </w:rPr>
              <w:t>。</w:t>
            </w:r>
          </w:p>
          <w:p w14:paraId="0A31B9A8">
            <w:pPr>
              <w:pStyle w:val="29"/>
              <w:bidi w:val="0"/>
              <w:spacing w:line="360" w:lineRule="auto"/>
              <w:jc w:val="left"/>
              <w:rPr>
                <w:rFonts w:hint="eastAsia"/>
                <w:color w:val="auto"/>
                <w:sz w:val="21"/>
                <w:szCs w:val="21"/>
                <w:highlight w:val="none"/>
                <w:lang w:eastAsia="zh-CN"/>
              </w:rPr>
            </w:pPr>
            <w:r>
              <w:rPr>
                <w:rFonts w:hint="eastAsia"/>
                <w:color w:val="auto"/>
                <w:sz w:val="21"/>
                <w:szCs w:val="21"/>
                <w:highlight w:val="none"/>
                <w:lang w:val="en-US" w:eastAsia="zh-CN"/>
              </w:rPr>
              <w:t>（2）服务</w:t>
            </w:r>
            <w:r>
              <w:rPr>
                <w:rFonts w:hint="eastAsia"/>
                <w:color w:val="auto"/>
                <w:sz w:val="21"/>
                <w:szCs w:val="21"/>
                <w:highlight w:val="none"/>
                <w:lang w:eastAsia="zh-CN"/>
              </w:rPr>
              <w:t>方案：投标人</w:t>
            </w:r>
            <w:r>
              <w:rPr>
                <w:rFonts w:hint="eastAsia"/>
                <w:color w:val="auto"/>
                <w:sz w:val="21"/>
                <w:szCs w:val="21"/>
                <w:highlight w:val="none"/>
                <w:lang w:val="en-US" w:eastAsia="zh-CN"/>
              </w:rPr>
              <w:t>按</w:t>
            </w:r>
            <w:r>
              <w:rPr>
                <w:rFonts w:hint="eastAsia"/>
                <w:color w:val="auto"/>
                <w:sz w:val="21"/>
                <w:szCs w:val="21"/>
                <w:highlight w:val="none"/>
                <w:lang w:eastAsia="zh-CN"/>
              </w:rPr>
              <w:t>本项目需求制订</w:t>
            </w:r>
            <w:r>
              <w:rPr>
                <w:rFonts w:hint="eastAsia" w:ascii="宋体" w:hAnsi="宋体" w:cs="宋体"/>
                <w:snapToGrid w:val="0"/>
                <w:color w:val="auto"/>
                <w:sz w:val="21"/>
                <w:szCs w:val="21"/>
                <w:highlight w:val="none"/>
                <w:lang w:val="en-US" w:eastAsia="zh-CN"/>
              </w:rPr>
              <w:t>非执法类辅助性和综合管理服务方案</w:t>
            </w:r>
            <w:r>
              <w:rPr>
                <w:rFonts w:hint="eastAsia" w:ascii="宋体" w:hAnsi="宋体" w:cs="宋体"/>
                <w:snapToGrid w:val="0"/>
                <w:color w:val="auto"/>
                <w:sz w:val="21"/>
                <w:szCs w:val="21"/>
                <w:highlight w:val="none"/>
                <w:lang w:eastAsia="zh-CN"/>
              </w:rPr>
              <w:t>、</w:t>
            </w:r>
            <w:r>
              <w:rPr>
                <w:rFonts w:hint="eastAsia" w:ascii="宋体" w:hAnsi="宋体" w:eastAsia="宋体" w:cs="宋体"/>
                <w:b w:val="0"/>
                <w:bCs w:val="0"/>
                <w:color w:val="auto"/>
                <w:kern w:val="0"/>
                <w:sz w:val="21"/>
                <w:szCs w:val="21"/>
                <w:highlight w:val="none"/>
              </w:rPr>
              <w:t>机关后勤服务</w:t>
            </w:r>
            <w:r>
              <w:rPr>
                <w:rFonts w:hint="eastAsia" w:ascii="宋体" w:hAnsi="宋体" w:cs="宋体"/>
                <w:snapToGrid w:val="0"/>
                <w:color w:val="auto"/>
                <w:sz w:val="21"/>
                <w:szCs w:val="21"/>
                <w:highlight w:val="none"/>
                <w:lang w:val="en-US" w:eastAsia="zh-CN"/>
              </w:rPr>
              <w:t>方案、</w:t>
            </w:r>
            <w:r>
              <w:rPr>
                <w:rFonts w:hint="eastAsia" w:ascii="宋体" w:hAnsi="宋体" w:eastAsia="宋体" w:cs="宋体"/>
                <w:b w:val="0"/>
                <w:bCs w:val="0"/>
                <w:color w:val="auto"/>
                <w:kern w:val="0"/>
                <w:sz w:val="21"/>
                <w:szCs w:val="21"/>
                <w:highlight w:val="none"/>
              </w:rPr>
              <w:t>档案管理服务</w:t>
            </w:r>
            <w:r>
              <w:rPr>
                <w:rFonts w:hint="eastAsia" w:ascii="宋体" w:hAnsi="宋体" w:eastAsia="宋体" w:cs="宋体"/>
                <w:b w:val="0"/>
                <w:bCs w:val="0"/>
                <w:color w:val="auto"/>
                <w:kern w:val="0"/>
                <w:sz w:val="21"/>
                <w:szCs w:val="21"/>
                <w:highlight w:val="none"/>
                <w:lang w:eastAsia="zh-CN"/>
              </w:rPr>
              <w:t>方案</w:t>
            </w:r>
            <w:r>
              <w:rPr>
                <w:color w:val="auto"/>
                <w:sz w:val="21"/>
                <w:szCs w:val="21"/>
                <w:highlight w:val="none"/>
              </w:rPr>
              <w:t>等</w:t>
            </w:r>
            <w:r>
              <w:rPr>
                <w:rFonts w:hint="eastAsia"/>
                <w:color w:val="auto"/>
                <w:sz w:val="21"/>
                <w:szCs w:val="21"/>
                <w:highlight w:val="none"/>
                <w:lang w:val="en-US" w:eastAsia="zh-CN"/>
              </w:rPr>
              <w:t>服务</w:t>
            </w:r>
            <w:r>
              <w:rPr>
                <w:rFonts w:hint="eastAsia"/>
                <w:color w:val="auto"/>
                <w:sz w:val="21"/>
                <w:szCs w:val="21"/>
                <w:highlight w:val="none"/>
                <w:lang w:eastAsia="zh-CN"/>
              </w:rPr>
              <w:t>方案，</w:t>
            </w:r>
            <w:r>
              <w:rPr>
                <w:rFonts w:hint="eastAsia"/>
                <w:color w:val="auto"/>
                <w:sz w:val="21"/>
                <w:szCs w:val="21"/>
                <w:highlight w:val="none"/>
                <w:lang w:val="en-US" w:eastAsia="zh-CN"/>
              </w:rPr>
              <w:t>要求</w:t>
            </w:r>
            <w:r>
              <w:rPr>
                <w:rFonts w:hint="eastAsia"/>
                <w:color w:val="auto"/>
                <w:sz w:val="21"/>
                <w:szCs w:val="21"/>
                <w:highlight w:val="none"/>
                <w:lang w:eastAsia="zh-CN"/>
              </w:rPr>
              <w:t>完整、详细、具有可操作性。</w:t>
            </w:r>
          </w:p>
          <w:p w14:paraId="7B6FC02D">
            <w:pPr>
              <w:pStyle w:val="29"/>
              <w:bidi w:val="0"/>
              <w:spacing w:line="360" w:lineRule="auto"/>
              <w:jc w:val="left"/>
              <w:rPr>
                <w:rFonts w:hint="eastAsia" w:eastAsiaTheme="minorEastAsia"/>
                <w:color w:val="auto"/>
                <w:sz w:val="21"/>
                <w:szCs w:val="21"/>
                <w:highlight w:val="none"/>
                <w:lang w:val="en-US" w:eastAsia="zh-CN"/>
              </w:rPr>
            </w:pPr>
            <w:r>
              <w:rPr>
                <w:rFonts w:hint="eastAsia"/>
                <w:color w:val="auto"/>
                <w:sz w:val="21"/>
                <w:szCs w:val="21"/>
                <w:highlight w:val="none"/>
                <w:lang w:val="en-US" w:eastAsia="zh-CN"/>
              </w:rPr>
              <w:t>（4）应急预案</w:t>
            </w:r>
            <w:r>
              <w:rPr>
                <w:rFonts w:hint="eastAsia"/>
                <w:color w:val="auto"/>
                <w:sz w:val="21"/>
                <w:szCs w:val="21"/>
                <w:highlight w:val="none"/>
                <w:lang w:eastAsia="zh-CN"/>
              </w:rPr>
              <w:t>：投标人</w:t>
            </w:r>
            <w:r>
              <w:rPr>
                <w:rFonts w:hint="eastAsia"/>
                <w:color w:val="auto"/>
                <w:sz w:val="21"/>
                <w:szCs w:val="21"/>
                <w:highlight w:val="none"/>
                <w:lang w:val="en-US" w:eastAsia="zh-CN"/>
              </w:rPr>
              <w:t>按</w:t>
            </w:r>
            <w:r>
              <w:rPr>
                <w:rFonts w:hint="eastAsia"/>
                <w:color w:val="auto"/>
                <w:sz w:val="21"/>
                <w:szCs w:val="21"/>
                <w:highlight w:val="none"/>
                <w:lang w:eastAsia="zh-CN"/>
              </w:rPr>
              <w:t>本项目需求制订</w:t>
            </w:r>
            <w:r>
              <w:rPr>
                <w:rFonts w:hint="eastAsia"/>
                <w:color w:val="auto"/>
                <w:sz w:val="21"/>
                <w:szCs w:val="21"/>
                <w:highlight w:val="none"/>
                <w:lang w:val="en-US" w:eastAsia="zh-CN"/>
              </w:rPr>
              <w:t>应急预案</w:t>
            </w:r>
            <w:r>
              <w:rPr>
                <w:color w:val="auto"/>
                <w:sz w:val="21"/>
                <w:szCs w:val="21"/>
                <w:highlight w:val="none"/>
              </w:rPr>
              <w:t>，</w:t>
            </w:r>
            <w:r>
              <w:rPr>
                <w:rFonts w:hint="eastAsia" w:ascii="宋体" w:hAnsi="宋体" w:cs="宋体"/>
                <w:snapToGrid w:val="0"/>
                <w:color w:val="auto"/>
                <w:sz w:val="21"/>
                <w:szCs w:val="21"/>
                <w:highlight w:val="none"/>
              </w:rPr>
              <w:t>包括但不限于</w:t>
            </w:r>
            <w:r>
              <w:rPr>
                <w:rFonts w:hint="eastAsia" w:ascii="宋体" w:hAnsi="宋体" w:eastAsia="宋体" w:cs="宋体"/>
                <w:iCs/>
                <w:color w:val="auto"/>
                <w:sz w:val="21"/>
                <w:szCs w:val="21"/>
                <w:highlight w:val="none"/>
                <w:lang w:eastAsia="zh-CN"/>
              </w:rPr>
              <w:t>舆情事件应急处理</w:t>
            </w:r>
            <w:r>
              <w:rPr>
                <w:rFonts w:hint="eastAsia"/>
                <w:color w:val="auto"/>
                <w:sz w:val="21"/>
                <w:szCs w:val="21"/>
                <w:highlight w:val="none"/>
                <w:lang w:val="en-US" w:eastAsia="zh-CN"/>
              </w:rPr>
              <w:t>预案</w:t>
            </w:r>
            <w:r>
              <w:rPr>
                <w:rFonts w:hint="eastAsia" w:ascii="宋体" w:hAnsi="宋体" w:eastAsia="宋体" w:cs="宋体"/>
                <w:iCs/>
                <w:color w:val="auto"/>
                <w:sz w:val="21"/>
                <w:szCs w:val="21"/>
                <w:highlight w:val="none"/>
                <w:lang w:eastAsia="zh-CN"/>
              </w:rPr>
              <w:t>、大厅纠纷应急预案</w:t>
            </w:r>
            <w:r>
              <w:rPr>
                <w:color w:val="auto"/>
                <w:sz w:val="21"/>
                <w:szCs w:val="21"/>
                <w:highlight w:val="none"/>
              </w:rPr>
              <w:t>等</w:t>
            </w:r>
            <w:r>
              <w:rPr>
                <w:rFonts w:hint="eastAsia"/>
                <w:color w:val="auto"/>
                <w:sz w:val="21"/>
                <w:szCs w:val="21"/>
                <w:highlight w:val="none"/>
                <w:lang w:eastAsia="zh-CN"/>
              </w:rPr>
              <w:t>，</w:t>
            </w:r>
            <w:r>
              <w:rPr>
                <w:rFonts w:hint="eastAsia"/>
                <w:color w:val="auto"/>
                <w:sz w:val="21"/>
                <w:szCs w:val="21"/>
                <w:highlight w:val="none"/>
                <w:lang w:val="en-US" w:eastAsia="zh-CN"/>
              </w:rPr>
              <w:t>要求</w:t>
            </w:r>
            <w:r>
              <w:rPr>
                <w:rFonts w:hint="eastAsia"/>
                <w:color w:val="auto"/>
                <w:sz w:val="21"/>
                <w:szCs w:val="21"/>
                <w:highlight w:val="none"/>
                <w:lang w:eastAsia="zh-CN"/>
              </w:rPr>
              <w:t>完整、详细、具有可操作性。</w:t>
            </w:r>
          </w:p>
          <w:p w14:paraId="3A08FEBA">
            <w:pPr>
              <w:pStyle w:val="29"/>
              <w:bidi w:val="0"/>
              <w:spacing w:line="360" w:lineRule="auto"/>
              <w:jc w:val="left"/>
              <w:rPr>
                <w:rFonts w:hint="eastAsia" w:ascii="Times New Roman" w:hAnsi="Times New Roman" w:cs="Times New Roman"/>
                <w:color w:val="auto"/>
                <w:kern w:val="2"/>
                <w:sz w:val="21"/>
                <w:szCs w:val="24"/>
                <w:highlight w:val="none"/>
                <w:lang w:val="en-US" w:eastAsia="zh-CN" w:bidi="ar-SA"/>
              </w:rPr>
            </w:pPr>
            <w:r>
              <w:rPr>
                <w:rFonts w:hint="eastAsia"/>
                <w:color w:val="auto"/>
                <w:sz w:val="21"/>
                <w:szCs w:val="21"/>
                <w:highlight w:val="none"/>
                <w:lang w:val="en-US" w:eastAsia="zh-CN"/>
              </w:rPr>
              <w:t>（3）</w:t>
            </w:r>
            <w:r>
              <w:rPr>
                <w:rFonts w:hint="eastAsia"/>
                <w:color w:val="auto"/>
                <w:sz w:val="21"/>
                <w:szCs w:val="21"/>
                <w:highlight w:val="none"/>
                <w:lang w:eastAsia="zh-CN"/>
              </w:rPr>
              <w:t>管理方案：投标人</w:t>
            </w:r>
            <w:r>
              <w:rPr>
                <w:rFonts w:hint="eastAsia"/>
                <w:color w:val="auto"/>
                <w:sz w:val="21"/>
                <w:szCs w:val="21"/>
                <w:highlight w:val="none"/>
                <w:lang w:val="en-US" w:eastAsia="zh-CN"/>
              </w:rPr>
              <w:t>按</w:t>
            </w:r>
            <w:r>
              <w:rPr>
                <w:rFonts w:hint="eastAsia"/>
                <w:color w:val="auto"/>
                <w:sz w:val="21"/>
                <w:szCs w:val="21"/>
                <w:highlight w:val="none"/>
                <w:lang w:eastAsia="zh-CN"/>
              </w:rPr>
              <w:t>本项目需求制订</w:t>
            </w:r>
            <w:r>
              <w:rPr>
                <w:rFonts w:hint="eastAsia" w:ascii="宋体" w:hAnsi="宋体" w:eastAsia="宋体" w:cs="宋体"/>
                <w:iCs/>
                <w:color w:val="auto"/>
                <w:sz w:val="21"/>
                <w:szCs w:val="21"/>
                <w:highlight w:val="none"/>
                <w:lang w:eastAsia="zh-CN"/>
              </w:rPr>
              <w:t>人员管理制度、人员激励及处罚机制、人员行为规范（包括但不限于仪表仪容整洁）、</w:t>
            </w:r>
            <w:r>
              <w:rPr>
                <w:rFonts w:hint="eastAsia" w:ascii="宋体" w:hAnsi="宋体" w:eastAsia="宋体" w:cs="宋体"/>
                <w:b w:val="0"/>
                <w:bCs w:val="0"/>
                <w:iCs/>
                <w:color w:val="auto"/>
                <w:sz w:val="21"/>
                <w:szCs w:val="21"/>
                <w:highlight w:val="none"/>
                <w:lang w:eastAsia="zh-CN"/>
              </w:rPr>
              <w:t>人员保障方案、</w:t>
            </w:r>
            <w:r>
              <w:rPr>
                <w:rFonts w:hint="eastAsia" w:ascii="宋体" w:hAnsi="宋体" w:eastAsia="宋体" w:cs="宋体"/>
                <w:iCs/>
                <w:color w:val="auto"/>
                <w:sz w:val="21"/>
                <w:szCs w:val="21"/>
                <w:highlight w:val="none"/>
                <w:lang w:eastAsia="zh-CN"/>
              </w:rPr>
              <w:t>培训管理方案、岗位工作标准、安全操作</w:t>
            </w:r>
            <w:r>
              <w:rPr>
                <w:rFonts w:hint="eastAsia" w:ascii="宋体" w:hAnsi="宋体" w:eastAsia="宋体" w:cs="宋体"/>
                <w:iCs/>
                <w:color w:val="auto"/>
                <w:sz w:val="21"/>
                <w:szCs w:val="21"/>
                <w:highlight w:val="none"/>
                <w:lang w:val="en-US" w:eastAsia="zh-CN"/>
              </w:rPr>
              <w:t>规程、</w:t>
            </w:r>
            <w:r>
              <w:rPr>
                <w:rFonts w:hint="eastAsia" w:ascii="宋体" w:hAnsi="宋体" w:eastAsia="宋体" w:cs="宋体"/>
                <w:b w:val="0"/>
                <w:bCs w:val="0"/>
                <w:iCs/>
                <w:color w:val="auto"/>
                <w:sz w:val="21"/>
                <w:szCs w:val="21"/>
                <w:highlight w:val="none"/>
                <w:lang w:eastAsia="zh-CN"/>
              </w:rPr>
              <w:t>资产管理制度、</w:t>
            </w:r>
            <w:r>
              <w:rPr>
                <w:rFonts w:hint="eastAsia" w:ascii="宋体" w:hAnsi="宋体" w:eastAsia="宋体" w:cs="宋体"/>
                <w:iCs/>
                <w:color w:val="auto"/>
                <w:sz w:val="21"/>
                <w:szCs w:val="21"/>
                <w:highlight w:val="none"/>
                <w:lang w:eastAsia="zh-CN"/>
              </w:rPr>
              <w:t>泄密处理条例、</w:t>
            </w:r>
            <w:r>
              <w:rPr>
                <w:rFonts w:hint="eastAsia" w:ascii="宋体" w:hAnsi="宋体" w:eastAsia="宋体" w:cs="宋体"/>
                <w:b w:val="0"/>
                <w:bCs w:val="0"/>
                <w:i w:val="0"/>
                <w:iCs w:val="0"/>
                <w:snapToGrid w:val="0"/>
                <w:color w:val="auto"/>
                <w:kern w:val="0"/>
                <w:sz w:val="21"/>
                <w:szCs w:val="21"/>
                <w:highlight w:val="none"/>
                <w:lang w:val="en-US" w:eastAsia="zh-CN" w:bidi="ar-SA"/>
              </w:rPr>
              <w:t>财务管理制度</w:t>
            </w:r>
            <w:r>
              <w:rPr>
                <w:rFonts w:hint="eastAsia"/>
                <w:color w:val="auto"/>
                <w:sz w:val="21"/>
                <w:szCs w:val="21"/>
                <w:highlight w:val="none"/>
                <w:lang w:eastAsia="zh-CN"/>
              </w:rPr>
              <w:t>等管理方案，</w:t>
            </w:r>
            <w:r>
              <w:rPr>
                <w:rFonts w:hint="eastAsia"/>
                <w:color w:val="auto"/>
                <w:sz w:val="21"/>
                <w:szCs w:val="21"/>
                <w:highlight w:val="none"/>
                <w:lang w:val="en-US" w:eastAsia="zh-CN"/>
              </w:rPr>
              <w:t>要求</w:t>
            </w:r>
            <w:r>
              <w:rPr>
                <w:rFonts w:hint="eastAsia"/>
                <w:color w:val="auto"/>
                <w:sz w:val="21"/>
                <w:szCs w:val="21"/>
                <w:highlight w:val="none"/>
                <w:lang w:eastAsia="zh-CN"/>
              </w:rPr>
              <w:t>完整、详细、具有可操作性。</w:t>
            </w:r>
          </w:p>
        </w:tc>
      </w:tr>
    </w:tbl>
    <w:p w14:paraId="2F77F0F2">
      <w:pPr>
        <w:pStyle w:val="26"/>
        <w:keepNext w:val="0"/>
        <w:keepLines w:val="0"/>
        <w:pageBreakBefore w:val="0"/>
        <w:kinsoku/>
        <w:topLinePunct w:val="0"/>
        <w:bidi w:val="0"/>
        <w:spacing w:line="560" w:lineRule="exact"/>
        <w:ind w:left="0" w:lef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附表一：</w:t>
      </w:r>
    </w:p>
    <w:p w14:paraId="6FBE4A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i w:val="0"/>
          <w:iCs w:val="0"/>
          <w:snapToGrid w:val="0"/>
          <w:color w:val="auto"/>
          <w:kern w:val="0"/>
          <w:sz w:val="24"/>
          <w:szCs w:val="24"/>
          <w:highlight w:val="none"/>
          <w:lang w:val="en-US" w:eastAsia="zh-CN"/>
        </w:rPr>
      </w:pPr>
      <w:r>
        <w:rPr>
          <w:rFonts w:hint="eastAsia" w:ascii="宋体" w:hAnsi="宋体" w:eastAsia="宋体" w:cs="宋体"/>
          <w:b/>
          <w:bCs w:val="0"/>
          <w:i w:val="0"/>
          <w:iCs w:val="0"/>
          <w:snapToGrid w:val="0"/>
          <w:color w:val="auto"/>
          <w:kern w:val="0"/>
          <w:sz w:val="24"/>
          <w:szCs w:val="24"/>
          <w:highlight w:val="none"/>
          <w:lang w:val="en-US" w:eastAsia="zh-CN"/>
        </w:rPr>
        <w:t>《国家税务总局来宾市兴宾区税务局2024年非执法类辅助性服务日常考核情况表》</w:t>
      </w:r>
    </w:p>
    <w:p w14:paraId="55E92370">
      <w:pPr>
        <w:keepNext w:val="0"/>
        <w:keepLines w:val="0"/>
        <w:pageBreakBefore w:val="0"/>
        <w:kinsoku/>
        <w:topLinePunct w:val="0"/>
        <w:bidi w:val="0"/>
        <w:spacing w:line="560" w:lineRule="exact"/>
        <w:jc w:val="both"/>
        <w:rPr>
          <w:rFonts w:hint="eastAsia" w:ascii="宋体" w:hAnsi="宋体" w:eastAsia="宋体" w:cs="宋体"/>
          <w:color w:val="auto"/>
          <w:sz w:val="21"/>
          <w:szCs w:val="21"/>
          <w:highlight w:val="none"/>
        </w:rPr>
      </w:pPr>
      <w:r>
        <w:rPr>
          <w:rFonts w:hint="eastAsia" w:ascii="宋体" w:hAnsi="宋体" w:eastAsia="宋体" w:cs="宋体"/>
          <w:i w:val="0"/>
          <w:iCs w:val="0"/>
          <w:snapToGrid w:val="0"/>
          <w:color w:val="auto"/>
          <w:kern w:val="0"/>
          <w:sz w:val="21"/>
          <w:szCs w:val="21"/>
          <w:highlight w:val="none"/>
          <w:lang w:val="en-US" w:eastAsia="zh-CN" w:bidi="ar-SA"/>
        </w:rPr>
        <w:t>（本考核所称的“以上”、“以下”、“内”、“以内”、“不少于”，包括本数；所称的“不足”， 不包括本数）</w:t>
      </w:r>
    </w:p>
    <w:tbl>
      <w:tblPr>
        <w:tblStyle w:val="20"/>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3320"/>
        <w:gridCol w:w="3482"/>
        <w:gridCol w:w="1153"/>
      </w:tblGrid>
      <w:tr w14:paraId="3B3E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noWrap w:val="0"/>
            <w:vAlign w:val="center"/>
          </w:tcPr>
          <w:p w14:paraId="722C2888">
            <w:pPr>
              <w:keepNext w:val="0"/>
              <w:keepLines w:val="0"/>
              <w:pageBreakBefore w:val="0"/>
              <w:kinsoku/>
              <w:topLinePunct w:val="0"/>
              <w:bidi w:val="0"/>
              <w:spacing w:line="560" w:lineRule="exact"/>
              <w:jc w:val="both"/>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bCs/>
                <w:color w:val="auto"/>
                <w:kern w:val="0"/>
                <w:sz w:val="21"/>
                <w:szCs w:val="21"/>
                <w:highlight w:val="none"/>
                <w:vertAlign w:val="baseline"/>
                <w:lang w:val="en-US" w:eastAsia="zh-CN"/>
              </w:rPr>
              <w:t>序号</w:t>
            </w:r>
          </w:p>
        </w:tc>
        <w:tc>
          <w:tcPr>
            <w:tcW w:w="1739" w:type="pct"/>
            <w:noWrap w:val="0"/>
            <w:vAlign w:val="center"/>
          </w:tcPr>
          <w:p w14:paraId="19BEEE8D">
            <w:pPr>
              <w:keepNext w:val="0"/>
              <w:keepLines w:val="0"/>
              <w:pageBreakBefore w:val="0"/>
              <w:kinsoku/>
              <w:topLinePunct w:val="0"/>
              <w:bidi w:val="0"/>
              <w:spacing w:line="560" w:lineRule="exact"/>
              <w:jc w:val="both"/>
              <w:rPr>
                <w:rFonts w:hint="eastAsia" w:ascii="宋体" w:hAnsi="宋体" w:eastAsia="宋体" w:cs="宋体"/>
                <w:b/>
                <w:bCs/>
                <w:color w:val="auto"/>
                <w:kern w:val="0"/>
                <w:sz w:val="21"/>
                <w:szCs w:val="21"/>
                <w:highlight w:val="none"/>
                <w:vertAlign w:val="baseline"/>
              </w:rPr>
            </w:pPr>
            <w:r>
              <w:rPr>
                <w:rFonts w:hint="eastAsia" w:ascii="宋体" w:hAnsi="宋体" w:eastAsia="宋体" w:cs="宋体"/>
                <w:b/>
                <w:bCs/>
                <w:color w:val="auto"/>
                <w:kern w:val="0"/>
                <w:sz w:val="21"/>
                <w:szCs w:val="21"/>
                <w:highlight w:val="none"/>
                <w:vertAlign w:val="baseline"/>
              </w:rPr>
              <w:t>考核检查内容</w:t>
            </w:r>
          </w:p>
        </w:tc>
        <w:tc>
          <w:tcPr>
            <w:tcW w:w="1824" w:type="pct"/>
            <w:noWrap w:val="0"/>
            <w:vAlign w:val="center"/>
          </w:tcPr>
          <w:p w14:paraId="43F55DF6">
            <w:pPr>
              <w:keepNext w:val="0"/>
              <w:keepLines w:val="0"/>
              <w:pageBreakBefore w:val="0"/>
              <w:kinsoku/>
              <w:topLinePunct w:val="0"/>
              <w:bidi w:val="0"/>
              <w:spacing w:line="560" w:lineRule="exact"/>
              <w:jc w:val="both"/>
              <w:rPr>
                <w:rFonts w:hint="eastAsia" w:ascii="宋体" w:hAnsi="宋体" w:eastAsia="宋体" w:cs="宋体"/>
                <w:b/>
                <w:bCs/>
                <w:color w:val="auto"/>
                <w:kern w:val="0"/>
                <w:sz w:val="21"/>
                <w:szCs w:val="21"/>
                <w:highlight w:val="none"/>
                <w:vertAlign w:val="baseline"/>
              </w:rPr>
            </w:pPr>
            <w:r>
              <w:rPr>
                <w:rFonts w:hint="eastAsia" w:ascii="宋体" w:hAnsi="宋体" w:eastAsia="宋体" w:cs="宋体"/>
                <w:b/>
                <w:bCs/>
                <w:color w:val="auto"/>
                <w:kern w:val="0"/>
                <w:sz w:val="21"/>
                <w:szCs w:val="21"/>
                <w:highlight w:val="none"/>
                <w:vertAlign w:val="baseline"/>
              </w:rPr>
              <w:t>扣款额度</w:t>
            </w:r>
          </w:p>
        </w:tc>
        <w:tc>
          <w:tcPr>
            <w:tcW w:w="604" w:type="pct"/>
            <w:noWrap w:val="0"/>
            <w:vAlign w:val="center"/>
          </w:tcPr>
          <w:p w14:paraId="779BAE4A">
            <w:pPr>
              <w:keepNext w:val="0"/>
              <w:keepLines w:val="0"/>
              <w:pageBreakBefore w:val="0"/>
              <w:kinsoku/>
              <w:topLinePunct w:val="0"/>
              <w:bidi w:val="0"/>
              <w:spacing w:line="560" w:lineRule="exact"/>
              <w:jc w:val="both"/>
              <w:rPr>
                <w:rFonts w:hint="eastAsia" w:ascii="宋体" w:hAnsi="宋体" w:eastAsia="宋体" w:cs="宋体"/>
                <w:b/>
                <w:bCs/>
                <w:color w:val="auto"/>
                <w:kern w:val="0"/>
                <w:sz w:val="21"/>
                <w:szCs w:val="21"/>
                <w:highlight w:val="none"/>
                <w:vertAlign w:val="baseline"/>
              </w:rPr>
            </w:pPr>
            <w:r>
              <w:rPr>
                <w:rFonts w:hint="eastAsia" w:ascii="宋体" w:hAnsi="宋体" w:eastAsia="宋体" w:cs="宋体"/>
                <w:b/>
                <w:bCs/>
                <w:color w:val="auto"/>
                <w:kern w:val="0"/>
                <w:sz w:val="21"/>
                <w:szCs w:val="21"/>
                <w:highlight w:val="none"/>
                <w:vertAlign w:val="baseline"/>
              </w:rPr>
              <w:t>考核情况</w:t>
            </w:r>
          </w:p>
        </w:tc>
      </w:tr>
      <w:tr w14:paraId="6D5A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restart"/>
            <w:noWrap w:val="0"/>
            <w:vAlign w:val="center"/>
          </w:tcPr>
          <w:p w14:paraId="171A3AC5">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一、非执法类办税服务厅辅助服务考核</w:t>
            </w:r>
          </w:p>
        </w:tc>
        <w:tc>
          <w:tcPr>
            <w:tcW w:w="1739" w:type="pct"/>
            <w:noWrap w:val="0"/>
            <w:vAlign w:val="center"/>
          </w:tcPr>
          <w:p w14:paraId="77E96C5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rPr>
              <w:t>1.提供纳税咨询服务，通过对外电话、办税平台、税企微信群等，线上线下为纳税人提供涉税业务办理操作的咨询服务。</w:t>
            </w:r>
          </w:p>
        </w:tc>
        <w:tc>
          <w:tcPr>
            <w:tcW w:w="1824" w:type="pct"/>
            <w:noWrap w:val="0"/>
            <w:vAlign w:val="center"/>
          </w:tcPr>
          <w:p w14:paraId="68DB948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vertAlign w:val="baseline"/>
                <w:lang w:val="en-US" w:eastAsia="zh-CN"/>
              </w:rPr>
              <w:t>1.严格落实首问责任制和一次性告知制度，对于服务人员推诿、敷衍、拒绝答复的行为，导致纳税人无法办理相关涉税业务的，每出现一人次扣50元,年内同一人累计出现三次以上的</w:t>
            </w:r>
            <w:r>
              <w:rPr>
                <w:rFonts w:hint="eastAsia"/>
                <w:color w:val="auto"/>
                <w:kern w:val="0"/>
                <w:highlight w:val="none"/>
                <w:lang w:val="en-US" w:eastAsia="zh-CN"/>
              </w:rPr>
              <w:t>要求</w:t>
            </w:r>
            <w:r>
              <w:rPr>
                <w:rFonts w:hint="eastAsia" w:ascii="宋体" w:hAnsi="宋体" w:eastAsia="宋体" w:cs="宋体"/>
                <w:color w:val="auto"/>
                <w:kern w:val="0"/>
                <w:sz w:val="21"/>
                <w:szCs w:val="21"/>
                <w:highlight w:val="none"/>
                <w:vertAlign w:val="baseline"/>
                <w:lang w:val="en-US" w:eastAsia="zh-CN"/>
              </w:rPr>
              <w:t>中标人更换派驻办税服务厅辅助服务人员，新派驻人员需取得采购人同意。</w:t>
            </w:r>
          </w:p>
        </w:tc>
        <w:tc>
          <w:tcPr>
            <w:tcW w:w="604" w:type="pct"/>
            <w:vMerge w:val="restart"/>
            <w:noWrap w:val="0"/>
            <w:vAlign w:val="center"/>
          </w:tcPr>
          <w:p w14:paraId="6254E0F2">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5816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35B5A85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rPr>
            </w:pPr>
          </w:p>
        </w:tc>
        <w:tc>
          <w:tcPr>
            <w:tcW w:w="1739" w:type="pct"/>
            <w:noWrap w:val="0"/>
            <w:vAlign w:val="center"/>
          </w:tcPr>
          <w:p w14:paraId="1FB97CB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2.提供导税服务，主动为纳税人提供准确引导，实现合理有效分流，维护厅堂秩序。</w:t>
            </w:r>
          </w:p>
          <w:p w14:paraId="113BC358">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c>
          <w:tcPr>
            <w:tcW w:w="1824" w:type="pct"/>
            <w:noWrap w:val="0"/>
            <w:vAlign w:val="center"/>
          </w:tcPr>
          <w:p w14:paraId="4D3BF81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rPr>
              <w:t>2.未有效引导纳税人到相应区域办理业务或发生二次排队导致厅堂秩序混乱的，每出现一人次扣50元,年内同一人累计出现三次以上的要求中标人更换派驻办税服务厅辅助服务人员，新派驻人员需取得采购人同意。</w:t>
            </w:r>
          </w:p>
        </w:tc>
        <w:tc>
          <w:tcPr>
            <w:tcW w:w="604" w:type="pct"/>
            <w:vMerge w:val="continue"/>
            <w:noWrap w:val="0"/>
            <w:vAlign w:val="center"/>
          </w:tcPr>
          <w:p w14:paraId="57A5D5E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5EC1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02D43256">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c>
          <w:tcPr>
            <w:tcW w:w="1739" w:type="pct"/>
            <w:noWrap w:val="0"/>
            <w:vAlign w:val="center"/>
          </w:tcPr>
          <w:p w14:paraId="6FC2ACD2">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3.工作人员需要熟练掌握互联网办税系统各功能的使用条件、操作及常见问题处理等，主动辅导纳税人使用自助办税设备办理各项税费事项。</w:t>
            </w:r>
          </w:p>
          <w:p w14:paraId="73924589">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c>
          <w:tcPr>
            <w:tcW w:w="1824" w:type="pct"/>
            <w:noWrap w:val="0"/>
            <w:vAlign w:val="center"/>
          </w:tcPr>
          <w:p w14:paraId="23539055">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rPr>
              <w:t>3.工作人员不会系统操作或辅导有误，导致纳税人填报错误造成不良影响的，每出现一人次扣50元,年内同一人累计出现三次以上的要求中标人更换更换派驻办税服务厅辅助服务人员，新派驻人员需取得采购人同意。</w:t>
            </w:r>
          </w:p>
        </w:tc>
        <w:tc>
          <w:tcPr>
            <w:tcW w:w="604" w:type="pct"/>
            <w:vMerge w:val="continue"/>
            <w:noWrap w:val="0"/>
            <w:vAlign w:val="center"/>
          </w:tcPr>
          <w:p w14:paraId="5734ABCE">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0CC4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617CCFF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c>
          <w:tcPr>
            <w:tcW w:w="1739" w:type="pct"/>
            <w:noWrap w:val="0"/>
            <w:vAlign w:val="center"/>
          </w:tcPr>
          <w:p w14:paraId="3957CE0C">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4.提供“亲情陪办”服务，为进厅办事的纳税人缴费人提供“亲情陪办”服务，提高纳税人满意度。</w:t>
            </w:r>
          </w:p>
          <w:p w14:paraId="6F11EE19">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c>
          <w:tcPr>
            <w:tcW w:w="1824" w:type="pct"/>
            <w:noWrap w:val="0"/>
            <w:vAlign w:val="center"/>
          </w:tcPr>
          <w:p w14:paraId="2ACE1DC6">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rPr>
              <w:t>4.未对“亲情陪办”事项提供“亲情陪办”服务，导致纳税人缴费人不满意的，每出现一人次扣50元,年内同一人累计出现三次以上的要求中标人更换派驻办税服务厅辅助服务人员，新派驻人员需取得采购人同意。</w:t>
            </w:r>
          </w:p>
        </w:tc>
        <w:tc>
          <w:tcPr>
            <w:tcW w:w="604" w:type="pct"/>
            <w:vMerge w:val="continue"/>
            <w:noWrap w:val="0"/>
            <w:vAlign w:val="center"/>
          </w:tcPr>
          <w:p w14:paraId="6EAA402E">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72DD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restart"/>
            <w:noWrap w:val="0"/>
            <w:vAlign w:val="center"/>
          </w:tcPr>
          <w:p w14:paraId="72BB382E">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rPr>
              <w:t>二、非执法类税费管理辅助服务考核</w:t>
            </w:r>
          </w:p>
        </w:tc>
        <w:tc>
          <w:tcPr>
            <w:tcW w:w="1739" w:type="pct"/>
            <w:noWrap w:val="0"/>
            <w:vAlign w:val="center"/>
          </w:tcPr>
          <w:p w14:paraId="763A4D3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1.准确辅导纳税人填写表单，远程辅导纳税人通过线上办理涉税业务，实现“一次不用跑”。</w:t>
            </w:r>
          </w:p>
          <w:p w14:paraId="62671B70">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c>
          <w:tcPr>
            <w:tcW w:w="1824" w:type="pct"/>
            <w:noWrap w:val="0"/>
            <w:vAlign w:val="top"/>
          </w:tcPr>
          <w:p w14:paraId="28BBC3B0">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vertAlign w:val="baseline"/>
                <w:lang w:val="en-US" w:eastAsia="zh-CN"/>
              </w:rPr>
              <w:t>1.未按规定辅导纳税人办理相关涉税事项导致纳税人多次跑的，每出现一人次扣50元,年内同一人累计出现三次以上的要求中标人更换派驻税费管理辅助服务人员，新派驻人员需取得采购人同意。</w:t>
            </w:r>
          </w:p>
        </w:tc>
        <w:tc>
          <w:tcPr>
            <w:tcW w:w="604" w:type="pct"/>
            <w:vMerge w:val="restart"/>
            <w:noWrap w:val="0"/>
            <w:vAlign w:val="top"/>
          </w:tcPr>
          <w:p w14:paraId="7FD2C31F">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7CB6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7CE78AF4">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rPr>
            </w:pPr>
          </w:p>
        </w:tc>
        <w:tc>
          <w:tcPr>
            <w:tcW w:w="1739" w:type="pct"/>
            <w:noWrap w:val="0"/>
            <w:vAlign w:val="center"/>
          </w:tcPr>
          <w:p w14:paraId="5BC3AF13">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2.通过固定组织宣传辅导工作，有效引导有需求的纳税人在固定时间、固定场所获取相应服务。</w:t>
            </w:r>
          </w:p>
          <w:p w14:paraId="1CDDC1BF">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824" w:type="pct"/>
            <w:noWrap w:val="0"/>
            <w:vAlign w:val="top"/>
          </w:tcPr>
          <w:p w14:paraId="7CF07C86">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2.每年参加组织开展的宣传服务活动少于6次的，按次扣钱，一人次扣50元，年内同一人累计缺三次以上的要求中标人更换派驻税费管理辅助服务人员，新派驻人员需取得采购人同意。</w:t>
            </w:r>
          </w:p>
        </w:tc>
        <w:tc>
          <w:tcPr>
            <w:tcW w:w="604" w:type="pct"/>
            <w:vMerge w:val="continue"/>
            <w:noWrap w:val="0"/>
            <w:vAlign w:val="top"/>
          </w:tcPr>
          <w:p w14:paraId="2F338BE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5D13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15601146">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739" w:type="pct"/>
            <w:noWrap w:val="0"/>
            <w:vAlign w:val="center"/>
          </w:tcPr>
          <w:p w14:paraId="246CB0F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3.协助梳理关于新电子税务局、数电票热点问题、当前纳税人关注热点问题，借助多元化渠道实施精确答复。</w:t>
            </w:r>
          </w:p>
        </w:tc>
        <w:tc>
          <w:tcPr>
            <w:tcW w:w="1824" w:type="pct"/>
            <w:noWrap w:val="0"/>
            <w:vAlign w:val="top"/>
          </w:tcPr>
          <w:p w14:paraId="05B9ED3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3.未定时梳理热点问题，导致答复出错的，每出现一人次扣50元,年内同一人累计出现三次以上的要求中标人更换派驻税费管理辅助服务人员，新派驻人员需取得采购人同意。</w:t>
            </w:r>
          </w:p>
        </w:tc>
        <w:tc>
          <w:tcPr>
            <w:tcW w:w="604" w:type="pct"/>
            <w:vMerge w:val="continue"/>
            <w:noWrap w:val="0"/>
            <w:vAlign w:val="top"/>
          </w:tcPr>
          <w:p w14:paraId="3FE74D02">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5ED3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noWrap w:val="0"/>
            <w:vAlign w:val="center"/>
          </w:tcPr>
          <w:p w14:paraId="44C7FD4A">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三、非执法类综合管理服务人员考核</w:t>
            </w:r>
          </w:p>
        </w:tc>
        <w:tc>
          <w:tcPr>
            <w:tcW w:w="1739" w:type="pct"/>
            <w:noWrap w:val="0"/>
            <w:vAlign w:val="center"/>
          </w:tcPr>
          <w:p w14:paraId="5DBA98C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负责（一）、（二）项服务的管理人员，统筹管理（一）、（二）项服务人员以及征管资料的整理归档及其他工作。</w:t>
            </w:r>
          </w:p>
          <w:p w14:paraId="331358DC">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824" w:type="pct"/>
            <w:noWrap w:val="0"/>
            <w:vAlign w:val="top"/>
          </w:tcPr>
          <w:p w14:paraId="75882273">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1.对于本组组员出现的问题，未及时指出纠正导致频繁出现的，本组每三人出现同类问题的每次扣100元，年内累计出现三次以上情况的要求中标人更换派驻综合管理服务人员。</w:t>
            </w:r>
          </w:p>
          <w:p w14:paraId="433F35E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2.应按月整理相关档案，未及时进行征管档案规整的，按次扣50元,年内累计出现三次以上的要求中标人更换派驻综合管理服务人员，新派驻人员需取得采购人同意。</w:t>
            </w:r>
          </w:p>
        </w:tc>
        <w:tc>
          <w:tcPr>
            <w:tcW w:w="604" w:type="pct"/>
            <w:noWrap w:val="0"/>
            <w:vAlign w:val="top"/>
          </w:tcPr>
          <w:p w14:paraId="6E5CF756">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5C67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restart"/>
            <w:noWrap w:val="0"/>
            <w:vAlign w:val="center"/>
          </w:tcPr>
          <w:p w14:paraId="44E585A8">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四、机关后勤服务</w:t>
            </w:r>
          </w:p>
        </w:tc>
        <w:tc>
          <w:tcPr>
            <w:tcW w:w="1739" w:type="pct"/>
            <w:noWrap w:val="0"/>
            <w:vAlign w:val="center"/>
          </w:tcPr>
          <w:p w14:paraId="25D0E2C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1.提供车辆驾驶服务，出车准时，随叫随到；行车时严格遵守交通规则，确保行车安全，选择最合理的线路行车，以保证准确、快速的将乘车人送至目的地；爱护车辆，按有关规定检查和保养车辆，保管好各种证件，出车前对车辆进行检查，每次使用车辆后要保持车辆清洁、车况良好。</w:t>
            </w:r>
          </w:p>
        </w:tc>
        <w:tc>
          <w:tcPr>
            <w:tcW w:w="1824" w:type="pct"/>
            <w:noWrap w:val="0"/>
            <w:vAlign w:val="top"/>
          </w:tcPr>
          <w:p w14:paraId="2FAA21E7">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1.不服从单位调度，每出现一人次扣50元；未按有关规定检查和保养车辆的，每出现一人次扣50元；年内同一人、同一规则累计出现三次以上的要求中标人更换派驻</w:t>
            </w:r>
            <w:r>
              <w:rPr>
                <w:rFonts w:hint="eastAsia" w:ascii="宋体" w:hAnsi="宋体" w:eastAsia="宋体" w:cs="宋体"/>
                <w:color w:val="auto"/>
                <w:kern w:val="0"/>
                <w:sz w:val="21"/>
                <w:szCs w:val="21"/>
                <w:highlight w:val="none"/>
                <w:lang w:val="en-US" w:eastAsia="zh-CN"/>
              </w:rPr>
              <w:t>司勤</w:t>
            </w:r>
            <w:r>
              <w:rPr>
                <w:rFonts w:hint="eastAsia" w:ascii="宋体" w:hAnsi="宋体" w:eastAsia="宋体" w:cs="宋体"/>
                <w:color w:val="auto"/>
                <w:kern w:val="0"/>
                <w:sz w:val="21"/>
                <w:szCs w:val="21"/>
                <w:highlight w:val="none"/>
                <w:vertAlign w:val="baseline"/>
                <w:lang w:val="en-US" w:eastAsia="zh-CN"/>
              </w:rPr>
              <w:t>服务人员，新派驻人员需取得采购人同意。</w:t>
            </w:r>
          </w:p>
        </w:tc>
        <w:tc>
          <w:tcPr>
            <w:tcW w:w="604" w:type="pct"/>
            <w:noWrap w:val="0"/>
            <w:vAlign w:val="top"/>
          </w:tcPr>
          <w:p w14:paraId="6AFC464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05B5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7829F0AC">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rPr>
            </w:pPr>
          </w:p>
        </w:tc>
        <w:tc>
          <w:tcPr>
            <w:tcW w:w="1739" w:type="pct"/>
            <w:noWrap w:val="0"/>
            <w:vAlign w:val="center"/>
          </w:tcPr>
          <w:p w14:paraId="11347893">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2.工作期间不得擅自离岗，不得迟到、早退、旷工（按照机关管理规定的上班时间执行），如遇特殊情景，必须提前请假。具有吃苦耐劳精神，能无条件服从用人单位岗位安排及调整和正常工作时间外的值班、加班安排。</w:t>
            </w:r>
          </w:p>
        </w:tc>
        <w:tc>
          <w:tcPr>
            <w:tcW w:w="1824" w:type="pct"/>
            <w:noWrap w:val="0"/>
            <w:vAlign w:val="top"/>
          </w:tcPr>
          <w:p w14:paraId="587C763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rPr>
              <w:t>2.不</w:t>
            </w:r>
            <w:r>
              <w:rPr>
                <w:rFonts w:hint="eastAsia" w:ascii="宋体" w:hAnsi="宋体" w:eastAsia="宋体" w:cs="宋体"/>
                <w:color w:val="auto"/>
                <w:kern w:val="0"/>
                <w:sz w:val="21"/>
                <w:szCs w:val="21"/>
                <w:highlight w:val="none"/>
                <w:vertAlign w:val="baseline"/>
                <w:lang w:val="en-US" w:eastAsia="zh-CN"/>
              </w:rPr>
              <w:t>按时上班的，每发现一人次扣30元；无故旷班的，每发现一人次扣80元，发现同一人三次以上要求中标人更换派驻</w:t>
            </w:r>
            <w:r>
              <w:rPr>
                <w:rFonts w:hint="eastAsia" w:ascii="宋体" w:hAnsi="宋体" w:eastAsia="宋体" w:cs="宋体"/>
                <w:color w:val="auto"/>
                <w:kern w:val="0"/>
                <w:sz w:val="21"/>
                <w:szCs w:val="21"/>
                <w:highlight w:val="none"/>
                <w:lang w:val="en-US" w:eastAsia="zh-CN"/>
              </w:rPr>
              <w:t>司勤</w:t>
            </w:r>
            <w:r>
              <w:rPr>
                <w:rFonts w:hint="eastAsia" w:ascii="宋体" w:hAnsi="宋体" w:eastAsia="宋体" w:cs="宋体"/>
                <w:color w:val="auto"/>
                <w:kern w:val="0"/>
                <w:sz w:val="21"/>
                <w:szCs w:val="21"/>
                <w:highlight w:val="none"/>
                <w:vertAlign w:val="baseline"/>
                <w:lang w:val="en-US" w:eastAsia="zh-CN"/>
              </w:rPr>
              <w:t>服务人员，新派驻人员需取得采购人同意。</w:t>
            </w:r>
          </w:p>
        </w:tc>
        <w:tc>
          <w:tcPr>
            <w:tcW w:w="604" w:type="pct"/>
            <w:noWrap w:val="0"/>
            <w:vAlign w:val="top"/>
          </w:tcPr>
          <w:p w14:paraId="1D70765B">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5948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01C79AF0">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739" w:type="pct"/>
            <w:noWrap w:val="0"/>
            <w:vAlign w:val="center"/>
          </w:tcPr>
          <w:p w14:paraId="32FF8B44">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3.司勤服务人员要按照规定加油和进行车辆维修。</w:t>
            </w:r>
          </w:p>
          <w:p w14:paraId="02AD2B37">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824" w:type="pct"/>
            <w:noWrap w:val="0"/>
            <w:vAlign w:val="top"/>
          </w:tcPr>
          <w:p w14:paraId="30CD8159">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3.未按照有关规定执行的，出现一次扣100元，有违纪行为造成重大影响的，要求中标人更</w:t>
            </w:r>
            <w:bookmarkStart w:id="162" w:name="_GoBack"/>
            <w:bookmarkEnd w:id="162"/>
            <w:r>
              <w:rPr>
                <w:rFonts w:hint="eastAsia" w:ascii="宋体" w:hAnsi="宋体" w:eastAsia="宋体" w:cs="宋体"/>
                <w:color w:val="auto"/>
                <w:kern w:val="0"/>
                <w:sz w:val="21"/>
                <w:szCs w:val="21"/>
                <w:highlight w:val="none"/>
                <w:vertAlign w:val="baseline"/>
                <w:lang w:val="en-US" w:eastAsia="zh-CN"/>
              </w:rPr>
              <w:t>换派驻</w:t>
            </w:r>
            <w:r>
              <w:rPr>
                <w:rFonts w:hint="eastAsia" w:ascii="宋体" w:hAnsi="宋体" w:eastAsia="宋体" w:cs="宋体"/>
                <w:color w:val="auto"/>
                <w:kern w:val="0"/>
                <w:sz w:val="21"/>
                <w:szCs w:val="21"/>
                <w:highlight w:val="none"/>
                <w:lang w:val="en-US" w:eastAsia="zh-CN"/>
              </w:rPr>
              <w:t>司勤</w:t>
            </w:r>
            <w:r>
              <w:rPr>
                <w:rFonts w:hint="eastAsia" w:ascii="宋体" w:hAnsi="宋体" w:eastAsia="宋体" w:cs="宋体"/>
                <w:color w:val="auto"/>
                <w:kern w:val="0"/>
                <w:sz w:val="21"/>
                <w:szCs w:val="21"/>
                <w:highlight w:val="none"/>
                <w:vertAlign w:val="baseline"/>
                <w:lang w:val="en-US" w:eastAsia="zh-CN"/>
              </w:rPr>
              <w:t>服务人员，新派驻人员需取得采购人同意。</w:t>
            </w:r>
          </w:p>
        </w:tc>
        <w:tc>
          <w:tcPr>
            <w:tcW w:w="604" w:type="pct"/>
            <w:noWrap w:val="0"/>
            <w:vAlign w:val="top"/>
          </w:tcPr>
          <w:p w14:paraId="2D9F25A8">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4F7E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4C8FEE00">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739" w:type="pct"/>
            <w:noWrap w:val="0"/>
            <w:vAlign w:val="center"/>
          </w:tcPr>
          <w:p w14:paraId="45A84076">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4.司勤服务人员必须遵守国家的交通法规等有关条例。</w:t>
            </w:r>
          </w:p>
        </w:tc>
        <w:tc>
          <w:tcPr>
            <w:tcW w:w="1824" w:type="pct"/>
            <w:noWrap w:val="0"/>
            <w:vAlign w:val="top"/>
          </w:tcPr>
          <w:p w14:paraId="36F8DE1A">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由司勤服务人员本人造成的违章（如闯红灯、不按规定路线行驶、超速等），由本人承担罚款和相应的记分，按次扣100元。情节严重的，采购人有权要求中标人更换派驻司勤服务人员，新派驻人员需取得采购人同意。</w:t>
            </w:r>
          </w:p>
        </w:tc>
        <w:tc>
          <w:tcPr>
            <w:tcW w:w="604" w:type="pct"/>
            <w:noWrap w:val="0"/>
            <w:vAlign w:val="top"/>
          </w:tcPr>
          <w:p w14:paraId="7C04371C">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2015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1F50879A">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739" w:type="pct"/>
            <w:noWrap w:val="0"/>
            <w:vAlign w:val="top"/>
          </w:tcPr>
          <w:p w14:paraId="4FE44B66">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5.会务人员上、下班时间按照相关规定的上、下班时间执行。每日上班需按时打卡，上班时间内如不安排会议任务的须在办公室待命，不得私自外出。</w:t>
            </w:r>
          </w:p>
        </w:tc>
        <w:tc>
          <w:tcPr>
            <w:tcW w:w="1824" w:type="pct"/>
            <w:noWrap w:val="0"/>
            <w:vAlign w:val="top"/>
          </w:tcPr>
          <w:p w14:paraId="2295B8D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5.不按时上班的，每发现一人次扣30元；无故旷班的，每发现一人次扣80元，发现同一人三次以上要求中标人更换派驻会务人员，新派驻人员需取得采购人同意。</w:t>
            </w:r>
          </w:p>
        </w:tc>
        <w:tc>
          <w:tcPr>
            <w:tcW w:w="604" w:type="pct"/>
            <w:noWrap w:val="0"/>
            <w:vAlign w:val="top"/>
          </w:tcPr>
          <w:p w14:paraId="31F3D9F5">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1359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2F4C9D21">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rPr>
            </w:pPr>
          </w:p>
        </w:tc>
        <w:tc>
          <w:tcPr>
            <w:tcW w:w="1739" w:type="pct"/>
            <w:noWrap w:val="0"/>
            <w:vAlign w:val="top"/>
          </w:tcPr>
          <w:p w14:paraId="66970604">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6.服从调度安排。年度考核期内会务人员随时听从单位工作调度。</w:t>
            </w:r>
          </w:p>
        </w:tc>
        <w:tc>
          <w:tcPr>
            <w:tcW w:w="1824" w:type="pct"/>
            <w:noWrap w:val="0"/>
            <w:vAlign w:val="top"/>
          </w:tcPr>
          <w:p w14:paraId="0144C68D">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6.出现不服从单位调度情况的，每出现一人次扣50元，年内同一人累计出现三次以上的要求中标人更换派驻会务人员，新派驻人员需取得采购人同意。</w:t>
            </w:r>
          </w:p>
        </w:tc>
        <w:tc>
          <w:tcPr>
            <w:tcW w:w="604" w:type="pct"/>
            <w:noWrap w:val="0"/>
            <w:vAlign w:val="top"/>
          </w:tcPr>
          <w:p w14:paraId="298E8505">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17FC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5A51ECC2">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739" w:type="pct"/>
            <w:noWrap w:val="0"/>
            <w:vAlign w:val="top"/>
          </w:tcPr>
          <w:p w14:paraId="7807B029">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7.工作出现重大失误造成重大影响。</w:t>
            </w:r>
          </w:p>
        </w:tc>
        <w:tc>
          <w:tcPr>
            <w:tcW w:w="1824" w:type="pct"/>
            <w:noWrap w:val="0"/>
            <w:vAlign w:val="top"/>
          </w:tcPr>
          <w:p w14:paraId="5A94174F">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7.年度内会务人员因个人原因出现重大工作失误造成单位重大影响的，按次扣500元，要求中标人更换派驻会务人员，新派驻人员需取得采购人同意。</w:t>
            </w:r>
          </w:p>
        </w:tc>
        <w:tc>
          <w:tcPr>
            <w:tcW w:w="604" w:type="pct"/>
            <w:noWrap w:val="0"/>
            <w:vAlign w:val="top"/>
          </w:tcPr>
          <w:p w14:paraId="137DA848">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4DF8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restart"/>
            <w:noWrap w:val="0"/>
            <w:vAlign w:val="center"/>
          </w:tcPr>
          <w:p w14:paraId="79ADB693">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五、档案管理服务</w:t>
            </w:r>
          </w:p>
        </w:tc>
        <w:tc>
          <w:tcPr>
            <w:tcW w:w="1739" w:type="pct"/>
            <w:noWrap w:val="0"/>
            <w:vAlign w:val="top"/>
          </w:tcPr>
          <w:p w14:paraId="209C6074">
            <w:pPr>
              <w:keepNext w:val="0"/>
              <w:keepLines w:val="0"/>
              <w:pageBreakBefore w:val="0"/>
              <w:kinsoku/>
              <w:topLinePunct w:val="0"/>
              <w:bidi w:val="0"/>
              <w:spacing w:line="560" w:lineRule="exact"/>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rPr>
              <w:t>1.档案管理人员上、下班时间按照相关规定的上、下班时间执行。每日上班需按时打卡，不得私自外出。</w:t>
            </w:r>
          </w:p>
        </w:tc>
        <w:tc>
          <w:tcPr>
            <w:tcW w:w="1824" w:type="pct"/>
            <w:noWrap w:val="0"/>
            <w:vAlign w:val="top"/>
          </w:tcPr>
          <w:p w14:paraId="5B6DBD75">
            <w:pPr>
              <w:keepNext w:val="0"/>
              <w:keepLines w:val="0"/>
              <w:pageBreakBefore w:val="0"/>
              <w:kinsoku/>
              <w:topLinePunct w:val="0"/>
              <w:bidi w:val="0"/>
              <w:spacing w:line="560" w:lineRule="exact"/>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rPr>
              <w:t>1.不按时上班的，每发现一人次扣30元；无故旷班的，每发现一人次扣80元，发现同一人三次以上要求中标人更换派驻档案管理人员，新派驻人员需取得采购人同意。</w:t>
            </w:r>
          </w:p>
        </w:tc>
        <w:tc>
          <w:tcPr>
            <w:tcW w:w="604" w:type="pct"/>
            <w:noWrap w:val="0"/>
            <w:vAlign w:val="top"/>
          </w:tcPr>
          <w:p w14:paraId="3E3E5123">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rPr>
            </w:pPr>
          </w:p>
        </w:tc>
      </w:tr>
      <w:tr w14:paraId="056B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2DA180B7">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rPr>
            </w:pPr>
          </w:p>
        </w:tc>
        <w:tc>
          <w:tcPr>
            <w:tcW w:w="1739" w:type="pct"/>
            <w:noWrap w:val="0"/>
            <w:vAlign w:val="center"/>
          </w:tcPr>
          <w:p w14:paraId="2699A1A7">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2.档案归集管理情况</w:t>
            </w:r>
          </w:p>
        </w:tc>
        <w:tc>
          <w:tcPr>
            <w:tcW w:w="1824" w:type="pct"/>
            <w:noWrap w:val="0"/>
            <w:vAlign w:val="top"/>
          </w:tcPr>
          <w:p w14:paraId="1B97CB99">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2.未按规定收集、整理、保管、鉴定、统计、装订本单位各类档案的，每发现一人次扣50元，因个人导致档案遗失，未造成单位重大损失的，每发现一人次扣100元，发现同一人三次以上要求中标人更换派驻档案管理人员，新派驻人员需取得采购人同意。</w:t>
            </w:r>
          </w:p>
        </w:tc>
        <w:tc>
          <w:tcPr>
            <w:tcW w:w="604" w:type="pct"/>
            <w:noWrap w:val="0"/>
            <w:vAlign w:val="top"/>
          </w:tcPr>
          <w:p w14:paraId="38F2F24F">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r w14:paraId="7430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1" w:type="pct"/>
            <w:vMerge w:val="continue"/>
            <w:noWrap w:val="0"/>
            <w:vAlign w:val="center"/>
          </w:tcPr>
          <w:p w14:paraId="2D53F9CF">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c>
          <w:tcPr>
            <w:tcW w:w="1739" w:type="pct"/>
            <w:noWrap w:val="0"/>
            <w:vAlign w:val="top"/>
          </w:tcPr>
          <w:p w14:paraId="56B57A88">
            <w:pPr>
              <w:keepNext w:val="0"/>
              <w:keepLines w:val="0"/>
              <w:pageBreakBefore w:val="0"/>
              <w:kinsoku/>
              <w:topLinePunct w:val="0"/>
              <w:bidi w:val="0"/>
              <w:spacing w:line="560" w:lineRule="exact"/>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rPr>
              <w:t>3.工作出现重大失误，如档案遗失、档案室内使用明火等造成重大影响。</w:t>
            </w:r>
          </w:p>
        </w:tc>
        <w:tc>
          <w:tcPr>
            <w:tcW w:w="1824" w:type="pct"/>
            <w:noWrap w:val="0"/>
            <w:vAlign w:val="top"/>
          </w:tcPr>
          <w:p w14:paraId="1E746214">
            <w:pPr>
              <w:keepNext w:val="0"/>
              <w:keepLines w:val="0"/>
              <w:pageBreakBefore w:val="0"/>
              <w:kinsoku/>
              <w:topLinePunct w:val="0"/>
              <w:bidi w:val="0"/>
              <w:spacing w:line="560" w:lineRule="exact"/>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rPr>
              <w:t>3.年度内档案管理服务人员因个人原因出现重大工作失误造成单位重大影响的，按次扣500元，要求中标人更换派驻档案管理人员，新派驻人员需取得采购人同意。</w:t>
            </w:r>
          </w:p>
        </w:tc>
        <w:tc>
          <w:tcPr>
            <w:tcW w:w="604" w:type="pct"/>
            <w:noWrap w:val="0"/>
            <w:vAlign w:val="top"/>
          </w:tcPr>
          <w:p w14:paraId="7EDBA413">
            <w:pPr>
              <w:keepNext w:val="0"/>
              <w:keepLines w:val="0"/>
              <w:pageBreakBefore w:val="0"/>
              <w:kinsoku/>
              <w:topLinePunct w:val="0"/>
              <w:bidi w:val="0"/>
              <w:spacing w:line="560" w:lineRule="exact"/>
              <w:jc w:val="both"/>
              <w:rPr>
                <w:rFonts w:hint="eastAsia" w:ascii="宋体" w:hAnsi="宋体" w:eastAsia="宋体" w:cs="宋体"/>
                <w:color w:val="auto"/>
                <w:kern w:val="0"/>
                <w:sz w:val="21"/>
                <w:szCs w:val="21"/>
                <w:highlight w:val="none"/>
                <w:vertAlign w:val="baseline"/>
                <w:lang w:val="en-US" w:eastAsia="zh-CN"/>
              </w:rPr>
            </w:pPr>
          </w:p>
        </w:tc>
      </w:tr>
    </w:tbl>
    <w:p w14:paraId="4673753E">
      <w:pPr>
        <w:pStyle w:val="26"/>
        <w:keepNext w:val="0"/>
        <w:keepLines w:val="0"/>
        <w:pageBreakBefore w:val="0"/>
        <w:widowControl/>
        <w:kinsoku/>
        <w:wordWrap/>
        <w:overflowPunct/>
        <w:topLinePunct w:val="0"/>
        <w:autoSpaceDE/>
        <w:autoSpaceDN/>
        <w:bidi w:val="0"/>
        <w:adjustRightInd/>
        <w:snapToGrid/>
        <w:spacing w:afterLines="0" w:line="560" w:lineRule="exact"/>
        <w:jc w:val="both"/>
        <w:textAlignment w:val="auto"/>
        <w:rPr>
          <w:rFonts w:hint="eastAsia" w:ascii="宋体" w:hAnsi="宋体" w:eastAsia="宋体" w:cs="宋体"/>
          <w:i w:val="0"/>
          <w:iCs w:val="0"/>
          <w:snapToGrid w:val="0"/>
          <w:color w:val="auto"/>
          <w:kern w:val="0"/>
          <w:sz w:val="21"/>
          <w:szCs w:val="21"/>
          <w:highlight w:val="none"/>
          <w:lang w:val="en-US" w:eastAsia="zh-CN"/>
        </w:rPr>
      </w:pPr>
    </w:p>
    <w:p w14:paraId="17CAE04C">
      <w:pPr>
        <w:pStyle w:val="26"/>
        <w:keepNext w:val="0"/>
        <w:keepLines w:val="0"/>
        <w:pageBreakBefore w:val="0"/>
        <w:widowControl/>
        <w:kinsoku/>
        <w:wordWrap/>
        <w:overflowPunct/>
        <w:topLinePunct w:val="0"/>
        <w:autoSpaceDE/>
        <w:autoSpaceDN/>
        <w:bidi w:val="0"/>
        <w:adjustRightInd/>
        <w:snapToGrid/>
        <w:spacing w:afterLines="0" w:line="560" w:lineRule="exact"/>
        <w:jc w:val="both"/>
        <w:textAlignment w:val="auto"/>
        <w:rPr>
          <w:rFonts w:hint="eastAsia" w:ascii="宋体" w:hAnsi="宋体" w:eastAsia="宋体" w:cs="宋体"/>
          <w:i w:val="0"/>
          <w:iCs w:val="0"/>
          <w:snapToGrid w:val="0"/>
          <w:color w:val="auto"/>
          <w:kern w:val="0"/>
          <w:sz w:val="21"/>
          <w:szCs w:val="21"/>
          <w:highlight w:val="none"/>
          <w:lang w:val="en-US" w:eastAsia="zh-CN"/>
        </w:rPr>
      </w:pPr>
    </w:p>
    <w:p w14:paraId="3E570E16">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snapToGrid w:val="0"/>
          <w:color w:val="auto"/>
          <w:kern w:val="0"/>
          <w:sz w:val="21"/>
          <w:szCs w:val="21"/>
          <w:highlight w:val="none"/>
        </w:rPr>
      </w:pPr>
    </w:p>
    <w:p w14:paraId="2ADCA40B">
      <w:pPr>
        <w:ind w:firstLine="420" w:firstLineChars="200"/>
        <w:jc w:val="left"/>
        <w:rPr>
          <w:color w:val="auto"/>
          <w:highlight w:val="none"/>
        </w:rPr>
      </w:pPr>
    </w:p>
    <w:p w14:paraId="32F79B77">
      <w:pPr>
        <w:pStyle w:val="11"/>
        <w:ind w:firstLine="420" w:firstLineChars="200"/>
        <w:jc w:val="left"/>
        <w:rPr>
          <w:color w:val="auto"/>
          <w:highlight w:val="none"/>
        </w:rPr>
      </w:pPr>
    </w:p>
    <w:p w14:paraId="75A61994">
      <w:pPr>
        <w:rPr>
          <w:color w:val="auto"/>
          <w:highlight w:val="none"/>
        </w:rPr>
      </w:pPr>
    </w:p>
    <w:p w14:paraId="3D75FD92">
      <w:pPr>
        <w:pStyle w:val="29"/>
        <w:bidi w:val="0"/>
        <w:spacing w:line="360" w:lineRule="auto"/>
        <w:jc w:val="left"/>
        <w:rPr>
          <w:rFonts w:hint="eastAsia"/>
          <w:color w:val="auto"/>
          <w:sz w:val="21"/>
          <w:szCs w:val="21"/>
          <w:highlight w:val="none"/>
          <w:lang w:val="en-US" w:eastAsia="zh-CN"/>
        </w:rPr>
      </w:pPr>
    </w:p>
    <w:sectPr>
      <w:footerReference r:id="rId11" w:type="default"/>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5866B2-7BE5-4A64-AA32-DCA7BBDAF02E}"/>
  </w:font>
  <w:font w:name="Courier New">
    <w:panose1 w:val="02070309020205020404"/>
    <w:charset w:val="01"/>
    <w:family w:val="modern"/>
    <w:pitch w:val="default"/>
    <w:sig w:usb0="E0002EFF" w:usb1="C0007843" w:usb2="00000009" w:usb3="00000000" w:csb0="400001FF" w:csb1="FFFF0000"/>
    <w:embedRegular r:id="rId2" w:fontKey="{706BA2F2-D515-4CC2-B81D-6371173FB73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CA7CFB9D-AD3C-417A-9617-FEAE75EE3484}"/>
  </w:font>
  <w:font w:name="方正大标宋简体">
    <w:panose1 w:val="03000509000000000000"/>
    <w:charset w:val="86"/>
    <w:family w:val="script"/>
    <w:pitch w:val="default"/>
    <w:sig w:usb0="00000001" w:usb1="080E0000" w:usb2="00000000" w:usb3="00000000" w:csb0="00040001" w:csb1="00000000"/>
  </w:font>
  <w:font w:name="华文中宋">
    <w:panose1 w:val="02010600040101010101"/>
    <w:charset w:val="86"/>
    <w:family w:val="auto"/>
    <w:pitch w:val="default"/>
    <w:sig w:usb0="00000287" w:usb1="080F0000" w:usb2="00000000" w:usb3="00000000" w:csb0="0004009F" w:csb1="DFD70000"/>
    <w:embedRegular r:id="rId4" w:fontKey="{39C26C1A-AE8D-4D10-9ADF-533B4B78DF48}"/>
  </w:font>
  <w:font w:name="方正小标宋简体">
    <w:panose1 w:val="03000509000000000000"/>
    <w:charset w:val="86"/>
    <w:family w:val="script"/>
    <w:pitch w:val="default"/>
    <w:sig w:usb0="00000001" w:usb1="080E0000" w:usb2="00000000" w:usb3="00000000" w:csb0="00040000" w:csb1="00000000"/>
    <w:embedRegular r:id="rId5" w:fontKey="{A7D92D75-B835-429E-A196-14A70377AFE3}"/>
  </w:font>
  <w:font w:name="Wingdings 2">
    <w:panose1 w:val="05020102010507070707"/>
    <w:charset w:val="02"/>
    <w:family w:val="roman"/>
    <w:pitch w:val="default"/>
    <w:sig w:usb0="00000000" w:usb1="00000000" w:usb2="00000000" w:usb3="00000000" w:csb0="80000000" w:csb1="00000000"/>
    <w:embedRegular r:id="rId6" w:fontKey="{A0AD62D8-CBCC-4EB1-BCE5-2B3F3AB40A4E}"/>
  </w:font>
  <w:font w:name="MS Mincho">
    <w:panose1 w:val="02020609040205080304"/>
    <w:charset w:val="80"/>
    <w:family w:val="modern"/>
    <w:pitch w:val="default"/>
    <w:sig w:usb0="A00002BF" w:usb1="68C7FCFB" w:usb2="00000010" w:usb3="00000000" w:csb0="4002009F" w:csb1="DFD70000"/>
    <w:embedRegular r:id="rId7" w:fontKey="{0BD288A4-5F86-4D15-8D35-824906C1D25B}"/>
  </w:font>
  <w:font w:name="微软雅黑">
    <w:panose1 w:val="020B0503020204020204"/>
    <w:charset w:val="86"/>
    <w:family w:val="auto"/>
    <w:pitch w:val="default"/>
    <w:sig w:usb0="80000287" w:usb1="2ACF3C50" w:usb2="00000016" w:usb3="00000000" w:csb0="0004001F" w:csb1="00000000"/>
    <w:embedRegular r:id="rId8" w:fontKey="{C8ADD62C-678B-4DBC-A78F-68E3F330B4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E64">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957A4F">
                          <w:pPr>
                            <w:jc w:val="center"/>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69957A4F">
                    <w:pPr>
                      <w:jc w:val="center"/>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7B0A">
    <w:pPr>
      <w:pStyle w:val="12"/>
      <w:framePr w:wrap="around" w:vAnchor="text" w:hAnchor="margin" w:xAlign="center" w:y="1"/>
      <w:rPr>
        <w:rStyle w:val="22"/>
      </w:rPr>
    </w:pPr>
    <w:r>
      <w:fldChar w:fldCharType="begin"/>
    </w:r>
    <w:r>
      <w:rPr>
        <w:rStyle w:val="22"/>
      </w:rPr>
      <w:instrText xml:space="preserve">PAGE  </w:instrText>
    </w:r>
    <w:r>
      <w:fldChar w:fldCharType="end"/>
    </w:r>
  </w:p>
  <w:p w14:paraId="0E56C962">
    <w:pPr>
      <w:pStyle w:val="12"/>
    </w:pPr>
  </w:p>
  <w:p w14:paraId="5AE4B85B"/>
  <w:p w14:paraId="2472D761"/>
  <w:p w14:paraId="3C376B74"/>
  <w:p w14:paraId="573DE505"/>
  <w:p w14:paraId="053C7A08"/>
  <w:p w14:paraId="0E7A2E3B"/>
  <w:p w14:paraId="5419F267"/>
  <w:p w14:paraId="77E9D80F"/>
  <w:p w14:paraId="153A34E3"/>
  <w:p w14:paraId="0D74D903"/>
  <w:p w14:paraId="0C662109"/>
  <w:p w14:paraId="5C6FA5A5"/>
  <w:p w14:paraId="09AB33A9"/>
  <w:p w14:paraId="5928CDC3"/>
  <w:p w14:paraId="21BAE6E3"/>
  <w:p w14:paraId="4B54778D"/>
  <w:p w14:paraId="3D87B0D3"/>
  <w:p w14:paraId="140D2F1D"/>
  <w:p w14:paraId="0298F6CE"/>
  <w:p w14:paraId="2BFD51A8"/>
  <w:p w14:paraId="18CF35C7"/>
  <w:p w14:paraId="680FB72C"/>
  <w:p w14:paraId="6FC3DD63"/>
  <w:p w14:paraId="38A5ECE3"/>
  <w:p w14:paraId="5DA4477E"/>
  <w:p w14:paraId="5A039224"/>
  <w:p w14:paraId="566BA65D"/>
  <w:p w14:paraId="7F664709"/>
  <w:p w14:paraId="1FEF3236"/>
  <w:p w14:paraId="10F82659"/>
  <w:p w14:paraId="2AF1F85B"/>
  <w:p w14:paraId="3CB40106"/>
  <w:p w14:paraId="127168DA"/>
  <w:p w14:paraId="74E94013"/>
  <w:p w14:paraId="3CF827B5"/>
  <w:p w14:paraId="241D15DB"/>
  <w:p w14:paraId="15699071"/>
  <w:p w14:paraId="2EBABC66"/>
  <w:p w14:paraId="5EE19915"/>
  <w:p w14:paraId="0D552C9C"/>
  <w:p w14:paraId="0B12270F"/>
  <w:p w14:paraId="54AC57AE"/>
  <w:p w14:paraId="4BF1E2A7"/>
  <w:p w14:paraId="4486F086"/>
  <w:p w14:paraId="1FCDBF1A"/>
  <w:p w14:paraId="7F1DBCD9"/>
  <w:p w14:paraId="6FAC4AC5"/>
  <w:p w14:paraId="4E530451"/>
  <w:p w14:paraId="56AB2F2D"/>
  <w:p w14:paraId="3AE7588B"/>
  <w:p w14:paraId="6E53C21B"/>
  <w:p w14:paraId="6126CB59"/>
  <w:p w14:paraId="54377E12"/>
  <w:p w14:paraId="1C632F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2F6D">
    <w:pPr>
      <w:jc w:val="cente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7CF90D">
                          <w:pPr>
                            <w:jc w:val="center"/>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10RM0BAACn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t10RM0BAACnAwAADgAAAAAAAAABACAAAAAeAQAAZHJzL2Uy&#10;b0RvYy54bWxQSwUGAAAAAAYABgBZAQAAXQUAAAAA&#10;">
              <v:fill on="f" focussize="0,0"/>
              <v:stroke on="f"/>
              <v:imagedata o:title=""/>
              <o:lock v:ext="edit" aspectratio="f"/>
              <v:textbox inset="0mm,0mm,0mm,0mm" style="mso-fit-shape-to-text:t;">
                <w:txbxContent>
                  <w:p w14:paraId="557CF90D">
                    <w:pPr>
                      <w:jc w:val="center"/>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A818">
    <w:pPr>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80FC6A">
                          <w:r>
                            <w:t xml:space="preserve">— </w:t>
                          </w:r>
                          <w:r>
                            <w:fldChar w:fldCharType="begin"/>
                          </w:r>
                          <w:r>
                            <w:instrText xml:space="preserve"> PAGE  \* MERGEFORMAT </w:instrText>
                          </w:r>
                          <w:r>
                            <w:fldChar w:fldCharType="separate"/>
                          </w:r>
                          <w:r>
                            <w:t>30</w:t>
                          </w:r>
                          <w: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14:paraId="4D80FC6A">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DC16">
    <w:pP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EF7521">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yNws4BAACnAwAADgAAAGRycy9lMm9Eb2MueG1srVPNbtswDL4X2DsI&#10;ui92M2A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gcjcLOAQAApwMAAA4AAAAAAAAAAQAgAAAAHgEAAGRycy9l&#10;Mm9Eb2MueG1sUEsFBgAAAAAGAAYAWQEAAF4FAAAAAA==&#10;">
              <v:fill on="f" focussize="0,0"/>
              <v:stroke on="f"/>
              <v:imagedata o:title=""/>
              <o:lock v:ext="edit" aspectratio="f"/>
              <v:textbox inset="0mm,0mm,0mm,0mm" style="mso-fit-shape-to-text:t;">
                <w:txbxContent>
                  <w:p w14:paraId="6AEF7521">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B8227">
    <w:pP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2A6C68">
                          <w:r>
                            <w:t xml:space="preserve">— </w:t>
                          </w:r>
                          <w:r>
                            <w:fldChar w:fldCharType="begin"/>
                          </w:r>
                          <w:r>
                            <w:instrText xml:space="preserve"> PAGE  \* MERGEFORMAT </w:instrText>
                          </w:r>
                          <w:r>
                            <w:fldChar w:fldCharType="separate"/>
                          </w:r>
                          <w:r>
                            <w:t>99</w:t>
                          </w:r>
                          <w:r>
                            <w:fldChar w:fldCharType="end"/>
                          </w:r>
                          <w: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G+VRs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G+VRs0BAACnAwAADgAAAAAAAAABACAAAAAeAQAAZHJzL2Uy&#10;b0RvYy54bWxQSwUGAAAAAAYABgBZAQAAXQUAAAAA&#10;">
              <v:fill on="f" focussize="0,0"/>
              <v:stroke on="f"/>
              <v:imagedata o:title=""/>
              <o:lock v:ext="edit" aspectratio="f"/>
              <v:textbox inset="0mm,0mm,0mm,0mm" style="mso-fit-shape-to-text:t;">
                <w:txbxContent>
                  <w:p w14:paraId="362A6C68">
                    <w:r>
                      <w:t xml:space="preserve">— </w:t>
                    </w:r>
                    <w:r>
                      <w:fldChar w:fldCharType="begin"/>
                    </w:r>
                    <w:r>
                      <w:instrText xml:space="preserve"> PAGE  \* MERGEFORMAT </w:instrText>
                    </w:r>
                    <w:r>
                      <w:fldChar w:fldCharType="separate"/>
                    </w:r>
                    <w:r>
                      <w:t>99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6EC8"/>
  <w:p w14:paraId="2D44F8E6"/>
  <w:p w14:paraId="6D4B2CD5"/>
  <w:p w14:paraId="1A612D86"/>
  <w:p w14:paraId="7216791C"/>
  <w:p w14:paraId="4AA5CE68"/>
  <w:p w14:paraId="21971AD4"/>
  <w:p w14:paraId="53771F85"/>
  <w:p w14:paraId="124510E1"/>
  <w:p w14:paraId="1BC6D554"/>
  <w:p w14:paraId="64D9D767"/>
  <w:p w14:paraId="31BB9AE9"/>
  <w:p w14:paraId="1DA20BF4"/>
  <w:p w14:paraId="479FBD39"/>
  <w:p w14:paraId="7478503F"/>
  <w:p w14:paraId="360FC0B0"/>
  <w:p w14:paraId="64F5D47B"/>
  <w:p w14:paraId="3A3921AA"/>
  <w:p w14:paraId="2BD2E2D7"/>
  <w:p w14:paraId="6A88602F"/>
  <w:p w14:paraId="740C510C"/>
  <w:p w14:paraId="6A54AD68"/>
  <w:p w14:paraId="67BA5410"/>
  <w:p w14:paraId="6000168E"/>
  <w:p w14:paraId="79977C6E"/>
  <w:p w14:paraId="49FF5817"/>
  <w:p w14:paraId="50F7955D"/>
  <w:p w14:paraId="217777A7"/>
  <w:p w14:paraId="42346C09"/>
  <w:p w14:paraId="1186A86F"/>
  <w:p w14:paraId="0C80C8E5"/>
  <w:p w14:paraId="1816B24E"/>
  <w:p w14:paraId="7F4A8948"/>
  <w:p w14:paraId="5F61C04A"/>
  <w:p w14:paraId="7FF4A7C8"/>
  <w:p w14:paraId="02253186"/>
  <w:p w14:paraId="09B63756"/>
  <w:p w14:paraId="64E3F803"/>
  <w:p w14:paraId="4243BAC0"/>
  <w:p w14:paraId="52737F1D"/>
  <w:p w14:paraId="24850BE2"/>
  <w:p w14:paraId="3C68B4F4"/>
  <w:p w14:paraId="629BE068"/>
  <w:p w14:paraId="574EE1F0"/>
  <w:p w14:paraId="6A746AFB"/>
  <w:p w14:paraId="73F539F6"/>
  <w:p w14:paraId="284E7DED"/>
  <w:p w14:paraId="6B0102FE"/>
  <w:p w14:paraId="4381ABC3"/>
  <w:p w14:paraId="55F493C3"/>
  <w:p w14:paraId="65DE383C"/>
  <w:p w14:paraId="43963DFB"/>
  <w:p w14:paraId="493332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65711"/>
    <w:multiLevelType w:val="singleLevel"/>
    <w:tmpl w:val="2C865711"/>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B572032"/>
    <w:multiLevelType w:val="singleLevel"/>
    <w:tmpl w:val="5B572032"/>
    <w:lvl w:ilvl="0" w:tentative="0">
      <w:start w:val="1"/>
      <w:numFmt w:val="decimal"/>
      <w:pStyle w:val="3"/>
      <w:lvlText w:val="%1."/>
      <w:lvlJc w:val="left"/>
      <w:pPr>
        <w:tabs>
          <w:tab w:val="left" w:pos="780"/>
        </w:tabs>
        <w:ind w:left="7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OTYzODNiNDRjN2Q0OTRmZjJiODI1MTFhZDVkNzIifQ=="/>
  </w:docVars>
  <w:rsids>
    <w:rsidRoot w:val="7AF942D4"/>
    <w:rsid w:val="00672E2D"/>
    <w:rsid w:val="009C337D"/>
    <w:rsid w:val="00D73E44"/>
    <w:rsid w:val="00F16ED7"/>
    <w:rsid w:val="019B53E2"/>
    <w:rsid w:val="01A44804"/>
    <w:rsid w:val="02BA5D3C"/>
    <w:rsid w:val="02C941D1"/>
    <w:rsid w:val="032C4E8C"/>
    <w:rsid w:val="033C2341"/>
    <w:rsid w:val="03A17D8C"/>
    <w:rsid w:val="03B95638"/>
    <w:rsid w:val="03DE5A5A"/>
    <w:rsid w:val="040F0F2A"/>
    <w:rsid w:val="046A7ADA"/>
    <w:rsid w:val="046E6DDE"/>
    <w:rsid w:val="048903A6"/>
    <w:rsid w:val="04B939E5"/>
    <w:rsid w:val="04E377CC"/>
    <w:rsid w:val="04ED064B"/>
    <w:rsid w:val="05154177"/>
    <w:rsid w:val="06084DCB"/>
    <w:rsid w:val="0622270A"/>
    <w:rsid w:val="066C559F"/>
    <w:rsid w:val="06FC0D31"/>
    <w:rsid w:val="07153E89"/>
    <w:rsid w:val="07312578"/>
    <w:rsid w:val="0749768F"/>
    <w:rsid w:val="07D16002"/>
    <w:rsid w:val="07F4584C"/>
    <w:rsid w:val="08552F6C"/>
    <w:rsid w:val="088246CD"/>
    <w:rsid w:val="08EB30F3"/>
    <w:rsid w:val="0948190B"/>
    <w:rsid w:val="0973778C"/>
    <w:rsid w:val="0A4C7BC2"/>
    <w:rsid w:val="0A6753E6"/>
    <w:rsid w:val="0B45498C"/>
    <w:rsid w:val="0B52682E"/>
    <w:rsid w:val="0C600521"/>
    <w:rsid w:val="0CB3217A"/>
    <w:rsid w:val="0CE27DCE"/>
    <w:rsid w:val="0DBE4748"/>
    <w:rsid w:val="0E527771"/>
    <w:rsid w:val="0E6C1F74"/>
    <w:rsid w:val="0E741495"/>
    <w:rsid w:val="0E987FB3"/>
    <w:rsid w:val="0F781459"/>
    <w:rsid w:val="0F933B9D"/>
    <w:rsid w:val="106713DE"/>
    <w:rsid w:val="11A42091"/>
    <w:rsid w:val="130F15AD"/>
    <w:rsid w:val="131E2317"/>
    <w:rsid w:val="132A707B"/>
    <w:rsid w:val="132D5A86"/>
    <w:rsid w:val="137B32C6"/>
    <w:rsid w:val="137E0050"/>
    <w:rsid w:val="14F7697C"/>
    <w:rsid w:val="155D523F"/>
    <w:rsid w:val="157D0378"/>
    <w:rsid w:val="16A86E0B"/>
    <w:rsid w:val="19500078"/>
    <w:rsid w:val="19B52287"/>
    <w:rsid w:val="19DC3E19"/>
    <w:rsid w:val="1A017F96"/>
    <w:rsid w:val="1A627C65"/>
    <w:rsid w:val="1A73397C"/>
    <w:rsid w:val="1A951DFA"/>
    <w:rsid w:val="1AA70EF9"/>
    <w:rsid w:val="1B1262BE"/>
    <w:rsid w:val="1BE340FE"/>
    <w:rsid w:val="1C475C36"/>
    <w:rsid w:val="1C4B24C6"/>
    <w:rsid w:val="1C511068"/>
    <w:rsid w:val="1C5A6949"/>
    <w:rsid w:val="1C6C40F3"/>
    <w:rsid w:val="1CA40989"/>
    <w:rsid w:val="1D2A0873"/>
    <w:rsid w:val="1EA95B20"/>
    <w:rsid w:val="20056935"/>
    <w:rsid w:val="205A0810"/>
    <w:rsid w:val="208E3285"/>
    <w:rsid w:val="22394A78"/>
    <w:rsid w:val="22574EFE"/>
    <w:rsid w:val="22982B9D"/>
    <w:rsid w:val="22EA7B20"/>
    <w:rsid w:val="233B380F"/>
    <w:rsid w:val="23733FB9"/>
    <w:rsid w:val="23C465C3"/>
    <w:rsid w:val="24076E9A"/>
    <w:rsid w:val="242D1153"/>
    <w:rsid w:val="248D2E59"/>
    <w:rsid w:val="24CE594B"/>
    <w:rsid w:val="2543028D"/>
    <w:rsid w:val="261C6242"/>
    <w:rsid w:val="26EF1BA9"/>
    <w:rsid w:val="275267DB"/>
    <w:rsid w:val="288F719F"/>
    <w:rsid w:val="28C17575"/>
    <w:rsid w:val="28F20B9A"/>
    <w:rsid w:val="294F52EC"/>
    <w:rsid w:val="29A24CB1"/>
    <w:rsid w:val="2A622692"/>
    <w:rsid w:val="2B2B0F1A"/>
    <w:rsid w:val="2B5A6013"/>
    <w:rsid w:val="2B7B31CD"/>
    <w:rsid w:val="2C475FE0"/>
    <w:rsid w:val="2C7F5FAD"/>
    <w:rsid w:val="2D016192"/>
    <w:rsid w:val="2D3A16A4"/>
    <w:rsid w:val="2D776454"/>
    <w:rsid w:val="2E4839E5"/>
    <w:rsid w:val="2E5F1C6C"/>
    <w:rsid w:val="2E931BB3"/>
    <w:rsid w:val="2F6B65A7"/>
    <w:rsid w:val="2F7A423F"/>
    <w:rsid w:val="30654C8A"/>
    <w:rsid w:val="308E41E1"/>
    <w:rsid w:val="312744A2"/>
    <w:rsid w:val="316D3DF6"/>
    <w:rsid w:val="319B7334"/>
    <w:rsid w:val="31AD68E8"/>
    <w:rsid w:val="322A7F39"/>
    <w:rsid w:val="32A520FC"/>
    <w:rsid w:val="32BA12BD"/>
    <w:rsid w:val="32EB591A"/>
    <w:rsid w:val="335F00B6"/>
    <w:rsid w:val="33C770DC"/>
    <w:rsid w:val="33D12E3D"/>
    <w:rsid w:val="34320B9A"/>
    <w:rsid w:val="344A678F"/>
    <w:rsid w:val="34EA7C3C"/>
    <w:rsid w:val="35660394"/>
    <w:rsid w:val="356869BA"/>
    <w:rsid w:val="356C315D"/>
    <w:rsid w:val="35DF103A"/>
    <w:rsid w:val="362829E1"/>
    <w:rsid w:val="36DA1DD6"/>
    <w:rsid w:val="37117919"/>
    <w:rsid w:val="3809239F"/>
    <w:rsid w:val="38325BD8"/>
    <w:rsid w:val="38545D10"/>
    <w:rsid w:val="38B02CFD"/>
    <w:rsid w:val="38F670C6"/>
    <w:rsid w:val="393022D9"/>
    <w:rsid w:val="395A4FE5"/>
    <w:rsid w:val="39824A10"/>
    <w:rsid w:val="3A35391F"/>
    <w:rsid w:val="3A460515"/>
    <w:rsid w:val="3AA6383F"/>
    <w:rsid w:val="3B3D6F2F"/>
    <w:rsid w:val="3B577B97"/>
    <w:rsid w:val="3BB970C6"/>
    <w:rsid w:val="3BE33338"/>
    <w:rsid w:val="3C243C4B"/>
    <w:rsid w:val="3D677CAA"/>
    <w:rsid w:val="3DA23895"/>
    <w:rsid w:val="3DC46AD4"/>
    <w:rsid w:val="3E0029FB"/>
    <w:rsid w:val="3E1D4DF6"/>
    <w:rsid w:val="3E330175"/>
    <w:rsid w:val="3EB05D06"/>
    <w:rsid w:val="3F3B4216"/>
    <w:rsid w:val="3F4B3E0B"/>
    <w:rsid w:val="3F577E93"/>
    <w:rsid w:val="3FA07A8C"/>
    <w:rsid w:val="3FF37C19"/>
    <w:rsid w:val="403D7303"/>
    <w:rsid w:val="408B7E3C"/>
    <w:rsid w:val="409E3FCC"/>
    <w:rsid w:val="40ED15F6"/>
    <w:rsid w:val="41961147"/>
    <w:rsid w:val="41C537DA"/>
    <w:rsid w:val="41D85E03"/>
    <w:rsid w:val="425B07E2"/>
    <w:rsid w:val="43585294"/>
    <w:rsid w:val="43AC2EA4"/>
    <w:rsid w:val="43C53F65"/>
    <w:rsid w:val="440A7BCA"/>
    <w:rsid w:val="44EB5865"/>
    <w:rsid w:val="45067F54"/>
    <w:rsid w:val="4510224D"/>
    <w:rsid w:val="464C0026"/>
    <w:rsid w:val="46843675"/>
    <w:rsid w:val="46E6047B"/>
    <w:rsid w:val="4725528A"/>
    <w:rsid w:val="473D08D3"/>
    <w:rsid w:val="481334F1"/>
    <w:rsid w:val="484562F2"/>
    <w:rsid w:val="48945B23"/>
    <w:rsid w:val="490D59F5"/>
    <w:rsid w:val="4911104B"/>
    <w:rsid w:val="493279A7"/>
    <w:rsid w:val="49ED7C34"/>
    <w:rsid w:val="4A526456"/>
    <w:rsid w:val="4AD33AF8"/>
    <w:rsid w:val="4B852008"/>
    <w:rsid w:val="4B86222C"/>
    <w:rsid w:val="4B897627"/>
    <w:rsid w:val="4BF963BB"/>
    <w:rsid w:val="4EAD187E"/>
    <w:rsid w:val="4ED51A98"/>
    <w:rsid w:val="4F135B85"/>
    <w:rsid w:val="4F8F6F19"/>
    <w:rsid w:val="50E53551"/>
    <w:rsid w:val="5100482F"/>
    <w:rsid w:val="512E2D95"/>
    <w:rsid w:val="51A90A23"/>
    <w:rsid w:val="51DD18E7"/>
    <w:rsid w:val="5201260D"/>
    <w:rsid w:val="52174AA4"/>
    <w:rsid w:val="52890445"/>
    <w:rsid w:val="52F201A7"/>
    <w:rsid w:val="53F67036"/>
    <w:rsid w:val="542645AC"/>
    <w:rsid w:val="54AB6860"/>
    <w:rsid w:val="54C268D4"/>
    <w:rsid w:val="54D47B64"/>
    <w:rsid w:val="55866912"/>
    <w:rsid w:val="55B2014A"/>
    <w:rsid w:val="55F805C1"/>
    <w:rsid w:val="56A417B8"/>
    <w:rsid w:val="599D5383"/>
    <w:rsid w:val="59CF4D9E"/>
    <w:rsid w:val="59F97AC6"/>
    <w:rsid w:val="59FC3C55"/>
    <w:rsid w:val="59FE12F4"/>
    <w:rsid w:val="5A942E60"/>
    <w:rsid w:val="5A9D28FB"/>
    <w:rsid w:val="5AD36E07"/>
    <w:rsid w:val="5B3A093D"/>
    <w:rsid w:val="5D1944B2"/>
    <w:rsid w:val="5DF41666"/>
    <w:rsid w:val="5DF50900"/>
    <w:rsid w:val="5E114B41"/>
    <w:rsid w:val="5E5F0DE7"/>
    <w:rsid w:val="5EA5636C"/>
    <w:rsid w:val="5EF57055"/>
    <w:rsid w:val="5F1801E9"/>
    <w:rsid w:val="5F217E4A"/>
    <w:rsid w:val="606F1089"/>
    <w:rsid w:val="629B43B7"/>
    <w:rsid w:val="644744A3"/>
    <w:rsid w:val="65533E5D"/>
    <w:rsid w:val="65D3619D"/>
    <w:rsid w:val="663526E8"/>
    <w:rsid w:val="66E71979"/>
    <w:rsid w:val="6711227C"/>
    <w:rsid w:val="67B13D35"/>
    <w:rsid w:val="67D8491A"/>
    <w:rsid w:val="68430E58"/>
    <w:rsid w:val="68CE4D4D"/>
    <w:rsid w:val="69350065"/>
    <w:rsid w:val="6A0445F0"/>
    <w:rsid w:val="6A132A85"/>
    <w:rsid w:val="6A2B7DCF"/>
    <w:rsid w:val="6A58125E"/>
    <w:rsid w:val="6C171E92"/>
    <w:rsid w:val="6C2F033A"/>
    <w:rsid w:val="6C445178"/>
    <w:rsid w:val="6CEC63D9"/>
    <w:rsid w:val="6D0D1B2C"/>
    <w:rsid w:val="6D4A2C62"/>
    <w:rsid w:val="6ECE0F25"/>
    <w:rsid w:val="6F024182"/>
    <w:rsid w:val="6F155E56"/>
    <w:rsid w:val="6F4C2993"/>
    <w:rsid w:val="6F5E47A3"/>
    <w:rsid w:val="6F6F075E"/>
    <w:rsid w:val="70251764"/>
    <w:rsid w:val="70A307A5"/>
    <w:rsid w:val="710244FC"/>
    <w:rsid w:val="717E31DE"/>
    <w:rsid w:val="71802534"/>
    <w:rsid w:val="71A7464A"/>
    <w:rsid w:val="72BB0ABC"/>
    <w:rsid w:val="72E041B6"/>
    <w:rsid w:val="7300418D"/>
    <w:rsid w:val="73813156"/>
    <w:rsid w:val="745E36D6"/>
    <w:rsid w:val="74B775E4"/>
    <w:rsid w:val="74CA4688"/>
    <w:rsid w:val="75482ED5"/>
    <w:rsid w:val="75630D65"/>
    <w:rsid w:val="76404C02"/>
    <w:rsid w:val="77C805A4"/>
    <w:rsid w:val="78212811"/>
    <w:rsid w:val="784B5AE0"/>
    <w:rsid w:val="78EA358B"/>
    <w:rsid w:val="7A180A6C"/>
    <w:rsid w:val="7A1A5B66"/>
    <w:rsid w:val="7A401A0B"/>
    <w:rsid w:val="7A7255A6"/>
    <w:rsid w:val="7AC21417"/>
    <w:rsid w:val="7AF942D4"/>
    <w:rsid w:val="7B050D0F"/>
    <w:rsid w:val="7C5F7C6E"/>
    <w:rsid w:val="7C86646D"/>
    <w:rsid w:val="7CCF5EF6"/>
    <w:rsid w:val="7D150EF9"/>
    <w:rsid w:val="7D163069"/>
    <w:rsid w:val="7D9D4E2D"/>
    <w:rsid w:val="7DB40B84"/>
    <w:rsid w:val="7EB30231"/>
    <w:rsid w:val="7F0C2DB2"/>
    <w:rsid w:val="7F22423E"/>
    <w:rsid w:val="7F3C6183"/>
    <w:rsid w:val="7F5F07EF"/>
    <w:rsid w:val="7FB3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40" w:lineRule="exact"/>
      <w:jc w:val="center"/>
      <w:textAlignment w:val="baseline"/>
    </w:pPr>
    <w:rPr>
      <w:rFonts w:asciiTheme="minorEastAsia" w:hAnsiTheme="minorEastAsia" w:eastAsiaTheme="minorEastAsia" w:cstheme="minorEastAsia"/>
      <w:bCs/>
      <w:sz w:val="21"/>
      <w:szCs w:val="21"/>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szCs w:val="44"/>
    </w:rPr>
  </w:style>
  <w:style w:type="paragraph" w:styleId="6">
    <w:name w:val="heading 2"/>
    <w:basedOn w:val="1"/>
    <w:next w:val="1"/>
    <w:unhideWhenUsed/>
    <w:qFormat/>
    <w:uiPriority w:val="0"/>
    <w:pPr>
      <w:keepNext/>
      <w:keepLines/>
      <w:spacing w:line="360" w:lineRule="auto"/>
      <w:ind w:firstLine="964"/>
      <w:outlineLvl w:val="1"/>
    </w:pPr>
    <w:rPr>
      <w:rFonts w:ascii="Cambria" w:hAnsi="Cambria" w:eastAsia="仿宋"/>
      <w:b/>
      <w:sz w:val="30"/>
      <w:szCs w:val="32"/>
    </w:rPr>
  </w:style>
  <w:style w:type="paragraph" w:styleId="7">
    <w:name w:val="heading 3"/>
    <w:basedOn w:val="1"/>
    <w:next w:val="1"/>
    <w:qFormat/>
    <w:uiPriority w:val="9"/>
    <w:pPr>
      <w:keepNext/>
      <w:keepLines/>
      <w:spacing w:before="260" w:after="260" w:line="360" w:lineRule="auto"/>
      <w:jc w:val="left"/>
      <w:outlineLvl w:val="2"/>
    </w:pPr>
    <w:rPr>
      <w:rFonts w:eastAsia="黑体"/>
      <w:sz w:val="32"/>
      <w:szCs w:val="32"/>
    </w:rPr>
  </w:style>
  <w:style w:type="paragraph" w:styleId="2">
    <w:name w:val="heading 5"/>
    <w:basedOn w:val="3"/>
    <w:next w:val="4"/>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Normal (Web)"/>
    <w:basedOn w:val="1"/>
    <w:unhideWhenUsed/>
    <w:qFormat/>
    <w:uiPriority w:val="99"/>
    <w:pPr>
      <w:spacing w:before="100" w:beforeAutospacing="1" w:after="100" w:afterAutospacing="1"/>
      <w:jc w:val="left"/>
    </w:pPr>
    <w:rPr>
      <w:rFonts w:ascii="宋体" w:hAnsi="宋体" w:cs="宋体"/>
      <w:sz w:val="24"/>
      <w:szCs w:val="24"/>
    </w:rPr>
  </w:style>
  <w:style w:type="paragraph" w:styleId="8">
    <w:name w:val="annotation text"/>
    <w:basedOn w:val="1"/>
    <w:unhideWhenUsed/>
    <w:qFormat/>
    <w:uiPriority w:val="99"/>
    <w:pPr>
      <w:jc w:val="left"/>
    </w:pPr>
  </w:style>
  <w:style w:type="paragraph" w:styleId="9">
    <w:name w:val="Body Text"/>
    <w:basedOn w:val="1"/>
    <w:next w:val="1"/>
    <w:qFormat/>
    <w:uiPriority w:val="1"/>
    <w:rPr>
      <w:szCs w:val="24"/>
      <w:lang w:val="zh-CN"/>
    </w:rPr>
  </w:style>
  <w:style w:type="paragraph" w:styleId="10">
    <w:name w:val="Body Text Indent"/>
    <w:basedOn w:val="1"/>
    <w:qFormat/>
    <w:uiPriority w:val="0"/>
    <w:pPr>
      <w:autoSpaceDE w:val="0"/>
      <w:autoSpaceDN w:val="0"/>
      <w:adjustRightInd w:val="0"/>
      <w:spacing w:line="360" w:lineRule="auto"/>
      <w:ind w:firstLine="480"/>
      <w:jc w:val="left"/>
    </w:pPr>
    <w:rPr>
      <w:rFonts w:ascii="宋体" w:hAnsi="宋体"/>
      <w:kern w:val="0"/>
      <w:sz w:val="24"/>
      <w:szCs w:val="20"/>
    </w:rPr>
  </w:style>
  <w:style w:type="paragraph" w:styleId="11">
    <w:name w:val="Plain Text"/>
    <w:basedOn w:val="1"/>
    <w:unhideWhenUsed/>
    <w:qFormat/>
    <w:uiPriority w:val="99"/>
    <w:rPr>
      <w:rFonts w:ascii="宋体" w:hAnsi="Courier New" w:cs="Courier New"/>
    </w:rPr>
  </w:style>
  <w:style w:type="paragraph" w:styleId="12">
    <w:name w:val="footer"/>
    <w:basedOn w:val="1"/>
    <w:next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Title"/>
    <w:basedOn w:val="1"/>
    <w:next w:val="1"/>
    <w:qFormat/>
    <w:uiPriority w:val="10"/>
    <w:pPr>
      <w:spacing w:before="240" w:after="60"/>
      <w:jc w:val="center"/>
      <w:outlineLvl w:val="0"/>
    </w:pPr>
    <w:rPr>
      <w:rFonts w:ascii="Cambria" w:hAnsi="Cambria" w:eastAsia="宋体"/>
      <w:b/>
      <w:kern w:val="28"/>
      <w:sz w:val="32"/>
      <w:szCs w:val="32"/>
    </w:rPr>
  </w:style>
  <w:style w:type="paragraph" w:styleId="17">
    <w:name w:val="Body Text First Indent"/>
    <w:basedOn w:val="9"/>
    <w:qFormat/>
    <w:uiPriority w:val="0"/>
    <w:pPr>
      <w:spacing w:line="380" w:lineRule="atLeast"/>
      <w:ind w:firstLine="420" w:firstLineChars="100"/>
    </w:pPr>
    <w:rPr>
      <w:rFonts w:ascii="宋体" w:hAnsi="Times New Roman"/>
      <w:sz w:val="20"/>
      <w:szCs w:val="20"/>
    </w:rPr>
  </w:style>
  <w:style w:type="paragraph" w:styleId="18">
    <w:name w:val="Body Text First Indent 2"/>
    <w:basedOn w:val="10"/>
    <w:qFormat/>
    <w:uiPriority w:val="0"/>
    <w:pPr>
      <w:ind w:firstLine="420" w:firstLineChars="200"/>
    </w:pPr>
  </w:style>
  <w:style w:type="table" w:styleId="20">
    <w:name w:val="Table Grid"/>
    <w:basedOn w:val="1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99"/>
  </w:style>
  <w:style w:type="character" w:styleId="23">
    <w:name w:val="Hyperlink"/>
    <w:unhideWhenUsed/>
    <w:qFormat/>
    <w:uiPriority w:val="99"/>
    <w:rPr>
      <w:color w:val="0000FF"/>
      <w:u w:val="single"/>
    </w:rPr>
  </w:style>
  <w:style w:type="paragraph" w:customStyle="1" w:styleId="24">
    <w:name w:val="标题 5（有编号）（绿盟科技）"/>
    <w:basedOn w:val="1"/>
    <w:next w:val="25"/>
    <w:qFormat/>
    <w:uiPriority w:val="0"/>
    <w:pPr>
      <w:keepNext/>
      <w:keepLines/>
      <w:numPr>
        <w:ilvl w:val="4"/>
        <w:numId w:val="2"/>
      </w:numPr>
      <w:jc w:val="left"/>
      <w:outlineLvl w:val="4"/>
    </w:pPr>
    <w:rPr>
      <w:rFonts w:cs="黑体"/>
    </w:rPr>
  </w:style>
  <w:style w:type="paragraph" w:customStyle="1" w:styleId="25">
    <w:name w:val="正文（绿盟科技）"/>
    <w:qFormat/>
    <w:uiPriority w:val="0"/>
    <w:pPr>
      <w:spacing w:line="300" w:lineRule="auto"/>
      <w:ind w:firstLine="420"/>
    </w:pPr>
    <w:rPr>
      <w:rFonts w:cs="黑体" w:asciiTheme="minorEastAsia" w:hAnsiTheme="minorEastAsia" w:eastAsiaTheme="minorEastAsia"/>
      <w:sz w:val="21"/>
      <w:szCs w:val="21"/>
      <w:lang w:val="en-US" w:eastAsia="zh-CN" w:bidi="ar-SA"/>
    </w:rPr>
  </w:style>
  <w:style w:type="paragraph" w:customStyle="1" w:styleId="26">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null3"/>
    <w:qFormat/>
    <w:uiPriority w:val="0"/>
    <w:rPr>
      <w:rFonts w:hint="eastAsia" w:ascii="Calibri" w:hAnsi="Calibri" w:eastAsia="宋体" w:cs="Times New Roman"/>
      <w:lang w:val="en-US" w:eastAsia="zh-CN" w:bidi="ar-SA"/>
    </w:rPr>
  </w:style>
  <w:style w:type="paragraph" w:customStyle="1" w:styleId="29">
    <w:name w:val="_正文"/>
    <w:basedOn w:val="1"/>
    <w:qFormat/>
    <w:uiPriority w:val="0"/>
    <w:pPr>
      <w:snapToGrid w:val="0"/>
      <w:spacing w:line="360" w:lineRule="auto"/>
      <w:ind w:firstLine="200" w:firstLineChars="200"/>
    </w:pPr>
    <w:rPr>
      <w:rFonts w:ascii="Times New Roman" w:hAnsi="Times New Roman"/>
      <w:sz w:val="24"/>
      <w:szCs w:val="24"/>
    </w:rPr>
  </w:style>
  <w:style w:type="paragraph" w:customStyle="1" w:styleId="30">
    <w:name w:val="样式1"/>
    <w:basedOn w:val="1"/>
    <w:qFormat/>
    <w:uiPriority w:val="0"/>
    <w:rPr>
      <w:rFonts w:eastAsia="方正大标宋简体"/>
      <w:sz w:val="52"/>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方欣正文小四"/>
    <w:basedOn w:val="1"/>
    <w:qFormat/>
    <w:uiPriority w:val="0"/>
    <w:pPr>
      <w:spacing w:line="360" w:lineRule="auto"/>
      <w:ind w:firstLine="640" w:firstLineChars="200"/>
      <w:jc w:val="left"/>
    </w:pPr>
    <w:rPr>
      <w:rFonts w:ascii="Times New Roman" w:hAnsi="Times New Roman"/>
      <w:sz w:val="24"/>
      <w:szCs w:val="24"/>
    </w:rPr>
  </w:style>
  <w:style w:type="paragraph" w:customStyle="1" w:styleId="33">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42115</Words>
  <Characters>44877</Characters>
  <Lines>0</Lines>
  <Paragraphs>0</Paragraphs>
  <TotalTime>9</TotalTime>
  <ScaleCrop>false</ScaleCrop>
  <LinksUpToDate>false</LinksUpToDate>
  <CharactersWithSpaces>46058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2024-06-25T08:45:00Z</dcterms:created>
  <dc:creator>ln</dc:creator>
  <cp:lastModifiedBy>李宁</cp:lastModifiedBy>
  <dcterms:modified xsi:type="dcterms:W3CDTF">2024-09-18T03:53:27Z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5DC16694C32B4FB081650EE2D667A219_12</vt:lpwstr>
  </property>
</Properties>
</file>