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华文新魏" w:eastAsia="华文新魏"/>
          <w:color w:val="auto"/>
          <w:spacing w:val="116"/>
          <w:sz w:val="52"/>
          <w:highlight w:val="none"/>
        </w:rPr>
      </w:pPr>
    </w:p>
    <w:p>
      <w:pPr>
        <w:jc w:val="center"/>
        <w:rPr>
          <w:rFonts w:ascii="华文新魏" w:hAnsi="华文新魏" w:eastAsia="华文新魏"/>
          <w:color w:val="auto"/>
          <w:sz w:val="72"/>
          <w:szCs w:val="72"/>
          <w:highlight w:val="none"/>
        </w:rPr>
      </w:pPr>
    </w:p>
    <w:p>
      <w:pPr>
        <w:jc w:val="center"/>
        <w:rPr>
          <w:color w:val="auto"/>
          <w:sz w:val="72"/>
          <w:szCs w:val="72"/>
          <w:highlight w:val="none"/>
        </w:rPr>
      </w:pPr>
      <w:r>
        <w:rPr>
          <w:rFonts w:hint="eastAsia" w:ascii="华文新魏" w:hAnsi="华文新魏" w:eastAsia="华文新魏"/>
          <w:color w:val="auto"/>
          <w:sz w:val="72"/>
          <w:szCs w:val="72"/>
          <w:highlight w:val="none"/>
        </w:rPr>
        <w:t>广西科联招标中心有限公司</w:t>
      </w:r>
    </w:p>
    <w:p>
      <w:pPr>
        <w:jc w:val="center"/>
        <w:rPr>
          <w:rFonts w:ascii="华文新魏" w:hAnsi="华文新魏" w:eastAsia="华文新魏"/>
          <w:color w:val="auto"/>
          <w:spacing w:val="116"/>
          <w:sz w:val="52"/>
          <w:highlight w:val="none"/>
        </w:rPr>
      </w:pPr>
    </w:p>
    <w:p>
      <w:pPr>
        <w:jc w:val="center"/>
        <w:rPr>
          <w:color w:val="auto"/>
          <w:szCs w:val="84"/>
          <w:highlight w:val="none"/>
        </w:rPr>
      </w:pPr>
      <w:r>
        <w:rPr>
          <w:rFonts w:hint="eastAsia" w:ascii="楷体_GB2312" w:eastAsia="楷体_GB2312"/>
          <w:b/>
          <w:bCs/>
          <w:color w:val="auto"/>
          <w:spacing w:val="100"/>
          <w:sz w:val="84"/>
          <w:szCs w:val="84"/>
          <w:highlight w:val="none"/>
        </w:rPr>
        <w:t>磋商文件</w:t>
      </w:r>
    </w:p>
    <w:p>
      <w:pPr>
        <w:jc w:val="center"/>
        <w:rPr>
          <w:color w:val="auto"/>
          <w:highlight w:val="none"/>
        </w:rPr>
      </w:pPr>
    </w:p>
    <w:p>
      <w:pPr>
        <w:jc w:val="center"/>
        <w:rPr>
          <w:b/>
          <w:color w:val="auto"/>
          <w:sz w:val="36"/>
          <w:szCs w:val="36"/>
          <w:highlight w:val="none"/>
        </w:rPr>
      </w:pPr>
    </w:p>
    <w:p>
      <w:pPr>
        <w:jc w:val="center"/>
        <w:rPr>
          <w:color w:val="auto"/>
          <w:highlight w:val="none"/>
        </w:rPr>
      </w:pPr>
    </w:p>
    <w:p>
      <w:pPr>
        <w:jc w:val="center"/>
        <w:rPr>
          <w:color w:val="auto"/>
          <w:highlight w:val="none"/>
        </w:rPr>
      </w:pPr>
    </w:p>
    <w:p>
      <w:pPr>
        <w:spacing w:line="480" w:lineRule="auto"/>
        <w:ind w:firstLine="1108" w:firstLineChars="345"/>
        <w:rPr>
          <w:rFonts w:hint="eastAsia" w:eastAsia="宋体"/>
          <w:b/>
          <w:color w:val="auto"/>
          <w:sz w:val="32"/>
          <w:highlight w:val="none"/>
          <w:lang w:eastAsia="zh-CN"/>
        </w:rPr>
      </w:pPr>
      <w:r>
        <w:rPr>
          <w:rFonts w:hint="eastAsia"/>
          <w:b/>
          <w:color w:val="auto"/>
          <w:sz w:val="32"/>
          <w:highlight w:val="none"/>
        </w:rPr>
        <w:t>项目名称：</w:t>
      </w:r>
      <w:r>
        <w:rPr>
          <w:rFonts w:hint="eastAsia"/>
          <w:b/>
          <w:color w:val="auto"/>
          <w:sz w:val="32"/>
          <w:highlight w:val="none"/>
          <w:lang w:eastAsia="zh-CN"/>
        </w:rPr>
        <w:t>国家税务总局柳州市柳北区税务局食堂餐饮服务项目</w:t>
      </w:r>
    </w:p>
    <w:p>
      <w:pPr>
        <w:spacing w:line="480" w:lineRule="auto"/>
        <w:ind w:firstLine="2554" w:firstLineChars="795"/>
        <w:rPr>
          <w:b/>
          <w:color w:val="auto"/>
          <w:sz w:val="32"/>
          <w:highlight w:val="none"/>
        </w:rPr>
      </w:pPr>
      <w:r>
        <w:rPr>
          <w:rFonts w:hint="eastAsia"/>
          <w:b/>
          <w:color w:val="auto"/>
          <w:sz w:val="32"/>
          <w:highlight w:val="none"/>
        </w:rPr>
        <w:t>（本项目为目录外标准下）</w:t>
      </w:r>
    </w:p>
    <w:p>
      <w:pPr>
        <w:spacing w:line="480" w:lineRule="auto"/>
        <w:ind w:firstLine="1285" w:firstLineChars="400"/>
        <w:rPr>
          <w:rFonts w:hint="eastAsia" w:eastAsia="宋体"/>
          <w:b/>
          <w:color w:val="auto"/>
          <w:sz w:val="32"/>
          <w:highlight w:val="none"/>
          <w:lang w:eastAsia="zh-CN"/>
        </w:rPr>
      </w:pPr>
      <w:r>
        <w:rPr>
          <w:rFonts w:hint="eastAsia"/>
          <w:b/>
          <w:color w:val="auto"/>
          <w:sz w:val="32"/>
          <w:highlight w:val="none"/>
        </w:rPr>
        <w:t>项目编号：</w:t>
      </w:r>
      <w:r>
        <w:rPr>
          <w:rFonts w:hint="eastAsia"/>
          <w:b/>
          <w:color w:val="auto"/>
          <w:sz w:val="32"/>
          <w:highlight w:val="none"/>
          <w:lang w:eastAsia="zh-CN"/>
        </w:rPr>
        <w:t>KLLZC223005</w:t>
      </w:r>
    </w:p>
    <w:p>
      <w:pPr>
        <w:spacing w:line="480" w:lineRule="auto"/>
        <w:ind w:left="838" w:leftChars="399"/>
        <w:jc w:val="center"/>
        <w:rPr>
          <w:b/>
          <w:color w:val="auto"/>
          <w:sz w:val="32"/>
          <w:highlight w:val="none"/>
        </w:rPr>
      </w:pPr>
    </w:p>
    <w:p>
      <w:pPr>
        <w:spacing w:line="480" w:lineRule="auto"/>
        <w:ind w:left="838" w:leftChars="399" w:firstLine="964" w:firstLineChars="300"/>
        <w:rPr>
          <w:b/>
          <w:color w:val="auto"/>
          <w:sz w:val="32"/>
          <w:szCs w:val="32"/>
          <w:highlight w:val="none"/>
        </w:rPr>
      </w:pPr>
    </w:p>
    <w:p>
      <w:pPr>
        <w:spacing w:line="480" w:lineRule="auto"/>
        <w:ind w:left="838" w:leftChars="399" w:firstLine="964" w:firstLineChars="300"/>
        <w:rPr>
          <w:b/>
          <w:color w:val="auto"/>
          <w:sz w:val="32"/>
          <w:szCs w:val="32"/>
          <w:highlight w:val="none"/>
        </w:rPr>
      </w:pPr>
    </w:p>
    <w:p>
      <w:pPr>
        <w:spacing w:line="480" w:lineRule="auto"/>
        <w:ind w:left="838" w:leftChars="399" w:firstLine="948" w:firstLineChars="295"/>
        <w:rPr>
          <w:b/>
          <w:color w:val="auto"/>
          <w:sz w:val="32"/>
          <w:szCs w:val="32"/>
          <w:highlight w:val="none"/>
        </w:rPr>
      </w:pPr>
      <w:r>
        <w:rPr>
          <w:rFonts w:hint="eastAsia"/>
          <w:b/>
          <w:color w:val="auto"/>
          <w:sz w:val="32"/>
          <w:szCs w:val="32"/>
          <w:highlight w:val="none"/>
        </w:rPr>
        <w:t>采购单位：</w:t>
      </w:r>
      <w:r>
        <w:rPr>
          <w:rFonts w:hint="eastAsia"/>
          <w:b/>
          <w:color w:val="auto"/>
          <w:sz w:val="32"/>
          <w:szCs w:val="32"/>
          <w:highlight w:val="none"/>
          <w:lang w:eastAsia="zh-CN"/>
        </w:rPr>
        <w:t>国家税务总局柳州市柳北区税务局</w:t>
      </w:r>
      <w:r>
        <w:rPr>
          <w:b/>
          <w:color w:val="auto"/>
          <w:sz w:val="32"/>
          <w:szCs w:val="32"/>
          <w:highlight w:val="none"/>
        </w:rPr>
        <w:t xml:space="preserve"> </w:t>
      </w:r>
    </w:p>
    <w:p>
      <w:pPr>
        <w:spacing w:line="480" w:lineRule="auto"/>
        <w:ind w:left="-2" w:leftChars="-1" w:firstLine="1767" w:firstLineChars="550"/>
        <w:rPr>
          <w:b/>
          <w:color w:val="auto"/>
          <w:sz w:val="32"/>
          <w:szCs w:val="32"/>
          <w:highlight w:val="none"/>
        </w:rPr>
      </w:pPr>
      <w:r>
        <w:rPr>
          <w:rFonts w:hint="eastAsia"/>
          <w:b/>
          <w:color w:val="auto"/>
          <w:sz w:val="32"/>
          <w:szCs w:val="32"/>
          <w:highlight w:val="none"/>
        </w:rPr>
        <w:t>采购代理机构：广西科联招标中心有限公司</w:t>
      </w:r>
    </w:p>
    <w:p>
      <w:pPr>
        <w:spacing w:line="480" w:lineRule="auto"/>
        <w:ind w:left="-2" w:leftChars="-1" w:firstLine="1767" w:firstLineChars="550"/>
        <w:rPr>
          <w:b/>
          <w:color w:val="auto"/>
          <w:sz w:val="32"/>
          <w:szCs w:val="32"/>
          <w:highlight w:val="none"/>
        </w:rPr>
      </w:pPr>
    </w:p>
    <w:p>
      <w:pPr>
        <w:spacing w:line="480" w:lineRule="auto"/>
        <w:jc w:val="center"/>
        <w:rPr>
          <w:rFonts w:hint="default" w:ascii="宋体" w:eastAsia="宋体"/>
          <w:b/>
          <w:color w:val="auto"/>
          <w:sz w:val="32"/>
          <w:szCs w:val="32"/>
          <w:highlight w:val="none"/>
          <w:lang w:val="en-US" w:eastAsia="zh-CN"/>
        </w:rPr>
      </w:pPr>
      <w:r>
        <w:rPr>
          <w:b/>
          <w:color w:val="auto"/>
          <w:sz w:val="32"/>
          <w:szCs w:val="32"/>
          <w:highlight w:val="none"/>
        </w:rPr>
        <w:t>202</w:t>
      </w:r>
      <w:r>
        <w:rPr>
          <w:rFonts w:hint="eastAsia"/>
          <w:b/>
          <w:color w:val="auto"/>
          <w:sz w:val="32"/>
          <w:szCs w:val="32"/>
          <w:highlight w:val="none"/>
          <w:lang w:val="en-US" w:eastAsia="zh-CN"/>
        </w:rPr>
        <w:t>2</w:t>
      </w:r>
      <w:r>
        <w:rPr>
          <w:b/>
          <w:color w:val="auto"/>
          <w:sz w:val="32"/>
          <w:szCs w:val="32"/>
          <w:highlight w:val="none"/>
        </w:rPr>
        <w:t>年</w:t>
      </w:r>
      <w:r>
        <w:rPr>
          <w:rFonts w:hint="eastAsia"/>
          <w:b/>
          <w:color w:val="auto"/>
          <w:sz w:val="32"/>
          <w:szCs w:val="32"/>
          <w:highlight w:val="none"/>
          <w:lang w:val="en-US" w:eastAsia="zh-CN"/>
        </w:rPr>
        <w:t>4</w:t>
      </w:r>
      <w:r>
        <w:rPr>
          <w:rFonts w:hint="eastAsia"/>
          <w:b/>
          <w:color w:val="auto"/>
          <w:sz w:val="32"/>
          <w:szCs w:val="32"/>
          <w:highlight w:val="none"/>
        </w:rPr>
        <w:t>月</w:t>
      </w:r>
      <w:r>
        <w:rPr>
          <w:rFonts w:hint="eastAsia"/>
          <w:b/>
          <w:color w:val="auto"/>
          <w:sz w:val="32"/>
          <w:szCs w:val="32"/>
          <w:highlight w:val="none"/>
          <w:lang w:val="en-US" w:eastAsia="zh-CN"/>
        </w:rPr>
        <w:t>19日</w:t>
      </w:r>
    </w:p>
    <w:p>
      <w:pPr>
        <w:spacing w:line="600" w:lineRule="auto"/>
        <w:jc w:val="center"/>
        <w:rPr>
          <w:rFonts w:hint="eastAsia" w:asciiTheme="minorEastAsia" w:hAnsiTheme="minorEastAsia" w:eastAsiaTheme="minorEastAsia" w:cstheme="minorEastAsia"/>
          <w:b/>
          <w:color w:val="auto"/>
          <w:sz w:val="44"/>
          <w:szCs w:val="52"/>
          <w:highlight w:val="none"/>
        </w:rPr>
        <w:sectPr>
          <w:pgSz w:w="11906" w:h="16838"/>
          <w:pgMar w:top="1270" w:right="1474" w:bottom="1157" w:left="1587" w:header="851" w:footer="992" w:gutter="0"/>
          <w:pgNumType w:fmt="decimal" w:start="0"/>
          <w:cols w:space="720" w:num="1"/>
          <w:titlePg/>
          <w:rtlGutter w:val="0"/>
          <w:docGrid w:type="lines" w:linePitch="312" w:charSpace="0"/>
        </w:sectPr>
      </w:pPr>
    </w:p>
    <w:p>
      <w:pPr>
        <w:spacing w:line="600" w:lineRule="auto"/>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44"/>
          <w:szCs w:val="52"/>
          <w:highlight w:val="none"/>
        </w:rPr>
        <w:t>目录</w:t>
      </w:r>
    </w:p>
    <w:p>
      <w:pPr>
        <w:pStyle w:val="27"/>
        <w:spacing w:line="600" w:lineRule="auto"/>
        <w:jc w:val="center"/>
        <w:rPr>
          <w:rFonts w:hint="eastAsia" w:asciiTheme="minorEastAsia" w:hAnsiTheme="minorEastAsia" w:eastAsiaTheme="minorEastAsia" w:cstheme="minorEastAsia"/>
          <w:color w:val="auto"/>
          <w:szCs w:val="30"/>
          <w:highlight w:val="none"/>
        </w:rPr>
      </w:pPr>
      <w:r>
        <w:rPr>
          <w:rFonts w:hint="eastAsia" w:asciiTheme="minorEastAsia" w:hAnsiTheme="minorEastAsia" w:eastAsiaTheme="minorEastAsia" w:cstheme="minorEastAsia"/>
          <w:color w:val="auto"/>
          <w:szCs w:val="30"/>
          <w:highlight w:val="none"/>
        </w:rPr>
        <w:t>第一部分　商务部分</w:t>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TOC \o "1-3" \h \z \u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_Toc9180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第一章 磋商邀请</w:t>
      </w:r>
      <w:r>
        <w:rPr>
          <w:color w:val="auto"/>
          <w:highlight w:val="none"/>
        </w:rPr>
        <w:tab/>
      </w:r>
      <w:r>
        <w:rPr>
          <w:color w:val="auto"/>
          <w:highlight w:val="none"/>
        </w:rPr>
        <w:fldChar w:fldCharType="begin"/>
      </w:r>
      <w:r>
        <w:rPr>
          <w:color w:val="auto"/>
          <w:highlight w:val="none"/>
        </w:rPr>
        <w:instrText xml:space="preserve"> PAGEREF _Toc9180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_Toc31183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第二章 磋商须知</w:t>
      </w:r>
      <w:r>
        <w:rPr>
          <w:color w:val="auto"/>
          <w:highlight w:val="none"/>
        </w:rPr>
        <w:tab/>
      </w:r>
      <w:r>
        <w:rPr>
          <w:color w:val="auto"/>
          <w:highlight w:val="none"/>
        </w:rPr>
        <w:fldChar w:fldCharType="begin"/>
      </w:r>
      <w:r>
        <w:rPr>
          <w:color w:val="auto"/>
          <w:highlight w:val="none"/>
        </w:rPr>
        <w:instrText xml:space="preserve"> PAGEREF _Toc31183 </w:instrText>
      </w:r>
      <w:r>
        <w:rPr>
          <w:color w:val="auto"/>
          <w:highlight w:val="none"/>
        </w:rPr>
        <w:fldChar w:fldCharType="separate"/>
      </w:r>
      <w:r>
        <w:rPr>
          <w:color w:val="auto"/>
          <w:highlight w:val="none"/>
        </w:rPr>
        <w:t>6</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_Toc22872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第三章 评审方法及标准</w:t>
      </w:r>
      <w:r>
        <w:rPr>
          <w:color w:val="auto"/>
          <w:highlight w:val="none"/>
        </w:rPr>
        <w:tab/>
      </w:r>
      <w:r>
        <w:rPr>
          <w:color w:val="auto"/>
          <w:highlight w:val="none"/>
        </w:rPr>
        <w:fldChar w:fldCharType="begin"/>
      </w:r>
      <w:r>
        <w:rPr>
          <w:color w:val="auto"/>
          <w:highlight w:val="none"/>
        </w:rPr>
        <w:instrText xml:space="preserve"> PAGEREF _Toc22872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_Toc26773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第四章 拟签订的合同文本</w:t>
      </w:r>
      <w:r>
        <w:rPr>
          <w:color w:val="auto"/>
          <w:highlight w:val="none"/>
        </w:rPr>
        <w:tab/>
      </w:r>
      <w:r>
        <w:rPr>
          <w:color w:val="auto"/>
          <w:highlight w:val="none"/>
        </w:rPr>
        <w:fldChar w:fldCharType="begin"/>
      </w:r>
      <w:r>
        <w:rPr>
          <w:color w:val="auto"/>
          <w:highlight w:val="none"/>
        </w:rPr>
        <w:instrText xml:space="preserve"> PAGEREF _Toc26773 </w:instrText>
      </w:r>
      <w:r>
        <w:rPr>
          <w:color w:val="auto"/>
          <w:highlight w:val="none"/>
        </w:rPr>
        <w:fldChar w:fldCharType="separate"/>
      </w:r>
      <w:r>
        <w:rPr>
          <w:color w:val="auto"/>
          <w:highlight w:val="none"/>
        </w:rPr>
        <w:t>28</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_Toc3075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第五章 响应文件组成</w:t>
      </w:r>
      <w:r>
        <w:rPr>
          <w:color w:val="auto"/>
          <w:highlight w:val="none"/>
        </w:rPr>
        <w:tab/>
      </w:r>
      <w:r>
        <w:rPr>
          <w:color w:val="auto"/>
          <w:highlight w:val="none"/>
        </w:rPr>
        <w:fldChar w:fldCharType="begin"/>
      </w:r>
      <w:r>
        <w:rPr>
          <w:color w:val="auto"/>
          <w:highlight w:val="none"/>
        </w:rPr>
        <w:instrText xml:space="preserve"> PAGEREF _Toc3075 </w:instrText>
      </w:r>
      <w:r>
        <w:rPr>
          <w:color w:val="auto"/>
          <w:highlight w:val="none"/>
        </w:rPr>
        <w:fldChar w:fldCharType="separate"/>
      </w:r>
      <w:r>
        <w:rPr>
          <w:color w:val="auto"/>
          <w:highlight w:val="none"/>
        </w:rPr>
        <w:t>41</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tabs>
          <w:tab w:val="right" w:leader="dot" w:pos="9639"/>
        </w:tabs>
        <w:spacing w:line="600" w:lineRule="auto"/>
        <w:jc w:val="center"/>
        <w:rPr>
          <w:rFonts w:hint="eastAsia" w:asciiTheme="minorEastAsia" w:hAnsiTheme="minorEastAsia" w:eastAsiaTheme="minorEastAsia" w:cstheme="minorEastAsia"/>
          <w:b/>
          <w:color w:val="auto"/>
          <w:sz w:val="36"/>
          <w:szCs w:val="32"/>
          <w:highlight w:val="none"/>
          <w:u w:val="single"/>
        </w:rPr>
      </w:pPr>
      <w:r>
        <w:rPr>
          <w:rFonts w:hint="eastAsia" w:asciiTheme="minorEastAsia" w:hAnsiTheme="minorEastAsia" w:eastAsiaTheme="minorEastAsia" w:cstheme="minorEastAsia"/>
          <w:b/>
          <w:color w:val="auto"/>
          <w:sz w:val="32"/>
          <w:szCs w:val="30"/>
          <w:highlight w:val="none"/>
        </w:rPr>
        <w:t>第二部分　技术部分</w:t>
      </w:r>
    </w:p>
    <w:p>
      <w:pPr>
        <w:pStyle w:val="27"/>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_Toc17978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第六章 项目采购需求</w:t>
      </w:r>
      <w:r>
        <w:rPr>
          <w:color w:val="auto"/>
          <w:highlight w:val="none"/>
        </w:rPr>
        <w:tab/>
      </w:r>
      <w:r>
        <w:rPr>
          <w:color w:val="auto"/>
          <w:highlight w:val="none"/>
        </w:rPr>
        <w:fldChar w:fldCharType="begin"/>
      </w:r>
      <w:r>
        <w:rPr>
          <w:color w:val="auto"/>
          <w:highlight w:val="none"/>
        </w:rPr>
        <w:instrText xml:space="preserve"> PAGEREF _Toc17978 </w:instrText>
      </w:r>
      <w:r>
        <w:rPr>
          <w:color w:val="auto"/>
          <w:highlight w:val="none"/>
        </w:rPr>
        <w:fldChar w:fldCharType="separate"/>
      </w:r>
      <w:r>
        <w:rPr>
          <w:color w:val="auto"/>
          <w:highlight w:val="none"/>
        </w:rPr>
        <w:t>67</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19"/>
        <w:tabs>
          <w:tab w:val="right" w:leader="dot" w:pos="8845"/>
        </w:tabs>
        <w:spacing w:line="600" w:lineRule="auto"/>
        <w:rPr>
          <w:color w:val="auto"/>
          <w:highlight w:val="none"/>
        </w:rPr>
      </w:pPr>
    </w:p>
    <w:p>
      <w:pPr>
        <w:pStyle w:val="27"/>
        <w:tabs>
          <w:tab w:val="right" w:leader="dot" w:pos="9639"/>
          <w:tab w:val="clear" w:pos="9628"/>
        </w:tabs>
        <w:spacing w:line="600" w:lineRule="auto"/>
        <w:rPr>
          <w:rStyle w:val="49"/>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0"/>
          <w:highlight w:val="none"/>
        </w:rPr>
        <w:fldChar w:fldCharType="end"/>
      </w:r>
    </w:p>
    <w:p>
      <w:pPr>
        <w:pStyle w:val="20"/>
        <w:spacing w:line="700" w:lineRule="exact"/>
        <w:rPr>
          <w:rFonts w:hint="eastAsia" w:asciiTheme="minorEastAsia" w:hAnsiTheme="minorEastAsia" w:eastAsiaTheme="minorEastAsia" w:cstheme="minorEastAsia"/>
          <w:color w:val="auto"/>
          <w:highlight w:val="none"/>
        </w:rPr>
      </w:pPr>
    </w:p>
    <w:p>
      <w:pPr>
        <w:pStyle w:val="20"/>
        <w:spacing w:line="700" w:lineRule="exact"/>
        <w:rPr>
          <w:rFonts w:hint="eastAsia" w:asciiTheme="minorEastAsia" w:hAnsiTheme="minorEastAsia" w:eastAsiaTheme="minorEastAsia" w:cstheme="minorEastAsia"/>
          <w:color w:val="auto"/>
          <w:highlight w:val="none"/>
        </w:rPr>
      </w:pPr>
    </w:p>
    <w:p>
      <w:pPr>
        <w:pStyle w:val="20"/>
        <w:spacing w:line="700" w:lineRule="exact"/>
        <w:rPr>
          <w:rFonts w:hint="eastAsia" w:asciiTheme="minorEastAsia" w:hAnsiTheme="minorEastAsia" w:eastAsiaTheme="minorEastAsia" w:cstheme="minorEastAsia"/>
          <w:color w:val="auto"/>
          <w:highlight w:val="none"/>
        </w:rPr>
      </w:pPr>
    </w:p>
    <w:p>
      <w:pPr>
        <w:spacing w:line="16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36"/>
          <w:highlight w:val="none"/>
        </w:rPr>
        <w:br w:type="page"/>
      </w: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bookmarkStart w:id="0" w:name="_Toc9180"/>
      <w:r>
        <w:rPr>
          <w:rFonts w:hint="eastAsia" w:asciiTheme="minorEastAsia" w:hAnsiTheme="minorEastAsia" w:eastAsiaTheme="minorEastAsia" w:cstheme="minorEastAsia"/>
          <w:b/>
          <w:color w:val="auto"/>
          <w:sz w:val="28"/>
          <w:szCs w:val="28"/>
          <w:highlight w:val="none"/>
        </w:rPr>
        <w:t>第一章 磋商邀请</w:t>
      </w:r>
      <w:bookmarkEnd w:id="0"/>
    </w:p>
    <w:p>
      <w:pPr>
        <w:spacing w:line="400" w:lineRule="exact"/>
        <w:jc w:val="center"/>
        <w:outlineLvl w:val="0"/>
        <w:rPr>
          <w:rFonts w:hint="eastAsia" w:asciiTheme="minorEastAsia" w:hAnsiTheme="minorEastAsia" w:eastAsiaTheme="minorEastAsia" w:cstheme="minorEastAsia"/>
          <w:b/>
          <w:color w:val="auto"/>
          <w:sz w:val="28"/>
          <w:szCs w:val="28"/>
          <w:highlight w:val="none"/>
        </w:rPr>
      </w:pPr>
    </w:p>
    <w:p>
      <w:pPr>
        <w:spacing w:line="360" w:lineRule="auto"/>
        <w:jc w:val="center"/>
        <w:outlineLvl w:val="0"/>
        <w:rPr>
          <w:rFonts w:hint="eastAsia" w:asciiTheme="minorEastAsia" w:hAnsiTheme="minorEastAsia" w:eastAsiaTheme="minorEastAsia" w:cstheme="minorEastAsia"/>
          <w:b/>
          <w:color w:val="auto"/>
          <w:sz w:val="28"/>
          <w:szCs w:val="28"/>
          <w:highlight w:val="none"/>
        </w:rPr>
      </w:pPr>
      <w:bookmarkStart w:id="1" w:name="_Toc2589"/>
      <w:bookmarkStart w:id="2" w:name="_Toc46761412"/>
      <w:r>
        <w:rPr>
          <w:rFonts w:hint="eastAsia" w:asciiTheme="minorEastAsia" w:hAnsiTheme="minorEastAsia" w:eastAsiaTheme="minorEastAsia" w:cstheme="minorEastAsia"/>
          <w:b/>
          <w:color w:val="auto"/>
          <w:sz w:val="28"/>
          <w:szCs w:val="28"/>
          <w:highlight w:val="none"/>
          <w:lang w:val="en-US" w:eastAsia="zh-CN"/>
        </w:rPr>
        <w:t>国家税务总局柳州市柳北区税务局食堂餐饮服务项目（KLLZC223005）</w:t>
      </w:r>
      <w:r>
        <w:rPr>
          <w:rFonts w:hint="eastAsia" w:asciiTheme="minorEastAsia" w:hAnsiTheme="minorEastAsia" w:eastAsiaTheme="minorEastAsia" w:cstheme="minorEastAsia"/>
          <w:b/>
          <w:color w:val="auto"/>
          <w:sz w:val="28"/>
          <w:szCs w:val="28"/>
          <w:highlight w:val="none"/>
        </w:rPr>
        <w:t>磋商公告</w:t>
      </w:r>
      <w:bookmarkEnd w:id="1"/>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国家税务总局柳州市柳北区税务局食堂餐饮服务项目的潜在供应商应在</w:t>
      </w:r>
      <w:r>
        <w:rPr>
          <w:rFonts w:hint="eastAsia" w:ascii="宋体" w:hAnsi="宋体" w:cs="宋体"/>
          <w:color w:val="auto"/>
          <w:szCs w:val="21"/>
          <w:highlight w:val="none"/>
        </w:rPr>
        <w:t>柳州市城中区东环大道256号万达中心写字楼13-22室</w:t>
      </w:r>
      <w:r>
        <w:rPr>
          <w:rFonts w:hint="eastAsia" w:asciiTheme="minorEastAsia" w:hAnsiTheme="minorEastAsia" w:eastAsiaTheme="minorEastAsia" w:cstheme="minorEastAsia"/>
          <w:color w:val="auto"/>
          <w:szCs w:val="21"/>
          <w:highlight w:val="none"/>
        </w:rPr>
        <w:t>获取采购文件，并于</w:t>
      </w:r>
      <w:r>
        <w:rPr>
          <w:rFonts w:hint="eastAsia" w:asciiTheme="minorEastAsia" w:hAnsiTheme="minorEastAsia" w:eastAsiaTheme="minorEastAsia" w:cstheme="minorEastAsia"/>
          <w:b/>
          <w:bCs/>
          <w:color w:val="auto"/>
          <w:szCs w:val="21"/>
          <w:highlight w:val="none"/>
        </w:rPr>
        <w:t>2022年4月2</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日10点00分（北京时间）</w:t>
      </w:r>
      <w:r>
        <w:rPr>
          <w:rFonts w:hint="eastAsia" w:asciiTheme="minorEastAsia" w:hAnsiTheme="minorEastAsia" w:eastAsiaTheme="minorEastAsia" w:cstheme="minorEastAsia"/>
          <w:color w:val="auto"/>
          <w:szCs w:val="21"/>
          <w:highlight w:val="none"/>
        </w:rPr>
        <w:t>前提交响应文件。</w:t>
      </w:r>
    </w:p>
    <w:p>
      <w:pPr>
        <w:keepNext/>
        <w:keepLines/>
        <w:spacing w:beforeLines="100" w:line="360" w:lineRule="auto"/>
        <w:outlineLvl w:val="1"/>
        <w:rPr>
          <w:rFonts w:hint="eastAsia" w:asciiTheme="minorEastAsia" w:hAnsiTheme="minorEastAsia" w:eastAsiaTheme="minorEastAsia" w:cstheme="minorEastAsia"/>
          <w:bCs/>
          <w:color w:val="auto"/>
          <w:szCs w:val="21"/>
          <w:highlight w:val="none"/>
        </w:rPr>
      </w:pPr>
      <w:bookmarkStart w:id="3" w:name="_Toc28359012"/>
      <w:bookmarkStart w:id="4" w:name="_Toc46761413"/>
      <w:bookmarkStart w:id="5" w:name="_Toc24411"/>
      <w:bookmarkStart w:id="6" w:name="_Toc35393629"/>
      <w:bookmarkStart w:id="7" w:name="_Toc28359089"/>
      <w:bookmarkStart w:id="8" w:name="_Toc35393798"/>
      <w:r>
        <w:rPr>
          <w:rFonts w:hint="eastAsia" w:asciiTheme="minorEastAsia" w:hAnsiTheme="minorEastAsia" w:eastAsiaTheme="minorEastAsia" w:cstheme="minorEastAsia"/>
          <w:bCs/>
          <w:color w:val="auto"/>
          <w:szCs w:val="21"/>
          <w:highlight w:val="none"/>
        </w:rPr>
        <w:t>一、项目基本情况</w:t>
      </w:r>
      <w:bookmarkEnd w:id="3"/>
      <w:bookmarkEnd w:id="4"/>
      <w:bookmarkEnd w:id="5"/>
      <w:bookmarkEnd w:id="6"/>
      <w:bookmarkEnd w:id="7"/>
      <w:bookmarkEnd w:id="8"/>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KLLZC223005</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eastAsia="zh-CN"/>
        </w:rPr>
        <w:t>国家税务总局柳州市柳北区税务局食堂餐饮服务项目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贰拾柒万元整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270000.00</w:t>
      </w:r>
      <w:r>
        <w:rPr>
          <w:rFonts w:hint="eastAsia" w:ascii="宋体" w:hAnsi="宋体" w:cs="宋体"/>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贰拾柒万元整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270000.00</w:t>
      </w:r>
      <w:r>
        <w:rPr>
          <w:rFonts w:hint="eastAsia" w:ascii="宋体" w:hAnsi="宋体" w:cs="宋体"/>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采购需求：国家税务总局柳州市柳北区税务局食堂餐饮服务项目一项，1、负责早餐、午餐供应。2、食堂内食品卫生管理等，如需进一步了解详细内容，详见采购文件。</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合同履行期限：一年，自2022年5月1日至2023年4月30日止。</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本项目（是/否）接受联合体：不接受。</w:t>
      </w:r>
      <w:bookmarkStart w:id="9" w:name="_Toc28359013"/>
      <w:bookmarkStart w:id="10" w:name="_Toc28359090"/>
      <w:bookmarkStart w:id="11" w:name="_Toc35393630"/>
      <w:bookmarkStart w:id="12" w:name="_Toc35393799"/>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二、申请人的资格要求：</w:t>
      </w:r>
      <w:bookmarkEnd w:id="9"/>
      <w:bookmarkEnd w:id="10"/>
      <w:bookmarkEnd w:id="11"/>
      <w:bookmarkEnd w:id="12"/>
      <w:bookmarkStart w:id="13" w:name="_Toc35393631"/>
      <w:bookmarkStart w:id="14" w:name="_Toc28359014"/>
      <w:bookmarkStart w:id="15" w:name="_Toc35393800"/>
      <w:bookmarkStart w:id="16" w:name="_Toc28359091"/>
    </w:p>
    <w:p>
      <w:pPr>
        <w:spacing w:line="360" w:lineRule="auto"/>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eastAsia="宋体"/>
          <w:color w:val="auto"/>
          <w:highlight w:val="none"/>
          <w:lang w:eastAsia="zh-CN"/>
        </w:rPr>
        <w:t>：</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color w:val="auto"/>
          <w:highlight w:val="none"/>
        </w:rPr>
        <w:t>本项目采购标的对应的中小企业划分标准所属行业为</w:t>
      </w:r>
      <w:r>
        <w:rPr>
          <w:rFonts w:hint="eastAsia"/>
          <w:color w:val="auto"/>
          <w:highlight w:val="none"/>
          <w:lang w:val="en-US" w:eastAsia="zh-CN"/>
        </w:rPr>
        <w:t>餐饮业</w:t>
      </w:r>
      <w:r>
        <w:rPr>
          <w:rFonts w:hint="eastAsia"/>
          <w:color w:val="auto"/>
          <w:highlight w:val="none"/>
          <w:lang w:eastAsia="zh-CN"/>
        </w:rPr>
        <w:t>。</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kern w:val="2"/>
          <w:sz w:val="21"/>
          <w:szCs w:val="21"/>
          <w:highlight w:val="none"/>
          <w:lang w:val="en-US" w:eastAsia="zh-CN" w:bidi="ar-SA"/>
        </w:rPr>
        <w:t>无。</w:t>
      </w:r>
    </w:p>
    <w:p>
      <w:pPr>
        <w:pStyle w:val="2"/>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，应当拒绝其参与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2"/>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2"/>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三、获取采购文件</w:t>
      </w:r>
      <w:bookmarkEnd w:id="13"/>
      <w:bookmarkEnd w:id="14"/>
      <w:bookmarkEnd w:id="15"/>
      <w:bookmarkEnd w:id="16"/>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bookmarkStart w:id="17" w:name="_Toc28359017"/>
      <w:bookmarkStart w:id="18" w:name="_Toc35393803"/>
      <w:bookmarkStart w:id="19" w:name="_Toc35393634"/>
      <w:bookmarkStart w:id="20" w:name="_Toc28359094"/>
      <w:r>
        <w:rPr>
          <w:rFonts w:hint="eastAsia" w:asciiTheme="minorEastAsia" w:hAnsiTheme="minorEastAsia" w:eastAsiaTheme="minorEastAsia" w:cstheme="minorEastAsia"/>
          <w:bCs/>
          <w:color w:val="auto"/>
          <w:szCs w:val="21"/>
          <w:highlight w:val="none"/>
          <w:u w:val="none"/>
        </w:rPr>
        <w:t>时间：2022年4月1</w:t>
      </w:r>
      <w:r>
        <w:rPr>
          <w:rFonts w:hint="eastAsia" w:asciiTheme="minorEastAsia" w:hAnsiTheme="minorEastAsia" w:eastAsiaTheme="minorEastAsia" w:cstheme="minorEastAsia"/>
          <w:bCs/>
          <w:color w:val="auto"/>
          <w:szCs w:val="21"/>
          <w:highlight w:val="none"/>
          <w:u w:val="none"/>
          <w:lang w:val="en-US" w:eastAsia="zh-CN"/>
        </w:rPr>
        <w:t>9</w:t>
      </w:r>
      <w:r>
        <w:rPr>
          <w:rFonts w:hint="eastAsia" w:asciiTheme="minorEastAsia" w:hAnsiTheme="minorEastAsia" w:eastAsiaTheme="minorEastAsia" w:cstheme="minorEastAsia"/>
          <w:bCs/>
          <w:color w:val="auto"/>
          <w:szCs w:val="21"/>
          <w:highlight w:val="none"/>
          <w:u w:val="none"/>
        </w:rPr>
        <w:t>日公告发布之时起至2022年4月2</w:t>
      </w:r>
      <w:r>
        <w:rPr>
          <w:rFonts w:hint="eastAsia" w:asciiTheme="minorEastAsia" w:hAnsiTheme="minorEastAsia" w:eastAsiaTheme="minorEastAsia" w:cstheme="minorEastAsia"/>
          <w:bCs/>
          <w:color w:val="auto"/>
          <w:szCs w:val="21"/>
          <w:highlight w:val="none"/>
          <w:u w:val="none"/>
          <w:lang w:val="en-US" w:eastAsia="zh-CN"/>
        </w:rPr>
        <w:t>1</w:t>
      </w:r>
      <w:r>
        <w:rPr>
          <w:rFonts w:hint="eastAsia" w:asciiTheme="minorEastAsia" w:hAnsiTheme="minorEastAsia" w:eastAsiaTheme="minorEastAsia" w:cstheme="minorEastAsia"/>
          <w:bCs/>
          <w:color w:val="auto"/>
          <w:szCs w:val="21"/>
          <w:highlight w:val="none"/>
          <w:u w:val="none"/>
        </w:rPr>
        <w:t>日止，工作日上午9时至12时，下午14时至17时（北京时间，法定节假日除外 ）。</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地点：广西科联招标中心有限公司柳州分公司（柳州市城中区东环大道256号万达中心写字楼13-22室）。</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方式：</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方式一:邮购。供应商将项目名称、项目编号、收件人姓名、联系电话、收件地址、开票信息在获取采购文件的时间内发送至指定邮箱：KL0772@126.com（联系电话：李思瑶0772-2995575）。供应商报名成功后，采购代理机构将采购文件的电子版发送至供应商报名时的电子邮箱。未按本公告要求提供有效收件人联系方式的，不予办理纸质版采购文件的邮寄手续；因此造成供应商无法按时获取纸质版采购文件的，责任由供应商承担。</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方式二：现场报名获取（供应商无需携带报名资料）。</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售价：采购文件工本费每本人民币250元，售后不退。如需邮寄采购文件纸质版，每本另加邮费人民币50元。</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【注：供应商须于获取采购文件截止时间前将工本费、邮费（如需邮寄）汇到广西科联招标中心有限公司柳州分公司指定账户，汇款、转账时请备注项目名称或项目编号信息】。</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四、响应文件提交</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截止时间：2022年4月2</w:t>
      </w:r>
      <w:r>
        <w:rPr>
          <w:rFonts w:hint="eastAsia" w:asciiTheme="minorEastAsia" w:hAnsiTheme="minorEastAsia" w:eastAsiaTheme="minorEastAsia" w:cstheme="minorEastAsia"/>
          <w:bCs/>
          <w:color w:val="auto"/>
          <w:szCs w:val="21"/>
          <w:highlight w:val="none"/>
          <w:u w:val="none"/>
          <w:lang w:val="en-US" w:eastAsia="zh-CN"/>
        </w:rPr>
        <w:t>5</w:t>
      </w:r>
      <w:r>
        <w:rPr>
          <w:rFonts w:hint="eastAsia" w:asciiTheme="minorEastAsia" w:hAnsiTheme="minorEastAsia" w:eastAsiaTheme="minorEastAsia" w:cstheme="minorEastAsia"/>
          <w:bCs/>
          <w:color w:val="auto"/>
          <w:szCs w:val="21"/>
          <w:highlight w:val="none"/>
          <w:u w:val="none"/>
        </w:rPr>
        <w:t>日10点00分（北京时间）</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地点：广西科联招标中心有限公司柳州分公司开标室（柳州市城中区东环大道256号万达中心写字楼13-22室），逾期送达的将予以拒收。</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五、开启</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时间：2022年4月2</w:t>
      </w:r>
      <w:r>
        <w:rPr>
          <w:rFonts w:hint="eastAsia" w:asciiTheme="minorEastAsia" w:hAnsiTheme="minorEastAsia" w:eastAsiaTheme="minorEastAsia" w:cstheme="minorEastAsia"/>
          <w:bCs/>
          <w:color w:val="auto"/>
          <w:szCs w:val="21"/>
          <w:highlight w:val="none"/>
          <w:u w:val="none"/>
          <w:lang w:val="en-US" w:eastAsia="zh-CN"/>
        </w:rPr>
        <w:t>5</w:t>
      </w:r>
      <w:r>
        <w:rPr>
          <w:rFonts w:hint="eastAsia" w:asciiTheme="minorEastAsia" w:hAnsiTheme="minorEastAsia" w:eastAsiaTheme="minorEastAsia" w:cstheme="minorEastAsia"/>
          <w:bCs/>
          <w:color w:val="auto"/>
          <w:szCs w:val="21"/>
          <w:highlight w:val="none"/>
          <w:u w:val="none"/>
        </w:rPr>
        <w:t>日10点00分（北京时间）后</w:t>
      </w:r>
    </w:p>
    <w:p>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地点：广西科联招标中心有限公司柳州分公司开标室（柳州市城中区东环大道256号万达中心写字楼13-22室）</w:t>
      </w:r>
    </w:p>
    <w:p>
      <w:pPr>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六、公告期限</w:t>
      </w:r>
      <w:bookmarkEnd w:id="17"/>
      <w:bookmarkEnd w:id="18"/>
      <w:bookmarkEnd w:id="19"/>
      <w:bookmarkEnd w:id="20"/>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bookmarkStart w:id="21" w:name="_Toc35393635"/>
      <w:bookmarkStart w:id="22" w:name="_Toc35393804"/>
    </w:p>
    <w:p>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七、其他补充事宜</w:t>
      </w:r>
      <w:bookmarkEnd w:id="21"/>
      <w:bookmarkEnd w:id="22"/>
      <w:r>
        <w:rPr>
          <w:rFonts w:hint="eastAsia" w:asciiTheme="minorEastAsia" w:hAnsiTheme="minorEastAsia" w:eastAsiaTheme="minorEastAsia" w:cstheme="minorEastAsia"/>
          <w:bCs/>
          <w:color w:val="auto"/>
          <w:szCs w:val="21"/>
          <w:highlight w:val="none"/>
        </w:rPr>
        <w:t>：</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1.磋商保证金：</w:t>
      </w:r>
      <w:r>
        <w:rPr>
          <w:rFonts w:hint="eastAsia" w:ascii="宋体" w:hAnsi="宋体" w:cs="宋体"/>
          <w:b/>
          <w:color w:val="auto"/>
          <w:szCs w:val="21"/>
          <w:highlight w:val="none"/>
        </w:rPr>
        <w:t>金额为人民币</w:t>
      </w:r>
      <w:r>
        <w:rPr>
          <w:rFonts w:hint="eastAsia" w:ascii="宋体" w:hAnsi="宋体" w:cs="宋体"/>
          <w:b/>
          <w:color w:val="auto"/>
          <w:szCs w:val="21"/>
          <w:highlight w:val="none"/>
          <w:lang w:val="en-US" w:eastAsia="zh-CN"/>
        </w:rPr>
        <w:t>壹</w:t>
      </w:r>
      <w:r>
        <w:rPr>
          <w:rFonts w:hint="eastAsia" w:ascii="宋体" w:hAnsi="宋体" w:cs="宋体"/>
          <w:b/>
          <w:color w:val="auto"/>
          <w:szCs w:val="21"/>
          <w:highlight w:val="none"/>
        </w:rPr>
        <w:t>仟元整（¥</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000.00）</w:t>
      </w:r>
      <w:r>
        <w:rPr>
          <w:rFonts w:hint="eastAsia" w:asciiTheme="minorEastAsia" w:hAnsiTheme="minorEastAsia" w:eastAsiaTheme="minorEastAsia" w:cstheme="minorEastAsia"/>
          <w:b/>
          <w:color w:val="auto"/>
          <w:szCs w:val="21"/>
          <w:highlight w:val="none"/>
        </w:rPr>
        <w:t>。</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供应商必须于</w:t>
      </w:r>
      <w:r>
        <w:rPr>
          <w:rFonts w:hint="eastAsia"/>
          <w:color w:val="auto"/>
          <w:highlight w:val="none"/>
          <w:lang w:val="en-US" w:eastAsia="zh-CN"/>
        </w:rPr>
        <w:t>首次</w:t>
      </w:r>
      <w:r>
        <w:rPr>
          <w:rFonts w:hint="eastAsia" w:ascii="宋体" w:hAnsi="宋体" w:cs="宋体"/>
          <w:color w:val="auto"/>
          <w:szCs w:val="21"/>
          <w:highlight w:val="none"/>
        </w:rPr>
        <w:t>响应文件递交截止时间前以转账、支票、汇票、本票或者金融机构、担保机构出具的保函等非现金形式提交。</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2.磋商保证金交纳的指定账号：</w:t>
      </w:r>
    </w:p>
    <w:p>
      <w:pPr>
        <w:pStyle w:val="191"/>
        <w:spacing w:line="360" w:lineRule="auto"/>
        <w:ind w:left="495"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开户银行：广西北部湾银行南宁相思湖支行</w:t>
      </w:r>
    </w:p>
    <w:p>
      <w:pPr>
        <w:pStyle w:val="191"/>
        <w:spacing w:line="360" w:lineRule="auto"/>
        <w:ind w:left="495"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pStyle w:val="191"/>
        <w:spacing w:line="360" w:lineRule="auto"/>
        <w:ind w:left="495"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银行账号：8000  5435  9168  889</w:t>
      </w:r>
    </w:p>
    <w:p>
      <w:pPr>
        <w:pStyle w:val="191"/>
        <w:spacing w:line="360" w:lineRule="auto"/>
        <w:ind w:left="495" w:firstLine="0" w:firstLineChars="0"/>
        <w:rPr>
          <w:rFonts w:ascii="宋体" w:hAnsi="宋体" w:cs="宋体"/>
          <w:color w:val="auto"/>
          <w:szCs w:val="21"/>
          <w:highlight w:val="none"/>
        </w:rPr>
      </w:pPr>
      <w:r>
        <w:rPr>
          <w:rFonts w:hint="eastAsia" w:ascii="宋体" w:hAnsi="宋体" w:cs="宋体"/>
          <w:color w:val="auto"/>
          <w:kern w:val="0"/>
          <w:szCs w:val="21"/>
          <w:highlight w:val="none"/>
        </w:rPr>
        <w:t>开户行行号：3136 1101 8066</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 购买采购文件的价款及邮费交纳的指定账户：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开户名称：广西科联招标中心有限公司柳州分公司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开户银行：中国建设银行股份有限公司柳州文昌路支行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银行账号：45050162524000000145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注：办理磋商保证金手续时，请务必在银行进账单或电汇单的用途或空白栏上注明“柳州+项目编号” 及用途（磋商保证金）。</w:t>
      </w:r>
    </w:p>
    <w:p>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磋商时间及地点：于2022年4月2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日10点00分（北京时间）截标后为磋商小组与供应商磋商时间，具体时间由采购代理机构另行通知。地点：广西科联招标中心有限公司柳州分公司开标室（以具体通知为准），参加磋商的法定代表人（负责人）或委托代理人必须持证件（法定代表人（负责人）凭资格证书和身份证或委托代理人凭法人授权委托书原件或复印件和身份证原件）依时到达指定地点等候当面磋商。</w:t>
      </w:r>
    </w:p>
    <w:p>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公告媒体：国家税务总局广西壮族自治区门户网站柳州市柳北区税务局子频道（http://guangxi.chinatax.gov.cn/liuzhou/）、广西科联招标中心有限公司网站（www.gxkl.com）。</w:t>
      </w:r>
    </w:p>
    <w:p>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本项目预算金额（服务类）：</w:t>
      </w:r>
      <w:r>
        <w:rPr>
          <w:rFonts w:hint="eastAsia" w:asciiTheme="minorEastAsia" w:hAnsiTheme="minorEastAsia" w:eastAsiaTheme="minorEastAsia" w:cstheme="minorEastAsia"/>
          <w:color w:val="auto"/>
          <w:szCs w:val="21"/>
          <w:highlight w:val="none"/>
          <w:lang w:val="en-US" w:eastAsia="zh-CN"/>
        </w:rPr>
        <w:t>270000.00</w:t>
      </w:r>
      <w:r>
        <w:rPr>
          <w:rFonts w:hint="eastAsia" w:asciiTheme="minorEastAsia" w:hAnsiTheme="minorEastAsia" w:eastAsiaTheme="minorEastAsia" w:cstheme="minorEastAsia"/>
          <w:color w:val="auto"/>
          <w:szCs w:val="21"/>
          <w:highlight w:val="none"/>
        </w:rPr>
        <w:t>元/年，服务期</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年。</w:t>
      </w:r>
    </w:p>
    <w:p>
      <w:pPr>
        <w:numPr>
          <w:ilvl w:val="0"/>
          <w:numId w:val="1"/>
        </w:num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本项目为目录外标准下项目。</w:t>
      </w:r>
    </w:p>
    <w:p>
      <w:pPr>
        <w:keepNext/>
        <w:keepLines/>
        <w:spacing w:line="360" w:lineRule="auto"/>
        <w:outlineLvl w:val="1"/>
        <w:rPr>
          <w:rFonts w:hint="eastAsia" w:asciiTheme="minorEastAsia" w:hAnsiTheme="minorEastAsia" w:eastAsiaTheme="minorEastAsia" w:cstheme="minorEastAsia"/>
          <w:bCs/>
          <w:color w:val="auto"/>
          <w:szCs w:val="21"/>
          <w:highlight w:val="none"/>
        </w:rPr>
      </w:pPr>
      <w:bookmarkStart w:id="23" w:name="_Toc35393636"/>
      <w:bookmarkStart w:id="24" w:name="_Toc28359095"/>
      <w:bookmarkStart w:id="25" w:name="_Toc13006"/>
      <w:bookmarkStart w:id="26" w:name="_Toc46761414"/>
      <w:bookmarkStart w:id="27" w:name="_Toc35393805"/>
      <w:bookmarkStart w:id="28" w:name="_Toc28359018"/>
      <w:r>
        <w:rPr>
          <w:rFonts w:hint="eastAsia" w:asciiTheme="minorEastAsia" w:hAnsiTheme="minorEastAsia" w:eastAsiaTheme="minorEastAsia" w:cstheme="minorEastAsia"/>
          <w:bCs/>
          <w:color w:val="auto"/>
          <w:szCs w:val="21"/>
          <w:highlight w:val="none"/>
        </w:rPr>
        <w:t>八、凡对本次采购提出询问，请按以下方式联系。</w:t>
      </w:r>
      <w:bookmarkEnd w:id="23"/>
      <w:bookmarkEnd w:id="24"/>
      <w:bookmarkEnd w:id="25"/>
      <w:bookmarkEnd w:id="26"/>
      <w:bookmarkEnd w:id="27"/>
      <w:bookmarkEnd w:id="28"/>
    </w:p>
    <w:p>
      <w:pPr>
        <w:keepNext/>
        <w:keepLines/>
        <w:spacing w:line="360" w:lineRule="auto"/>
        <w:ind w:firstLine="424" w:firstLineChars="202"/>
        <w:outlineLvl w:val="1"/>
        <w:rPr>
          <w:rFonts w:hint="eastAsia" w:asciiTheme="minorEastAsia" w:hAnsiTheme="minorEastAsia" w:eastAsiaTheme="minorEastAsia" w:cstheme="minorEastAsia"/>
          <w:bCs/>
          <w:color w:val="auto"/>
          <w:szCs w:val="21"/>
          <w:highlight w:val="none"/>
        </w:rPr>
      </w:pPr>
      <w:bookmarkStart w:id="29" w:name="_Toc15710"/>
      <w:bookmarkStart w:id="30" w:name="_Toc46761415"/>
      <w:bookmarkStart w:id="31" w:name="_Toc28359019"/>
      <w:bookmarkStart w:id="32" w:name="_Toc28359096"/>
      <w:bookmarkStart w:id="33" w:name="_Toc35393806"/>
      <w:bookmarkStart w:id="34" w:name="_Toc35393637"/>
      <w:r>
        <w:rPr>
          <w:rFonts w:hint="eastAsia" w:asciiTheme="minorEastAsia" w:hAnsiTheme="minorEastAsia" w:eastAsiaTheme="minorEastAsia" w:cstheme="minorEastAsia"/>
          <w:bCs/>
          <w:color w:val="auto"/>
          <w:szCs w:val="21"/>
          <w:highlight w:val="none"/>
        </w:rPr>
        <w:t>1.采购人信息</w:t>
      </w:r>
      <w:bookmarkEnd w:id="29"/>
      <w:bookmarkEnd w:id="30"/>
      <w:bookmarkEnd w:id="31"/>
      <w:bookmarkEnd w:id="32"/>
      <w:bookmarkEnd w:id="33"/>
      <w:bookmarkEnd w:id="34"/>
    </w:p>
    <w:p>
      <w:pPr>
        <w:spacing w:line="360" w:lineRule="auto"/>
        <w:ind w:left="775" w:leftChars="336" w:hanging="69" w:hangingChars="3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r>
        <w:rPr>
          <w:rFonts w:hint="eastAsia" w:asciiTheme="minorEastAsia" w:hAnsiTheme="minorEastAsia" w:eastAsiaTheme="minorEastAsia" w:cstheme="minorEastAsia"/>
          <w:color w:val="auto"/>
          <w:szCs w:val="21"/>
          <w:highlight w:val="none"/>
          <w:lang w:eastAsia="zh-CN"/>
        </w:rPr>
        <w:t>国家税务总局柳州市柳北区税务局</w:t>
      </w:r>
      <w:r>
        <w:rPr>
          <w:rFonts w:hint="eastAsia" w:asciiTheme="minorEastAsia" w:hAnsiTheme="minorEastAsia" w:eastAsiaTheme="minorEastAsia" w:cstheme="minorEastAsia"/>
          <w:color w:val="auto"/>
          <w:szCs w:val="21"/>
          <w:highlight w:val="none"/>
        </w:rPr>
        <w:t xml:space="preserve"> </w:t>
      </w:r>
    </w:p>
    <w:p>
      <w:pPr>
        <w:spacing w:line="360" w:lineRule="auto"/>
        <w:ind w:left="775" w:leftChars="336" w:hanging="69" w:hangingChars="33"/>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lang w:eastAsia="zh-CN"/>
        </w:rPr>
        <w:t>柳州市柳北区园艺路18号</w:t>
      </w:r>
    </w:p>
    <w:p>
      <w:pPr>
        <w:keepNext/>
        <w:keepLines/>
        <w:spacing w:line="360" w:lineRule="auto"/>
        <w:ind w:firstLine="707" w:firstLineChars="337"/>
        <w:outlineLvl w:val="1"/>
        <w:rPr>
          <w:rFonts w:hint="eastAsia" w:asciiTheme="minorEastAsia" w:hAnsiTheme="minorEastAsia" w:eastAsiaTheme="minorEastAsia" w:cstheme="minorEastAsia"/>
          <w:bCs/>
          <w:color w:val="auto"/>
          <w:szCs w:val="21"/>
          <w:highlight w:val="none"/>
          <w:lang w:eastAsia="zh-CN"/>
        </w:rPr>
      </w:pPr>
      <w:bookmarkStart w:id="35" w:name="_Toc46761416"/>
      <w:bookmarkStart w:id="36" w:name="_Toc21412"/>
      <w:r>
        <w:rPr>
          <w:rFonts w:hint="eastAsia" w:asciiTheme="minorEastAsia" w:hAnsiTheme="minorEastAsia" w:eastAsiaTheme="minorEastAsia" w:cstheme="minorEastAsia"/>
          <w:color w:val="auto"/>
          <w:szCs w:val="21"/>
          <w:highlight w:val="none"/>
          <w:lang w:eastAsia="zh-CN"/>
        </w:rPr>
        <w:t>联系方式</w:t>
      </w:r>
      <w:r>
        <w:rPr>
          <w:rFonts w:hint="eastAsia" w:asciiTheme="minorEastAsia" w:hAnsiTheme="minorEastAsia" w:eastAsiaTheme="minorEastAsia" w:cstheme="minorEastAsia"/>
          <w:color w:val="auto"/>
          <w:szCs w:val="21"/>
          <w:highlight w:val="none"/>
        </w:rPr>
        <w:t>：</w:t>
      </w:r>
      <w:bookmarkEnd w:id="35"/>
      <w:bookmarkEnd w:id="36"/>
      <w:r>
        <w:rPr>
          <w:rFonts w:hint="eastAsia" w:asciiTheme="minorEastAsia" w:hAnsiTheme="minorEastAsia" w:eastAsiaTheme="minorEastAsia" w:cstheme="minorEastAsia"/>
          <w:color w:val="auto"/>
          <w:szCs w:val="21"/>
          <w:highlight w:val="none"/>
          <w:lang w:eastAsia="zh-CN"/>
        </w:rPr>
        <w:t>0772-2529987</w:t>
      </w:r>
    </w:p>
    <w:p>
      <w:pPr>
        <w:keepNext/>
        <w:keepLines/>
        <w:spacing w:line="360" w:lineRule="auto"/>
        <w:ind w:firstLine="424" w:firstLineChars="202"/>
        <w:outlineLvl w:val="1"/>
        <w:rPr>
          <w:rFonts w:hint="eastAsia" w:asciiTheme="minorEastAsia" w:hAnsiTheme="minorEastAsia" w:eastAsiaTheme="minorEastAsia" w:cstheme="minorEastAsia"/>
          <w:bCs/>
          <w:color w:val="auto"/>
          <w:szCs w:val="21"/>
          <w:highlight w:val="none"/>
        </w:rPr>
      </w:pPr>
      <w:bookmarkStart w:id="37" w:name="_Toc28359097"/>
      <w:bookmarkStart w:id="38" w:name="_Toc24805"/>
      <w:bookmarkStart w:id="39" w:name="_Toc46761417"/>
      <w:bookmarkStart w:id="40" w:name="_Toc28359020"/>
      <w:bookmarkStart w:id="41" w:name="_Toc35393638"/>
      <w:bookmarkStart w:id="42" w:name="_Toc35393807"/>
      <w:r>
        <w:rPr>
          <w:rFonts w:hint="eastAsia" w:asciiTheme="minorEastAsia" w:hAnsiTheme="minorEastAsia" w:eastAsiaTheme="minorEastAsia" w:cstheme="minorEastAsia"/>
          <w:bCs/>
          <w:color w:val="auto"/>
          <w:szCs w:val="21"/>
          <w:highlight w:val="none"/>
        </w:rPr>
        <w:t>2.采购代理机构信息</w:t>
      </w:r>
      <w:bookmarkEnd w:id="37"/>
      <w:bookmarkEnd w:id="38"/>
      <w:bookmarkEnd w:id="39"/>
      <w:bookmarkEnd w:id="40"/>
      <w:bookmarkEnd w:id="41"/>
      <w:bookmarkEnd w:id="42"/>
    </w:p>
    <w:p>
      <w:pPr>
        <w:spacing w:line="360" w:lineRule="auto"/>
        <w:ind w:firstLine="707" w:firstLineChars="337"/>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名    称：广西科联招标中心有限公司</w:t>
      </w:r>
    </w:p>
    <w:p>
      <w:pPr>
        <w:spacing w:line="360" w:lineRule="auto"/>
        <w:ind w:firstLine="707" w:firstLineChars="337"/>
        <w:rPr>
          <w:rFonts w:hint="eastAsia" w:asciiTheme="minorEastAsia" w:hAnsiTheme="minorEastAsia" w:eastAsiaTheme="minorEastAsia" w:cstheme="minorEastAsia"/>
          <w:color w:val="auto"/>
          <w:szCs w:val="21"/>
          <w:highlight w:val="none"/>
          <w:u w:val="none"/>
          <w:lang w:eastAsia="zh-CN"/>
        </w:rPr>
      </w:pPr>
      <w:r>
        <w:rPr>
          <w:rFonts w:hint="eastAsia" w:asciiTheme="minorEastAsia" w:hAnsiTheme="minorEastAsia" w:eastAsiaTheme="minorEastAsia" w:cstheme="minorEastAsia"/>
          <w:color w:val="auto"/>
          <w:szCs w:val="21"/>
          <w:highlight w:val="none"/>
          <w:u w:val="none"/>
        </w:rPr>
        <w:t>地　　址：</w:t>
      </w:r>
      <w:r>
        <w:rPr>
          <w:rFonts w:hint="eastAsia" w:asciiTheme="minorEastAsia" w:hAnsiTheme="minorEastAsia" w:eastAsiaTheme="minorEastAsia" w:cstheme="minorEastAsia"/>
          <w:color w:val="auto"/>
          <w:szCs w:val="21"/>
          <w:highlight w:val="none"/>
          <w:u w:val="none"/>
          <w:lang w:eastAsia="zh-CN"/>
        </w:rPr>
        <w:t>柳州市城中区东环大道256号万达中心写字楼13-22室</w:t>
      </w:r>
    </w:p>
    <w:p>
      <w:pPr>
        <w:keepNext/>
        <w:keepLines/>
        <w:spacing w:line="360" w:lineRule="auto"/>
        <w:ind w:firstLine="707" w:firstLineChars="337"/>
        <w:outlineLvl w:val="1"/>
        <w:rPr>
          <w:rFonts w:hint="eastAsia" w:asciiTheme="minorEastAsia" w:hAnsiTheme="minorEastAsia" w:eastAsiaTheme="minorEastAsia" w:cstheme="minorEastAsia"/>
          <w:bCs/>
          <w:color w:val="auto"/>
          <w:szCs w:val="21"/>
          <w:highlight w:val="none"/>
          <w:lang w:eastAsia="zh-CN"/>
        </w:rPr>
      </w:pPr>
      <w:bookmarkStart w:id="43" w:name="_Toc13075"/>
      <w:bookmarkStart w:id="44" w:name="_Toc35393639"/>
      <w:bookmarkStart w:id="45" w:name="_Toc46761418"/>
      <w:bookmarkStart w:id="46" w:name="_Toc28359098"/>
      <w:bookmarkStart w:id="47" w:name="_Toc28359021"/>
      <w:bookmarkStart w:id="48" w:name="_Toc35393808"/>
      <w:r>
        <w:rPr>
          <w:rFonts w:hint="eastAsia" w:asciiTheme="minorEastAsia" w:hAnsiTheme="minorEastAsia" w:eastAsiaTheme="minorEastAsia" w:cstheme="minorEastAsia"/>
          <w:color w:val="auto"/>
          <w:szCs w:val="21"/>
          <w:highlight w:val="none"/>
          <w:lang w:eastAsia="zh-CN"/>
        </w:rPr>
        <w:t>联系方式</w:t>
      </w:r>
      <w:r>
        <w:rPr>
          <w:rFonts w:hint="eastAsia" w:asciiTheme="minorEastAsia" w:hAnsiTheme="minorEastAsia" w:eastAsiaTheme="minorEastAsia" w:cstheme="minorEastAsia"/>
          <w:color w:val="auto"/>
          <w:szCs w:val="21"/>
          <w:highlight w:val="none"/>
        </w:rPr>
        <w:t>：</w:t>
      </w:r>
      <w:bookmarkEnd w:id="43"/>
      <w:r>
        <w:rPr>
          <w:rFonts w:hint="eastAsia" w:asciiTheme="minorEastAsia" w:hAnsiTheme="minorEastAsia" w:eastAsiaTheme="minorEastAsia" w:cstheme="minorEastAsia"/>
          <w:bCs/>
          <w:color w:val="auto"/>
          <w:szCs w:val="21"/>
          <w:highlight w:val="none"/>
          <w:lang w:eastAsia="zh-CN"/>
        </w:rPr>
        <w:t>0772-2995575</w:t>
      </w:r>
    </w:p>
    <w:p>
      <w:pPr>
        <w:keepNext/>
        <w:keepLines/>
        <w:spacing w:line="360" w:lineRule="auto"/>
        <w:ind w:firstLine="424" w:firstLineChars="202"/>
        <w:outlineLvl w:val="1"/>
        <w:rPr>
          <w:rFonts w:ascii="宋体" w:hAnsi="宋体" w:cs="宋体"/>
          <w:bCs/>
          <w:color w:val="auto"/>
          <w:szCs w:val="21"/>
          <w:highlight w:val="none"/>
        </w:rPr>
      </w:pPr>
      <w:bookmarkStart w:id="49" w:name="_Toc20517"/>
      <w:r>
        <w:rPr>
          <w:rFonts w:hint="eastAsia" w:ascii="宋体" w:hAnsi="宋体" w:cs="宋体"/>
          <w:bCs/>
          <w:color w:val="auto"/>
          <w:szCs w:val="21"/>
          <w:highlight w:val="none"/>
        </w:rPr>
        <w:t>3.项目联系方式</w:t>
      </w:r>
    </w:p>
    <w:p>
      <w:pPr>
        <w:pStyle w:val="2"/>
        <w:rPr>
          <w:color w:val="auto"/>
          <w:highlight w:val="none"/>
        </w:rPr>
      </w:pPr>
      <w:r>
        <w:rPr>
          <w:rFonts w:hint="eastAsia"/>
          <w:color w:val="auto"/>
          <w:highlight w:val="none"/>
        </w:rPr>
        <w:t xml:space="preserve">      项目联系人：</w:t>
      </w:r>
      <w:r>
        <w:rPr>
          <w:rFonts w:hint="eastAsia" w:ascii="宋体" w:hAnsi="宋体" w:cs="宋体"/>
          <w:bCs/>
          <w:color w:val="auto"/>
          <w:szCs w:val="21"/>
          <w:highlight w:val="none"/>
        </w:rPr>
        <w:t>李思瑶</w:t>
      </w:r>
    </w:p>
    <w:p>
      <w:pPr>
        <w:pStyle w:val="2"/>
        <w:ind w:firstLine="630" w:firstLineChars="300"/>
        <w:rPr>
          <w:color w:val="auto"/>
          <w:highlight w:val="none"/>
        </w:rPr>
      </w:pPr>
      <w:r>
        <w:rPr>
          <w:rFonts w:hint="eastAsia"/>
          <w:color w:val="auto"/>
          <w:highlight w:val="none"/>
        </w:rPr>
        <w:t>电     话：</w:t>
      </w:r>
      <w:r>
        <w:rPr>
          <w:rFonts w:hint="eastAsia" w:ascii="宋体" w:hAnsi="宋体" w:cs="宋体"/>
          <w:color w:val="auto"/>
          <w:szCs w:val="21"/>
          <w:highlight w:val="none"/>
        </w:rPr>
        <w:t>0772-2995575</w:t>
      </w:r>
    </w:p>
    <w:bookmarkEnd w:id="44"/>
    <w:bookmarkEnd w:id="45"/>
    <w:bookmarkEnd w:id="46"/>
    <w:bookmarkEnd w:id="47"/>
    <w:bookmarkEnd w:id="48"/>
    <w:bookmarkEnd w:id="49"/>
    <w:p>
      <w:pPr>
        <w:pStyle w:val="2"/>
        <w:rPr>
          <w:rFonts w:hint="eastAsia" w:asciiTheme="minorEastAsia" w:hAnsiTheme="minorEastAsia" w:eastAsiaTheme="minorEastAsia" w:cstheme="minorEastAsia"/>
          <w:color w:val="auto"/>
          <w:szCs w:val="21"/>
          <w:highlight w:val="none"/>
        </w:rPr>
      </w:pPr>
    </w:p>
    <w:p>
      <w:pPr>
        <w:pStyle w:val="3"/>
        <w:rPr>
          <w:rFonts w:hint="eastAsia"/>
          <w:color w:val="auto"/>
          <w:highlight w:val="none"/>
        </w:rPr>
      </w:pPr>
    </w:p>
    <w:p>
      <w:pPr>
        <w:snapToGrid w:val="0"/>
        <w:spacing w:line="360" w:lineRule="auto"/>
        <w:ind w:firstLine="420" w:firstLineChars="200"/>
        <w:jc w:val="righ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宋体" w:hAnsi="宋体" w:cs="宋体"/>
          <w:color w:val="auto"/>
          <w:szCs w:val="21"/>
          <w:highlight w:val="none"/>
        </w:rPr>
        <w:t>采购代理机构：广西科联招标中心有限公司</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日</w:t>
      </w: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bookmarkStart w:id="50" w:name="_Toc31183"/>
      <w:r>
        <w:rPr>
          <w:rFonts w:hint="eastAsia" w:asciiTheme="minorEastAsia" w:hAnsiTheme="minorEastAsia" w:eastAsiaTheme="minorEastAsia" w:cstheme="minorEastAsia"/>
          <w:b w:val="0"/>
          <w:bCs w:val="0"/>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第二章 磋商须知</w:t>
      </w:r>
      <w:bookmarkEnd w:id="50"/>
    </w:p>
    <w:p>
      <w:pPr>
        <w:keepNext/>
        <w:keepLines/>
        <w:spacing w:before="340" w:after="330" w:line="578" w:lineRule="auto"/>
        <w:jc w:val="center"/>
        <w:outlineLvl w:val="0"/>
        <w:rPr>
          <w:rFonts w:hint="eastAsia" w:asciiTheme="minorEastAsia" w:hAnsiTheme="minorEastAsia" w:eastAsiaTheme="minorEastAsia" w:cstheme="minorEastAsia"/>
          <w:b/>
          <w:bCs w:val="0"/>
          <w:color w:val="auto"/>
          <w:kern w:val="44"/>
          <w:sz w:val="28"/>
          <w:szCs w:val="28"/>
          <w:highlight w:val="none"/>
        </w:rPr>
      </w:pPr>
      <w:bookmarkStart w:id="51" w:name="_Toc46761420"/>
      <w:bookmarkStart w:id="52" w:name="_Toc1828"/>
      <w:bookmarkStart w:id="53" w:name="_Toc3570431"/>
      <w:r>
        <w:rPr>
          <w:rFonts w:hint="eastAsia" w:asciiTheme="minorEastAsia" w:hAnsiTheme="minorEastAsia" w:eastAsiaTheme="minorEastAsia" w:cstheme="minorEastAsia"/>
          <w:b/>
          <w:bCs w:val="0"/>
          <w:color w:val="auto"/>
          <w:kern w:val="44"/>
          <w:sz w:val="28"/>
          <w:szCs w:val="28"/>
          <w:highlight w:val="none"/>
        </w:rPr>
        <w:t>磋商须知前附表</w:t>
      </w:r>
      <w:bookmarkEnd w:id="51"/>
      <w:bookmarkEnd w:id="52"/>
    </w:p>
    <w:tbl>
      <w:tblPr>
        <w:tblStyle w:val="42"/>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73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采购项目</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项目名称：</w:t>
            </w:r>
            <w:r>
              <w:rPr>
                <w:rFonts w:hint="eastAsia" w:asciiTheme="minorEastAsia" w:hAnsiTheme="minorEastAsia" w:eastAsiaTheme="minorEastAsia" w:cstheme="minorEastAsia"/>
                <w:color w:val="auto"/>
                <w:kern w:val="0"/>
                <w:szCs w:val="21"/>
                <w:highlight w:val="none"/>
                <w:lang w:eastAsia="zh-CN"/>
              </w:rPr>
              <w:t>国家税务总局柳州市柳北区税务局食堂餐饮服务项目</w:t>
            </w:r>
            <w:r>
              <w:rPr>
                <w:rFonts w:hint="eastAsia" w:asciiTheme="minorEastAsia" w:hAnsiTheme="minorEastAsia" w:eastAsiaTheme="minorEastAsia" w:cstheme="minorEastAsia"/>
                <w:color w:val="auto"/>
                <w:szCs w:val="21"/>
                <w:highlight w:val="none"/>
              </w:rPr>
              <w:t xml:space="preserve">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项目编号：</w:t>
            </w:r>
            <w:r>
              <w:rPr>
                <w:rFonts w:hint="eastAsia" w:asciiTheme="minorEastAsia" w:hAnsiTheme="minorEastAsia" w:eastAsiaTheme="minorEastAsia" w:cstheme="minorEastAsia"/>
                <w:color w:val="auto"/>
                <w:kern w:val="0"/>
                <w:szCs w:val="21"/>
                <w:highlight w:val="none"/>
                <w:lang w:eastAsia="zh-CN"/>
              </w:rPr>
              <w:t>KLLZC223005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采购预算</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人民币贰拾柒万元整（¥270000.00）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本项目设定的最高限价</w:t>
            </w:r>
          </w:p>
        </w:tc>
        <w:tc>
          <w:tcPr>
            <w:tcW w:w="6057" w:type="dxa"/>
            <w:gridSpan w:val="2"/>
            <w:vAlign w:val="top"/>
          </w:tcPr>
          <w:p>
            <w:pPr>
              <w:spacing w:after="60"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zh-TW"/>
              </w:rPr>
              <w:t>□无</w:t>
            </w:r>
          </w:p>
          <w:p>
            <w:pPr>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宋体" w:hAnsi="宋体" w:cs="宋体"/>
                <w:color w:val="auto"/>
                <w:kern w:val="0"/>
                <w:szCs w:val="21"/>
                <w:highlight w:val="none"/>
              </w:rPr>
              <w:t>☑有，金额：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贰拾柒万元整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270000.00</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核心产品</w:t>
            </w:r>
          </w:p>
        </w:tc>
        <w:tc>
          <w:tcPr>
            <w:tcW w:w="6057" w:type="dxa"/>
            <w:gridSpan w:val="2"/>
            <w:vAlign w:val="top"/>
          </w:tcPr>
          <w:p>
            <w:pPr>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宋体" w:hAnsi="宋体" w:cs="宋体"/>
                <w:color w:val="auto"/>
                <w:kern w:val="0"/>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公告媒体</w:t>
            </w:r>
          </w:p>
        </w:tc>
        <w:tc>
          <w:tcPr>
            <w:tcW w:w="6057" w:type="dxa"/>
            <w:gridSpan w:val="2"/>
            <w:vAlign w:val="center"/>
          </w:tcPr>
          <w:p>
            <w:pPr>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国家税务总局广西壮族自治区门户网站柳州市</w:t>
            </w:r>
            <w:r>
              <w:rPr>
                <w:rFonts w:hint="eastAsia" w:asciiTheme="minorEastAsia" w:hAnsiTheme="minorEastAsia" w:eastAsiaTheme="minorEastAsia" w:cstheme="minorEastAsia"/>
                <w:color w:val="auto"/>
                <w:szCs w:val="21"/>
                <w:highlight w:val="none"/>
                <w:lang w:val="en-US" w:eastAsia="zh-CN"/>
              </w:rPr>
              <w:t>柳北区</w:t>
            </w:r>
            <w:r>
              <w:rPr>
                <w:rFonts w:hint="eastAsia" w:asciiTheme="minorEastAsia" w:hAnsiTheme="minorEastAsia" w:eastAsiaTheme="minorEastAsia" w:cstheme="minorEastAsia"/>
                <w:color w:val="auto"/>
                <w:szCs w:val="21"/>
                <w:highlight w:val="none"/>
              </w:rPr>
              <w:t>税务局子频道</w:t>
            </w:r>
            <w:r>
              <w:rPr>
                <w:rFonts w:hint="eastAsia" w:ascii="宋体" w:hAnsi="宋体" w:cs="宋体"/>
                <w:color w:val="auto"/>
                <w:szCs w:val="21"/>
                <w:highlight w:val="none"/>
                <w:lang w:eastAsia="zh-CN"/>
              </w:rPr>
              <w:t>（</w:t>
            </w:r>
            <w:r>
              <w:rPr>
                <w:rFonts w:hint="eastAsia" w:ascii="宋体" w:hAnsi="宋体" w:cs="宋体"/>
                <w:color w:val="auto"/>
                <w:szCs w:val="21"/>
                <w:highlight w:val="none"/>
              </w:rPr>
              <w:t>http://guangxi.chinatax.gov.cn/liuzhou/</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广西科联招标中心有限公司网站（www.gxkl.com）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名    称：国家税务总局柳州市柳北区税务局 </w:t>
            </w:r>
          </w:p>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szCs w:val="21"/>
                <w:highlight w:val="none"/>
              </w:rPr>
              <w:t>柳州市柳北区园艺路18号</w:t>
            </w:r>
          </w:p>
          <w:p>
            <w:pPr>
              <w:spacing w:line="380" w:lineRule="exact"/>
              <w:jc w:val="left"/>
              <w:rPr>
                <w:rFonts w:hint="eastAsia" w:asciiTheme="minorEastAsia" w:hAnsiTheme="minorEastAsia" w:eastAsiaTheme="minorEastAsia" w:cstheme="minorEastAsia"/>
                <w:color w:val="auto"/>
                <w:kern w:val="0"/>
                <w:szCs w:val="21"/>
                <w:highlight w:val="none"/>
                <w:lang w:eastAsia="zh-CN"/>
              </w:rPr>
            </w:pPr>
            <w:r>
              <w:rPr>
                <w:rFonts w:hint="eastAsia" w:ascii="宋体" w:hAnsi="宋体" w:cs="宋体"/>
                <w:color w:val="auto"/>
                <w:kern w:val="0"/>
                <w:szCs w:val="21"/>
                <w:highlight w:val="none"/>
              </w:rPr>
              <w:t>联系方式：0772-2529987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采购代理机构</w:t>
            </w:r>
          </w:p>
        </w:tc>
        <w:tc>
          <w:tcPr>
            <w:tcW w:w="6057" w:type="dxa"/>
            <w:gridSpan w:val="2"/>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名    称：广西科联招标中心有限公司</w:t>
            </w:r>
          </w:p>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地    址：柳州市城中区东环大道256号万达中心写字楼13-22室</w:t>
            </w:r>
          </w:p>
          <w:p>
            <w:pPr>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项目咨询联系人：李思瑶           联系方式：0772-2995575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供应商资格条件</w:t>
            </w:r>
            <w:r>
              <w:rPr>
                <w:rFonts w:hint="eastAsia" w:ascii="Times New Roman" w:hAnsi="Times New Roman"/>
                <w:color w:val="auto"/>
                <w:highlight w:val="none"/>
              </w:rPr>
              <w:t>（必须同时具备）</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供应商资格要求：</w:t>
            </w:r>
          </w:p>
          <w:p>
            <w:pPr>
              <w:keepNext w:val="0"/>
              <w:keepLines w:val="0"/>
              <w:pageBreakBefore w:val="0"/>
              <w:widowControl w:val="0"/>
              <w:kinsoku/>
              <w:wordWrap/>
              <w:overflowPunct/>
              <w:topLinePunct w:val="0"/>
              <w:bidi w:val="0"/>
              <w:adjustRightInd/>
              <w:spacing w:line="380" w:lineRule="exact"/>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color w:val="auto"/>
                <w:highlight w:val="none"/>
                <w:lang w:eastAsia="zh-CN"/>
              </w:rPr>
              <w:t>：</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color w:val="auto"/>
                <w:highlight w:val="none"/>
              </w:rPr>
              <w:t>本项目采购标的对应的中小企业划分标准所属行业为</w:t>
            </w:r>
            <w:r>
              <w:rPr>
                <w:rFonts w:hint="eastAsia"/>
                <w:color w:val="auto"/>
                <w:highlight w:val="none"/>
                <w:lang w:val="en-US" w:eastAsia="zh-CN"/>
              </w:rPr>
              <w:t>餐饮业</w:t>
            </w:r>
            <w:r>
              <w:rPr>
                <w:rFonts w:hint="eastAsia"/>
                <w:color w:val="auto"/>
                <w:highlight w:val="none"/>
                <w:lang w:eastAsia="zh-CN"/>
              </w:rPr>
              <w:t>。</w:t>
            </w:r>
          </w:p>
          <w:p>
            <w:pPr>
              <w:pStyle w:val="2"/>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szCs w:val="21"/>
                <w:highlight w:val="none"/>
                <w:lang w:val="en-US" w:eastAsia="zh-CN"/>
              </w:rPr>
              <w:t>无。</w:t>
            </w:r>
          </w:p>
          <w:p>
            <w:pPr>
              <w:pStyle w:val="2"/>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，应当拒绝其参与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2"/>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2"/>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项目现场勘察</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不组织</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□组织：____________________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1.时间：____________________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2.地点：____________________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样品</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不要求提供</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□要求提供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样品制作的标准和要求：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样品检测报告：（□否；□是，检测机构的要求、检测内容详见第六章 项目采购需求）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3.样品的评审方法及评审标准：内容详见第三章</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联合体</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不接受</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TW"/>
              </w:rPr>
              <w:t>分包</w:t>
            </w:r>
          </w:p>
        </w:tc>
        <w:tc>
          <w:tcPr>
            <w:tcW w:w="6057" w:type="dxa"/>
            <w:gridSpan w:val="2"/>
          </w:tcPr>
          <w:p>
            <w:pPr>
              <w:keepNext w:val="0"/>
              <w:keepLines w:val="0"/>
              <w:pageBreakBefore w:val="0"/>
              <w:widowControl w:val="0"/>
              <w:kinsoku/>
              <w:wordWrap/>
              <w:overflowPunct/>
              <w:topLinePunct w:val="0"/>
              <w:bidi w:val="0"/>
              <w:adjustRightInd/>
              <w:spacing w:line="380" w:lineRule="exact"/>
              <w:ind w:left="8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 xml:space="preserve"> </w:t>
            </w:r>
            <w:r>
              <w:rPr>
                <w:rFonts w:hint="eastAsia"/>
                <w:color w:val="auto"/>
                <w:highlight w:val="none"/>
                <w:lang w:val="zh-TW"/>
              </w:rPr>
              <w:t>不接受</w:t>
            </w:r>
          </w:p>
          <w:p>
            <w:pPr>
              <w:keepNext w:val="0"/>
              <w:keepLines w:val="0"/>
              <w:pageBreakBefore w:val="0"/>
              <w:widowControl w:val="0"/>
              <w:kinsoku/>
              <w:wordWrap/>
              <w:overflowPunct/>
              <w:topLinePunct w:val="0"/>
              <w:bidi w:val="0"/>
              <w:adjustRightInd/>
              <w:spacing w:line="380" w:lineRule="exact"/>
              <w:ind w:left="80"/>
              <w:jc w:val="left"/>
              <w:rPr>
                <w:rFonts w:hint="eastAsia"/>
                <w:color w:val="auto"/>
                <w:highlight w:val="none"/>
                <w:lang w:val="zh-TW"/>
              </w:rPr>
            </w:pPr>
            <w:r>
              <w:rPr>
                <w:rFonts w:hint="eastAsia"/>
                <w:color w:val="auto"/>
                <w:highlight w:val="none"/>
              </w:rPr>
              <w:t>□</w:t>
            </w:r>
            <w:r>
              <w:rPr>
                <w:rFonts w:hint="eastAsia"/>
                <w:color w:val="auto"/>
                <w:highlight w:val="none"/>
                <w:lang w:val="zh-TW"/>
              </w:rPr>
              <w:t>接受：分包要求详见第六章项目采购需求</w:t>
            </w:r>
          </w:p>
          <w:p>
            <w:pPr>
              <w:pStyle w:val="3"/>
              <w:rPr>
                <w:rFonts w:hint="eastAsia"/>
                <w:color w:val="auto"/>
                <w:highlight w:val="none"/>
              </w:rPr>
            </w:pPr>
            <w:r>
              <w:rPr>
                <w:rFonts w:hint="eastAsia"/>
                <w:b w:val="0"/>
                <w:bCs/>
                <w:color w:val="auto"/>
                <w:szCs w:val="21"/>
                <w:highlight w:val="none"/>
                <w:u w:val="single"/>
              </w:rPr>
              <w:t>注：享受扶持政策获得采购合同的，小微企业不得将合同分包给大中型企业，中型企业不得将合同分包给大型企业。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8</w:t>
            </w:r>
          </w:p>
        </w:tc>
        <w:tc>
          <w:tcPr>
            <w:tcW w:w="1735" w:type="dxa"/>
            <w:vAlign w:val="center"/>
          </w:tcPr>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支持中小企业发展</w:t>
            </w:r>
          </w:p>
        </w:tc>
        <w:tc>
          <w:tcPr>
            <w:tcW w:w="6057" w:type="dxa"/>
            <w:gridSpan w:val="2"/>
            <w:vAlign w:val="center"/>
          </w:tcPr>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 专门面向中小企业采购项目</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依据本项目规定享受扶持政策获得采购合同的，小微企业不得将合同分包给大中型企业，中型企业不得将合同分包给大型企业。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9</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10</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供应商须提供的其他资料</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供应商应根据采购文件和项目采购需求提供相关资料。</w:t>
            </w:r>
            <w:r>
              <w:rPr>
                <w:rFonts w:hint="eastAsia" w:asciiTheme="minorEastAsia" w:hAnsiTheme="minorEastAsia" w:eastAsiaTheme="minorEastAsia" w:cstheme="minorEastAsia"/>
                <w:color w:val="auto"/>
                <w:highlight w:val="none"/>
                <w:u w:val="single"/>
              </w:rPr>
              <w:t>除采购文件要求必要的原件核对外，对于供应商能够在线提供的材料，供应商可不提供纸质材料。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澄清或者修改时间</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澄清或者修改的内容可能影响响应文件编制的，采购人或者采购代理机构磋商文件要求的提交首次响应文件截止时间至少2个工作日前，在磋商公告发布媒介上发布；不足2个工作</w:t>
            </w:r>
            <w:r>
              <w:rPr>
                <w:rFonts w:hint="eastAsia"/>
                <w:highlight w:val="none"/>
                <w:lang w:val="en-US" w:eastAsia="zh-CN"/>
              </w:rPr>
              <w:t>日</w:t>
            </w:r>
            <w:r>
              <w:rPr>
                <w:rFonts w:hint="eastAsia" w:asciiTheme="minorEastAsia" w:hAnsiTheme="minorEastAsia" w:eastAsiaTheme="minorEastAsia" w:cstheme="minorEastAsia"/>
                <w:color w:val="auto"/>
                <w:highlight w:val="none"/>
                <w:lang w:val="en-US" w:eastAsia="zh-CN"/>
              </w:rPr>
              <w:t>的，采购人或者采购代理机构顺延提交响应文件的截止时间。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递交磋商响应文件的截止时间和地点</w:t>
            </w:r>
          </w:p>
        </w:tc>
        <w:tc>
          <w:tcPr>
            <w:tcW w:w="6057" w:type="dxa"/>
            <w:gridSpan w:val="2"/>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时间：2022年4月2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日10点00分（北京时间）</w:t>
            </w:r>
          </w:p>
          <w:p>
            <w:pPr>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地点：广西科联招标中心有限公司柳州分公司开标室（柳州市城中区东环大道256号万达中心写字楼13-22室）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磋商响应文件开启时间和地点</w:t>
            </w:r>
          </w:p>
        </w:tc>
        <w:tc>
          <w:tcPr>
            <w:tcW w:w="6057" w:type="dxa"/>
            <w:gridSpan w:val="2"/>
            <w:vAlign w:val="center"/>
          </w:tcPr>
          <w:p>
            <w:pPr>
              <w:spacing w:line="38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时间：2022年4月2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日10点00分（北京时间）</w:t>
            </w:r>
            <w:r>
              <w:rPr>
                <w:rFonts w:hint="eastAsia"/>
                <w:color w:val="auto"/>
                <w:highlight w:val="none"/>
                <w:lang w:val="en-US" w:eastAsia="zh-CN"/>
              </w:rPr>
              <w:t>后</w:t>
            </w:r>
          </w:p>
          <w:p>
            <w:pPr>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地点：广西科联招标中心有限公司柳州分公司开标室（柳州市城中区东环大道256号万达中心写字楼13-22室）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rPr>
            </w:pPr>
            <w:r>
              <w:rPr>
                <w:rFonts w:hint="eastAsia" w:asciiTheme="minorEastAsia" w:hAnsiTheme="minorEastAsia" w:eastAsiaTheme="minorEastAsia" w:cstheme="minorEastAsia"/>
                <w:color w:val="auto"/>
                <w:kern w:val="0"/>
                <w:szCs w:val="21"/>
                <w:highlight w:val="none"/>
                <w:lang w:val="en-US" w:eastAsia="zh-CN"/>
              </w:rPr>
              <w:t>14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磋商保证金</w:t>
            </w:r>
          </w:p>
        </w:tc>
        <w:tc>
          <w:tcPr>
            <w:tcW w:w="6057" w:type="dxa"/>
            <w:gridSpan w:val="2"/>
            <w:vAlign w:val="center"/>
          </w:tcPr>
          <w:p>
            <w:pPr>
              <w:spacing w:line="38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52"/>
            </w:r>
            <w:r>
              <w:rPr>
                <w:rFonts w:hint="eastAsia" w:ascii="宋体" w:hAnsi="宋体" w:cs="宋体"/>
                <w:color w:val="auto"/>
                <w:kern w:val="0"/>
                <w:szCs w:val="21"/>
                <w:highlight w:val="none"/>
              </w:rPr>
              <w:t>不要求提供</w:t>
            </w:r>
          </w:p>
          <w:p>
            <w:pPr>
              <w:spacing w:line="380" w:lineRule="exact"/>
              <w:jc w:val="left"/>
              <w:rPr>
                <w:rFonts w:ascii="宋体" w:hAnsi="宋体" w:cs="宋体"/>
                <w:color w:val="auto"/>
                <w:szCs w:val="21"/>
                <w:highlight w:val="none"/>
              </w:rPr>
            </w:pPr>
            <w:r>
              <w:rPr>
                <w:rFonts w:hint="eastAsia" w:ascii="宋体" w:hAnsi="宋体" w:cs="宋体"/>
                <w:color w:val="auto"/>
                <w:kern w:val="0"/>
                <w:szCs w:val="21"/>
                <w:highlight w:val="none"/>
              </w:rPr>
              <w:t>☑要求提供。磋商保证金数额不得超过采购项目预算金额的2%，</w:t>
            </w:r>
            <w:r>
              <w:rPr>
                <w:rFonts w:hint="eastAsia" w:ascii="宋体" w:hAnsi="宋体" w:cs="宋体"/>
                <w:b/>
                <w:color w:val="auto"/>
                <w:kern w:val="0"/>
                <w:szCs w:val="21"/>
                <w:highlight w:val="none"/>
              </w:rPr>
              <w:t>本项目的磋商保证金为</w:t>
            </w:r>
            <w:r>
              <w:rPr>
                <w:rFonts w:hint="eastAsia" w:ascii="宋体" w:hAnsi="宋体" w:cs="宋体"/>
                <w:b/>
                <w:color w:val="auto"/>
                <w:szCs w:val="21"/>
                <w:highlight w:val="none"/>
              </w:rPr>
              <w:t>人民币</w:t>
            </w:r>
            <w:r>
              <w:rPr>
                <w:rFonts w:hint="eastAsia" w:ascii="宋体" w:hAnsi="宋体" w:cs="宋体"/>
                <w:b/>
                <w:color w:val="auto"/>
                <w:szCs w:val="21"/>
                <w:highlight w:val="none"/>
                <w:lang w:val="en-US" w:eastAsia="zh-CN"/>
              </w:rPr>
              <w:t>壹</w:t>
            </w:r>
            <w:r>
              <w:rPr>
                <w:rFonts w:hint="eastAsia" w:ascii="宋体" w:hAnsi="宋体" w:cs="宋体"/>
                <w:b/>
                <w:color w:val="auto"/>
                <w:szCs w:val="21"/>
                <w:highlight w:val="none"/>
              </w:rPr>
              <w:t>仟元整（¥</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000.00）</w:t>
            </w:r>
            <w:r>
              <w:rPr>
                <w:rFonts w:hint="eastAsia" w:ascii="宋体" w:hAnsi="宋体" w:cs="宋体"/>
                <w:b/>
                <w:color w:val="auto"/>
                <w:highlight w:val="none"/>
              </w:rPr>
              <w:t>，</w:t>
            </w:r>
            <w:r>
              <w:rPr>
                <w:rFonts w:hint="eastAsia" w:ascii="宋体" w:hAnsi="宋体" w:cs="宋体"/>
                <w:color w:val="auto"/>
                <w:kern w:val="0"/>
                <w:szCs w:val="21"/>
                <w:highlight w:val="none"/>
              </w:rPr>
              <w:t>提交方式：</w:t>
            </w:r>
            <w:r>
              <w:rPr>
                <w:rFonts w:hint="eastAsia" w:ascii="宋体" w:hAnsi="宋体" w:cs="宋体"/>
                <w:color w:val="auto"/>
                <w:szCs w:val="21"/>
                <w:highlight w:val="none"/>
              </w:rPr>
              <w:t>供应商必须于</w:t>
            </w:r>
            <w:r>
              <w:rPr>
                <w:rFonts w:hint="eastAsia" w:ascii="宋体" w:hAnsi="宋体" w:cs="宋体"/>
                <w:color w:val="auto"/>
                <w:szCs w:val="21"/>
                <w:highlight w:val="none"/>
                <w:lang w:val="en-US" w:eastAsia="zh-CN"/>
              </w:rPr>
              <w:t>首次</w:t>
            </w:r>
            <w:r>
              <w:rPr>
                <w:rFonts w:hint="eastAsia" w:ascii="宋体" w:hAnsi="宋体" w:cs="宋体"/>
                <w:color w:val="auto"/>
                <w:szCs w:val="21"/>
                <w:highlight w:val="none"/>
              </w:rPr>
              <w:t>响应文件递交截止时间前以转账、支票、汇票、本票或者金融机构、担保机构出具的保函等非现金形式提交给采购代理机构。</w:t>
            </w:r>
          </w:p>
          <w:p>
            <w:pPr>
              <w:pStyle w:val="191"/>
              <w:spacing w:line="360" w:lineRule="auto"/>
              <w:ind w:left="495"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开户银行：广西北部湾银行南宁相思湖支行</w:t>
            </w:r>
          </w:p>
          <w:p>
            <w:pPr>
              <w:pStyle w:val="191"/>
              <w:spacing w:line="360" w:lineRule="auto"/>
              <w:ind w:left="495"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pPr>
              <w:pStyle w:val="191"/>
              <w:spacing w:line="360" w:lineRule="auto"/>
              <w:ind w:left="495"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银行账号：8000  5435  9168  889</w:t>
            </w:r>
          </w:p>
          <w:p>
            <w:pPr>
              <w:pStyle w:val="191"/>
              <w:spacing w:line="360" w:lineRule="auto"/>
              <w:ind w:left="495" w:firstLine="0" w:firstLineChars="0"/>
              <w:rPr>
                <w:rFonts w:ascii="宋体" w:hAnsi="宋体" w:cs="宋体"/>
                <w:color w:val="auto"/>
                <w:szCs w:val="21"/>
                <w:highlight w:val="none"/>
              </w:rPr>
            </w:pPr>
            <w:r>
              <w:rPr>
                <w:rFonts w:hint="eastAsia" w:ascii="宋体" w:hAnsi="宋体" w:cs="宋体"/>
                <w:color w:val="auto"/>
                <w:kern w:val="0"/>
                <w:szCs w:val="21"/>
                <w:highlight w:val="none"/>
              </w:rPr>
              <w:t>开户行行号：3136 1101 8066</w:t>
            </w:r>
          </w:p>
          <w:p>
            <w:p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宋体" w:hAnsi="宋体" w:cs="宋体"/>
                <w:b/>
                <w:color w:val="auto"/>
                <w:szCs w:val="21"/>
                <w:highlight w:val="none"/>
              </w:rPr>
              <w:t>注：办理磋商保证金手续时，请务必在银行进账单或电汇单的用途或空白栏上注明“柳州+项目编号” 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磋商响应有效期</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自首次响应文件提交截止之日起60日(日历日)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响应文件的</w:t>
            </w:r>
            <w:r>
              <w:rPr>
                <w:rFonts w:hint="eastAsia" w:asciiTheme="minorEastAsia" w:hAnsiTheme="minorEastAsia" w:eastAsiaTheme="minorEastAsia" w:cstheme="minorEastAsia"/>
                <w:color w:val="auto"/>
                <w:szCs w:val="21"/>
                <w:highlight w:val="none"/>
              </w:rPr>
              <w:t>组成和装订要求</w:t>
            </w:r>
          </w:p>
        </w:tc>
        <w:tc>
          <w:tcPr>
            <w:tcW w:w="6057" w:type="dxa"/>
            <w:gridSpan w:val="2"/>
            <w:vAlign w:val="center"/>
          </w:tcPr>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响应文件组成和装订要求：</w:t>
            </w:r>
          </w:p>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★（1）响应文件的封面注明：响应文件（“正本”或“副本”）、供应商名称、供应商地址、项目名称、项目编号；</w:t>
            </w:r>
          </w:p>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★（2）响应文件数量：</w:t>
            </w:r>
            <w:r>
              <w:rPr>
                <w:rFonts w:hint="eastAsia" w:ascii="宋体" w:hAnsi="宋体" w:cs="宋体"/>
                <w:b/>
                <w:color w:val="auto"/>
                <w:szCs w:val="21"/>
                <w:highlight w:val="none"/>
                <w:u w:val="single"/>
              </w:rPr>
              <w:t>正本 1 份，副本 2 份，电子文件1份(□扫描件，</w:t>
            </w:r>
            <w:r>
              <w:rPr>
                <w:rFonts w:hint="eastAsia" w:ascii="宋体" w:hAnsi="宋体" w:cs="宋体"/>
                <w:b/>
                <w:color w:val="auto"/>
                <w:szCs w:val="21"/>
                <w:highlight w:val="none"/>
                <w:u w:val="single"/>
                <w:lang w:eastAsia="zh-CN"/>
              </w:rPr>
              <w:t>☑</w:t>
            </w:r>
            <w:r>
              <w:rPr>
                <w:rFonts w:hint="eastAsia" w:ascii="宋体" w:hAnsi="宋体" w:cs="宋体"/>
                <w:b/>
                <w:color w:val="auto"/>
                <w:szCs w:val="21"/>
                <w:highlight w:val="none"/>
                <w:u w:val="single"/>
              </w:rPr>
              <w:t>Word，可多选)</w:t>
            </w:r>
            <w:r>
              <w:rPr>
                <w:rFonts w:hint="eastAsia" w:ascii="宋体" w:hAnsi="宋体" w:cs="宋体"/>
                <w:b/>
                <w:color w:val="auto"/>
                <w:szCs w:val="21"/>
                <w:highlight w:val="none"/>
              </w:rPr>
              <w:t>。</w:t>
            </w:r>
          </w:p>
          <w:p>
            <w:pPr>
              <w:autoSpaceDE w:val="0"/>
              <w:autoSpaceDN w:val="0"/>
              <w:snapToGrid w:val="0"/>
              <w:spacing w:line="380" w:lineRule="exact"/>
              <w:textAlignment w:val="bottom"/>
              <w:rPr>
                <w:rFonts w:ascii="宋体" w:hAnsi="宋体" w:cs="宋体"/>
                <w:b/>
                <w:color w:val="auto"/>
                <w:szCs w:val="21"/>
                <w:highlight w:val="none"/>
              </w:rPr>
            </w:pPr>
            <w:r>
              <w:rPr>
                <w:rFonts w:hint="eastAsia" w:ascii="宋体" w:hAnsi="宋体" w:cs="宋体"/>
                <w:b/>
                <w:color w:val="auto"/>
                <w:szCs w:val="21"/>
                <w:highlight w:val="none"/>
              </w:rPr>
              <w:t>★（3）装订要求：所有响应文件必须密封封装在响应（磋商）文件袋或纸箱中（如体积过大可分为几个包装）。</w:t>
            </w:r>
          </w:p>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（4）磋商保证金缴纳证明</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份，密封封装在文件袋中（该文件袋封面上写明项目名称、项目编号、供应商名称、以及“磋商保证金证明”字样），并单独提交。</w:t>
            </w:r>
          </w:p>
          <w:p>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（5）请供应商提前准备《最终报价承诺书》，无需装订，磋商时如有要求再另行单独密封递交至磋商小组（格式详见第五章《响应文件组成》）。</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（6）供应商递交</w:t>
            </w:r>
            <w:r>
              <w:rPr>
                <w:rFonts w:hint="eastAsia" w:ascii="宋体" w:hAnsi="宋体" w:cs="宋体"/>
                <w:color w:val="auto"/>
                <w:szCs w:val="21"/>
                <w:highlight w:val="none"/>
                <w:lang w:val="en-US" w:eastAsia="zh-CN"/>
              </w:rPr>
              <w:t>首次</w:t>
            </w:r>
            <w:r>
              <w:rPr>
                <w:rFonts w:hint="eastAsia" w:ascii="宋体" w:hAnsi="宋体" w:cs="宋体"/>
                <w:color w:val="auto"/>
                <w:szCs w:val="21"/>
                <w:highlight w:val="none"/>
              </w:rPr>
              <w:t>响应文件时，请同时单独递交供应商信息、响应文件签收回执，无需密封包装（格式详见第五章《响应文件组成》）。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响应文件封套上应载明的信息</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___________________(项目名称)响应文件</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在______年____月____日____时____分之前不得启封</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18</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信用查询</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采购人或采购代理机构通过“信用中国”网站(www. creditchina. gov.cn)、中国政府采购网(www.ccgp.gov.cn)查询相关主体信用记录。本次查询的信用记录打印的网页版将留存在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报告中。</w:t>
            </w:r>
            <w:r>
              <w:rPr>
                <w:rFonts w:hint="eastAsia" w:asciiTheme="minorEastAsia" w:hAnsiTheme="minorEastAsia" w:eastAsiaTheme="minorEastAsia" w:cstheme="minorEastAsia"/>
                <w:b/>
                <w:color w:val="auto"/>
                <w:kern w:val="0"/>
                <w:szCs w:val="21"/>
                <w:highlight w:val="none"/>
              </w:rPr>
              <w:t>本项目信用记录查询截止时点为</w:t>
            </w:r>
            <w:r>
              <w:rPr>
                <w:rFonts w:hint="eastAsia" w:asciiTheme="minorEastAsia" w:hAnsiTheme="minorEastAsia" w:eastAsiaTheme="minorEastAsia" w:cstheme="minorEastAsia"/>
                <w:b/>
                <w:color w:val="auto"/>
                <w:kern w:val="0"/>
                <w:szCs w:val="21"/>
                <w:highlight w:val="none"/>
                <w:u w:val="single"/>
                <w:lang w:val="en-US" w:eastAsia="zh-CN"/>
              </w:rPr>
              <w:t>响应</w:t>
            </w:r>
            <w:r>
              <w:rPr>
                <w:rFonts w:hint="eastAsia" w:asciiTheme="minorEastAsia" w:hAnsiTheme="minorEastAsia" w:eastAsiaTheme="minorEastAsia" w:cstheme="minorEastAsia"/>
                <w:b/>
                <w:color w:val="auto"/>
                <w:kern w:val="0"/>
                <w:szCs w:val="21"/>
                <w:highlight w:val="none"/>
                <w:u w:val="single"/>
                <w:lang w:eastAsia="zh-CN"/>
              </w:rPr>
              <w:t>文件开启</w:t>
            </w:r>
            <w:r>
              <w:rPr>
                <w:rFonts w:hint="eastAsia" w:asciiTheme="minorEastAsia" w:hAnsiTheme="minorEastAsia" w:eastAsiaTheme="minorEastAsia" w:cstheme="minorEastAsia"/>
                <w:b/>
                <w:color w:val="auto"/>
                <w:kern w:val="0"/>
                <w:szCs w:val="21"/>
                <w:highlight w:val="none"/>
                <w:u w:val="single"/>
              </w:rPr>
              <w:t>当日。</w:t>
            </w:r>
            <w:r>
              <w:rPr>
                <w:rFonts w:hint="eastAsia" w:asciiTheme="minorEastAsia" w:hAnsiTheme="minorEastAsia" w:eastAsiaTheme="minorEastAsia" w:cstheme="minorEastAsia"/>
                <w:b/>
                <w:color w:val="auto"/>
                <w:kern w:val="0"/>
                <w:szCs w:val="21"/>
                <w:highlight w:val="none"/>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19</w:t>
            </w:r>
          </w:p>
        </w:tc>
        <w:tc>
          <w:tcPr>
            <w:tcW w:w="1735" w:type="dxa"/>
            <w:vAlign w:val="center"/>
          </w:tcPr>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eastAsia="zh-CN"/>
              </w:rPr>
              <w:t>评定成交的标准</w:t>
            </w:r>
          </w:p>
        </w:tc>
        <w:tc>
          <w:tcPr>
            <w:tcW w:w="6057" w:type="dxa"/>
            <w:gridSpan w:val="2"/>
            <w:vAlign w:val="center"/>
          </w:tcPr>
          <w:p>
            <w:pPr>
              <w:pStyle w:val="20"/>
              <w:spacing w:line="380" w:lineRule="exact"/>
              <w:jc w:val="left"/>
              <w:rPr>
                <w:rFonts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1.采购人在评审报告确定的成交候选人名单中按顺序确定成交供应商。</w:t>
            </w:r>
          </w:p>
          <w:p>
            <w:pPr>
              <w:pStyle w:val="20"/>
              <w:spacing w:line="380" w:lineRule="exact"/>
              <w:jc w:val="left"/>
              <w:rPr>
                <w:rFonts w:hAnsi="宋体" w:cs="宋体"/>
                <w:color w:val="auto"/>
                <w:sz w:val="21"/>
                <w:szCs w:val="21"/>
                <w:highlight w:val="none"/>
              </w:rPr>
            </w:pPr>
            <w:r>
              <w:rPr>
                <w:rFonts w:hint="eastAsia" w:hAnsi="宋体" w:cs="宋体"/>
                <w:color w:val="auto"/>
                <w:szCs w:val="21"/>
                <w:highlight w:val="none"/>
                <w:lang w:eastAsia="zh-CN"/>
              </w:rPr>
              <w:t>☑</w:t>
            </w:r>
            <w:r>
              <w:rPr>
                <w:rFonts w:hint="eastAsia" w:hAnsi="宋体" w:cs="宋体"/>
                <w:color w:val="auto"/>
                <w:sz w:val="21"/>
                <w:szCs w:val="21"/>
                <w:highlight w:val="none"/>
              </w:rPr>
              <w:t xml:space="preserve"> 2.成交候选人并列的，按照以下方式确定成交供应商。</w:t>
            </w:r>
          </w:p>
          <w:p>
            <w:pPr>
              <w:pStyle w:val="20"/>
              <w:spacing w:line="380" w:lineRule="exact"/>
              <w:jc w:val="left"/>
              <w:rPr>
                <w:rFonts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①最低评标价法：</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 随机抽取</w:t>
            </w:r>
          </w:p>
          <w:p>
            <w:pPr>
              <w:pStyle w:val="20"/>
              <w:spacing w:line="380" w:lineRule="exact"/>
              <w:jc w:val="left"/>
              <w:rPr>
                <w:rFonts w:hAnsi="宋体" w:cs="宋体"/>
                <w:color w:val="auto"/>
                <w:sz w:val="21"/>
                <w:szCs w:val="21"/>
                <w:highlight w:val="none"/>
              </w:rPr>
            </w:pPr>
            <w:r>
              <w:rPr>
                <w:rFonts w:hint="eastAsia" w:hAnsi="宋体" w:cs="宋体"/>
                <w:color w:val="auto"/>
                <w:sz w:val="21"/>
                <w:szCs w:val="21"/>
                <w:highlight w:val="none"/>
              </w:rPr>
              <w:t>□其他____________________</w:t>
            </w:r>
          </w:p>
          <w:p>
            <w:pPr>
              <w:pStyle w:val="20"/>
              <w:spacing w:line="380" w:lineRule="exact"/>
              <w:jc w:val="left"/>
              <w:rPr>
                <w:rFonts w:hAnsi="宋体" w:cs="宋体"/>
                <w:color w:val="auto"/>
                <w:sz w:val="21"/>
                <w:szCs w:val="21"/>
                <w:highlight w:val="none"/>
              </w:rPr>
            </w:pPr>
            <w:r>
              <w:rPr>
                <w:rFonts w:hint="eastAsia" w:hAnsi="宋体" w:cs="宋体"/>
                <w:color w:val="auto"/>
                <w:szCs w:val="21"/>
                <w:highlight w:val="none"/>
              </w:rPr>
              <w:t>☑</w:t>
            </w:r>
            <w:r>
              <w:rPr>
                <w:rFonts w:hint="eastAsia" w:hAnsi="宋体" w:cs="宋体"/>
                <w:color w:val="auto"/>
                <w:sz w:val="21"/>
                <w:szCs w:val="21"/>
                <w:highlight w:val="none"/>
              </w:rPr>
              <w:t xml:space="preserve"> ②综合评分法：</w:t>
            </w:r>
          </w:p>
          <w:p>
            <w:pPr>
              <w:pStyle w:val="20"/>
              <w:spacing w:line="380" w:lineRule="exact"/>
              <w:jc w:val="left"/>
              <w:rPr>
                <w:rFonts w:hAnsi="宋体" w:cs="宋体"/>
                <w:color w:val="auto"/>
                <w:sz w:val="21"/>
                <w:szCs w:val="21"/>
                <w:highlight w:val="none"/>
              </w:rPr>
            </w:pPr>
            <w:r>
              <w:rPr>
                <w:rFonts w:hint="eastAsia" w:hAnsi="宋体" w:cs="宋体"/>
                <w:color w:val="auto"/>
                <w:sz w:val="21"/>
                <w:szCs w:val="21"/>
                <w:highlight w:val="none"/>
              </w:rPr>
              <w:t>□ 随机抽取</w:t>
            </w:r>
          </w:p>
          <w:p>
            <w:pPr>
              <w:pStyle w:val="20"/>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rPr>
            </w:pPr>
            <w:r>
              <w:rPr>
                <w:rFonts w:hint="eastAsia" w:hAnsi="宋体" w:cs="宋体"/>
                <w:color w:val="auto"/>
                <w:szCs w:val="21"/>
                <w:highlight w:val="none"/>
              </w:rPr>
              <w:t>☑</w:t>
            </w:r>
            <w:r>
              <w:rPr>
                <w:rFonts w:hint="eastAsia" w:hAnsi="宋体" w:cs="宋体"/>
                <w:color w:val="auto"/>
                <w:sz w:val="21"/>
                <w:szCs w:val="21"/>
                <w:highlight w:val="none"/>
              </w:rPr>
              <w:t>其他，</w:t>
            </w:r>
            <w:r>
              <w:rPr>
                <w:rFonts w:hint="eastAsia" w:hAnsi="宋体" w:cs="宋体"/>
                <w:color w:val="auto"/>
                <w:sz w:val="21"/>
                <w:szCs w:val="21"/>
                <w:highlight w:val="none"/>
                <w:u w:val="none"/>
              </w:rPr>
              <w:t>得分相同时，以</w:t>
            </w:r>
            <w:r>
              <w:rPr>
                <w:rFonts w:hint="eastAsia" w:hAnsi="宋体" w:cs="宋体"/>
                <w:color w:val="auto"/>
                <w:sz w:val="21"/>
                <w:szCs w:val="21"/>
                <w:highlight w:val="none"/>
                <w:u w:val="none"/>
                <w:lang w:val="en-US" w:eastAsia="zh-CN"/>
              </w:rPr>
              <w:t>最后</w:t>
            </w:r>
            <w:r>
              <w:rPr>
                <w:rFonts w:hint="eastAsia" w:hAnsi="宋体" w:cs="宋体"/>
                <w:color w:val="auto"/>
                <w:sz w:val="21"/>
                <w:szCs w:val="21"/>
                <w:highlight w:val="none"/>
                <w:u w:val="none"/>
              </w:rPr>
              <w:t>报价由低到高顺序排列；得分相同且</w:t>
            </w:r>
            <w:r>
              <w:rPr>
                <w:rFonts w:hint="eastAsia" w:hAnsi="宋体" w:cs="宋体"/>
                <w:color w:val="auto"/>
                <w:sz w:val="21"/>
                <w:szCs w:val="21"/>
                <w:highlight w:val="none"/>
                <w:u w:val="none"/>
                <w:lang w:val="en-US" w:eastAsia="zh-CN"/>
              </w:rPr>
              <w:t>最后</w:t>
            </w:r>
            <w:r>
              <w:rPr>
                <w:rFonts w:hint="eastAsia" w:hAnsi="宋体" w:cs="宋体"/>
                <w:color w:val="auto"/>
                <w:sz w:val="21"/>
                <w:szCs w:val="21"/>
                <w:highlight w:val="none"/>
                <w:u w:val="none"/>
              </w:rPr>
              <w:t>报价相同的，依次按技术分由高到低、</w:t>
            </w:r>
            <w:r>
              <w:rPr>
                <w:rFonts w:hint="eastAsia"/>
                <w:color w:val="auto"/>
                <w:highlight w:val="none"/>
                <w:lang w:val="en-US" w:eastAsia="zh-CN"/>
              </w:rPr>
              <w:t>商务分</w:t>
            </w:r>
            <w:r>
              <w:rPr>
                <w:rFonts w:hint="eastAsia" w:hAnsi="宋体" w:cs="宋体"/>
                <w:color w:val="auto"/>
                <w:sz w:val="21"/>
                <w:szCs w:val="21"/>
                <w:highlight w:val="none"/>
                <w:u w:val="none"/>
              </w:rPr>
              <w:t>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20</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提供服务的时间、地点、方式、项目服务期限</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提供服务的时间：</w:t>
            </w:r>
            <w:r>
              <w:rPr>
                <w:rFonts w:hint="eastAsia" w:ascii="宋体" w:hAnsi="宋体" w:cs="宋体"/>
                <w:color w:val="auto"/>
                <w:szCs w:val="21"/>
                <w:highlight w:val="none"/>
                <w:lang w:val="en-US" w:eastAsia="zh-CN"/>
              </w:rPr>
              <w:t>一年，自2022年5月1日至2023年4月30日止。</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提供服务的地点：采购人指定地点</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widowControl w:val="0"/>
              <w:kinsoku/>
              <w:wordWrap/>
              <w:overflowPunct/>
              <w:topLinePunct w:val="0"/>
              <w:bidi w:val="0"/>
              <w:adjustRightInd/>
              <w:spacing w:line="380" w:lineRule="exact"/>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提供服务的方式：详见采购需求。</w:t>
            </w:r>
          </w:p>
          <w:p>
            <w:pPr>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项目服务期限：</w:t>
            </w:r>
            <w:r>
              <w:rPr>
                <w:rFonts w:hint="eastAsia" w:ascii="宋体" w:hAnsi="宋体" w:cs="宋体"/>
                <w:color w:val="auto"/>
                <w:szCs w:val="21"/>
                <w:highlight w:val="none"/>
                <w:lang w:val="en-US" w:eastAsia="zh-CN"/>
              </w:rPr>
              <w:t>一年，自2022年5月1日至2023年4月30日止。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21</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采购资金的支付方式和时间</w:t>
            </w:r>
          </w:p>
        </w:tc>
        <w:tc>
          <w:tcPr>
            <w:tcW w:w="6047" w:type="dxa"/>
            <w:vAlign w:val="center"/>
          </w:tcPr>
          <w:p>
            <w:pPr>
              <w:spacing w:line="360" w:lineRule="auto"/>
              <w:rPr>
                <w:rFonts w:hint="eastAsia"/>
                <w:color w:val="auto"/>
                <w:highlight w:val="none"/>
                <w:lang w:val="en-US" w:eastAsia="zh-CN"/>
              </w:rPr>
            </w:pPr>
            <w:r>
              <w:rPr>
                <w:rFonts w:hint="eastAsia"/>
                <w:color w:val="auto"/>
                <w:highlight w:val="none"/>
                <w:lang w:val="en-US" w:eastAsia="zh-CN"/>
              </w:rPr>
              <w:t>1、劳务外包费：成交供应商每月3日前将发票给到采购人，采购人应在收到发票的五个工作日内将上月的劳务外包服务费以转账形式结算给成交供应商</w:t>
            </w:r>
          </w:p>
          <w:p>
            <w:pPr>
              <w:spacing w:line="380" w:lineRule="exact"/>
              <w:rPr>
                <w:rFonts w:hint="eastAsia" w:asciiTheme="minorEastAsia" w:hAnsiTheme="minorEastAsia" w:eastAsiaTheme="minorEastAsia" w:cstheme="minorEastAsia"/>
                <w:bCs/>
                <w:color w:val="auto"/>
                <w:szCs w:val="21"/>
                <w:highlight w:val="none"/>
              </w:rPr>
            </w:pPr>
            <w:r>
              <w:rPr>
                <w:rFonts w:hint="eastAsia"/>
                <w:color w:val="auto"/>
                <w:highlight w:val="none"/>
                <w:lang w:val="en-US" w:eastAsia="zh-CN"/>
              </w:rPr>
              <w:t>2、餐费：参照采购人本系统各局食堂的运转模式，每月上旬采购人根据就餐情况，按本局在编人员的补贴餐费330元/人转给成交供应商，成交供应商应开具发票给采购人，并按市局食堂（总公司）规定的时间内和各食堂进行结清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22</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履约保证金</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不要求提供</w:t>
            </w:r>
          </w:p>
          <w:p>
            <w:pPr>
              <w:pStyle w:val="20"/>
              <w:spacing w:line="360" w:lineRule="exact"/>
              <w:jc w:val="left"/>
              <w:rPr>
                <w:rFonts w:hAnsi="宋体"/>
                <w:color w:val="auto"/>
                <w:szCs w:val="24"/>
                <w:highlight w:val="none"/>
              </w:rPr>
            </w:pPr>
            <w:r>
              <w:rPr>
                <w:rFonts w:hint="eastAsia" w:asciiTheme="minorEastAsia" w:hAnsiTheme="minorEastAsia" w:eastAsiaTheme="minorEastAsia" w:cstheme="minorEastAsia"/>
                <w:color w:val="auto"/>
                <w:sz w:val="21"/>
                <w:szCs w:val="21"/>
                <w:highlight w:val="none"/>
              </w:rPr>
              <w:t>□要求提供，</w:t>
            </w:r>
            <w:r>
              <w:rPr>
                <w:rFonts w:hint="eastAsia" w:hAnsi="宋体" w:cs="Times New Roman"/>
                <w:color w:val="auto"/>
                <w:highlight w:val="none"/>
              </w:rPr>
              <w:t>履约保证金的数额不得超过采购合同金额的</w:t>
            </w:r>
            <w:r>
              <w:rPr>
                <w:rFonts w:hAnsi="宋体" w:cs="Times New Roman"/>
                <w:color w:val="auto"/>
                <w:highlight w:val="none"/>
              </w:rPr>
              <w:t>10%</w:t>
            </w:r>
            <w:r>
              <w:rPr>
                <w:rFonts w:hint="eastAsia" w:hAnsi="宋体" w:cs="Times New Roman"/>
                <w:color w:val="auto"/>
                <w:highlight w:val="none"/>
              </w:rPr>
              <w:t>，本项目履约保证金为合同金额的</w:t>
            </w:r>
            <w:r>
              <w:rPr>
                <w:rFonts w:hint="eastAsia" w:hAnsi="宋体" w:cs="Times New Roman"/>
                <w:color w:val="auto"/>
                <w:highlight w:val="none"/>
                <w:u w:val="single"/>
              </w:rPr>
              <w:t>5</w:t>
            </w:r>
            <w:r>
              <w:rPr>
                <w:rFonts w:hAnsi="宋体" w:cs="Times New Roman"/>
                <w:color w:val="auto"/>
                <w:highlight w:val="none"/>
              </w:rPr>
              <w:t>%</w:t>
            </w:r>
            <w:r>
              <w:rPr>
                <w:rFonts w:hint="eastAsia" w:hAnsi="宋体" w:cs="Times New Roman"/>
                <w:color w:val="auto"/>
                <w:highlight w:val="none"/>
              </w:rPr>
              <w:t>（取整到元），提交方式为支票、汇票、本票或者金融机构、担保机构出具的保函等非现金形式，</w:t>
            </w:r>
            <w:r>
              <w:rPr>
                <w:rFonts w:hint="eastAsia" w:hAnsi="宋体"/>
                <w:color w:val="auto"/>
                <w:szCs w:val="24"/>
                <w:highlight w:val="none"/>
                <w:lang w:val="en-US" w:eastAsia="zh-CN"/>
              </w:rPr>
              <w:t>成交供应商</w:t>
            </w:r>
            <w:r>
              <w:rPr>
                <w:rFonts w:hint="eastAsia" w:hAnsi="宋体"/>
                <w:color w:val="auto"/>
                <w:szCs w:val="24"/>
                <w:highlight w:val="none"/>
              </w:rPr>
              <w:t>在签订合同前应提交履约保证金，否则，不予签订合同。</w:t>
            </w:r>
            <w:r>
              <w:rPr>
                <w:rFonts w:hint="eastAsia" w:hAnsi="宋体" w:cs="Times New Roman"/>
                <w:color w:val="auto"/>
                <w:highlight w:val="none"/>
              </w:rPr>
              <w:t>采用转账、电汇方式的，</w:t>
            </w:r>
            <w:r>
              <w:rPr>
                <w:rFonts w:hAnsi="宋体"/>
                <w:color w:val="auto"/>
                <w:highlight w:val="none"/>
              </w:rPr>
              <w:t>由</w:t>
            </w:r>
            <w:r>
              <w:rPr>
                <w:rFonts w:hint="eastAsia" w:asciiTheme="minorEastAsia" w:hAnsiTheme="minorEastAsia" w:eastAsiaTheme="minorEastAsia" w:cstheme="minorEastAsia"/>
                <w:color w:val="auto"/>
                <w:szCs w:val="21"/>
                <w:highlight w:val="none"/>
              </w:rPr>
              <w:t>成交供应商</w:t>
            </w:r>
            <w:r>
              <w:rPr>
                <w:rFonts w:hAnsi="宋体"/>
                <w:color w:val="auto"/>
                <w:highlight w:val="none"/>
              </w:rPr>
              <w:t>在签订合同前按规定的金额</w:t>
            </w:r>
            <w:r>
              <w:rPr>
                <w:rFonts w:hint="eastAsia" w:hAnsi="宋体"/>
                <w:color w:val="auto"/>
                <w:highlight w:val="none"/>
              </w:rPr>
              <w:t>从</w:t>
            </w:r>
            <w:r>
              <w:rPr>
                <w:rFonts w:hint="eastAsia" w:asciiTheme="minorEastAsia" w:hAnsiTheme="minorEastAsia" w:eastAsiaTheme="minorEastAsia" w:cstheme="minorEastAsia"/>
                <w:color w:val="auto"/>
                <w:szCs w:val="21"/>
                <w:highlight w:val="none"/>
              </w:rPr>
              <w:t>成交供应商</w:t>
            </w:r>
            <w:r>
              <w:rPr>
                <w:rFonts w:hint="eastAsia" w:hAnsi="宋体"/>
                <w:color w:val="auto"/>
                <w:highlight w:val="none"/>
              </w:rPr>
              <w:t>银行账户</w:t>
            </w:r>
            <w:r>
              <w:rPr>
                <w:rFonts w:hAnsi="宋体"/>
                <w:color w:val="auto"/>
                <w:highlight w:val="none"/>
              </w:rPr>
              <w:t>直接缴入</w:t>
            </w:r>
            <w:r>
              <w:rPr>
                <w:rFonts w:hint="eastAsia" w:hAnsi="宋体"/>
                <w:color w:val="auto"/>
                <w:highlight w:val="none"/>
              </w:rPr>
              <w:t>采购人</w:t>
            </w:r>
            <w:r>
              <w:rPr>
                <w:rFonts w:hAnsi="宋体"/>
                <w:color w:val="auto"/>
                <w:highlight w:val="none"/>
              </w:rPr>
              <w:t>账户。</w:t>
            </w:r>
          </w:p>
          <w:p>
            <w:pPr>
              <w:spacing w:line="360" w:lineRule="exact"/>
              <w:rPr>
                <w:rFonts w:hint="eastAsia"/>
                <w:color w:val="auto"/>
                <w:highlight w:val="none"/>
              </w:rPr>
            </w:pPr>
            <w:r>
              <w:rPr>
                <w:rFonts w:hint="eastAsia" w:cs="宋体"/>
                <w:color w:val="auto"/>
                <w:highlight w:val="none"/>
                <w:lang w:eastAsia="zh-CN"/>
              </w:rPr>
              <w:t>项目验收合格的</w:t>
            </w:r>
            <w:r>
              <w:rPr>
                <w:rFonts w:hint="eastAsia" w:cs="宋体"/>
                <w:color w:val="auto"/>
                <w:highlight w:val="none"/>
              </w:rPr>
              <w:t>，采购人在收到</w:t>
            </w:r>
            <w:r>
              <w:rPr>
                <w:rFonts w:hint="eastAsia" w:asciiTheme="minorEastAsia" w:hAnsiTheme="minorEastAsia" w:eastAsiaTheme="minorEastAsia" w:cstheme="minorEastAsia"/>
                <w:color w:val="auto"/>
                <w:szCs w:val="21"/>
                <w:highlight w:val="none"/>
              </w:rPr>
              <w:t>成交供应商</w:t>
            </w:r>
            <w:r>
              <w:rPr>
                <w:rFonts w:hint="eastAsia" w:cs="宋体"/>
                <w:color w:val="auto"/>
                <w:highlight w:val="none"/>
              </w:rPr>
              <w:t>提出申请的30日内无息返还</w:t>
            </w:r>
            <w:r>
              <w:rPr>
                <w:rFonts w:hint="eastAsia" w:hAnsi="宋体"/>
                <w:color w:val="auto"/>
                <w:highlight w:val="none"/>
              </w:rPr>
              <w:t>履约保证金</w:t>
            </w:r>
            <w:r>
              <w:rPr>
                <w:rFonts w:hint="eastAsia" w:cs="宋体"/>
                <w:color w:val="auto"/>
                <w:highlight w:val="none"/>
              </w:rPr>
              <w:t>；</w:t>
            </w:r>
            <w:r>
              <w:rPr>
                <w:rFonts w:hint="eastAsia"/>
                <w:color w:val="auto"/>
                <w:highlight w:val="none"/>
              </w:rPr>
              <w:t>采购人如逾期退还</w:t>
            </w:r>
            <w:r>
              <w:rPr>
                <w:rFonts w:hint="eastAsia" w:hAnsi="宋体"/>
                <w:color w:val="auto"/>
                <w:highlight w:val="none"/>
              </w:rPr>
              <w:t>履约保证金</w:t>
            </w:r>
            <w:r>
              <w:rPr>
                <w:rFonts w:hint="eastAsia"/>
                <w:color w:val="auto"/>
                <w:highlight w:val="none"/>
              </w:rPr>
              <w:t>，每逾期一天，可按应退款项的</w:t>
            </w:r>
            <w:r>
              <w:rPr>
                <w:rFonts w:ascii="Arial" w:hAnsi="Arial" w:cs="Arial"/>
                <w:color w:val="auto"/>
                <w:highlight w:val="none"/>
                <w:shd w:val="clear" w:color="auto" w:fill="FFFFFF"/>
              </w:rPr>
              <w:t>银行同期存款利息</w:t>
            </w:r>
            <w:r>
              <w:rPr>
                <w:rFonts w:hint="eastAsia" w:hAnsi="宋体"/>
                <w:color w:val="auto"/>
                <w:highlight w:val="none"/>
              </w:rPr>
              <w:t>计算违约金</w:t>
            </w:r>
            <w:r>
              <w:rPr>
                <w:rFonts w:hint="eastAsia"/>
                <w:color w:val="auto"/>
                <w:highlight w:val="none"/>
              </w:rPr>
              <w:t>；</w:t>
            </w:r>
            <w:r>
              <w:rPr>
                <w:rFonts w:hint="eastAsia" w:cs="宋体"/>
                <w:color w:val="auto"/>
                <w:highlight w:val="none"/>
                <w:lang w:eastAsia="zh-CN"/>
              </w:rPr>
              <w:t>项目验收不合格的</w:t>
            </w:r>
            <w:r>
              <w:rPr>
                <w:rFonts w:hint="eastAsia" w:cs="宋体"/>
                <w:color w:val="auto"/>
                <w:highlight w:val="none"/>
              </w:rPr>
              <w:t>，</w:t>
            </w:r>
            <w:r>
              <w:rPr>
                <w:rFonts w:hint="eastAsia" w:hAnsi="宋体"/>
                <w:color w:val="auto"/>
                <w:highlight w:val="none"/>
              </w:rPr>
              <w:t>履约保证金</w:t>
            </w:r>
            <w:r>
              <w:rPr>
                <w:rFonts w:hint="eastAsia"/>
                <w:color w:val="auto"/>
                <w:highlight w:val="none"/>
              </w:rPr>
              <w:t>不予退还。</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收款人户名：</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23</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采购代理费</w:t>
            </w:r>
          </w:p>
        </w:tc>
        <w:tc>
          <w:tcPr>
            <w:tcW w:w="6047" w:type="dxa"/>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采购代理费</w:t>
            </w:r>
            <w:r>
              <w:rPr>
                <w:rFonts w:hint="eastAsia" w:asciiTheme="minorEastAsia" w:hAnsiTheme="minorEastAsia" w:eastAsiaTheme="minorEastAsia" w:cstheme="minorEastAsia"/>
                <w:color w:val="auto"/>
                <w:szCs w:val="21"/>
                <w:highlight w:val="none"/>
              </w:rPr>
              <w:t>收费标准：</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按国家发展计划委员会计价格〔2002〕1980号《招标代理服务费管理暂行办法》收费标准及发改价格〔2011〕534号文的规定的基准价下浮20%收取，向成交供应商收取代理服务费用（以下费率未下浮20%）。</w:t>
            </w:r>
          </w:p>
          <w:tbl>
            <w:tblPr>
              <w:tblStyle w:val="42"/>
              <w:tblpPr w:leftFromText="180" w:rightFromText="180" w:vertAnchor="text" w:horzAnchor="page" w:tblpX="166" w:tblpY="74"/>
              <w:tblOverlap w:val="never"/>
              <w:tblW w:w="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54" w:type="dxa"/>
                  <w:tcBorders>
                    <w:tl2br w:val="single" w:color="auto" w:sz="4" w:space="0"/>
                  </w:tcBorders>
                </w:tcPr>
                <w:p>
                  <w:pPr>
                    <w:keepNext w:val="0"/>
                    <w:keepLines w:val="0"/>
                    <w:pageBreakBefore w:val="0"/>
                    <w:widowControl w:val="0"/>
                    <w:kinsoku/>
                    <w:wordWrap/>
                    <w:overflowPunct/>
                    <w:topLinePunct w:val="0"/>
                    <w:bidi w:val="0"/>
                    <w:adjustRightInd/>
                    <w:spacing w:line="380" w:lineRule="exact"/>
                    <w:ind w:left="1365" w:hanging="1365" w:hangingChars="6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费率</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成交</w:t>
                  </w:r>
                  <w:r>
                    <w:rPr>
                      <w:rFonts w:hint="eastAsia" w:asciiTheme="minorEastAsia" w:hAnsiTheme="minorEastAsia" w:eastAsiaTheme="minorEastAsia" w:cstheme="minorEastAsia"/>
                      <w:color w:val="auto"/>
                      <w:kern w:val="0"/>
                      <w:highlight w:val="none"/>
                    </w:rPr>
                    <w:t>金额</w:t>
                  </w:r>
                </w:p>
              </w:tc>
              <w:tc>
                <w:tcPr>
                  <w:tcW w:w="915" w:type="dxa"/>
                  <w:vAlign w:val="center"/>
                </w:tcPr>
                <w:p>
                  <w:pPr>
                    <w:keepNext w:val="0"/>
                    <w:keepLines w:val="0"/>
                    <w:pageBreakBefore w:val="0"/>
                    <w:widowControl w:val="0"/>
                    <w:kinsoku/>
                    <w:wordWrap/>
                    <w:overflowPunct/>
                    <w:topLinePunct w:val="0"/>
                    <w:bidi w:val="0"/>
                    <w:adjustRightInd/>
                    <w:spacing w:line="380" w:lineRule="exact"/>
                    <w:ind w:firstLine="105" w:firstLineChars="50"/>
                    <w:jc w:val="center"/>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货物</w:t>
                  </w:r>
                  <w:r>
                    <w:rPr>
                      <w:rFonts w:hint="eastAsia" w:asciiTheme="minorEastAsia" w:hAnsiTheme="minorEastAsia" w:eastAsiaTheme="minorEastAsia" w:cstheme="minorEastAsia"/>
                      <w:color w:val="auto"/>
                      <w:kern w:val="0"/>
                      <w:highlight w:val="none"/>
                      <w:lang w:eastAsia="zh-CN"/>
                    </w:rPr>
                    <w:t>采购</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服务</w:t>
                  </w:r>
                  <w:r>
                    <w:rPr>
                      <w:rFonts w:hint="eastAsia" w:asciiTheme="minorEastAsia" w:hAnsiTheme="minorEastAsia" w:eastAsiaTheme="minorEastAsia" w:cstheme="minorEastAsia"/>
                      <w:color w:val="auto"/>
                      <w:kern w:val="0"/>
                      <w:highlight w:val="none"/>
                      <w:lang w:eastAsia="zh-CN"/>
                    </w:rPr>
                    <w:t>采购</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工程</w:t>
                  </w:r>
                  <w:r>
                    <w:rPr>
                      <w:rFonts w:hint="eastAsia" w:asciiTheme="minorEastAsia" w:hAnsiTheme="minorEastAsia" w:eastAsiaTheme="minorEastAsia" w:cstheme="minorEastAsia"/>
                      <w:color w:val="auto"/>
                      <w:kern w:val="0"/>
                      <w:highlight w:val="non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100万元以下</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100～500万元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0.8%</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500～1000万元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0.8%</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0.45%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1000～5000万元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0.25%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5000万元～1亿元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0.25%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0.1%</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0.05%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5～10亿元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0.035%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0.035%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0.035%</w:t>
                  </w:r>
                </w:p>
              </w:tc>
            </w:tr>
          </w:tbl>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lang w:eastAsia="zh-CN"/>
              </w:rPr>
              <w:t>采购代理费</w:t>
            </w:r>
            <w:r>
              <w:rPr>
                <w:rFonts w:hint="eastAsia" w:asciiTheme="minorEastAsia" w:hAnsiTheme="minorEastAsia" w:eastAsiaTheme="minorEastAsia" w:cstheme="minorEastAsia"/>
                <w:color w:val="auto"/>
                <w:szCs w:val="21"/>
                <w:highlight w:val="none"/>
              </w:rPr>
              <w:t>收费按差额定率累进法计算。例如：某工程招标代理业务</w:t>
            </w:r>
            <w:r>
              <w:rPr>
                <w:rFonts w:hint="eastAsia" w:asciiTheme="minorEastAsia" w:hAnsiTheme="minorEastAsia" w:eastAsiaTheme="minorEastAsia" w:cstheme="minorEastAsia"/>
                <w:color w:val="auto"/>
                <w:szCs w:val="21"/>
                <w:highlight w:val="none"/>
                <w:lang w:eastAsia="zh-CN"/>
              </w:rPr>
              <w:t>成交</w:t>
            </w:r>
            <w:r>
              <w:rPr>
                <w:rFonts w:hint="eastAsia" w:asciiTheme="minorEastAsia" w:hAnsiTheme="minorEastAsia" w:eastAsiaTheme="minorEastAsia" w:cstheme="minorEastAsia"/>
                <w:color w:val="auto"/>
                <w:szCs w:val="21"/>
                <w:highlight w:val="none"/>
              </w:rPr>
              <w:t>金额为6000万元，计算</w:t>
            </w:r>
            <w:r>
              <w:rPr>
                <w:rFonts w:hint="eastAsia" w:asciiTheme="minorEastAsia" w:hAnsiTheme="minorEastAsia" w:eastAsiaTheme="minorEastAsia" w:cstheme="minorEastAsia"/>
                <w:color w:val="auto"/>
                <w:szCs w:val="21"/>
                <w:highlight w:val="none"/>
                <w:lang w:eastAsia="zh-CN"/>
              </w:rPr>
              <w:t>采购代理费</w:t>
            </w:r>
            <w:r>
              <w:rPr>
                <w:rFonts w:hint="eastAsia" w:asciiTheme="minorEastAsia" w:hAnsiTheme="minorEastAsia" w:eastAsiaTheme="minorEastAsia" w:cstheme="minorEastAsia"/>
                <w:color w:val="auto"/>
                <w:szCs w:val="21"/>
                <w:highlight w:val="none"/>
              </w:rPr>
              <w:t>收费额如下：</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100万元×1.0%=1万元</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（500-100）万元×0.7%=2.8万元</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（1000-500）万元×0.55%=2.75万元</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（5000-1000）万元×0.35%=14万元</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（6000-5000）万元×0.2%=2万元</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合计收费=1+2.8+2.75+14+2=22.55（万元）</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（2）采购代理费汇到如下指定账户：</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开户名称：广西科联招标中心有限公司柳州分公司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开户银行：中国建设银行股份有限公司柳州文昌路支行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银行账号：45050162524000000145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24</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专用章、业务专用章等其它形式印章均不能代替公章。</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2、本磋商文件中描述供应商的“签字”是指供应商的</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或被授权人亲自在磋商文件规定签署处亲笔写上个人的名字的行为，私章、签字章、印鉴、影印等其它形式均不能代替亲笔签字。</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成交供应商享受中小企业扶持政策的，采购人、采购代理机构应当随成交结果公开成交供应商的《中小企业声明函》。</w:t>
            </w:r>
          </w:p>
          <w:p>
            <w:pPr>
              <w:spacing w:line="38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成交供应商为残疾人福利性单位的，采购人或者其委托的采购代理机构应当随成交结果同时公告其《残疾人福利性单位声明函》，接受社会监督。</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5、递交质疑函的联系事项：</w:t>
            </w:r>
          </w:p>
          <w:p>
            <w:pPr>
              <w:spacing w:line="276" w:lineRule="auto"/>
              <w:rPr>
                <w:rFonts w:ascii="宋体" w:hAnsi="宋体" w:cs="宋体"/>
                <w:color w:val="auto"/>
                <w:szCs w:val="21"/>
                <w:highlight w:val="none"/>
              </w:rPr>
            </w:pPr>
            <w:r>
              <w:rPr>
                <w:rFonts w:hint="eastAsia" w:ascii="宋体" w:hAnsi="宋体" w:cs="宋体"/>
                <w:color w:val="auto"/>
                <w:szCs w:val="21"/>
                <w:highlight w:val="none"/>
              </w:rPr>
              <w:t>广西科联招标中心有限公司柳州分公司</w:t>
            </w:r>
          </w:p>
          <w:p>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联系电话：0772-2995575 </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lang w:eastAsia="zh-CN"/>
              </w:rPr>
            </w:pPr>
            <w:r>
              <w:rPr>
                <w:rFonts w:hint="eastAsia" w:ascii="宋体" w:hAnsi="宋体" w:cs="宋体"/>
                <w:color w:val="auto"/>
                <w:szCs w:val="21"/>
                <w:highlight w:val="none"/>
              </w:rPr>
              <w:t>地址：柳州市城中区东环大道256号万达中心写字楼13-22室</w:t>
            </w:r>
          </w:p>
        </w:tc>
      </w:tr>
    </w:tbl>
    <w:p>
      <w:pPr>
        <w:ind w:firstLine="420" w:firstLineChars="200"/>
        <w:rPr>
          <w:rFonts w:hint="eastAsia" w:asciiTheme="minorEastAsia" w:hAnsiTheme="minorEastAsia" w:eastAsiaTheme="minorEastAsia" w:cstheme="minorEastAsia"/>
          <w:color w:val="auto"/>
          <w:kern w:val="0"/>
          <w:szCs w:val="21"/>
          <w:highlight w:val="none"/>
        </w:rPr>
      </w:pPr>
    </w:p>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8"/>
          <w:szCs w:val="21"/>
          <w:highlight w:val="none"/>
        </w:rPr>
      </w:pPr>
      <w:r>
        <w:rPr>
          <w:rFonts w:hint="eastAsia" w:asciiTheme="minorEastAsia" w:hAnsiTheme="minorEastAsia" w:eastAsiaTheme="minorEastAsia" w:cstheme="minorEastAsia"/>
          <w:b/>
          <w:bCs/>
          <w:color w:val="auto"/>
          <w:kern w:val="0"/>
          <w:sz w:val="28"/>
          <w:szCs w:val="21"/>
          <w:highlight w:val="none"/>
        </w:rPr>
        <w:br w:type="page"/>
      </w:r>
      <w:r>
        <w:rPr>
          <w:rFonts w:hint="eastAsia" w:asciiTheme="minorEastAsia" w:hAnsiTheme="minorEastAsia" w:eastAsiaTheme="minorEastAsia" w:cstheme="minorEastAsia"/>
          <w:b/>
          <w:bCs/>
          <w:color w:val="auto"/>
          <w:kern w:val="0"/>
          <w:sz w:val="28"/>
          <w:szCs w:val="21"/>
          <w:highlight w:val="none"/>
        </w:rPr>
        <w:t>磋商须知正文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1.定义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　“采购人”是指依法进行</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的国家机关、事业单位、团体组织。本次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的采购人名称、地址、电话、联系人见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　“采购代理机构”是指接受采购人委托，代理采购项目的集中采购机构和其他采购代理机构。本次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的采购代理机构名称、地址、电话、联系人见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　“供应商”是指响应磋商文件要求、参加磋商采购的法人、其他组织或者自然人。本次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项目邀请的供应商通过</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所述方式产生。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　“磋商小组”</w:t>
      </w:r>
      <w:r>
        <w:rPr>
          <w:rFonts w:hint="eastAsia" w:asciiTheme="minorEastAsia" w:hAnsiTheme="minorEastAsia" w:eastAsiaTheme="minorEastAsia" w:cstheme="minorEastAsia"/>
          <w:color w:val="auto"/>
          <w:kern w:val="0"/>
          <w:szCs w:val="21"/>
          <w:highlight w:val="none"/>
          <w:lang w:eastAsia="zh-CN"/>
        </w:rPr>
        <w:t>由</w:t>
      </w:r>
      <w:r>
        <w:rPr>
          <w:rFonts w:hint="eastAsia" w:asciiTheme="minorEastAsia" w:hAnsiTheme="minorEastAsia" w:eastAsiaTheme="minorEastAsia" w:cstheme="minorEastAsia"/>
          <w:color w:val="auto"/>
          <w:kern w:val="0"/>
          <w:szCs w:val="21"/>
          <w:highlight w:val="none"/>
        </w:rPr>
        <w:t>3人以上单数的磋商成员</w:t>
      </w:r>
      <w:r>
        <w:rPr>
          <w:rFonts w:hint="eastAsia" w:asciiTheme="minorEastAsia" w:hAnsiTheme="minorEastAsia" w:eastAsiaTheme="minorEastAsia" w:cstheme="minorEastAsia"/>
          <w:color w:val="auto"/>
          <w:kern w:val="0"/>
          <w:szCs w:val="21"/>
          <w:highlight w:val="none"/>
          <w:lang w:eastAsia="zh-CN"/>
        </w:rPr>
        <w:t>组建</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“货物”是指各种形态和种类的物品，包括原材料、燃料、设备、产品等。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“服务”是指除货物和工程以外的其他</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对象。</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2.采购项目预算</w:t>
      </w:r>
      <w:r>
        <w:rPr>
          <w:rFonts w:hint="eastAsia" w:asciiTheme="minorEastAsia" w:hAnsiTheme="minorEastAsia" w:eastAsiaTheme="minorEastAsia" w:cstheme="minorEastAsia"/>
          <w:color w:val="auto"/>
          <w:kern w:val="0"/>
          <w:szCs w:val="21"/>
          <w:highlight w:val="none"/>
          <w:lang w:eastAsia="zh-CN"/>
        </w:rPr>
        <w:t>及最高限价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　本项目采购资金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预算金额见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pStyle w:val="2"/>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 xml:space="preserve">2.2  </w:t>
      </w:r>
      <w:r>
        <w:rPr>
          <w:rFonts w:hint="eastAsia" w:ascii="Times New Roman" w:hAnsi="Times New Roman"/>
          <w:color w:val="auto"/>
          <w:highlight w:val="none"/>
        </w:rPr>
        <w:t>本项目最高限价要求见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★3.供应商的资格要求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供应商应当符合</w:t>
      </w:r>
      <w:r>
        <w:rPr>
          <w:rFonts w:hint="eastAsia" w:asciiTheme="minorEastAsia" w:hAnsiTheme="minorEastAsia" w:eastAsiaTheme="minorEastAsia" w:cstheme="minorEastAsia"/>
          <w:b/>
          <w:bCs/>
          <w:color w:val="auto"/>
          <w:szCs w:val="21"/>
          <w:highlight w:val="none"/>
        </w:rPr>
        <w:t>磋商须知前附表</w:t>
      </w:r>
      <w:r>
        <w:rPr>
          <w:rFonts w:hint="eastAsia" w:asciiTheme="minorEastAsia" w:hAnsiTheme="minorEastAsia" w:eastAsiaTheme="minorEastAsia" w:cstheme="minorEastAsia"/>
          <w:color w:val="auto"/>
          <w:szCs w:val="21"/>
          <w:highlight w:val="none"/>
        </w:rPr>
        <w:t>中规定的下列资格条件要求：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　</w:t>
      </w:r>
      <w:r>
        <w:rPr>
          <w:rFonts w:hint="eastAsia"/>
          <w:color w:val="auto"/>
          <w:highlight w:val="none"/>
        </w:rPr>
        <w:t>供应商参加本采购活动应当具备下列条件</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(1)具有独立承担民事责任的能力；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(2)具有良好的商业信誉和健全的财务会计制度；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(3)具有履行合同所必需的设备和专业技术能力；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(4)有依法缴纳税收和社会保障资金的良好记录；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(5)参加采购活动前三年内在经营活动中没有重大违法记录；</w:t>
      </w:r>
    </w:p>
    <w:p>
      <w:pPr>
        <w:spacing w:line="360" w:lineRule="auto"/>
        <w:ind w:firstLine="420" w:firstLine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bCs/>
          <w:color w:val="auto"/>
          <w:szCs w:val="21"/>
          <w:highlight w:val="none"/>
          <w:lang w:eastAsia="zh-CN"/>
        </w:rPr>
        <w:t>法律、行政法规规定的其他条件。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　其他特定资格条件。(详见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　供应商存在下列情形之一的不得参加磋商：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　单位负责人为同一人或者存在直接控股、管理关系的不同供应商，不得参加同一合同项下的</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活动。为采购项目提供整体设计、规范编制或者项目管理、监理、检测等服务的供应商，不得再参加该采购项目的其他采购活动。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4.参与磋商的费用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4.1　供应商应自行承担所有</w:t>
      </w:r>
      <w:r>
        <w:rPr>
          <w:rFonts w:hint="eastAsia" w:asciiTheme="minorEastAsia" w:hAnsiTheme="minorEastAsia" w:eastAsiaTheme="minorEastAsia" w:cstheme="minorEastAsia"/>
          <w:color w:val="auto"/>
          <w:kern w:val="0"/>
          <w:szCs w:val="21"/>
          <w:highlight w:val="none"/>
          <w:lang w:eastAsia="zh-CN"/>
        </w:rPr>
        <w:t>参与</w:t>
      </w:r>
      <w:r>
        <w:rPr>
          <w:rFonts w:hint="eastAsia" w:asciiTheme="minorEastAsia" w:hAnsiTheme="minorEastAsia" w:eastAsiaTheme="minorEastAsia" w:cstheme="minorEastAsia"/>
          <w:color w:val="auto"/>
          <w:kern w:val="0"/>
          <w:szCs w:val="21"/>
          <w:highlight w:val="none"/>
        </w:rPr>
        <w:t>磋商的</w:t>
      </w:r>
      <w:r>
        <w:rPr>
          <w:rFonts w:hint="eastAsia" w:asciiTheme="minorEastAsia" w:hAnsiTheme="minorEastAsia" w:eastAsiaTheme="minorEastAsia" w:cstheme="minorEastAsia"/>
          <w:color w:val="auto"/>
          <w:kern w:val="0"/>
          <w:szCs w:val="21"/>
          <w:highlight w:val="none"/>
          <w:lang w:eastAsia="zh-CN"/>
        </w:rPr>
        <w:t>相关</w:t>
      </w:r>
      <w:r>
        <w:rPr>
          <w:rFonts w:hint="eastAsia" w:asciiTheme="minorEastAsia" w:hAnsiTheme="minorEastAsia" w:eastAsiaTheme="minorEastAsia" w:cstheme="minorEastAsia"/>
          <w:color w:val="auto"/>
          <w:kern w:val="0"/>
          <w:szCs w:val="21"/>
          <w:highlight w:val="none"/>
        </w:rPr>
        <w:t>费用</w:t>
      </w:r>
      <w:r>
        <w:rPr>
          <w:rFonts w:hint="eastAsia" w:asciiTheme="minorEastAsia" w:hAnsiTheme="minorEastAsia" w:eastAsiaTheme="minorEastAsia" w:cstheme="minorEastAsia"/>
          <w:color w:val="auto"/>
          <w:kern w:val="0"/>
          <w:szCs w:val="21"/>
          <w:highlight w:val="none"/>
          <w:lang w:eastAsia="zh-CN"/>
        </w:rPr>
        <w:t>，不论磋商的结果如何，采购人或采购代理机构均无义务和责任承担这些费用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5.授权委托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供应商代表不是供应商</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的，应</w:t>
      </w:r>
      <w:r>
        <w:rPr>
          <w:rFonts w:hint="eastAsia" w:asciiTheme="minorEastAsia" w:hAnsiTheme="minorEastAsia" w:eastAsiaTheme="minorEastAsia" w:cstheme="minorEastAsia"/>
          <w:color w:val="auto"/>
          <w:kern w:val="0"/>
          <w:szCs w:val="21"/>
          <w:highlight w:val="none"/>
          <w:lang w:eastAsia="zh-CN"/>
        </w:rPr>
        <w:t>当</w:t>
      </w:r>
      <w:r>
        <w:rPr>
          <w:rFonts w:hint="eastAsia" w:asciiTheme="minorEastAsia" w:hAnsiTheme="minorEastAsia" w:eastAsiaTheme="minorEastAsia" w:cstheme="minorEastAsia"/>
          <w:color w:val="auto"/>
          <w:kern w:val="0"/>
          <w:szCs w:val="21"/>
          <w:highlight w:val="none"/>
        </w:rPr>
        <w:t>持有</w:t>
      </w:r>
      <w:r>
        <w:rPr>
          <w:rFonts w:hint="eastAsia" w:asciiTheme="minorEastAsia" w:hAnsiTheme="minorEastAsia" w:eastAsiaTheme="minorEastAsia" w:cstheme="minorEastAsia"/>
          <w:color w:val="auto"/>
          <w:kern w:val="0"/>
          <w:szCs w:val="21"/>
          <w:highlight w:val="none"/>
          <w:lang w:eastAsia="zh-CN"/>
        </w:rPr>
        <w:t>法定代表人（负责人）身份证复印件和授权</w:t>
      </w:r>
      <w:r>
        <w:rPr>
          <w:rFonts w:hint="eastAsia" w:asciiTheme="minorEastAsia" w:hAnsiTheme="minorEastAsia" w:eastAsiaTheme="minorEastAsia" w:cstheme="minorEastAsia"/>
          <w:color w:val="auto"/>
          <w:kern w:val="0"/>
          <w:szCs w:val="21"/>
          <w:highlight w:val="none"/>
        </w:rPr>
        <w:t>授权书，</w:t>
      </w:r>
      <w:r>
        <w:rPr>
          <w:rFonts w:hint="eastAsia" w:asciiTheme="minorEastAsia" w:hAnsiTheme="minorEastAsia" w:eastAsiaTheme="minorEastAsia" w:cstheme="minorEastAsia"/>
          <w:color w:val="auto"/>
          <w:kern w:val="0"/>
          <w:szCs w:val="21"/>
          <w:highlight w:val="none"/>
          <w:lang w:eastAsia="zh-CN"/>
        </w:rPr>
        <w:t>同时提供供应商代表的身份证原件及复印件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6.联合体</w:t>
      </w:r>
      <w:r>
        <w:rPr>
          <w:rFonts w:hint="eastAsia" w:asciiTheme="minorEastAsia" w:hAnsiTheme="minorEastAsia" w:eastAsiaTheme="minorEastAsia" w:cstheme="minorEastAsia"/>
          <w:color w:val="auto"/>
          <w:kern w:val="0"/>
          <w:szCs w:val="21"/>
          <w:highlight w:val="none"/>
          <w:lang w:val="en-US" w:eastAsia="zh-CN"/>
        </w:rPr>
        <w:t>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　本项目是否接受联合体</w:t>
      </w:r>
      <w:r>
        <w:rPr>
          <w:rFonts w:hint="eastAsia" w:asciiTheme="minorEastAsia" w:hAnsiTheme="minorEastAsia" w:eastAsiaTheme="minorEastAsia" w:cstheme="minorEastAsia"/>
          <w:color w:val="auto"/>
          <w:kern w:val="0"/>
          <w:szCs w:val="21"/>
          <w:highlight w:val="none"/>
          <w:lang w:val="en-US" w:eastAsia="zh-CN"/>
        </w:rPr>
        <w:t>形式</w:t>
      </w:r>
      <w:r>
        <w:rPr>
          <w:rFonts w:hint="eastAsia" w:asciiTheme="minorEastAsia" w:hAnsiTheme="minorEastAsia" w:eastAsiaTheme="minorEastAsia" w:cstheme="minorEastAsia"/>
          <w:color w:val="auto"/>
          <w:kern w:val="0"/>
          <w:szCs w:val="21"/>
          <w:highlight w:val="none"/>
        </w:rPr>
        <w:t>参与及相关要求见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6.2　如果本项目接受联合体磋商的，应遵守以下规定：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(1)联合体各方必须签订联合体协议书，明确联合体牵头人和各方权利、义务及分工、合同工作量比例；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(2)联合体各方均应当符合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规定的供应商基本资格条件；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(3)除另有规定</w:t>
      </w:r>
      <w:r>
        <w:rPr>
          <w:rFonts w:hint="eastAsia" w:asciiTheme="minorEastAsia" w:hAnsiTheme="minorEastAsia" w:eastAsiaTheme="minorEastAsia" w:cstheme="minorEastAsia"/>
          <w:color w:val="auto"/>
          <w:kern w:val="0"/>
          <w:szCs w:val="21"/>
          <w:highlight w:val="none"/>
          <w:lang w:eastAsia="zh-CN"/>
        </w:rPr>
        <w:t>外</w:t>
      </w:r>
      <w:r>
        <w:rPr>
          <w:rFonts w:hint="eastAsia" w:asciiTheme="minorEastAsia" w:hAnsiTheme="minorEastAsia" w:eastAsiaTheme="minorEastAsia" w:cstheme="minorEastAsia"/>
          <w:color w:val="auto"/>
          <w:kern w:val="0"/>
          <w:szCs w:val="21"/>
          <w:highlight w:val="none"/>
        </w:rPr>
        <w:t>，联合体各方中至少有一方应当符合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规定的供应商特定资格条件；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(4)联合体中有同类资质的供应商按照联合体分工承担相同工作的，应当按照资质等级较低的供应商确定资质等级；</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(5)联合体各方不得再单独或与其他供应商组成新的联合体参加同一项目的采购活动。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7.项目现场勘察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　本项目是否组织现场勘察见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　供应商应按</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中规定</w:t>
      </w:r>
      <w:r>
        <w:rPr>
          <w:rFonts w:hint="eastAsia" w:asciiTheme="minorEastAsia" w:hAnsiTheme="minorEastAsia" w:eastAsiaTheme="minorEastAsia" w:cstheme="minorEastAsia"/>
          <w:color w:val="auto"/>
          <w:kern w:val="0"/>
          <w:szCs w:val="21"/>
          <w:highlight w:val="none"/>
          <w:lang w:eastAsia="zh-CN"/>
        </w:rPr>
        <w:t>的时间及地点，</w:t>
      </w:r>
      <w:r>
        <w:rPr>
          <w:rFonts w:hint="eastAsia" w:asciiTheme="minorEastAsia" w:hAnsiTheme="minorEastAsia" w:eastAsiaTheme="minorEastAsia" w:cstheme="minorEastAsia"/>
          <w:color w:val="auto"/>
          <w:kern w:val="0"/>
          <w:szCs w:val="21"/>
          <w:highlight w:val="none"/>
        </w:rPr>
        <w:t>对采购项目现场和周围环境的现场考察。供应商未在指定时间进行勘察的，采购人不再另行组织。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7.3　勘察现场的费用由供应商自己承担，勘察期间所发生的人身伤害及财产损失由供应商自己负责。</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7.4　采购人不对供应商据此而做出的推论、理解和结论负责。一旦成交，供应商不得以任何借口提出额外补偿或延长合同期限的要求。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8.采购进口产品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　本项目是否采购进口产品及相关要求见磋商须知前附表。</w:t>
      </w:r>
    </w:p>
    <w:p>
      <w:pPr>
        <w:pStyle w:val="2"/>
        <w:ind w:firstLine="420" w:firstLineChars="200"/>
        <w:rPr>
          <w:rFonts w:hint="eastAsia"/>
          <w:color w:val="auto"/>
          <w:highlight w:val="none"/>
        </w:rPr>
      </w:pPr>
      <w:r>
        <w:rPr>
          <w:rFonts w:hint="eastAsia"/>
          <w:color w:val="auto"/>
          <w:highlight w:val="none"/>
        </w:rPr>
        <w:t>9.政策与其他规定</w:t>
      </w:r>
    </w:p>
    <w:p>
      <w:pPr>
        <w:spacing w:line="360" w:lineRule="auto"/>
        <w:ind w:firstLine="420" w:firstLineChars="200"/>
        <w:rPr>
          <w:rFonts w:hint="eastAsia" w:ascii="Times New Roman" w:hAnsi="Times New Roman"/>
          <w:color w:val="auto"/>
          <w:highlight w:val="none"/>
        </w:rPr>
      </w:pPr>
      <w:r>
        <w:rPr>
          <w:rFonts w:hint="eastAsia" w:ascii="Times New Roman" w:hAnsi="Times New Roman"/>
          <w:color w:val="auto"/>
          <w:highlight w:val="none"/>
        </w:rPr>
        <w:t>本项目的详细要求见</w:t>
      </w:r>
      <w:r>
        <w:rPr>
          <w:rFonts w:hint="eastAsia"/>
          <w:b/>
          <w:color w:val="auto"/>
          <w:highlight w:val="none"/>
          <w:lang w:eastAsia="zh-CN"/>
        </w:rPr>
        <w:t>磋商</w:t>
      </w:r>
      <w:r>
        <w:rPr>
          <w:rFonts w:hint="eastAsia" w:ascii="Times New Roman" w:hAnsi="Times New Roman"/>
          <w:b/>
          <w:color w:val="auto"/>
          <w:highlight w:val="none"/>
        </w:rPr>
        <w:t>须知前附表</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二、磋商文件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10.磋商文件的</w:t>
      </w:r>
      <w:r>
        <w:rPr>
          <w:rFonts w:hint="eastAsia" w:asciiTheme="minorEastAsia" w:hAnsiTheme="minorEastAsia" w:eastAsiaTheme="minorEastAsia" w:cstheme="minorEastAsia"/>
          <w:color w:val="auto"/>
          <w:kern w:val="0"/>
          <w:szCs w:val="21"/>
          <w:highlight w:val="none"/>
          <w:lang w:eastAsia="zh-CN"/>
        </w:rPr>
        <w:t>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10.1　磋商文件</w:t>
      </w:r>
      <w:r>
        <w:rPr>
          <w:rFonts w:hint="eastAsia" w:asciiTheme="minorEastAsia" w:hAnsiTheme="minorEastAsia" w:eastAsiaTheme="minorEastAsia" w:cstheme="minorEastAsia"/>
          <w:color w:val="auto"/>
          <w:kern w:val="0"/>
          <w:szCs w:val="21"/>
          <w:highlight w:val="none"/>
          <w:lang w:eastAsia="zh-CN"/>
        </w:rPr>
        <w:t>各章节的内容如下</w:t>
      </w:r>
      <w:r>
        <w:rPr>
          <w:rFonts w:hint="eastAsia" w:asciiTheme="minorEastAsia" w:hAnsiTheme="minorEastAsia" w:eastAsiaTheme="minorEastAsia" w:cstheme="minorEastAsia"/>
          <w:color w:val="auto"/>
          <w:kern w:val="0"/>
          <w:szCs w:val="21"/>
          <w:highlight w:val="none"/>
        </w:rPr>
        <w:t>：</w:t>
      </w:r>
    </w:p>
    <w:p>
      <w:pPr>
        <w:spacing w:line="360" w:lineRule="auto"/>
        <w:ind w:firstLine="718" w:firstLineChars="34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第一部分　商务部分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第一章　磋商邀请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第二章　磋商须知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第三章　评审方法及标准</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　第四章　</w:t>
      </w:r>
      <w:r>
        <w:rPr>
          <w:rFonts w:hint="eastAsia" w:asciiTheme="minorEastAsia" w:hAnsiTheme="minorEastAsia" w:eastAsiaTheme="minorEastAsia" w:cstheme="minorEastAsia"/>
          <w:color w:val="auto"/>
          <w:kern w:val="0"/>
          <w:szCs w:val="21"/>
          <w:highlight w:val="none"/>
          <w:lang w:eastAsia="zh-CN"/>
        </w:rPr>
        <w:t>拟签订的合同文本</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第五章　响应文件组成</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第二部分　技术部分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第六章　项目采购需求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供应商应仔细阅读磋商文件的全部内容，按照磋商文件要求编制响应文件。任何对磋商文件的忽略或误解</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不能作为响应文件存在缺陷或瑕疵的理由，其风险由供应商承担。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磋商小组根据与供应商磋商情况可能实质性变动的内容，包括采购需求中的技术、服务要求以及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，对磋商文件作出的实质性变动是磋商文件的有效组成部分。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11.磋商文件的澄清或者修改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　在磋商须知前附表规定的提交首次响应文件截止之日前，采购人、采购代理机构可以对已发出的磋商文件进行必要的澄清或者修改。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11.2　澄清或者修改的内容可能影响响应文件编制的，采购人、采购代理机构应当在磋商须知前附表规定的提交首次响应文件截止之日2</w:t>
      </w:r>
      <w:r>
        <w:rPr>
          <w:rFonts w:hint="eastAsia" w:asciiTheme="minorEastAsia" w:hAnsiTheme="minorEastAsia" w:eastAsiaTheme="minorEastAsia" w:cstheme="minorEastAsia"/>
          <w:color w:val="auto"/>
          <w:kern w:val="0"/>
          <w:szCs w:val="21"/>
          <w:highlight w:val="none"/>
          <w:lang w:val="en-US" w:eastAsia="zh-CN"/>
        </w:rPr>
        <w:t>个工作日</w:t>
      </w:r>
      <w:r>
        <w:rPr>
          <w:rFonts w:hint="eastAsia" w:asciiTheme="minorEastAsia" w:hAnsiTheme="minorEastAsia" w:eastAsiaTheme="minorEastAsia" w:cstheme="minorEastAsia"/>
          <w:color w:val="auto"/>
          <w:kern w:val="0"/>
          <w:szCs w:val="21"/>
          <w:highlight w:val="none"/>
        </w:rPr>
        <w:t>前，以书面形式通知所有接收磋商文件的供应商，不足2</w:t>
      </w:r>
      <w:r>
        <w:rPr>
          <w:rFonts w:hint="eastAsia" w:asciiTheme="minorEastAsia" w:hAnsiTheme="minorEastAsia" w:eastAsiaTheme="minorEastAsia" w:cstheme="minorEastAsia"/>
          <w:color w:val="auto"/>
          <w:kern w:val="0"/>
          <w:szCs w:val="21"/>
          <w:highlight w:val="none"/>
          <w:lang w:val="en-US" w:eastAsia="zh-CN"/>
        </w:rPr>
        <w:t>个工作日</w:t>
      </w:r>
      <w:r>
        <w:rPr>
          <w:rFonts w:hint="eastAsia" w:asciiTheme="minorEastAsia" w:hAnsiTheme="minorEastAsia" w:eastAsiaTheme="minorEastAsia" w:cstheme="minorEastAsia"/>
          <w:color w:val="auto"/>
          <w:kern w:val="0"/>
          <w:szCs w:val="21"/>
          <w:highlight w:val="none"/>
        </w:rPr>
        <w:t>的，顺延供应商提交首次响应文件截止时间。</w:t>
      </w:r>
      <w:r>
        <w:rPr>
          <w:rFonts w:hint="eastAsia" w:asciiTheme="minorEastAsia" w:hAnsiTheme="minorEastAsia" w:eastAsiaTheme="minorEastAsia" w:cstheme="minorEastAsia"/>
          <w:b/>
          <w:color w:val="auto"/>
          <w:kern w:val="0"/>
          <w:szCs w:val="21"/>
          <w:highlight w:val="none"/>
        </w:rPr>
        <w:t>【此项目为目录外标准下项目】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澄清或者修改内容为磋商文件的组成部分</w:t>
      </w:r>
      <w:r>
        <w:rPr>
          <w:rFonts w:hint="eastAsia" w:asciiTheme="minorEastAsia" w:hAnsiTheme="minorEastAsia" w:eastAsiaTheme="minorEastAsia" w:cstheme="minorEastAsia"/>
          <w:color w:val="auto"/>
          <w:kern w:val="0"/>
          <w:szCs w:val="21"/>
          <w:highlight w:val="none"/>
          <w:lang w:eastAsia="zh-CN"/>
        </w:rPr>
        <w:t>，对所有领取了磋商文件的供应商均具有约束力</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12.偏离</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w:t>
      </w:r>
      <w:r>
        <w:rPr>
          <w:rFonts w:hint="eastAsia" w:asciiTheme="minorEastAsia" w:hAnsiTheme="minorEastAsia" w:eastAsiaTheme="minorEastAsia" w:cstheme="minorEastAsia"/>
          <w:color w:val="auto"/>
          <w:highlight w:val="none"/>
        </w:rPr>
        <w:t>本条所称偏离为</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对</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的偏离，即完全响应磋商文件要求的为“无偏离”、不满足或不响应磋商文件要求的为“负偏离”、优于磋商文件要求的为“正偏离”。</w:t>
      </w:r>
    </w:p>
    <w:p>
      <w:pPr>
        <w:pStyle w:val="20"/>
        <w:spacing w:line="44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★12.2</w:t>
      </w:r>
      <w:r>
        <w:rPr>
          <w:rFonts w:hint="eastAsia" w:ascii="Times New Roman"/>
          <w:color w:val="auto"/>
          <w:sz w:val="21"/>
          <w:szCs w:val="21"/>
          <w:highlight w:val="none"/>
          <w:lang w:val="en-US" w:eastAsia="zh-CN"/>
        </w:rPr>
        <w:t xml:space="preserve"> </w:t>
      </w:r>
      <w:r>
        <w:rPr>
          <w:rFonts w:hint="eastAsia" w:ascii="Times New Roman" w:hAnsi="Times New Roman"/>
          <w:color w:val="auto"/>
          <w:sz w:val="21"/>
          <w:szCs w:val="21"/>
          <w:highlight w:val="none"/>
        </w:rPr>
        <w:t>除法律、法规和规章规定外，</w:t>
      </w:r>
      <w:r>
        <w:rPr>
          <w:rFonts w:hint="eastAsia" w:ascii="Times New Roman"/>
          <w:color w:val="auto"/>
          <w:sz w:val="21"/>
          <w:szCs w:val="21"/>
          <w:highlight w:val="none"/>
          <w:lang w:eastAsia="zh-CN"/>
        </w:rPr>
        <w:t>磋商</w:t>
      </w:r>
      <w:r>
        <w:rPr>
          <w:rFonts w:hint="eastAsia" w:ascii="Times New Roman" w:hAnsi="Times New Roman"/>
          <w:color w:val="auto"/>
          <w:sz w:val="21"/>
          <w:szCs w:val="21"/>
          <w:highlight w:val="none"/>
        </w:rPr>
        <w:t>文件中用“拒绝”“不接受”“无效”“不得”“必须”“应当”（仅限标注“★”）等文字规定或其他标注“★”符号的条款为实质性要求条款(即重要条款)，对其中任何一条不满足或不响应，在</w:t>
      </w:r>
      <w:r>
        <w:rPr>
          <w:rFonts w:hint="eastAsia" w:ascii="Times New Roman"/>
          <w:color w:val="auto"/>
          <w:sz w:val="21"/>
          <w:szCs w:val="21"/>
          <w:highlight w:val="none"/>
          <w:lang w:eastAsia="zh-CN"/>
        </w:rPr>
        <w:t>评审</w:t>
      </w:r>
      <w:r>
        <w:rPr>
          <w:rFonts w:hint="eastAsia" w:ascii="Times New Roman" w:hAnsi="Times New Roman"/>
          <w:color w:val="auto"/>
          <w:sz w:val="21"/>
          <w:szCs w:val="21"/>
          <w:highlight w:val="none"/>
        </w:rPr>
        <w:t>时将其视为无效</w:t>
      </w:r>
      <w:r>
        <w:rPr>
          <w:rFonts w:hint="eastAsia" w:ascii="Times New Roman"/>
          <w:color w:val="auto"/>
          <w:sz w:val="21"/>
          <w:szCs w:val="21"/>
          <w:highlight w:val="none"/>
          <w:lang w:eastAsia="zh-CN"/>
        </w:rPr>
        <w:t>响应</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13.一般要求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供应商应仔细阅读磋商文件的所有内容，按磋商文件的要求编制响应文件，并保证所提供的全部资料的真实性，以使其响应文件对磋商文件做出实质性的响应。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imes New Roman" w:hAnsi="Times New Roman"/>
          <w:color w:val="auto"/>
          <w:highlight w:val="none"/>
        </w:rPr>
        <w:t>★</w:t>
      </w:r>
      <w:r>
        <w:rPr>
          <w:rFonts w:hint="eastAsia" w:asciiTheme="minorEastAsia" w:hAnsiTheme="minorEastAsia" w:eastAsiaTheme="minorEastAsia" w:cstheme="minorEastAsia"/>
          <w:color w:val="auto"/>
          <w:kern w:val="0"/>
          <w:szCs w:val="21"/>
          <w:highlight w:val="none"/>
        </w:rPr>
        <w:t>13.3　除技术要求另有规定外，本文件所要求使用的计量单位均采用国家法定的度、量、衡标准单位计量。未列明时亦默认为我国法定计量单位。</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13.4　供应商应按磋商文件中提供的响应文件格式填写。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13.5　磋商响应文件应采用书面形式，磋商文件中要求提供电子版的，必须按要求提供。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14.响应文件的组成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14.1　响应文件应包括但不限于下列内容：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14.1.1　</w:t>
      </w:r>
      <w:r>
        <w:rPr>
          <w:rFonts w:hint="eastAsia" w:asciiTheme="minorEastAsia" w:hAnsiTheme="minorEastAsia" w:eastAsiaTheme="minorEastAsia" w:cstheme="minorEastAsia"/>
          <w:color w:val="auto"/>
          <w:highlight w:val="none"/>
        </w:rPr>
        <w:t>价格及</w:t>
      </w:r>
      <w:r>
        <w:rPr>
          <w:rFonts w:hint="eastAsia" w:asciiTheme="minorEastAsia" w:hAnsiTheme="minorEastAsia" w:eastAsiaTheme="minorEastAsia" w:cstheme="minorEastAsia"/>
          <w:color w:val="auto"/>
          <w:kern w:val="0"/>
          <w:szCs w:val="21"/>
          <w:highlight w:val="none"/>
        </w:rPr>
        <w:t>商务部分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{要求必须按照以下格式要求（如有格式要求的）提供以下带“★”的的证明文件或材料}：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★(1)磋商响应声明（格式见第五章）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★(2)报价一览表及分项价格表（格式见第五章）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★(3)商务条款偏离表（供应商</w:t>
      </w:r>
      <w:r>
        <w:rPr>
          <w:rFonts w:hint="eastAsia" w:asciiTheme="minorEastAsia" w:hAnsiTheme="minorEastAsia" w:eastAsiaTheme="minorEastAsia" w:cstheme="minorEastAsia"/>
          <w:color w:val="auto"/>
          <w:highlight w:val="none"/>
        </w:rPr>
        <w:t>填报该表时，应按项目采购需求中的商务条款要求，结合自身参加磋商情况对商务条款逐条响应，未逐条响应的视为响应无效。格式见第五章</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★(4)磋商保证金</w:t>
      </w:r>
      <w:r>
        <w:rPr>
          <w:rFonts w:hint="eastAsia"/>
          <w:color w:val="auto"/>
          <w:highlight w:val="none"/>
        </w:rPr>
        <w:t>缴纳证明复印件</w:t>
      </w:r>
    </w:p>
    <w:p>
      <w:pPr>
        <w:spacing w:line="360" w:lineRule="auto"/>
        <w:ind w:firstLine="525" w:firstLineChars="25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(5)供应商符合资格条件的证明文件</w:t>
      </w:r>
      <w:r>
        <w:rPr>
          <w:rFonts w:hint="eastAsia" w:asciiTheme="minorEastAsia" w:hAnsiTheme="minorEastAsia" w:eastAsiaTheme="minorEastAsia" w:cstheme="minorEastAsia"/>
          <w:b/>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1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①</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供应商基本情况表（格式见第五章）</w:t>
      </w:r>
    </w:p>
    <w:p>
      <w:pPr>
        <w:numPr>
          <w:ilvl w:val="0"/>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2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②</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有效的新版“营业执照”或《事业单位法人证书》或其他依法成立组织的证明文件</w:t>
      </w:r>
      <w:r>
        <w:rPr>
          <w:rFonts w:hint="eastAsia" w:asciiTheme="minorEastAsia" w:hAnsiTheme="minorEastAsia" w:eastAsiaTheme="minorEastAsia" w:cstheme="minorEastAsia"/>
          <w:color w:val="auto"/>
          <w:highlight w:val="none"/>
        </w:rPr>
        <w:t>（必须具有，如能够在线查询的材料，请提供国家有关部门规定查询的网址链接</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有效的税务登记证（必须具有，</w:t>
      </w:r>
      <w:r>
        <w:rPr>
          <w:rFonts w:hint="eastAsia"/>
          <w:color w:val="auto"/>
          <w:highlight w:val="none"/>
        </w:rPr>
        <w:t>如能够在线查询的材料，请</w:t>
      </w:r>
      <w:r>
        <w:rPr>
          <w:rFonts w:hint="eastAsia" w:ascii="Times New Roman" w:hAnsi="Times New Roman"/>
          <w:color w:val="auto"/>
          <w:highlight w:val="none"/>
        </w:rPr>
        <w:t>提供国家有关部门规定</w:t>
      </w:r>
      <w:r>
        <w:rPr>
          <w:rFonts w:hint="eastAsia" w:hAnsi="Calibri"/>
          <w:color w:val="auto"/>
          <w:highlight w:val="none"/>
        </w:rPr>
        <w:t>查询的网址链接</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imes New Roman" w:hAnsi="Times New Roman"/>
          <w:color w:val="auto"/>
          <w:highlight w:val="none"/>
        </w:rPr>
        <w:t>）；（若已经取得“三证合一”的可不提供）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4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④</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完整有效的身份证复印件（第二代身份证必须提供正反面复印件）。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5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⑤</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授权委托书(格式见第五章) 和委托代理人完整有效的身份证复印件（委托代理时必须提供。第二代身份证必须提供正反面复印件）。</w:t>
      </w:r>
    </w:p>
    <w:p>
      <w:pPr>
        <w:pStyle w:val="20"/>
        <w:spacing w:line="440" w:lineRule="exact"/>
        <w:ind w:firstLine="420" w:firstLineChars="200"/>
        <w:rPr>
          <w:rFonts w:hint="eastAsia" w:ascii="Times New Roman" w:hAnsi="Times New Roman"/>
          <w:color w:val="auto"/>
          <w:sz w:val="21"/>
          <w:szCs w:val="21"/>
          <w:highlight w:val="none"/>
        </w:rPr>
      </w:pPr>
      <w:r>
        <w:rPr>
          <w:rFonts w:hint="eastAsia" w:asciiTheme="minorEastAsia" w:hAnsiTheme="minorEastAsia" w:eastAsiaTheme="minorEastAsia" w:cstheme="minorEastAsia"/>
          <w:color w:val="auto"/>
          <w:kern w:val="0"/>
          <w:sz w:val="21"/>
          <w:szCs w:val="22"/>
          <w:highlight w:val="none"/>
        </w:rPr>
        <w:t>★</w:t>
      </w:r>
      <w:r>
        <w:rPr>
          <w:rFonts w:hint="eastAsia" w:asciiTheme="minorEastAsia" w:hAnsiTheme="minorEastAsia" w:eastAsiaTheme="minorEastAsia" w:cstheme="minorEastAsia"/>
          <w:color w:val="auto"/>
          <w:kern w:val="0"/>
          <w:sz w:val="21"/>
          <w:szCs w:val="22"/>
          <w:highlight w:val="none"/>
        </w:rPr>
        <w:fldChar w:fldCharType="begin"/>
      </w:r>
      <w:r>
        <w:rPr>
          <w:rFonts w:hint="eastAsia" w:asciiTheme="minorEastAsia" w:hAnsiTheme="minorEastAsia" w:eastAsiaTheme="minorEastAsia" w:cstheme="minorEastAsia"/>
          <w:color w:val="auto"/>
          <w:kern w:val="0"/>
          <w:sz w:val="21"/>
          <w:szCs w:val="22"/>
          <w:highlight w:val="none"/>
        </w:rPr>
        <w:instrText xml:space="preserve"> = 6 \* GB3 \* MERGEFORMAT </w:instrText>
      </w:r>
      <w:r>
        <w:rPr>
          <w:rFonts w:hint="eastAsia" w:asciiTheme="minorEastAsia" w:hAnsiTheme="minorEastAsia" w:eastAsiaTheme="minorEastAsia" w:cstheme="minorEastAsia"/>
          <w:color w:val="auto"/>
          <w:kern w:val="0"/>
          <w:sz w:val="21"/>
          <w:szCs w:val="22"/>
          <w:highlight w:val="none"/>
        </w:rPr>
        <w:fldChar w:fldCharType="separate"/>
      </w:r>
      <w:r>
        <w:rPr>
          <w:color w:val="auto"/>
          <w:sz w:val="21"/>
          <w:szCs w:val="21"/>
          <w:highlight w:val="none"/>
        </w:rPr>
        <w:t>⑥</w:t>
      </w:r>
      <w:r>
        <w:rPr>
          <w:rFonts w:hint="eastAsia" w:asciiTheme="minorEastAsia" w:hAnsiTheme="minorEastAsia" w:eastAsiaTheme="minorEastAsia" w:cstheme="minorEastAsia"/>
          <w:color w:val="auto"/>
          <w:kern w:val="0"/>
          <w:sz w:val="21"/>
          <w:szCs w:val="22"/>
          <w:highlight w:val="none"/>
        </w:rPr>
        <w:fldChar w:fldCharType="end"/>
      </w:r>
      <w:r>
        <w:rPr>
          <w:rFonts w:hint="eastAsia" w:ascii="Times New Roman" w:eastAsiaTheme="minorEastAsia"/>
          <w:color w:val="auto"/>
          <w:sz w:val="21"/>
          <w:szCs w:val="21"/>
          <w:highlight w:val="none"/>
          <w:lang w:eastAsia="zh-CN"/>
        </w:rPr>
        <w:t>供应商参加</w:t>
      </w:r>
      <w:r>
        <w:rPr>
          <w:rFonts w:hint="eastAsia" w:ascii="Times New Roman" w:hAnsi="Times New Roman"/>
          <w:color w:val="auto"/>
          <w:sz w:val="21"/>
          <w:szCs w:val="21"/>
          <w:highlight w:val="none"/>
        </w:rPr>
        <w:t>本项目</w:t>
      </w:r>
      <w:r>
        <w:rPr>
          <w:rFonts w:hint="eastAsia" w:ascii="Times New Roman"/>
          <w:color w:val="auto"/>
          <w:sz w:val="21"/>
          <w:szCs w:val="21"/>
          <w:highlight w:val="none"/>
          <w:lang w:val="en-US" w:eastAsia="zh-CN"/>
        </w:rPr>
        <w:t>磋商</w:t>
      </w:r>
      <w:r>
        <w:rPr>
          <w:rFonts w:hint="eastAsia" w:ascii="Times New Roman" w:hAnsi="Times New Roman"/>
          <w:color w:val="auto"/>
          <w:sz w:val="21"/>
          <w:szCs w:val="21"/>
          <w:highlight w:val="none"/>
        </w:rPr>
        <w:t>时上一年度</w:t>
      </w: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2021年</w:t>
      </w:r>
      <w:r>
        <w:rPr>
          <w:rFonts w:hint="eastAsia" w:ascii="Times New Roman"/>
          <w:color w:val="auto"/>
          <w:sz w:val="21"/>
          <w:szCs w:val="21"/>
          <w:highlight w:val="none"/>
          <w:lang w:eastAsia="zh-CN"/>
        </w:rPr>
        <w:t>）</w:t>
      </w:r>
      <w:r>
        <w:rPr>
          <w:rFonts w:hint="eastAsia" w:ascii="Times New Roman" w:hAnsi="Times New Roman"/>
          <w:color w:val="auto"/>
          <w:sz w:val="21"/>
          <w:szCs w:val="21"/>
          <w:highlight w:val="none"/>
        </w:rPr>
        <w:t>的年度财务报告复印件（如供应商为</w:t>
      </w:r>
      <w:r>
        <w:rPr>
          <w:rFonts w:hint="eastAsia" w:ascii="Times New Roman"/>
          <w:color w:val="auto"/>
          <w:sz w:val="21"/>
          <w:szCs w:val="21"/>
          <w:highlight w:val="none"/>
          <w:lang w:eastAsia="zh-CN"/>
        </w:rPr>
        <w:t>参加本项目磋商</w:t>
      </w:r>
      <w:r>
        <w:rPr>
          <w:rFonts w:hint="eastAsia" w:ascii="Times New Roman" w:hAnsi="Times New Roman"/>
          <w:color w:val="auto"/>
          <w:sz w:val="21"/>
          <w:szCs w:val="21"/>
          <w:highlight w:val="none"/>
        </w:rPr>
        <w:t>当年新成立公司的，应提供于公司成立之日后的财务报表），</w:t>
      </w:r>
      <w:r>
        <w:rPr>
          <w:rFonts w:hint="eastAsia" w:ascii="Times New Roman" w:hAnsi="Times New Roman"/>
          <w:b/>
          <w:color w:val="auto"/>
          <w:sz w:val="21"/>
          <w:szCs w:val="21"/>
          <w:highlight w:val="none"/>
        </w:rPr>
        <w:t>原件备查</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7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⑦</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响应文件递交截止时间前半年内供应商</w:t>
      </w:r>
      <w:r>
        <w:rPr>
          <w:rFonts w:hint="eastAsia" w:asciiTheme="minorEastAsia" w:hAnsiTheme="minorEastAsia" w:eastAsiaTheme="minorEastAsia" w:cstheme="minorEastAsia"/>
          <w:color w:val="auto"/>
          <w:kern w:val="0"/>
          <w:szCs w:val="21"/>
          <w:highlight w:val="none"/>
          <w:lang w:eastAsia="zh-CN"/>
        </w:rPr>
        <w:t>连续</w:t>
      </w:r>
      <w:r>
        <w:rPr>
          <w:rFonts w:hint="eastAsia" w:asciiTheme="minorEastAsia" w:hAnsiTheme="minorEastAsia" w:eastAsiaTheme="minorEastAsia" w:cstheme="minorEastAsia"/>
          <w:color w:val="auto"/>
          <w:kern w:val="0"/>
          <w:szCs w:val="21"/>
          <w:highlight w:val="none"/>
        </w:rPr>
        <w:t>三个月的依法纳税的依法缴纳税费或依法免缴税费的证明（复印件，原件备查）；供应商无纳税记录或为新成立公司，应提供由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所在地主管税务部门出具的依法纳税或依法免税证明（复印件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8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⑧</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响应文件递交截止时间前半年内供应商</w:t>
      </w:r>
      <w:r>
        <w:rPr>
          <w:rFonts w:hint="eastAsia" w:asciiTheme="minorEastAsia" w:hAnsiTheme="minorEastAsia" w:eastAsiaTheme="minorEastAsia" w:cstheme="minorEastAsia"/>
          <w:color w:val="auto"/>
          <w:kern w:val="0"/>
          <w:szCs w:val="21"/>
          <w:highlight w:val="none"/>
          <w:lang w:eastAsia="zh-CN"/>
        </w:rPr>
        <w:t>连续</w:t>
      </w:r>
      <w:r>
        <w:rPr>
          <w:rFonts w:hint="eastAsia" w:asciiTheme="minorEastAsia" w:hAnsiTheme="minorEastAsia" w:eastAsiaTheme="minorEastAsia" w:cstheme="minorEastAsia"/>
          <w:color w:val="auto"/>
          <w:kern w:val="0"/>
          <w:szCs w:val="21"/>
          <w:highlight w:val="none"/>
        </w:rPr>
        <w:t>三个月的依法缴纳社保费的缴费凭证（复印件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）；供应商无缴费记录或为新成立公司，应提供由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所在地社保部门出具的</w:t>
      </w:r>
      <w:r>
        <w:rPr>
          <w:rFonts w:hint="eastAsia" w:asciiTheme="minorEastAsia" w:hAnsiTheme="minorEastAsia" w:eastAsiaTheme="minorEastAsia" w:cstheme="minorEastAsia"/>
          <w:color w:val="auto"/>
          <w:kern w:val="0"/>
          <w:szCs w:val="21"/>
          <w:highlight w:val="none"/>
          <w:lang w:eastAsia="zh-CN"/>
        </w:rPr>
        <w:t>依法缴纳或依法免缴社保费证明</w:t>
      </w:r>
      <w:r>
        <w:rPr>
          <w:rFonts w:hint="eastAsia" w:asciiTheme="minorEastAsia" w:hAnsiTheme="minorEastAsia" w:eastAsiaTheme="minorEastAsia" w:cstheme="minorEastAsia"/>
          <w:color w:val="auto"/>
          <w:kern w:val="0"/>
          <w:szCs w:val="21"/>
          <w:highlight w:val="none"/>
        </w:rPr>
        <w:t>（复印件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9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⑨</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参加</w:t>
      </w:r>
      <w:r>
        <w:rPr>
          <w:rFonts w:hint="eastAsia" w:asciiTheme="minorEastAsia" w:hAnsiTheme="minorEastAsia" w:eastAsiaTheme="minorEastAsia" w:cstheme="minorEastAsia"/>
          <w:color w:val="auto"/>
          <w:kern w:val="0"/>
          <w:szCs w:val="21"/>
          <w:highlight w:val="none"/>
          <w:lang w:eastAsia="zh-CN"/>
        </w:rPr>
        <w:t>本采购</w:t>
      </w:r>
      <w:r>
        <w:rPr>
          <w:rFonts w:hint="eastAsia" w:asciiTheme="minorEastAsia" w:hAnsiTheme="minorEastAsia" w:eastAsiaTheme="minorEastAsia" w:cstheme="minorEastAsia"/>
          <w:color w:val="auto"/>
          <w:kern w:val="0"/>
          <w:szCs w:val="21"/>
          <w:highlight w:val="none"/>
        </w:rPr>
        <w:t>活动前三年内在经营活动中没有重大违法记录的书面声明（格式见第五章）。</w:t>
      </w:r>
    </w:p>
    <w:p>
      <w:pPr>
        <w:numPr>
          <w:ilvl w:val="0"/>
          <w:numId w:val="0"/>
        </w:numPr>
        <w:spacing w:line="360" w:lineRule="auto"/>
        <w:ind w:firstLine="630" w:firstLineChars="300"/>
        <w:rPr>
          <w:rFonts w:hint="eastAsia" w:ascii="Times New Roman" w:hAnsi="Times New Roman"/>
          <w:color w:val="auto"/>
          <w:highlight w:val="none"/>
        </w:rPr>
      </w:pPr>
      <w:r>
        <w:rPr>
          <w:rFonts w:hint="eastAsia" w:ascii="Times New Roman" w:hAnsi="Times New Roman"/>
          <w:color w:val="auto"/>
          <w:highlight w:val="none"/>
        </w:rPr>
        <w:fldChar w:fldCharType="begin"/>
      </w:r>
      <w:r>
        <w:rPr>
          <w:rFonts w:hint="eastAsia" w:ascii="Times New Roman" w:hAnsi="Times New Roman"/>
          <w:color w:val="auto"/>
          <w:highlight w:val="none"/>
        </w:rPr>
        <w:instrText xml:space="preserve"> = 10 \* GB3 \* MERGEFORMAT </w:instrText>
      </w:r>
      <w:r>
        <w:rPr>
          <w:rFonts w:hint="eastAsia" w:ascii="Times New Roman" w:hAnsi="Times New Roman"/>
          <w:color w:val="auto"/>
          <w:highlight w:val="none"/>
        </w:rPr>
        <w:fldChar w:fldCharType="separate"/>
      </w:r>
      <w:r>
        <w:rPr>
          <w:color w:val="auto"/>
          <w:highlight w:val="none"/>
        </w:rPr>
        <w:t>⑩</w:t>
      </w:r>
      <w:r>
        <w:rPr>
          <w:rFonts w:hint="eastAsia" w:ascii="Times New Roman" w:hAnsi="Times New Roman"/>
          <w:color w:val="auto"/>
          <w:highlight w:val="none"/>
        </w:rPr>
        <w:fldChar w:fldCharType="end"/>
      </w:r>
      <w:r>
        <w:rPr>
          <w:rFonts w:hint="eastAsia" w:ascii="Times New Roman" w:hAnsi="Times New Roman"/>
          <w:color w:val="auto"/>
          <w:highlight w:val="none"/>
        </w:rPr>
        <w:t>联合体协议（联合体</w:t>
      </w:r>
      <w:r>
        <w:rPr>
          <w:rFonts w:hint="eastAsia"/>
          <w:color w:val="auto"/>
          <w:highlight w:val="none"/>
          <w:lang w:val="en-US" w:eastAsia="zh-CN"/>
        </w:rPr>
        <w:t>磋商</w:t>
      </w:r>
      <w:r>
        <w:rPr>
          <w:rFonts w:hint="eastAsia" w:ascii="Times New Roman" w:hAnsi="Times New Roman"/>
          <w:color w:val="auto"/>
          <w:highlight w:val="none"/>
        </w:rPr>
        <w:t>时必须提供，</w:t>
      </w:r>
      <w:r>
        <w:rPr>
          <w:rFonts w:hint="eastAsia" w:asciiTheme="minorEastAsia" w:hAnsiTheme="minorEastAsia" w:eastAsiaTheme="minorEastAsia" w:cstheme="minorEastAsia"/>
          <w:color w:val="auto"/>
          <w:kern w:val="0"/>
          <w:szCs w:val="21"/>
          <w:highlight w:val="none"/>
        </w:rPr>
        <w:t>格式见第五章</w:t>
      </w:r>
      <w:r>
        <w:rPr>
          <w:rFonts w:hint="eastAsia" w:ascii="Times New Roman" w:hAnsi="Times New Roman"/>
          <w:color w:val="auto"/>
          <w:highlight w:val="none"/>
        </w:rPr>
        <w:t>）</w:t>
      </w:r>
    </w:p>
    <w:p>
      <w:pPr>
        <w:numPr>
          <w:ilvl w:val="0"/>
          <w:numId w:val="0"/>
        </w:numPr>
        <w:spacing w:line="360" w:lineRule="auto"/>
        <w:ind w:firstLine="630" w:firstLineChars="300"/>
        <w:rPr>
          <w:rFonts w:hint="eastAsia" w:asciiTheme="minorEastAsia" w:hAnsiTheme="minorEastAsia" w:eastAsiaTheme="minorEastAsia" w:cstheme="minorEastAsia"/>
          <w:color w:val="auto"/>
          <w:kern w:val="0"/>
          <w:szCs w:val="21"/>
          <w:highlight w:val="none"/>
          <w:u w:val="single"/>
          <w:lang w:val="en-US" w:eastAsia="zh-CN"/>
        </w:rPr>
      </w:pPr>
      <w:r>
        <w:rPr>
          <w:rFonts w:hint="eastAsia" w:asciiTheme="minorEastAsia" w:hAnsiTheme="minorEastAsia" w:eastAsiaTheme="minorEastAsia" w:cstheme="minorEastAsia"/>
          <w:color w:val="auto"/>
          <w:kern w:val="0"/>
          <w:szCs w:val="21"/>
          <w:highlight w:val="none"/>
        </w:rPr>
        <w:t>⑪</w:t>
      </w:r>
      <w:r>
        <w:rPr>
          <w:rFonts w:hint="eastAsia" w:ascii="Times New Roman" w:hAnsi="Times New Roman"/>
          <w:color w:val="auto"/>
          <w:highlight w:val="none"/>
        </w:rPr>
        <w:t>特定资格条件</w:t>
      </w:r>
      <w:r>
        <w:rPr>
          <w:rFonts w:hint="eastAsia" w:asciiTheme="minorEastAsia" w:hAnsiTheme="minorEastAsia" w:eastAsiaTheme="minorEastAsia" w:cstheme="minorEastAsia"/>
          <w:color w:val="auto"/>
          <w:kern w:val="0"/>
          <w:szCs w:val="21"/>
          <w:highlight w:val="none"/>
          <w:u w:val="none"/>
        </w:rPr>
        <w:t>：</w:t>
      </w:r>
      <w:r>
        <w:rPr>
          <w:rFonts w:hint="eastAsia" w:asciiTheme="minorEastAsia" w:hAnsiTheme="minorEastAsia" w:eastAsiaTheme="minorEastAsia" w:cstheme="minorEastAsia"/>
          <w:color w:val="auto"/>
          <w:kern w:val="0"/>
          <w:szCs w:val="21"/>
          <w:highlight w:val="none"/>
          <w:u w:val="none"/>
          <w:lang w:eastAsia="zh-CN"/>
        </w:rPr>
        <w:t>无</w:t>
      </w:r>
      <w:r>
        <w:rPr>
          <w:rFonts w:hint="eastAsia" w:asciiTheme="minorEastAsia" w:hAnsiTheme="minorEastAsia" w:eastAsiaTheme="minorEastAsia" w:cstheme="minorEastAsia"/>
          <w:color w:val="auto"/>
          <w:kern w:val="0"/>
          <w:szCs w:val="21"/>
          <w:highlight w:val="none"/>
          <w:u w:val="none"/>
          <w:lang w:val="en-US" w:eastAsia="zh-CN"/>
        </w:rPr>
        <w:t>。</w:t>
      </w:r>
    </w:p>
    <w:p>
      <w:pPr>
        <w:numPr>
          <w:ilvl w:val="-1"/>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符合政府采购政策的证明材料</w:t>
      </w:r>
    </w:p>
    <w:p>
      <w:pPr>
        <w:pStyle w:val="2"/>
        <w:numPr>
          <w:ilvl w:val="0"/>
          <w:numId w:val="0"/>
        </w:num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）磋商须知前附表要求供应商须提供的其他资料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）供应商认为需提供的其他资料</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14.1.2　技术部分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{要求必须按照以下格式要求（如有格式要求的）提供以下带“★”的证明文件或材料}：</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imes New Roman" w:hAnsi="Times New Roman"/>
          <w:color w:val="auto"/>
          <w:highlight w:val="none"/>
        </w:rPr>
        <w:t>实施方案、技术方案或服务方案</w:t>
      </w:r>
      <w:r>
        <w:rPr>
          <w:rFonts w:hint="eastAsia" w:asciiTheme="minorEastAsia" w:hAnsiTheme="minorEastAsia" w:eastAsiaTheme="minorEastAsia" w:cstheme="minorEastAsia"/>
          <w:color w:val="auto"/>
          <w:kern w:val="0"/>
          <w:szCs w:val="21"/>
          <w:highlight w:val="none"/>
        </w:rPr>
        <w:t>（格式自拟）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技术条款偏离表</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imes New Roman" w:hAnsi="Times New Roman"/>
          <w:color w:val="auto"/>
          <w:highlight w:val="none"/>
        </w:rPr>
        <w:t>填报该表时，应按项目采购需求中的技术要求，结合自身</w:t>
      </w:r>
      <w:r>
        <w:rPr>
          <w:rFonts w:hint="eastAsia"/>
          <w:color w:val="auto"/>
          <w:highlight w:val="none"/>
          <w:lang w:val="en-US" w:eastAsia="zh-CN"/>
        </w:rPr>
        <w:t>磋商</w:t>
      </w:r>
      <w:r>
        <w:rPr>
          <w:rFonts w:hint="eastAsia" w:ascii="Times New Roman" w:hAnsi="Times New Roman"/>
          <w:color w:val="auto"/>
          <w:highlight w:val="none"/>
        </w:rPr>
        <w:t>情况对技术条款逐条响应，未逐条响应的视为</w:t>
      </w:r>
      <w:r>
        <w:rPr>
          <w:rFonts w:hint="eastAsia"/>
          <w:color w:val="auto"/>
          <w:highlight w:val="none"/>
          <w:lang w:val="en-US" w:eastAsia="zh-CN"/>
        </w:rPr>
        <w:t>磋商</w:t>
      </w:r>
      <w:r>
        <w:rPr>
          <w:rFonts w:hint="eastAsia" w:ascii="Times New Roman" w:hAnsi="Times New Roman"/>
          <w:color w:val="auto"/>
          <w:highlight w:val="none"/>
        </w:rPr>
        <w:t>无效。</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供应商</w:t>
      </w:r>
      <w:r>
        <w:rPr>
          <w:rFonts w:hint="eastAsia" w:hAnsi="宋体" w:eastAsia="宋体" w:cs="宋体"/>
          <w:color w:val="auto"/>
          <w:highlight w:val="none"/>
          <w:lang w:eastAsia="zh-CN"/>
        </w:rPr>
        <w:t>服务承诺</w:t>
      </w:r>
      <w:r>
        <w:rPr>
          <w:rFonts w:hint="eastAsia"/>
          <w:color w:val="auto"/>
          <w:highlight w:val="none"/>
          <w:lang w:eastAsia="zh-CN"/>
        </w:rPr>
        <w:t>（</w:t>
      </w:r>
      <w:r>
        <w:rPr>
          <w:rFonts w:hint="eastAsia"/>
          <w:color w:val="auto"/>
          <w:highlight w:val="none"/>
          <w:lang w:val="en-US" w:eastAsia="zh-CN"/>
        </w:rPr>
        <w:t>应包含</w:t>
      </w:r>
      <w:r>
        <w:rPr>
          <w:rFonts w:hint="eastAsia" w:asciiTheme="minorEastAsia" w:hAnsiTheme="minorEastAsia" w:eastAsiaTheme="minorEastAsia" w:cstheme="minorEastAsia"/>
          <w:color w:val="auto"/>
          <w:kern w:val="0"/>
          <w:szCs w:val="21"/>
          <w:highlight w:val="none"/>
        </w:rPr>
        <w:t>售后服务承诺</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(4)用于本项目人员简历表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(5)磋商标的物符合磋商文件要求的相关证明文件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规定供应商在</w:t>
      </w:r>
      <w:r>
        <w:rPr>
          <w:rFonts w:hint="eastAsia" w:asciiTheme="minorEastAsia" w:hAnsiTheme="minorEastAsia" w:eastAsiaTheme="minorEastAsia" w:cstheme="minorEastAsia"/>
          <w:color w:val="auto"/>
          <w:kern w:val="0"/>
          <w:szCs w:val="21"/>
          <w:highlight w:val="none"/>
          <w:lang w:eastAsia="zh-CN"/>
        </w:rPr>
        <w:t>首次响应文件递交</w:t>
      </w:r>
      <w:r>
        <w:rPr>
          <w:rFonts w:hint="eastAsia" w:asciiTheme="minorEastAsia" w:hAnsiTheme="minorEastAsia" w:eastAsiaTheme="minorEastAsia" w:cstheme="minorEastAsia"/>
          <w:color w:val="auto"/>
          <w:kern w:val="0"/>
          <w:szCs w:val="21"/>
          <w:highlight w:val="none"/>
        </w:rPr>
        <w:t>时提供样品的，供应商有以下情形之一的，在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时将其视为无效响应文件。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(1)未在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规定的提交时间、地点提交的；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(2)供应商提供的样品与响应文件中型号、规格不一致的。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在</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过程中，</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根据</w:t>
      </w:r>
      <w:r>
        <w:rPr>
          <w:rFonts w:hint="eastAsia" w:asciiTheme="minorEastAsia" w:hAnsiTheme="minorEastAsia" w:eastAsiaTheme="minorEastAsia" w:cstheme="minorEastAsia"/>
          <w:color w:val="auto"/>
          <w:kern w:val="0"/>
          <w:szCs w:val="21"/>
          <w:highlight w:val="none"/>
          <w:lang w:val="en-US" w:eastAsia="zh-CN"/>
        </w:rPr>
        <w:t>磋商小组</w:t>
      </w:r>
      <w:r>
        <w:rPr>
          <w:rFonts w:hint="eastAsia" w:asciiTheme="minorEastAsia" w:hAnsiTheme="minorEastAsia" w:eastAsiaTheme="minorEastAsia" w:cstheme="minorEastAsia"/>
          <w:color w:val="auto"/>
          <w:kern w:val="0"/>
          <w:szCs w:val="21"/>
          <w:highlight w:val="none"/>
        </w:rPr>
        <w:t>书面形式要求提供的澄清文件是</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在磋商过程中，供应商根据磋商小组书面形式要求提交的最后报价(或者重新提交的响应文件和最后报价)是响应文件的有效组成部分。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磋商文件规定可能发生实质性变动的，供应商应当在《商务条款偏离表》</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lang w:eastAsia="zh-CN"/>
        </w:rPr>
        <w:t>技术条款偏离表</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rPr>
        <w:t>中的对应内容处注明。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供应商无论成交与否，其响应文件不予退还。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15.1　供应商应按磋商文件规定的供货及服务要求、责任范围和合同条件，以人民币进行报价。</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szCs w:val="21"/>
          <w:highlight w:val="none"/>
        </w:rPr>
        <w:t>报价应为完税价。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15.3供应商</w:t>
      </w:r>
      <w:r>
        <w:rPr>
          <w:rFonts w:hint="eastAsia" w:asciiTheme="minorEastAsia" w:hAnsiTheme="minorEastAsia" w:eastAsiaTheme="minorEastAsia" w:cstheme="minorEastAsia"/>
          <w:color w:val="auto"/>
          <w:szCs w:val="21"/>
          <w:highlight w:val="none"/>
        </w:rPr>
        <w:t>对每种货物及服务只允许有一个报价，不接受可变动性报价、赠送及“零”报价，否则，在</w:t>
      </w:r>
      <w:r>
        <w:rPr>
          <w:rFonts w:hint="eastAsia" w:asciiTheme="minorEastAsia" w:hAnsiTheme="minorEastAsia" w:eastAsiaTheme="minorEastAsia" w:cstheme="minorEastAsia"/>
          <w:color w:val="auto"/>
          <w:szCs w:val="21"/>
          <w:highlight w:val="none"/>
          <w:lang w:eastAsia="zh-CN"/>
        </w:rPr>
        <w:t>评审</w:t>
      </w:r>
      <w:r>
        <w:rPr>
          <w:rFonts w:hint="eastAsia" w:asciiTheme="minorEastAsia" w:hAnsiTheme="minorEastAsia" w:eastAsiaTheme="minorEastAsia" w:cstheme="minorEastAsia"/>
          <w:color w:val="auto"/>
          <w:szCs w:val="21"/>
          <w:highlight w:val="none"/>
        </w:rPr>
        <w:t>时将其视为无效磋商</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15.4　项目有特殊要求的见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16.1　本项目是否交纳磋商保证金要求见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16.2　磋商须知前附表规定交纳磋商保证金的，供应商应以</w:t>
      </w:r>
      <w:r>
        <w:rPr>
          <w:rFonts w:hint="eastAsia" w:ascii="Times New Roman" w:hAnsi="Times New Roman"/>
          <w:color w:val="auto"/>
          <w:highlight w:val="none"/>
        </w:rPr>
        <w:t>银行转账、支票、汇票、本票或者金融、担保机构出具的保函等非现金形式</w:t>
      </w:r>
      <w:r>
        <w:rPr>
          <w:rFonts w:hint="eastAsia" w:asciiTheme="minorEastAsia" w:hAnsiTheme="minorEastAsia" w:eastAsiaTheme="minorEastAsia" w:cstheme="minorEastAsia"/>
          <w:color w:val="auto"/>
          <w:kern w:val="0"/>
          <w:szCs w:val="21"/>
          <w:highlight w:val="none"/>
        </w:rPr>
        <w:t>，</w:t>
      </w:r>
      <w:r>
        <w:rPr>
          <w:rFonts w:hint="eastAsia" w:ascii="Times New Roman" w:hAnsi="Times New Roman"/>
          <w:color w:val="auto"/>
          <w:highlight w:val="none"/>
        </w:rPr>
        <w:t>禁止采用现钞方式，</w:t>
      </w:r>
      <w:r>
        <w:rPr>
          <w:rFonts w:hint="eastAsia" w:asciiTheme="minorEastAsia" w:hAnsiTheme="minorEastAsia" w:eastAsiaTheme="minorEastAsia" w:cstheme="minorEastAsia"/>
          <w:color w:val="auto"/>
          <w:kern w:val="0"/>
          <w:szCs w:val="21"/>
          <w:highlight w:val="none"/>
        </w:rPr>
        <w:t>在</w:t>
      </w:r>
      <w:r>
        <w:rPr>
          <w:rFonts w:hint="eastAsia" w:asciiTheme="minorEastAsia" w:hAnsiTheme="minorEastAsia" w:eastAsiaTheme="minorEastAsia" w:cstheme="minorEastAsia"/>
          <w:color w:val="auto"/>
          <w:kern w:val="0"/>
          <w:szCs w:val="21"/>
          <w:highlight w:val="none"/>
          <w:lang w:val="en-US" w:eastAsia="zh-CN"/>
        </w:rPr>
        <w:t>本章</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规定的提交首次响应文件截止时间前提交</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规定的磋商保证金</w:t>
      </w:r>
      <w:r>
        <w:rPr>
          <w:rFonts w:ascii="Times New Roman" w:hAnsi="Times New Roman" w:cs="Times New Roman"/>
          <w:color w:val="auto"/>
          <w:highlight w:val="none"/>
        </w:rPr>
        <w:t>(</w:t>
      </w:r>
      <w:r>
        <w:rPr>
          <w:rFonts w:hint="eastAsia" w:ascii="Times New Roman" w:hAnsi="Times New Roman"/>
          <w:color w:val="auto"/>
          <w:highlight w:val="none"/>
        </w:rPr>
        <w:t>数额采用四舍五入</w:t>
      </w:r>
      <w:r>
        <w:rPr>
          <w:rFonts w:hint="eastAsia" w:ascii="Times New Roman" w:hAnsi="Times New Roman" w:cs="MingLiU_HKSCS"/>
          <w:color w:val="auto"/>
          <w:highlight w:val="none"/>
        </w:rPr>
        <w:t>，</w:t>
      </w:r>
      <w:r>
        <w:rPr>
          <w:rFonts w:hint="eastAsia" w:ascii="Times New Roman" w:hAnsi="Times New Roman"/>
          <w:color w:val="auto"/>
          <w:highlight w:val="none"/>
        </w:rPr>
        <w:t>计算至元</w:t>
      </w:r>
      <w:r>
        <w:rPr>
          <w:rFonts w:ascii="Times New Roman" w:hAnsi="Times New Roman" w:cs="Times New Roman"/>
          <w:color w:val="auto"/>
          <w:highlight w:val="none"/>
        </w:rPr>
        <w:t>)</w:t>
      </w:r>
      <w:r>
        <w:rPr>
          <w:rFonts w:hint="eastAsia" w:asciiTheme="minorEastAsia" w:hAnsiTheme="minorEastAsia" w:eastAsiaTheme="minorEastAsia" w:cstheme="minorEastAsia"/>
          <w:color w:val="auto"/>
          <w:kern w:val="0"/>
          <w:szCs w:val="21"/>
          <w:highlight w:val="none"/>
        </w:rPr>
        <w:t>。磋商保证金有效期应当与本章</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规定的磋商响应有效期一致。</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未按磋商文件</w:t>
      </w:r>
      <w:r>
        <w:rPr>
          <w:rFonts w:hint="eastAsia" w:asciiTheme="minorEastAsia" w:hAnsiTheme="minorEastAsia" w:eastAsiaTheme="minorEastAsia" w:cstheme="minorEastAsia"/>
          <w:color w:val="auto"/>
          <w:kern w:val="0"/>
          <w:szCs w:val="21"/>
          <w:highlight w:val="none"/>
          <w:lang w:val="en-US" w:eastAsia="zh-CN"/>
        </w:rPr>
        <w:t>要求</w:t>
      </w:r>
      <w:r>
        <w:rPr>
          <w:rFonts w:hint="eastAsia" w:asciiTheme="minorEastAsia" w:hAnsiTheme="minorEastAsia" w:eastAsiaTheme="minorEastAsia" w:cstheme="minorEastAsia"/>
          <w:color w:val="auto"/>
          <w:kern w:val="0"/>
          <w:szCs w:val="21"/>
          <w:highlight w:val="none"/>
        </w:rPr>
        <w:t>提交磋商保证金的，</w:t>
      </w:r>
      <w:r>
        <w:rPr>
          <w:rFonts w:hint="eastAsia"/>
          <w:color w:val="auto"/>
          <w:highlight w:val="none"/>
          <w:lang w:val="en-US" w:eastAsia="zh-CN"/>
        </w:rPr>
        <w:t>磋商小组</w:t>
      </w:r>
      <w:r>
        <w:rPr>
          <w:rFonts w:hint="eastAsia" w:ascii="Times New Roman" w:hAnsi="Times New Roman"/>
          <w:color w:val="auto"/>
          <w:highlight w:val="none"/>
        </w:rPr>
        <w:t>在</w:t>
      </w:r>
      <w:r>
        <w:rPr>
          <w:rFonts w:hint="eastAsia"/>
          <w:color w:val="auto"/>
          <w:highlight w:val="none"/>
          <w:lang w:val="en-US" w:eastAsia="zh-CN"/>
        </w:rPr>
        <w:t>评审</w:t>
      </w:r>
      <w:r>
        <w:rPr>
          <w:rFonts w:hint="eastAsia" w:ascii="Times New Roman" w:hAnsi="Times New Roman"/>
          <w:color w:val="auto"/>
          <w:highlight w:val="none"/>
        </w:rPr>
        <w:t>时将其视为无效</w:t>
      </w:r>
      <w:r>
        <w:rPr>
          <w:rFonts w:hint="eastAsia"/>
          <w:color w:val="auto"/>
          <w:highlight w:val="none"/>
          <w:lang w:val="en-US" w:eastAsia="zh-CN"/>
        </w:rPr>
        <w:t>磋商</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16.3　供应商为联合体的，可以由联合体中的一方或者共同交纳</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w:t>
      </w:r>
      <w:r>
        <w:rPr>
          <w:rFonts w:hint="eastAsia" w:ascii="Times New Roman" w:hAnsi="Times New Roman"/>
          <w:color w:val="auto"/>
          <w:highlight w:val="none"/>
        </w:rPr>
        <w:t>以一方名义提交</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，对联合体各方均具有约束力。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16.4　未成交供应商的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保证金，在成交通知书发出后5个工作日内退还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但因供应商自身原因导致无法及时退还的除外。</w:t>
      </w:r>
    </w:p>
    <w:p>
      <w:pPr>
        <w:pStyle w:val="2"/>
        <w:ind w:firstLine="420"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16.5</w:t>
      </w:r>
      <w:r>
        <w:rPr>
          <w:rFonts w:hint="eastAsia" w:asciiTheme="minorEastAsia" w:hAnsiTheme="minorEastAsia" w:eastAsiaTheme="minorEastAsia" w:cstheme="minorEastAsia"/>
          <w:color w:val="auto"/>
          <w:kern w:val="0"/>
          <w:szCs w:val="21"/>
          <w:highlight w:val="none"/>
        </w:rPr>
        <w:t>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保证金，在采购合同签订后5个工作日内退还，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有下列情形之一的，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val="en-US" w:eastAsia="zh-CN"/>
        </w:rPr>
        <w:t>可以</w:t>
      </w:r>
      <w:r>
        <w:rPr>
          <w:rFonts w:hint="eastAsia" w:asciiTheme="minorEastAsia" w:hAnsiTheme="minorEastAsia" w:eastAsiaTheme="minorEastAsia" w:cstheme="minorEastAsia"/>
          <w:color w:val="auto"/>
          <w:kern w:val="0"/>
          <w:szCs w:val="21"/>
          <w:highlight w:val="none"/>
        </w:rPr>
        <w:t>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w:t>
      </w:r>
      <w:r>
        <w:rPr>
          <w:rFonts w:hint="eastAsia" w:asciiTheme="minorEastAsia" w:hAnsiTheme="minorEastAsia" w:eastAsiaTheme="minorEastAsia" w:cstheme="minorEastAsia"/>
          <w:color w:val="auto"/>
          <w:kern w:val="0"/>
          <w:szCs w:val="21"/>
          <w:highlight w:val="none"/>
          <w:lang w:eastAsia="zh-CN"/>
        </w:rPr>
        <w:t>磋商响应有效期内撤销</w:t>
      </w:r>
      <w:r>
        <w:rPr>
          <w:rFonts w:hint="eastAsia" w:asciiTheme="minorEastAsia" w:hAnsiTheme="minorEastAsia" w:eastAsiaTheme="minorEastAsia" w:cstheme="minorEastAsia"/>
          <w:color w:val="auto"/>
          <w:kern w:val="0"/>
          <w:szCs w:val="21"/>
          <w:highlight w:val="none"/>
        </w:rPr>
        <w:t>响应文件的；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成交后无正当理由</w:t>
      </w:r>
      <w:r>
        <w:rPr>
          <w:rFonts w:hint="eastAsia" w:asciiTheme="minorEastAsia" w:hAnsiTheme="minorEastAsia" w:eastAsiaTheme="minorEastAsia" w:cstheme="minorEastAsia"/>
          <w:color w:val="auto"/>
          <w:kern w:val="0"/>
          <w:szCs w:val="21"/>
          <w:highlight w:val="none"/>
        </w:rPr>
        <w:t>不与采购人签订合同的；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17.磋商响应有效期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17.1　磋商响应有效期见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，在此期间响应文件对供应商具有法律约束力</w:t>
      </w:r>
      <w:r>
        <w:rPr>
          <w:rFonts w:hint="eastAsia" w:ascii="Times New Roman" w:hAnsi="Times New Roman" w:cs="MingLiU_HKSCS"/>
          <w:color w:val="auto"/>
          <w:highlight w:val="none"/>
        </w:rPr>
        <w:t>，</w:t>
      </w:r>
      <w:r>
        <w:rPr>
          <w:rFonts w:hint="eastAsia" w:ascii="Times New Roman" w:hAnsi="Times New Roman"/>
          <w:color w:val="auto"/>
          <w:highlight w:val="none"/>
        </w:rPr>
        <w:t>以保证采购人有足够的时间完成</w:t>
      </w:r>
      <w:r>
        <w:rPr>
          <w:rFonts w:hint="eastAsia" w:ascii="Times New Roman" w:hAnsi="Times New Roman"/>
          <w:color w:val="auto"/>
          <w:highlight w:val="none"/>
          <w:lang w:eastAsia="zh-CN"/>
        </w:rPr>
        <w:t>评审</w:t>
      </w:r>
      <w:r>
        <w:rPr>
          <w:rFonts w:hint="eastAsia" w:ascii="Times New Roman" w:hAnsi="Times New Roman"/>
          <w:color w:val="auto"/>
          <w:highlight w:val="none"/>
        </w:rPr>
        <w:t>、</w:t>
      </w:r>
      <w:r>
        <w:rPr>
          <w:rFonts w:hint="eastAsia" w:ascii="Times New Roman" w:hAnsi="Times New Roman"/>
          <w:color w:val="auto"/>
          <w:highlight w:val="none"/>
          <w:lang w:eastAsia="zh-CN"/>
        </w:rPr>
        <w:t>确定成交供应商</w:t>
      </w:r>
      <w:r>
        <w:rPr>
          <w:rFonts w:hint="eastAsia" w:ascii="Times New Roman" w:hAnsi="Times New Roman"/>
          <w:color w:val="auto"/>
          <w:highlight w:val="none"/>
        </w:rPr>
        <w:t>以及签订合同</w:t>
      </w:r>
      <w:r>
        <w:rPr>
          <w:rFonts w:hint="eastAsia" w:asciiTheme="minorEastAsia" w:hAnsiTheme="minorEastAsia" w:eastAsiaTheme="minorEastAsia" w:cstheme="minorEastAsia"/>
          <w:color w:val="auto"/>
          <w:kern w:val="0"/>
          <w:szCs w:val="21"/>
          <w:highlight w:val="none"/>
        </w:rPr>
        <w:t>。响应文件有效期从</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规定的提交首次响应文件截止时间之日起计算。磋商响应有效期不足的</w:t>
      </w:r>
      <w:r>
        <w:rPr>
          <w:rFonts w:hint="eastAsia" w:asciiTheme="minorEastAsia" w:hAnsiTheme="minorEastAsia" w:eastAsiaTheme="minorEastAsia" w:cstheme="minorEastAsia"/>
          <w:color w:val="auto"/>
          <w:kern w:val="0"/>
          <w:szCs w:val="21"/>
          <w:highlight w:val="none"/>
          <w:lang w:eastAsia="zh-CN"/>
        </w:rPr>
        <w:t>，在评审时</w:t>
      </w:r>
      <w:r>
        <w:rPr>
          <w:rFonts w:hint="eastAsia" w:asciiTheme="minorEastAsia" w:hAnsiTheme="minorEastAsia" w:eastAsiaTheme="minorEastAsia" w:cstheme="minorEastAsia"/>
          <w:color w:val="auto"/>
          <w:kern w:val="0"/>
          <w:szCs w:val="21"/>
          <w:highlight w:val="none"/>
        </w:rPr>
        <w:t>将被视为无效响应。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★17.2　特殊情况需延长磋商响应有效期的，采购人或采购代理机构可于磋商响应有效期届满之前，要求供应商同意延长有效期，采购人或采购代理机构的要求与供应商的答复均应为书面形式。供应商拒绝延长的，其响应在原磋商响应有效期届满后将不再有效，但有权收回其磋商保证金；供应商同意延长的，应相应延长其磋商保证金的有效期，但不允许修改或撤回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18.响应文件的签署及规定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18.1　供应商应根据</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规定提交响应文件。纸质文件的正本和副本应装订成册。正本和副本的封面上应标记“正本”或“副本”的字样，当正本和副本</w:t>
      </w:r>
      <w:r>
        <w:rPr>
          <w:rFonts w:hint="eastAsia" w:ascii="Times New Roman" w:hAnsi="Times New Roman"/>
          <w:color w:val="auto"/>
          <w:highlight w:val="none"/>
        </w:rPr>
        <w:t>、电子版不一致时</w:t>
      </w:r>
      <w:r>
        <w:rPr>
          <w:rFonts w:hint="eastAsia" w:asciiTheme="minorEastAsia" w:hAnsiTheme="minorEastAsia" w:eastAsiaTheme="minorEastAsia" w:cstheme="minorEastAsia"/>
          <w:color w:val="auto"/>
          <w:kern w:val="0"/>
          <w:szCs w:val="21"/>
          <w:highlight w:val="none"/>
        </w:rPr>
        <w:t>，以正本为准。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18.2　响应文件应用不褪色的材料打印或书写，并按磋商文件要求在签字盖章处盖公章和由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或其授权代表签字。响应文件中的任何</w:t>
      </w:r>
      <w:r>
        <w:rPr>
          <w:rFonts w:hint="eastAsia" w:ascii="Times New Roman" w:hAnsi="Times New Roman"/>
          <w:color w:val="auto"/>
          <w:highlight w:val="none"/>
        </w:rPr>
        <w:t>行间插字、涂改和增删</w:t>
      </w:r>
      <w:r>
        <w:rPr>
          <w:rFonts w:hint="eastAsia" w:asciiTheme="minorEastAsia" w:hAnsiTheme="minorEastAsia" w:eastAsiaTheme="minorEastAsia" w:cstheme="minorEastAsia"/>
          <w:color w:val="auto"/>
          <w:kern w:val="0"/>
          <w:szCs w:val="21"/>
          <w:highlight w:val="none"/>
        </w:rPr>
        <w:t>，应加盖单位公章或由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或其授权代表签字确认。否则，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18.3　在磋商过程中，供应商按磋商文件规定和磋商小组要求重新提交的响应文件和最后报价，应打印或用不褪色墨水书写，并由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19.响应文件的密封和标记</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19.1　响应文件的的密封、标记详见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19.2　</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文件封套或外包装上应载明的内容见</w:t>
      </w:r>
      <w:r>
        <w:rPr>
          <w:rFonts w:hint="eastAsia" w:asciiTheme="minorEastAsia" w:hAnsiTheme="minorEastAsia" w:eastAsiaTheme="minorEastAsia" w:cstheme="minorEastAsia"/>
          <w:color w:val="auto"/>
          <w:kern w:val="0"/>
          <w:szCs w:val="21"/>
          <w:highlight w:val="none"/>
          <w:lang w:val="en-US" w:eastAsia="zh-CN"/>
        </w:rPr>
        <w:t>磋商</w:t>
      </w:r>
      <w:r>
        <w:rPr>
          <w:rFonts w:hint="eastAsia" w:asciiTheme="minorEastAsia" w:hAnsiTheme="minorEastAsia" w:eastAsiaTheme="minorEastAsia" w:cstheme="minorEastAsia"/>
          <w:color w:val="auto"/>
          <w:kern w:val="0"/>
          <w:szCs w:val="21"/>
          <w:highlight w:val="none"/>
        </w:rPr>
        <w:t>须知前附表。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响应文件如果未按上述规定密封和标记，采购人或采购代理机构应当拒绝接收。</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19.</w:t>
      </w:r>
      <w:r>
        <w:rPr>
          <w:rFonts w:hint="eastAsia" w:asciiTheme="minorEastAsia" w:hAnsiTheme="minorEastAsia" w:eastAsiaTheme="minorEastAsia" w:cstheme="minorEastAsia"/>
          <w:b/>
          <w:bCs/>
          <w:color w:val="auto"/>
          <w:kern w:val="0"/>
          <w:szCs w:val="21"/>
          <w:highlight w:val="none"/>
          <w:lang w:val="en-US" w:eastAsia="zh-CN"/>
        </w:rPr>
        <w:t>4</w:t>
      </w:r>
      <w:r>
        <w:rPr>
          <w:rFonts w:hint="eastAsia" w:asciiTheme="minorEastAsia" w:hAnsiTheme="minorEastAsia" w:eastAsiaTheme="minorEastAsia" w:cstheme="minorEastAsia"/>
          <w:b/>
          <w:bCs/>
          <w:color w:val="auto"/>
          <w:kern w:val="0"/>
          <w:szCs w:val="21"/>
          <w:highlight w:val="none"/>
        </w:rPr>
        <w:t xml:space="preserve">  采购人或采购代理机构不得因装订、纸张、文件排序等非实质性的格式、形式问题限制和影响供应商响应。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20.响应文件的递交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20.1　响应文件应在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w:t>
      </w:r>
      <w:r>
        <w:rPr>
          <w:rFonts w:hint="eastAsia" w:asciiTheme="minorEastAsia" w:hAnsiTheme="minorEastAsia" w:eastAsiaTheme="minorEastAsia" w:cstheme="minorEastAsia"/>
          <w:color w:val="auto"/>
          <w:kern w:val="0"/>
          <w:szCs w:val="21"/>
          <w:highlight w:val="none"/>
          <w:lang w:val="en-US" w:eastAsia="zh-CN"/>
        </w:rPr>
        <w:t>响应文件递交截止</w:t>
      </w:r>
      <w:r>
        <w:rPr>
          <w:rFonts w:hint="eastAsia" w:asciiTheme="minorEastAsia" w:hAnsiTheme="minorEastAsia" w:eastAsiaTheme="minorEastAsia" w:cstheme="minorEastAsia"/>
          <w:color w:val="auto"/>
          <w:kern w:val="0"/>
          <w:szCs w:val="21"/>
          <w:highlight w:val="none"/>
        </w:rPr>
        <w:t>时间</w:t>
      </w:r>
      <w:r>
        <w:rPr>
          <w:rFonts w:hint="eastAsia" w:asciiTheme="minorEastAsia" w:hAnsiTheme="minorEastAsia" w:eastAsiaTheme="minorEastAsia" w:cstheme="minorEastAsia"/>
          <w:color w:val="auto"/>
          <w:kern w:val="0"/>
          <w:szCs w:val="21"/>
          <w:highlight w:val="none"/>
          <w:lang w:val="en-US" w:eastAsia="zh-CN"/>
        </w:rPr>
        <w:t>之前密封送到</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指定</w:t>
      </w:r>
      <w:r>
        <w:rPr>
          <w:rFonts w:hint="eastAsia" w:asciiTheme="minorEastAsia" w:hAnsiTheme="minorEastAsia" w:eastAsiaTheme="minorEastAsia" w:cstheme="minorEastAsia"/>
          <w:color w:val="auto"/>
          <w:kern w:val="0"/>
          <w:szCs w:val="21"/>
          <w:highlight w:val="none"/>
          <w:lang w:val="en-US" w:eastAsia="zh-CN"/>
        </w:rPr>
        <w:t>的</w:t>
      </w:r>
      <w:r>
        <w:rPr>
          <w:rFonts w:hint="eastAsia" w:asciiTheme="minorEastAsia" w:hAnsiTheme="minorEastAsia" w:eastAsiaTheme="minorEastAsia" w:cstheme="minorEastAsia"/>
          <w:color w:val="auto"/>
          <w:kern w:val="0"/>
          <w:szCs w:val="21"/>
          <w:highlight w:val="none"/>
        </w:rPr>
        <w:t>地点。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采购人或者采购代理机构收到</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文件后，应当如实记载</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文件的送达时间和密封情况，签收保存，并向</w:t>
      </w:r>
      <w:r>
        <w:rPr>
          <w:rFonts w:hint="eastAsia" w:asciiTheme="minorEastAsia" w:hAnsiTheme="minorEastAsia" w:eastAsiaTheme="minorEastAsia" w:cstheme="minorEastAsia"/>
          <w:color w:val="auto"/>
          <w:kern w:val="0"/>
          <w:szCs w:val="21"/>
          <w:highlight w:val="none"/>
          <w:lang w:val="en-US" w:eastAsia="zh-CN"/>
        </w:rPr>
        <w:t>供应商</w:t>
      </w:r>
      <w:r>
        <w:rPr>
          <w:rFonts w:hint="eastAsia" w:asciiTheme="minorEastAsia" w:hAnsiTheme="minorEastAsia" w:eastAsiaTheme="minorEastAsia" w:cstheme="minorEastAsia"/>
          <w:color w:val="auto"/>
          <w:kern w:val="0"/>
          <w:szCs w:val="21"/>
          <w:highlight w:val="none"/>
        </w:rPr>
        <w:t>出具签收回执。任何单位和个人不得在</w:t>
      </w:r>
      <w:r>
        <w:rPr>
          <w:rFonts w:hint="eastAsia" w:asciiTheme="minorEastAsia" w:hAnsiTheme="minorEastAsia" w:eastAsiaTheme="minorEastAsia" w:cstheme="minorEastAsia"/>
          <w:color w:val="auto"/>
          <w:kern w:val="0"/>
          <w:szCs w:val="21"/>
          <w:highlight w:val="none"/>
          <w:lang w:val="en-US" w:eastAsia="zh-CN"/>
        </w:rPr>
        <w:t>响应文件开启时间</w:t>
      </w:r>
      <w:r>
        <w:rPr>
          <w:rFonts w:hint="eastAsia" w:asciiTheme="minorEastAsia" w:hAnsiTheme="minorEastAsia" w:eastAsiaTheme="minorEastAsia" w:cstheme="minorEastAsia"/>
          <w:color w:val="auto"/>
          <w:kern w:val="0"/>
          <w:szCs w:val="21"/>
          <w:highlight w:val="none"/>
        </w:rPr>
        <w:t>前开启</w:t>
      </w:r>
      <w:r>
        <w:rPr>
          <w:rFonts w:hint="eastAsia" w:asciiTheme="minorEastAsia" w:hAnsiTheme="minorEastAsia" w:eastAsiaTheme="minorEastAsia" w:cstheme="minorEastAsia"/>
          <w:color w:val="auto"/>
          <w:kern w:val="0"/>
          <w:szCs w:val="21"/>
          <w:highlight w:val="none"/>
          <w:lang w:val="en-US" w:eastAsia="zh-CN"/>
        </w:rPr>
        <w:t>响应</w:t>
      </w:r>
      <w:r>
        <w:rPr>
          <w:rFonts w:hint="eastAsia" w:asciiTheme="minorEastAsia" w:hAnsiTheme="minorEastAsia" w:eastAsiaTheme="minorEastAsia" w:cstheme="minorEastAsia"/>
          <w:color w:val="auto"/>
          <w:kern w:val="0"/>
          <w:szCs w:val="21"/>
          <w:highlight w:val="none"/>
        </w:rPr>
        <w:t>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20.2　</w:t>
      </w:r>
      <w:r>
        <w:rPr>
          <w:rFonts w:hint="eastAsia" w:ascii="Times New Roman" w:hAnsi="Times New Roman"/>
          <w:color w:val="auto"/>
          <w:highlight w:val="none"/>
        </w:rPr>
        <w:t>逾期送达或者未按照</w:t>
      </w:r>
      <w:r>
        <w:rPr>
          <w:rFonts w:hint="eastAsia"/>
          <w:color w:val="auto"/>
          <w:highlight w:val="none"/>
          <w:lang w:val="en-US" w:eastAsia="zh-CN"/>
        </w:rPr>
        <w:t>磋商</w:t>
      </w:r>
      <w:r>
        <w:rPr>
          <w:rFonts w:hint="eastAsia" w:ascii="Times New Roman" w:hAnsi="Times New Roman"/>
          <w:color w:val="auto"/>
          <w:highlight w:val="none"/>
        </w:rPr>
        <w:t>文件要求密封的</w:t>
      </w:r>
      <w:r>
        <w:rPr>
          <w:rFonts w:hint="eastAsia" w:asciiTheme="minorEastAsia" w:hAnsiTheme="minorEastAsia" w:eastAsiaTheme="minorEastAsia" w:cstheme="minorEastAsia"/>
          <w:color w:val="auto"/>
          <w:kern w:val="0"/>
          <w:szCs w:val="21"/>
          <w:highlight w:val="none"/>
        </w:rPr>
        <w:t>响应文件，</w:t>
      </w:r>
      <w:r>
        <w:rPr>
          <w:rFonts w:hint="eastAsia" w:ascii="Times New Roman" w:hAnsi="Times New Roman"/>
          <w:color w:val="auto"/>
          <w:highlight w:val="none"/>
        </w:rPr>
        <w:t>采购人、采购代理机构应当拒收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21.响应文件的补充、修改或者撤回</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21.1　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规定的提交首次响应文件截止时间前，供应商可以</w:t>
      </w:r>
      <w:r>
        <w:rPr>
          <w:rFonts w:hint="eastAsia" w:asciiTheme="minorEastAsia" w:hAnsiTheme="minorEastAsia" w:eastAsiaTheme="minorEastAsia" w:cstheme="minorEastAsia"/>
          <w:color w:val="auto"/>
          <w:kern w:val="0"/>
          <w:szCs w:val="21"/>
          <w:highlight w:val="none"/>
          <w:lang w:val="en-US" w:eastAsia="zh-CN"/>
        </w:rPr>
        <w:t>书面形式修改、补充或撤回已递交的响应文件</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但应以书面形式</w:t>
      </w:r>
      <w:r>
        <w:rPr>
          <w:rFonts w:hint="eastAsia" w:asciiTheme="minorEastAsia" w:hAnsiTheme="minorEastAsia" w:eastAsiaTheme="minorEastAsia" w:cstheme="minorEastAsia"/>
          <w:color w:val="auto"/>
          <w:kern w:val="0"/>
          <w:szCs w:val="21"/>
          <w:highlight w:val="none"/>
        </w:rPr>
        <w:t>通知采购人或采购代理机构。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21.2　修改、补充的内容为</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文件的组成部分。修改、补充的</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文件应按本章第18、19、20项规定编制、签署、密封、标记和递交，并标明“修改、补充”字样。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21.3　</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按本章21.1款撤回</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文件的，采购人或采购代理机构自收到</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书面撤回通知之日起5个工作日内，退还已收取的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保证金，但因</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自身原因导致无法及时退还的除外。</w:t>
      </w:r>
    </w:p>
    <w:p>
      <w:pPr>
        <w:pStyle w:val="2"/>
        <w:ind w:firstLine="420" w:firstLineChars="200"/>
        <w:rPr>
          <w:rFonts w:hint="eastAsia"/>
          <w:b w:val="0"/>
          <w:bCs w:val="0"/>
          <w:color w:val="auto"/>
          <w:highlight w:val="none"/>
        </w:rPr>
      </w:pPr>
      <w:r>
        <w:rPr>
          <w:rFonts w:hint="eastAsia"/>
          <w:b w:val="0"/>
          <w:bCs w:val="0"/>
          <w:color w:val="auto"/>
          <w:highlight w:val="none"/>
        </w:rPr>
        <w:t>21.4　</w:t>
      </w:r>
      <w:r>
        <w:rPr>
          <w:rFonts w:hint="eastAsia"/>
          <w:b w:val="0"/>
          <w:bCs w:val="0"/>
          <w:color w:val="auto"/>
          <w:highlight w:val="none"/>
          <w:lang w:eastAsia="zh-CN"/>
        </w:rPr>
        <w:t>供应商</w:t>
      </w:r>
      <w:r>
        <w:rPr>
          <w:rFonts w:hint="eastAsia"/>
          <w:b w:val="0"/>
          <w:bCs w:val="0"/>
          <w:color w:val="auto"/>
          <w:highlight w:val="none"/>
        </w:rPr>
        <w:t>在</w:t>
      </w:r>
      <w:r>
        <w:rPr>
          <w:rFonts w:hint="eastAsia"/>
          <w:b w:val="0"/>
          <w:bCs w:val="0"/>
          <w:color w:val="auto"/>
          <w:highlight w:val="none"/>
          <w:lang w:eastAsia="zh-CN"/>
        </w:rPr>
        <w:t>磋商</w:t>
      </w:r>
      <w:r>
        <w:rPr>
          <w:rFonts w:hint="eastAsia"/>
          <w:b w:val="0"/>
          <w:bCs w:val="0"/>
          <w:color w:val="auto"/>
          <w:highlight w:val="none"/>
        </w:rPr>
        <w:t>有效期内不得修改、撤销其</w:t>
      </w:r>
      <w:r>
        <w:rPr>
          <w:rFonts w:hint="eastAsia"/>
          <w:b w:val="0"/>
          <w:bCs w:val="0"/>
          <w:color w:val="auto"/>
          <w:highlight w:val="none"/>
          <w:lang w:eastAsia="zh-CN"/>
        </w:rPr>
        <w:t>响应</w:t>
      </w:r>
      <w:r>
        <w:rPr>
          <w:rFonts w:hint="eastAsia"/>
          <w:b w:val="0"/>
          <w:bCs w:val="0"/>
          <w:color w:val="auto"/>
          <w:highlight w:val="none"/>
        </w:rPr>
        <w:t>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四、磋商与评审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22.磋商小组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22.1　磋商与评审由依法组建的磋商小组负责，磋商小组由采购人代表和评审专家组成。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23.初步审查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　磋商小组应当对供应商提交的首次响应文件进行初步审查，包括响应文件的有效性、完整性、符合性。除可变动的技术、服务要求以及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外，首次提交的响应文件有下列情况之一，其响应文件无效，磋商小组应当告知有关供应商。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(1)供应商未按照磋商文件规定提交磋商保证金的；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(2)未按照磋商文件规定要求密封、签署、盖章的；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(3)响应有效期不足的；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(4)供应商不满足磋商文件供应商资格条件或未按照磋商文件规定提供资格证明材料的；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(5)响应文件不满足磋商文件实质性条款的。响应文件是否实质性响应磋商文件，由磋商小组依据磋商文件规定、供应商响应文件及磋商情况认定；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(6)供应商存在失信记录的：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w:t>
      </w:r>
      <w:r>
        <w:rPr>
          <w:rFonts w:hint="eastAsia" w:asciiTheme="minorEastAsia" w:hAnsiTheme="minorEastAsia" w:eastAsiaTheme="minorEastAsia" w:cstheme="minorEastAsia"/>
          <w:color w:val="auto"/>
          <w:kern w:val="0"/>
          <w:szCs w:val="21"/>
          <w:highlight w:val="none"/>
          <w:lang w:eastAsia="zh-CN"/>
        </w:rPr>
        <w:t>供应商资格条件第</w:t>
      </w:r>
      <w:r>
        <w:rPr>
          <w:rFonts w:hint="eastAsia" w:asciiTheme="minorEastAsia" w:hAnsiTheme="minorEastAsia" w:eastAsiaTheme="minorEastAsia" w:cstheme="minorEastAsia"/>
          <w:color w:val="auto"/>
          <w:kern w:val="0"/>
          <w:szCs w:val="21"/>
          <w:highlight w:val="none"/>
          <w:lang w:val="en-US" w:eastAsia="zh-CN"/>
        </w:rPr>
        <w:t>1项</w:t>
      </w:r>
      <w:r>
        <w:rPr>
          <w:rFonts w:hint="eastAsia" w:asciiTheme="minorEastAsia" w:hAnsiTheme="minorEastAsia" w:eastAsiaTheme="minorEastAsia" w:cstheme="minorEastAsia"/>
          <w:color w:val="auto"/>
          <w:kern w:val="0"/>
          <w:szCs w:val="21"/>
          <w:highlight w:val="none"/>
          <w:lang w:eastAsia="zh-CN"/>
        </w:rPr>
        <w:t>条款</w:t>
      </w:r>
      <w:r>
        <w:rPr>
          <w:rFonts w:hint="eastAsia" w:asciiTheme="minorEastAsia" w:hAnsiTheme="minorEastAsia" w:eastAsiaTheme="minorEastAsia" w:cstheme="minorEastAsia"/>
          <w:color w:val="auto"/>
          <w:kern w:val="0"/>
          <w:szCs w:val="21"/>
          <w:highlight w:val="none"/>
        </w:rPr>
        <w:t>的情况。</w:t>
      </w:r>
      <w:r>
        <w:rPr>
          <w:rFonts w:hint="eastAsia" w:hAnsi="宋体" w:cs="Times New Roman"/>
          <w:color w:val="auto"/>
          <w:highlight w:val="none"/>
        </w:rPr>
        <w:t>两个以上的自然人、法人或者其他组织组成一个联合体，以一个供应商的身份共同参加采购活动的，应当对所有联合体成员进行信</w:t>
      </w:r>
      <w:r>
        <w:rPr>
          <w:rFonts w:hint="eastAsia" w:ascii="Times New Roman" w:hAnsi="Times New Roman"/>
          <w:color w:val="auto"/>
          <w:highlight w:val="none"/>
        </w:rPr>
        <w:t>用记录查询，联合体成员存在不良信用记录的，视同联合体存在不良信用记录。</w:t>
      </w:r>
      <w:r>
        <w:rPr>
          <w:rFonts w:hint="eastAsia" w:asciiTheme="minorEastAsia" w:hAnsiTheme="minorEastAsia" w:eastAsiaTheme="minorEastAsia" w:cstheme="minorEastAsia"/>
          <w:color w:val="auto"/>
          <w:kern w:val="0"/>
          <w:szCs w:val="21"/>
          <w:highlight w:val="none"/>
        </w:rPr>
        <w:t>失信情况查询</w:t>
      </w:r>
      <w:r>
        <w:rPr>
          <w:rFonts w:hint="eastAsia" w:asciiTheme="minorEastAsia" w:hAnsiTheme="minorEastAsia" w:eastAsiaTheme="minorEastAsia" w:cstheme="minorEastAsia"/>
          <w:color w:val="auto"/>
          <w:kern w:val="0"/>
          <w:szCs w:val="21"/>
          <w:highlight w:val="none"/>
          <w:lang w:val="en-US" w:eastAsia="zh-CN"/>
        </w:rPr>
        <w:t>方法</w:t>
      </w:r>
      <w:r>
        <w:rPr>
          <w:rFonts w:hint="eastAsia" w:asciiTheme="minorEastAsia" w:hAnsiTheme="minorEastAsia" w:eastAsiaTheme="minorEastAsia" w:cstheme="minorEastAsia"/>
          <w:color w:val="auto"/>
          <w:kern w:val="0"/>
          <w:szCs w:val="21"/>
          <w:highlight w:val="none"/>
        </w:rPr>
        <w:t>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(7)其他不符合法律、规章、规范性文件和磋商文件规定的。</w:t>
      </w:r>
    </w:p>
    <w:p>
      <w:pPr>
        <w:pStyle w:val="20"/>
        <w:spacing w:line="440" w:lineRule="exact"/>
        <w:ind w:firstLine="400" w:firstLineChars="200"/>
        <w:rPr>
          <w:rFonts w:ascii="Times New Roman" w:hAnsi="Times New Roman" w:eastAsia="MingLiU_HKSCS" w:cs="Times New Roman"/>
          <w:color w:val="auto"/>
          <w:highlight w:val="none"/>
        </w:rPr>
      </w:pPr>
      <w:r>
        <w:rPr>
          <w:rFonts w:hint="eastAsia" w:ascii="Times New Roman" w:hAnsi="Times New Roman"/>
          <w:color w:val="auto"/>
          <w:highlight w:val="none"/>
        </w:rPr>
        <w:t>23.2　已经进行资格预审的，可以不再对供应商资格进行审查，资格预审合格的供应商在评审阶段资格发生变化的，应当通知采购人和采购代理机构。</w:t>
      </w:r>
    </w:p>
    <w:p>
      <w:pPr>
        <w:pStyle w:val="20"/>
        <w:spacing w:line="440" w:lineRule="exact"/>
        <w:ind w:firstLine="400" w:firstLineChars="200"/>
        <w:rPr>
          <w:rFonts w:ascii="Times New Roman" w:hAnsi="Times New Roman"/>
          <w:color w:val="auto"/>
          <w:highlight w:val="none"/>
        </w:rPr>
      </w:pPr>
      <w:r>
        <w:rPr>
          <w:rFonts w:ascii="Times New Roman" w:hAnsi="Times New Roman"/>
          <w:color w:val="auto"/>
          <w:highlight w:val="none"/>
        </w:rPr>
        <w:t>2</w:t>
      </w:r>
      <w:r>
        <w:rPr>
          <w:rFonts w:hint="eastAsia" w:ascii="Times New Roman"/>
          <w:color w:val="auto"/>
          <w:highlight w:val="none"/>
          <w:lang w:val="en-US" w:eastAsia="zh-CN"/>
        </w:rPr>
        <w:t>4.</w:t>
      </w:r>
      <w:r>
        <w:rPr>
          <w:rFonts w:hint="eastAsia" w:ascii="Times New Roman" w:hAnsi="Times New Roman"/>
          <w:color w:val="auto"/>
          <w:highlight w:val="none"/>
        </w:rPr>
        <w:t>核价原则</w:t>
      </w:r>
    </w:p>
    <w:p>
      <w:pPr>
        <w:pStyle w:val="20"/>
        <w:spacing w:line="440" w:lineRule="exact"/>
        <w:ind w:firstLine="400" w:firstLineChars="200"/>
        <w:rPr>
          <w:rFonts w:ascii="Times New Roman" w:hAnsi="Times New Roman" w:eastAsia="MingLiU_HKSCS" w:cs="Times New Roman"/>
          <w:color w:val="auto"/>
          <w:highlight w:val="none"/>
        </w:rPr>
      </w:pPr>
      <w:r>
        <w:rPr>
          <w:rFonts w:hint="eastAsia" w:ascii="Times New Roman"/>
          <w:color w:val="auto"/>
          <w:highlight w:val="none"/>
          <w:lang w:val="en-US" w:eastAsia="zh-CN"/>
        </w:rPr>
        <w:t>首次递交的</w:t>
      </w:r>
      <w:r>
        <w:rPr>
          <w:rFonts w:hint="eastAsia" w:ascii="Times New Roman" w:hAnsi="Times New Roman"/>
          <w:color w:val="auto"/>
          <w:highlight w:val="none"/>
        </w:rPr>
        <w:t>报价出现前后不一致的，除</w:t>
      </w:r>
      <w:r>
        <w:rPr>
          <w:rFonts w:hint="eastAsia" w:ascii="Times New Roman"/>
          <w:color w:val="auto"/>
          <w:highlight w:val="none"/>
          <w:lang w:val="en-US" w:eastAsia="zh-CN"/>
        </w:rPr>
        <w:t>磋商</w:t>
      </w:r>
      <w:r>
        <w:rPr>
          <w:rFonts w:hint="eastAsia" w:ascii="Times New Roman" w:hAnsi="Times New Roman"/>
          <w:color w:val="auto"/>
          <w:highlight w:val="none"/>
        </w:rPr>
        <w:t>文件另有规定外</w:t>
      </w:r>
      <w:r>
        <w:rPr>
          <w:rFonts w:hint="eastAsia" w:ascii="Times New Roman" w:hAnsi="Times New Roman" w:cs="MingLiU_HKSCS"/>
          <w:color w:val="auto"/>
          <w:highlight w:val="none"/>
        </w:rPr>
        <w:t>，</w:t>
      </w:r>
      <w:r>
        <w:rPr>
          <w:rFonts w:hint="eastAsia" w:ascii="Times New Roman" w:hAnsi="Times New Roman"/>
          <w:color w:val="auto"/>
          <w:highlight w:val="none"/>
        </w:rPr>
        <w:t>按照下列规定修正：</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color w:val="auto"/>
          <w:highlight w:val="none"/>
          <w:lang w:val="en-US" w:eastAsia="zh-CN"/>
        </w:rPr>
        <w:t>磋商</w:t>
      </w:r>
      <w:r>
        <w:rPr>
          <w:rFonts w:hint="eastAsia" w:ascii="Times New Roman" w:hAnsi="Times New Roman"/>
          <w:color w:val="auto"/>
          <w:highlight w:val="none"/>
        </w:rPr>
        <w:t>文件中报价表内容与</w:t>
      </w:r>
      <w:r>
        <w:rPr>
          <w:rFonts w:hint="eastAsia" w:ascii="Times New Roman"/>
          <w:color w:val="auto"/>
          <w:highlight w:val="none"/>
          <w:lang w:val="en-US" w:eastAsia="zh-CN"/>
        </w:rPr>
        <w:t>磋商</w:t>
      </w:r>
      <w:r>
        <w:rPr>
          <w:rFonts w:hint="eastAsia" w:ascii="Times New Roman" w:hAnsi="Times New Roman"/>
          <w:color w:val="auto"/>
          <w:highlight w:val="none"/>
        </w:rPr>
        <w:t>文件中相应内容不一致的</w:t>
      </w:r>
      <w:r>
        <w:rPr>
          <w:rFonts w:hint="eastAsia" w:ascii="Times New Roman" w:hAnsi="Times New Roman" w:eastAsia="MingLiU_HKSCS" w:cs="MingLiU_HKSCS"/>
          <w:color w:val="auto"/>
          <w:highlight w:val="none"/>
        </w:rPr>
        <w:t>，</w:t>
      </w:r>
      <w:r>
        <w:rPr>
          <w:rFonts w:hint="eastAsia" w:ascii="Times New Roman" w:hAnsi="Times New Roman"/>
          <w:color w:val="auto"/>
          <w:highlight w:val="none"/>
        </w:rPr>
        <w:t>以报价表为准；</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olor w:val="auto"/>
          <w:highlight w:val="none"/>
        </w:rPr>
        <w:t>大写金额和小写金额不一致的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以大写金额为准；</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olor w:val="auto"/>
          <w:highlight w:val="none"/>
        </w:rPr>
        <w:t>单价金额小数点或者百分比有明显错位的</w:t>
      </w:r>
      <w:r>
        <w:rPr>
          <w:rFonts w:hint="eastAsia" w:ascii="Times New Roman" w:hAnsi="Times New Roman" w:cs="MingLiU_HKSCS"/>
          <w:color w:val="auto"/>
          <w:highlight w:val="none"/>
        </w:rPr>
        <w:t>，</w:t>
      </w:r>
      <w:r>
        <w:rPr>
          <w:rFonts w:hint="eastAsia" w:ascii="Times New Roman" w:hAnsi="Times New Roman"/>
          <w:color w:val="auto"/>
          <w:highlight w:val="none"/>
        </w:rPr>
        <w:t>以报价表的总价为准</w:t>
      </w:r>
      <w:r>
        <w:rPr>
          <w:rFonts w:hint="eastAsia" w:ascii="Times New Roman" w:hAnsi="Times New Roman" w:cs="MingLiU_HKSCS"/>
          <w:color w:val="auto"/>
          <w:highlight w:val="none"/>
        </w:rPr>
        <w:t>，</w:t>
      </w:r>
      <w:r>
        <w:rPr>
          <w:rFonts w:hint="eastAsia" w:ascii="Times New Roman" w:hAnsi="Times New Roman"/>
          <w:color w:val="auto"/>
          <w:highlight w:val="none"/>
        </w:rPr>
        <w:t>并修改单价；</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olor w:val="auto"/>
          <w:highlight w:val="none"/>
        </w:rPr>
        <w:t>总价金额与按单价汇总金额不一致的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以单价金额计算结果为准。</w:t>
      </w:r>
    </w:p>
    <w:p>
      <w:pPr>
        <w:pStyle w:val="20"/>
        <w:spacing w:line="440" w:lineRule="exact"/>
        <w:ind w:firstLine="400" w:firstLineChars="200"/>
        <w:rPr>
          <w:rFonts w:ascii="Times New Roman" w:hAnsi="Times New Roman" w:eastAsia="MingLiU_HKSCS" w:cs="Times New Roman"/>
          <w:color w:val="auto"/>
          <w:highlight w:val="none"/>
        </w:rPr>
      </w:pPr>
      <w:r>
        <w:rPr>
          <w:rFonts w:hint="eastAsia" w:hAnsi="宋体"/>
          <w:color w:val="auto"/>
          <w:highlight w:val="none"/>
        </w:rPr>
        <w:t>★</w:t>
      </w:r>
      <w:r>
        <w:rPr>
          <w:rFonts w:hint="eastAsia" w:ascii="Times New Roman" w:hAnsi="Times New Roman"/>
          <w:color w:val="auto"/>
          <w:highlight w:val="none"/>
        </w:rPr>
        <w:t>同时出现两种以上不一致的</w:t>
      </w:r>
      <w:r>
        <w:rPr>
          <w:rFonts w:hint="eastAsia" w:ascii="Times New Roman" w:hAnsi="Times New Roman" w:cs="MingLiU_HKSCS"/>
          <w:color w:val="auto"/>
          <w:highlight w:val="none"/>
        </w:rPr>
        <w:t>，</w:t>
      </w:r>
      <w:r>
        <w:rPr>
          <w:rFonts w:hint="eastAsia" w:ascii="Times New Roman" w:hAnsi="Times New Roman"/>
          <w:color w:val="auto"/>
          <w:highlight w:val="none"/>
        </w:rPr>
        <w:t>按照前款规定的顺序修正。修正后的报价按照上述规定经</w:t>
      </w:r>
      <w:r>
        <w:rPr>
          <w:rFonts w:hint="eastAsia" w:ascii="Times New Roman"/>
          <w:color w:val="auto"/>
          <w:highlight w:val="none"/>
          <w:lang w:val="en-US" w:eastAsia="zh-CN"/>
        </w:rPr>
        <w:t>供应商</w:t>
      </w:r>
      <w:r>
        <w:rPr>
          <w:rFonts w:hint="eastAsia" w:ascii="Times New Roman" w:hAnsi="Times New Roman"/>
          <w:color w:val="auto"/>
          <w:highlight w:val="none"/>
        </w:rPr>
        <w:t>确认后产生约束力</w:t>
      </w:r>
      <w:r>
        <w:rPr>
          <w:rFonts w:hint="eastAsia" w:ascii="Times New Roman" w:hAnsi="Times New Roman" w:cs="MingLiU_HKSCS"/>
          <w:color w:val="auto"/>
          <w:highlight w:val="none"/>
        </w:rPr>
        <w:t>，</w:t>
      </w:r>
      <w:r>
        <w:rPr>
          <w:rFonts w:hint="eastAsia" w:ascii="Times New Roman"/>
          <w:color w:val="auto"/>
          <w:highlight w:val="none"/>
          <w:lang w:val="en-US" w:eastAsia="zh-CN"/>
        </w:rPr>
        <w:t>供应商</w:t>
      </w:r>
      <w:r>
        <w:rPr>
          <w:rFonts w:hint="eastAsia" w:ascii="Times New Roman" w:hAnsi="Times New Roman"/>
          <w:color w:val="auto"/>
          <w:highlight w:val="none"/>
        </w:rPr>
        <w:t>不确认的</w:t>
      </w:r>
      <w:r>
        <w:rPr>
          <w:rFonts w:hint="eastAsia" w:ascii="Times New Roman" w:hAnsi="Times New Roman" w:cs="MingLiU_HKSCS"/>
          <w:color w:val="auto"/>
          <w:highlight w:val="none"/>
        </w:rPr>
        <w:t>，</w:t>
      </w:r>
      <w:r>
        <w:rPr>
          <w:rFonts w:hint="eastAsia" w:ascii="Times New Roman" w:hAnsi="Times New Roman"/>
          <w:color w:val="auto"/>
          <w:highlight w:val="none"/>
        </w:rPr>
        <w:t>其</w:t>
      </w:r>
      <w:r>
        <w:rPr>
          <w:rFonts w:hint="eastAsia" w:ascii="Times New Roman"/>
          <w:color w:val="auto"/>
          <w:highlight w:val="none"/>
          <w:lang w:val="en-US" w:eastAsia="zh-CN"/>
        </w:rPr>
        <w:t>磋商</w:t>
      </w:r>
      <w:r>
        <w:rPr>
          <w:rFonts w:hint="eastAsia" w:ascii="Times New Roman" w:hAnsi="Times New Roman"/>
          <w:color w:val="auto"/>
          <w:highlight w:val="none"/>
        </w:rPr>
        <w:t>无效。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响应文件</w:t>
      </w:r>
      <w:r>
        <w:rPr>
          <w:rFonts w:hint="eastAsia" w:asciiTheme="minorEastAsia" w:hAnsiTheme="minorEastAsia" w:eastAsiaTheme="minorEastAsia" w:cstheme="minorEastAsia"/>
          <w:color w:val="auto"/>
          <w:kern w:val="0"/>
          <w:szCs w:val="21"/>
          <w:highlight w:val="none"/>
        </w:rPr>
        <w:t>澄清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或其授权代表签字，供应商的澄清、说明或者更正不得超出磋商文件的范围或者改变响应文件的实质性内容。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.1　初审结束后，磋商小组所有成员集中与单一供应商分别进行磋商，并给予所有参加磋商的供应商平等的磋商机会。供应商应派其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或授权代表参加磋商。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.2　在磋商过程中，磋商小组可以根据磋商文件和磋商情况实质性变动采购需求中的技术、服务要求以及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，但不得变动磋商文件中的其他内容。实质性变动的内容，须经采购人代表确认。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.3　对磋商文件作出的实质性变动是磋商文件的有效组成部分，磋商小组应当及时以书面形式同时通知所有参加磋商的供应商。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.4　供应商应当按照磋商文件的变动情况和磋商小组的要求重新提交响应文件，并由其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或授权代表签字或者加盖公章。由授权代表签字的，应当附</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授权书。供应商为自然人的，应当由本人签字并附身份证明。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磋商小组应当根据实际情况与供应商进行磋商，并确定磋商的轮次。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已提交响应文件的供应商，在提交最后报价之前，可以根据磋商情况退出磋商。采购人或采购代理机构应当退还退出磋商的供应商的磋商保证金。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　磋商结束后，供应商按照磋商小组要求重新提交的响应文件，不满足磋商文件及变动后的技术、服务要求以及</w:t>
      </w:r>
      <w:r>
        <w:rPr>
          <w:rFonts w:hint="eastAsia" w:asciiTheme="minorEastAsia" w:hAnsiTheme="minorEastAsia" w:eastAsiaTheme="minorEastAsia" w:cstheme="minorEastAsia"/>
          <w:color w:val="auto"/>
          <w:kern w:val="0"/>
          <w:szCs w:val="21"/>
          <w:highlight w:val="none"/>
          <w:lang w:eastAsia="zh-CN"/>
        </w:rPr>
        <w:t>合同文本</w:t>
      </w:r>
      <w:r>
        <w:rPr>
          <w:rFonts w:hint="eastAsia" w:asciiTheme="minorEastAsia" w:hAnsiTheme="minorEastAsia" w:eastAsiaTheme="minorEastAsia" w:cstheme="minorEastAsia"/>
          <w:color w:val="auto"/>
          <w:kern w:val="0"/>
          <w:szCs w:val="21"/>
          <w:highlight w:val="none"/>
        </w:rPr>
        <w:t>的实质性要求的，将视为无效响应文件。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.最后报价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.1　磋商结束后，磋商小组应当要求所有实质性响应的供应商在规定时间内提交最后报价，提交最后报价的供应商原则上不得少于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.2　磋商文件不能详细列明采购标的技术、服务要求，需经磋商由供应商提供最终设计方案或解决方案的，磋商结束后，磋商小组应当按照少数服从多数的原则投票推荐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olor w:val="auto"/>
          <w:kern w:val="0"/>
          <w:szCs w:val="21"/>
          <w:highlight w:val="none"/>
          <w:lang w:eastAsia="zh-CN"/>
        </w:rPr>
        <w:t>原则上</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家以上供应商的设计方案或者解决方案，经评审小组同意也可为2家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并要求其在规定时间内提交最后报价</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.3　最后报价是供应商响应文件的有效组成部分。如磋商小组没有对磋商文件作实质性变动或增加新的需求，最后报价不得高于首轮报价。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.最后报价评审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.1　最后报价计算错误修正的原则</w:t>
      </w:r>
    </w:p>
    <w:p>
      <w:pPr>
        <w:pStyle w:val="20"/>
        <w:spacing w:line="440" w:lineRule="exact"/>
        <w:ind w:firstLine="400" w:firstLineChars="200"/>
        <w:rPr>
          <w:rFonts w:ascii="Times New Roman" w:hAnsi="Times New Roman" w:eastAsia="MingLiU_HKSCS" w:cs="Times New Roman"/>
          <w:color w:val="auto"/>
          <w:highlight w:val="none"/>
        </w:rPr>
      </w:pPr>
      <w:r>
        <w:rPr>
          <w:rFonts w:hint="eastAsia" w:ascii="Times New Roman"/>
          <w:color w:val="auto"/>
          <w:highlight w:val="none"/>
          <w:lang w:val="en-US" w:eastAsia="zh-CN"/>
        </w:rPr>
        <w:t>最后递交的</w:t>
      </w:r>
      <w:r>
        <w:rPr>
          <w:rFonts w:hint="eastAsia" w:ascii="Times New Roman" w:hAnsi="Times New Roman"/>
          <w:color w:val="auto"/>
          <w:highlight w:val="none"/>
        </w:rPr>
        <w:t>报价出现前后不一致的，除</w:t>
      </w:r>
      <w:r>
        <w:rPr>
          <w:rFonts w:hint="eastAsia" w:ascii="Times New Roman"/>
          <w:color w:val="auto"/>
          <w:highlight w:val="none"/>
          <w:lang w:val="en-US" w:eastAsia="zh-CN"/>
        </w:rPr>
        <w:t>磋商</w:t>
      </w:r>
      <w:r>
        <w:rPr>
          <w:rFonts w:hint="eastAsia" w:ascii="Times New Roman" w:hAnsi="Times New Roman"/>
          <w:color w:val="auto"/>
          <w:highlight w:val="none"/>
        </w:rPr>
        <w:t>文件另有规定外</w:t>
      </w:r>
      <w:r>
        <w:rPr>
          <w:rFonts w:hint="eastAsia" w:ascii="Times New Roman" w:hAnsi="Times New Roman" w:cs="MingLiU_HKSCS"/>
          <w:color w:val="auto"/>
          <w:highlight w:val="none"/>
        </w:rPr>
        <w:t>，</w:t>
      </w:r>
      <w:r>
        <w:rPr>
          <w:rFonts w:hint="eastAsia" w:ascii="Times New Roman" w:hAnsi="Times New Roman"/>
          <w:color w:val="auto"/>
          <w:highlight w:val="none"/>
        </w:rPr>
        <w:t>按照下列规定修正：</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color w:val="auto"/>
          <w:highlight w:val="none"/>
          <w:lang w:val="en-US" w:eastAsia="zh-CN"/>
        </w:rPr>
        <w:t>最后递交的</w:t>
      </w:r>
      <w:r>
        <w:rPr>
          <w:rFonts w:hint="eastAsia" w:ascii="Times New Roman" w:hAnsi="Times New Roman"/>
          <w:color w:val="auto"/>
          <w:highlight w:val="none"/>
        </w:rPr>
        <w:t>报价表内容与</w:t>
      </w:r>
      <w:r>
        <w:rPr>
          <w:rFonts w:hint="eastAsia" w:ascii="Times New Roman"/>
          <w:color w:val="auto"/>
          <w:highlight w:val="none"/>
          <w:lang w:val="en-US" w:eastAsia="zh-CN"/>
        </w:rPr>
        <w:t>磋商</w:t>
      </w:r>
      <w:r>
        <w:rPr>
          <w:rFonts w:hint="eastAsia" w:ascii="Times New Roman" w:hAnsi="Times New Roman"/>
          <w:color w:val="auto"/>
          <w:highlight w:val="none"/>
        </w:rPr>
        <w:t>文件中相应内容不一致的</w:t>
      </w:r>
      <w:r>
        <w:rPr>
          <w:rFonts w:hint="eastAsia" w:ascii="Times New Roman" w:hAnsi="Times New Roman" w:eastAsia="MingLiU_HKSCS" w:cs="MingLiU_HKSCS"/>
          <w:color w:val="auto"/>
          <w:highlight w:val="none"/>
        </w:rPr>
        <w:t>，</w:t>
      </w:r>
      <w:r>
        <w:rPr>
          <w:rFonts w:hint="eastAsia" w:ascii="Times New Roman" w:hAnsi="Times New Roman"/>
          <w:color w:val="auto"/>
          <w:highlight w:val="none"/>
        </w:rPr>
        <w:t>以报价表为准；</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olor w:val="auto"/>
          <w:highlight w:val="none"/>
        </w:rPr>
        <w:t>大写金额和小写金额不一致的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以大写金额为准；</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olor w:val="auto"/>
          <w:highlight w:val="none"/>
        </w:rPr>
        <w:t>单价金额小数点或者百分比有明显错位的</w:t>
      </w:r>
      <w:r>
        <w:rPr>
          <w:rFonts w:hint="eastAsia" w:ascii="Times New Roman" w:hAnsi="Times New Roman" w:cs="MingLiU_HKSCS"/>
          <w:color w:val="auto"/>
          <w:highlight w:val="none"/>
        </w:rPr>
        <w:t>，</w:t>
      </w:r>
      <w:r>
        <w:rPr>
          <w:rFonts w:hint="eastAsia" w:ascii="Times New Roman" w:hAnsi="Times New Roman"/>
          <w:color w:val="auto"/>
          <w:highlight w:val="none"/>
        </w:rPr>
        <w:t>以</w:t>
      </w:r>
      <w:r>
        <w:rPr>
          <w:rFonts w:hint="eastAsia" w:ascii="Times New Roman"/>
          <w:color w:val="auto"/>
          <w:highlight w:val="none"/>
          <w:lang w:val="en-US" w:eastAsia="zh-CN"/>
        </w:rPr>
        <w:t>最后递交的</w:t>
      </w:r>
      <w:r>
        <w:rPr>
          <w:rFonts w:hint="eastAsia" w:ascii="Times New Roman" w:hAnsi="Times New Roman"/>
          <w:color w:val="auto"/>
          <w:highlight w:val="none"/>
        </w:rPr>
        <w:t>报价表的总价为准</w:t>
      </w:r>
      <w:r>
        <w:rPr>
          <w:rFonts w:hint="eastAsia" w:ascii="Times New Roman" w:hAnsi="Times New Roman" w:cs="MingLiU_HKSCS"/>
          <w:color w:val="auto"/>
          <w:highlight w:val="none"/>
        </w:rPr>
        <w:t>，</w:t>
      </w:r>
      <w:r>
        <w:rPr>
          <w:rFonts w:hint="eastAsia" w:ascii="Times New Roman" w:hAnsi="Times New Roman"/>
          <w:color w:val="auto"/>
          <w:highlight w:val="none"/>
        </w:rPr>
        <w:t>并修改单价；</w:t>
      </w:r>
    </w:p>
    <w:p>
      <w:pPr>
        <w:pStyle w:val="20"/>
        <w:spacing w:line="440" w:lineRule="exact"/>
        <w:ind w:firstLine="40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olor w:val="auto"/>
          <w:highlight w:val="none"/>
        </w:rPr>
        <w:t>总价金额与按单价汇总金额不一致的</w:t>
      </w:r>
      <w:r>
        <w:rPr>
          <w:rFonts w:hint="eastAsia" w:ascii="Times New Roman" w:hAnsi="Times New Roman" w:cs="MingLiU_HKSCS"/>
          <w:color w:val="auto"/>
          <w:highlight w:val="none"/>
        </w:rPr>
        <w:t>，</w:t>
      </w:r>
      <w:r>
        <w:rPr>
          <w:rFonts w:hint="eastAsia" w:ascii="Times New Roman" w:hAnsi="Times New Roman"/>
          <w:color w:val="auto"/>
          <w:highlight w:val="none"/>
        </w:rPr>
        <w:t>以单价金额计算结果为准。</w:t>
      </w:r>
    </w:p>
    <w:p>
      <w:pPr>
        <w:pStyle w:val="20"/>
        <w:spacing w:line="440" w:lineRule="exact"/>
        <w:ind w:firstLine="400" w:firstLineChars="200"/>
        <w:rPr>
          <w:rFonts w:ascii="Times New Roman" w:hAnsi="Times New Roman" w:eastAsia="MingLiU_HKSCS" w:cs="Times New Roman"/>
          <w:color w:val="auto"/>
          <w:highlight w:val="none"/>
        </w:rPr>
      </w:pPr>
      <w:r>
        <w:rPr>
          <w:rFonts w:hint="eastAsia" w:hAnsi="宋体"/>
          <w:color w:val="auto"/>
          <w:highlight w:val="none"/>
        </w:rPr>
        <w:t>★</w:t>
      </w:r>
      <w:r>
        <w:rPr>
          <w:rFonts w:hint="eastAsia" w:ascii="Times New Roman" w:hAnsi="Times New Roman"/>
          <w:color w:val="auto"/>
          <w:highlight w:val="none"/>
        </w:rPr>
        <w:t>同时出现两种以上不一致的</w:t>
      </w:r>
      <w:r>
        <w:rPr>
          <w:rFonts w:hint="eastAsia" w:ascii="Times New Roman" w:hAnsi="Times New Roman" w:cs="MingLiU_HKSCS"/>
          <w:color w:val="auto"/>
          <w:highlight w:val="none"/>
        </w:rPr>
        <w:t>，</w:t>
      </w:r>
      <w:r>
        <w:rPr>
          <w:rFonts w:hint="eastAsia" w:ascii="Times New Roman" w:hAnsi="Times New Roman"/>
          <w:color w:val="auto"/>
          <w:highlight w:val="none"/>
        </w:rPr>
        <w:t>按照前款规定的顺序修正。修正后的报价按照上述规定经</w:t>
      </w:r>
      <w:r>
        <w:rPr>
          <w:rFonts w:hint="eastAsia" w:ascii="Times New Roman"/>
          <w:color w:val="auto"/>
          <w:highlight w:val="none"/>
          <w:lang w:val="en-US" w:eastAsia="zh-CN"/>
        </w:rPr>
        <w:t>供应商</w:t>
      </w:r>
      <w:r>
        <w:rPr>
          <w:rFonts w:hint="eastAsia" w:ascii="Times New Roman" w:hAnsi="Times New Roman"/>
          <w:color w:val="auto"/>
          <w:highlight w:val="none"/>
        </w:rPr>
        <w:t>确认后产生约束力</w:t>
      </w:r>
      <w:r>
        <w:rPr>
          <w:rFonts w:hint="eastAsia" w:ascii="Times New Roman" w:hAnsi="Times New Roman" w:cs="MingLiU_HKSCS"/>
          <w:color w:val="auto"/>
          <w:highlight w:val="none"/>
        </w:rPr>
        <w:t>，</w:t>
      </w:r>
      <w:r>
        <w:rPr>
          <w:rFonts w:hint="eastAsia" w:ascii="Times New Roman"/>
          <w:color w:val="auto"/>
          <w:highlight w:val="none"/>
          <w:lang w:val="en-US" w:eastAsia="zh-CN"/>
        </w:rPr>
        <w:t>供应商</w:t>
      </w:r>
      <w:r>
        <w:rPr>
          <w:rFonts w:hint="eastAsia" w:ascii="Times New Roman" w:hAnsi="Times New Roman"/>
          <w:color w:val="auto"/>
          <w:highlight w:val="none"/>
        </w:rPr>
        <w:t>不确认的</w:t>
      </w:r>
      <w:r>
        <w:rPr>
          <w:rFonts w:hint="eastAsia" w:ascii="Times New Roman" w:hAnsi="Times New Roman" w:cs="MingLiU_HKSCS"/>
          <w:color w:val="auto"/>
          <w:highlight w:val="none"/>
        </w:rPr>
        <w:t>，</w:t>
      </w:r>
      <w:r>
        <w:rPr>
          <w:rFonts w:hint="eastAsia" w:ascii="Times New Roman" w:hAnsi="Times New Roman"/>
          <w:color w:val="auto"/>
          <w:highlight w:val="none"/>
        </w:rPr>
        <w:t>其</w:t>
      </w:r>
      <w:r>
        <w:rPr>
          <w:rFonts w:hint="eastAsia" w:ascii="Times New Roman"/>
          <w:color w:val="auto"/>
          <w:highlight w:val="none"/>
          <w:lang w:val="en-US" w:eastAsia="zh-CN"/>
        </w:rPr>
        <w:t>磋商</w:t>
      </w:r>
      <w:r>
        <w:rPr>
          <w:rFonts w:hint="eastAsia" w:ascii="Times New Roman" w:hAnsi="Times New Roman"/>
          <w:color w:val="auto"/>
          <w:highlight w:val="none"/>
        </w:rPr>
        <w:t>无效。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价格得分：以供应商的最后报价作为价格评分依据。供应商的评审价为按上述</w:t>
      </w:r>
      <w:r>
        <w:rPr>
          <w:rFonts w:hint="eastAsia" w:asciiTheme="minorEastAsia" w:hAnsiTheme="minorEastAsia" w:eastAsiaTheme="minorEastAsia" w:cstheme="minorEastAsia"/>
          <w:color w:val="auto"/>
          <w:kern w:val="0"/>
          <w:szCs w:val="21"/>
          <w:highlight w:val="none"/>
          <w:lang w:val="en-US" w:eastAsia="zh-CN"/>
        </w:rPr>
        <w:t>28.1</w:t>
      </w:r>
      <w:r>
        <w:rPr>
          <w:rFonts w:hint="eastAsia" w:asciiTheme="minorEastAsia" w:hAnsiTheme="minorEastAsia" w:eastAsiaTheme="minorEastAsia" w:cstheme="minorEastAsia"/>
          <w:color w:val="auto"/>
          <w:kern w:val="0"/>
          <w:szCs w:val="21"/>
          <w:highlight w:val="none"/>
        </w:rPr>
        <w:t>条款修正后的价格。</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价格评分统一采用低价优先法计算，即满足磋商文件要求且价格最低的评审价为评审基准价，其价格分为满分。其他供应商的价格分统一按照下列公式计算：</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价格评分＝(评审基准价/评审价)×价格分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.综合评审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.1　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.2　评审办法及标准见第三章。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.3　评审时，磋商小组成员应当独立对每个有效响应的文件进行评价、打分，然后汇总每个供应商每项评分因素的得分。</w:t>
      </w:r>
    </w:p>
    <w:p>
      <w:pPr>
        <w:pStyle w:val="20"/>
        <w:spacing w:line="440" w:lineRule="exact"/>
        <w:ind w:firstLine="400" w:firstLineChars="200"/>
        <w:rPr>
          <w:rFonts w:ascii="Times New Roman" w:hAnsi="Times New Roman" w:eastAsia="MingLiU_HKSCS" w:cs="Times New Roman"/>
          <w:color w:val="auto"/>
          <w:highlight w:val="none"/>
        </w:rPr>
      </w:pPr>
      <w:r>
        <w:rPr>
          <w:rFonts w:hint="eastAsia" w:hAnsi="宋体"/>
          <w:color w:val="auto"/>
          <w:highlight w:val="none"/>
        </w:rPr>
        <w:t>★</w:t>
      </w:r>
      <w:r>
        <w:rPr>
          <w:rFonts w:hint="eastAsia" w:asciiTheme="minorEastAsia" w:hAnsiTheme="minorEastAsia" w:eastAsiaTheme="minorEastAsia" w:cstheme="minorEastAsia"/>
          <w:color w:val="auto"/>
          <w:kern w:val="0"/>
          <w:szCs w:val="21"/>
          <w:highlight w:val="none"/>
          <w:lang w:val="en-US" w:eastAsia="zh-CN"/>
        </w:rPr>
        <w:t xml:space="preserve">29.4 </w:t>
      </w:r>
      <w:r>
        <w:rPr>
          <w:rFonts w:hint="eastAsia" w:ascii="Times New Roman" w:eastAsiaTheme="minorEastAsia"/>
          <w:color w:val="auto"/>
          <w:highlight w:val="none"/>
          <w:lang w:val="en-US" w:eastAsia="zh-CN"/>
        </w:rPr>
        <w:t>磋商小组</w:t>
      </w:r>
      <w:r>
        <w:rPr>
          <w:rFonts w:hint="eastAsia" w:ascii="Times New Roman" w:hAnsi="Times New Roman"/>
          <w:color w:val="auto"/>
          <w:highlight w:val="none"/>
        </w:rPr>
        <w:t>认为</w:t>
      </w:r>
      <w:r>
        <w:rPr>
          <w:rFonts w:hint="eastAsia" w:ascii="Times New Roman"/>
          <w:color w:val="auto"/>
          <w:highlight w:val="none"/>
          <w:lang w:val="en-US" w:eastAsia="zh-CN"/>
        </w:rPr>
        <w:t>供应商</w:t>
      </w:r>
      <w:r>
        <w:rPr>
          <w:rFonts w:hint="eastAsia" w:ascii="Times New Roman" w:hAnsi="Times New Roman"/>
          <w:color w:val="auto"/>
          <w:highlight w:val="none"/>
        </w:rPr>
        <w:t>的报价明显低于其他通过符合性审查</w:t>
      </w:r>
      <w:r>
        <w:rPr>
          <w:rFonts w:hint="eastAsia" w:ascii="Times New Roman"/>
          <w:color w:val="auto"/>
          <w:highlight w:val="none"/>
          <w:lang w:val="en-US" w:eastAsia="zh-CN"/>
        </w:rPr>
        <w:t>供应商</w:t>
      </w:r>
      <w:r>
        <w:rPr>
          <w:rFonts w:hint="eastAsia" w:ascii="Times New Roman" w:hAnsi="Times New Roman"/>
          <w:color w:val="auto"/>
          <w:highlight w:val="none"/>
        </w:rPr>
        <w:t>的报价</w:t>
      </w:r>
      <w:r>
        <w:rPr>
          <w:rFonts w:hint="eastAsia" w:ascii="Times New Roman" w:hAnsi="Times New Roman" w:cs="MingLiU_HKSCS"/>
          <w:color w:val="auto"/>
          <w:highlight w:val="none"/>
        </w:rPr>
        <w:t>，</w:t>
      </w:r>
      <w:r>
        <w:rPr>
          <w:rFonts w:hint="eastAsia" w:ascii="Times New Roman" w:hAnsi="Times New Roman"/>
          <w:color w:val="auto"/>
          <w:highlight w:val="none"/>
        </w:rPr>
        <w:t>有可能影响产品</w:t>
      </w:r>
      <w:r>
        <w:rPr>
          <w:rFonts w:hint="eastAsia" w:asciiTheme="minorEastAsia" w:hAnsiTheme="minorEastAsia" w:eastAsiaTheme="minorEastAsia" w:cstheme="minorEastAsia"/>
          <w:bCs/>
          <w:color w:val="auto"/>
          <w:sz w:val="21"/>
          <w:szCs w:val="21"/>
          <w:highlight w:val="none"/>
        </w:rPr>
        <w:t>（或服务）</w:t>
      </w:r>
      <w:r>
        <w:rPr>
          <w:rFonts w:hint="eastAsia" w:ascii="Times New Roman" w:hAnsi="Times New Roman"/>
          <w:color w:val="auto"/>
          <w:highlight w:val="none"/>
        </w:rPr>
        <w:t>质量或者不能诚信履约的</w:t>
      </w:r>
      <w:r>
        <w:rPr>
          <w:rFonts w:hint="eastAsia" w:ascii="Times New Roman" w:hAnsi="Times New Roman" w:cs="MingLiU_HKSCS"/>
          <w:color w:val="auto"/>
          <w:highlight w:val="none"/>
        </w:rPr>
        <w:t>，</w:t>
      </w:r>
      <w:r>
        <w:rPr>
          <w:rFonts w:hint="eastAsia" w:ascii="Times New Roman" w:hAnsi="Times New Roman"/>
          <w:color w:val="auto"/>
          <w:highlight w:val="none"/>
        </w:rPr>
        <w:t>应当要求其在</w:t>
      </w:r>
      <w:r>
        <w:rPr>
          <w:rFonts w:hint="eastAsia" w:ascii="Times New Roman"/>
          <w:color w:val="auto"/>
          <w:highlight w:val="none"/>
          <w:lang w:val="en-US" w:eastAsia="zh-CN"/>
        </w:rPr>
        <w:t>评审</w:t>
      </w:r>
      <w:r>
        <w:rPr>
          <w:rFonts w:hint="eastAsia" w:ascii="Times New Roman" w:hAnsi="Times New Roman"/>
          <w:color w:val="auto"/>
          <w:highlight w:val="none"/>
        </w:rPr>
        <w:t>现场合理的时间内提供书面说明</w:t>
      </w:r>
      <w:r>
        <w:rPr>
          <w:rFonts w:hint="eastAsia" w:ascii="Times New Roman" w:hAnsi="Times New Roman" w:cs="MingLiU_HKSCS"/>
          <w:color w:val="auto"/>
          <w:highlight w:val="none"/>
        </w:rPr>
        <w:t>，</w:t>
      </w:r>
      <w:r>
        <w:rPr>
          <w:rFonts w:hint="eastAsia" w:ascii="Times New Roman" w:hAnsi="Times New Roman"/>
          <w:color w:val="auto"/>
          <w:highlight w:val="none"/>
        </w:rPr>
        <w:t>必要时提交相关证明材料；</w:t>
      </w:r>
      <w:r>
        <w:rPr>
          <w:rFonts w:hint="eastAsia" w:ascii="Times New Roman"/>
          <w:color w:val="auto"/>
          <w:highlight w:val="none"/>
          <w:lang w:val="en-US" w:eastAsia="zh-CN"/>
        </w:rPr>
        <w:t>供应商</w:t>
      </w:r>
      <w:r>
        <w:rPr>
          <w:rFonts w:hint="eastAsia" w:ascii="Times New Roman" w:hAnsi="Times New Roman"/>
          <w:color w:val="auto"/>
          <w:highlight w:val="none"/>
        </w:rPr>
        <w:t>不能证明其报价合理性的</w:t>
      </w:r>
      <w:r>
        <w:rPr>
          <w:rFonts w:hint="eastAsia" w:ascii="Times New Roman" w:hAnsi="Times New Roman" w:cs="MingLiU_HKSCS"/>
          <w:color w:val="auto"/>
          <w:highlight w:val="none"/>
        </w:rPr>
        <w:t>，</w:t>
      </w:r>
      <w:r>
        <w:rPr>
          <w:rFonts w:hint="eastAsia" w:ascii="Times New Roman" w:eastAsiaTheme="minorEastAsia"/>
          <w:color w:val="auto"/>
          <w:highlight w:val="none"/>
          <w:lang w:val="en-US" w:eastAsia="zh-CN"/>
        </w:rPr>
        <w:t>磋商小组</w:t>
      </w:r>
      <w:r>
        <w:rPr>
          <w:rFonts w:hint="eastAsia" w:ascii="Times New Roman" w:hAnsi="Times New Roman"/>
          <w:color w:val="auto"/>
          <w:highlight w:val="none"/>
        </w:rPr>
        <w:t>应当将其作为无效</w:t>
      </w:r>
      <w:r>
        <w:rPr>
          <w:rFonts w:hint="eastAsia" w:ascii="Times New Roman"/>
          <w:color w:val="auto"/>
          <w:highlight w:val="none"/>
          <w:lang w:val="en-US" w:eastAsia="zh-CN"/>
        </w:rPr>
        <w:t>磋商</w:t>
      </w:r>
      <w:r>
        <w:rPr>
          <w:rFonts w:hint="eastAsia" w:ascii="Times New Roman" w:hAnsi="Times New Roman"/>
          <w:color w:val="auto"/>
          <w:highlight w:val="none"/>
        </w:rPr>
        <w:t>处理。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.提出成交供应商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.1　磋商小组应当按照综合评分由高到低的顺序提出3名以上成交候选供应商，并编写评审报告。经评审小组同意也可推荐2家成交候选供应商。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.2　评审得分相同的，按照最后报价由低到高的顺序推荐。评审得分且最后报价相同的，按照</w:t>
      </w:r>
      <w:r>
        <w:rPr>
          <w:rFonts w:hint="eastAsia" w:asciiTheme="minorEastAsia" w:hAnsiTheme="minorEastAsia" w:eastAsiaTheme="minorEastAsia" w:cstheme="minorEastAsia"/>
          <w:b/>
          <w:bCs/>
          <w:color w:val="auto"/>
          <w:kern w:val="0"/>
          <w:szCs w:val="21"/>
          <w:highlight w:val="none"/>
          <w:lang w:val="en-US" w:eastAsia="zh-CN"/>
        </w:rPr>
        <w:t>磋商须知前附表</w:t>
      </w:r>
      <w:r>
        <w:rPr>
          <w:rFonts w:hint="eastAsia" w:asciiTheme="minorEastAsia" w:hAnsiTheme="minorEastAsia" w:eastAsiaTheme="minorEastAsia" w:cstheme="minorEastAsia"/>
          <w:color w:val="auto"/>
          <w:sz w:val="21"/>
          <w:szCs w:val="21"/>
          <w:highlight w:val="none"/>
          <w:lang w:eastAsia="zh-CN"/>
        </w:rPr>
        <w:t>评定成交的标准</w:t>
      </w:r>
      <w:r>
        <w:rPr>
          <w:rFonts w:hint="eastAsia" w:asciiTheme="minorEastAsia" w:hAnsiTheme="minorEastAsia" w:eastAsiaTheme="minorEastAsia" w:cstheme="minorEastAsia"/>
          <w:color w:val="auto"/>
          <w:sz w:val="21"/>
          <w:szCs w:val="21"/>
          <w:highlight w:val="none"/>
          <w:lang w:val="en-US" w:eastAsia="zh-CN"/>
        </w:rPr>
        <w:t>中规定</w:t>
      </w:r>
      <w:r>
        <w:rPr>
          <w:rFonts w:hint="eastAsia" w:asciiTheme="minorEastAsia" w:hAnsiTheme="minorEastAsia" w:eastAsiaTheme="minorEastAsia" w:cstheme="minorEastAsia"/>
          <w:color w:val="auto"/>
          <w:kern w:val="0"/>
          <w:szCs w:val="21"/>
          <w:highlight w:val="none"/>
        </w:rPr>
        <w:t>的顺序推荐。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.1　采购代理机构应当在评审结束之日起2个工作日内将评审报告送采购人确认。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.2　采购人应当在收到评审报告之日起5个工作日内，从评审报告提出的成交候选供应商中，按照排序由高到低的原则确定成交供应商，也可以书面授权磋商小组直接确定成交供应商。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.3　采购人自行组织磋商的，应当在评审结束之日起5个工作日内确定成交供应商。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.磋商终止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.1　出现下列情形之一的，采购人或者采购代理机构应当终止磋商采购活动，在指定的媒体上发布项目终止公告并说明原因，重新开展采购活动：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(1)因情况变化，不再符合规定的磋商采购方式适用情形的；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(2)出现影响采购公正的违法、违规行为的；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(3)采购过程中符合竞争要求的供应商或者报价未超过采购预算的供应商不足</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家的，或者提交最后报价的供应商少于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w:t>
      </w:r>
      <w:r>
        <w:rPr>
          <w:rFonts w:hint="eastAsia" w:asciiTheme="minorEastAsia" w:hAnsiTheme="minorEastAsia" w:eastAsiaTheme="minorEastAsia" w:cstheme="minorEastAsia"/>
          <w:color w:val="auto"/>
          <w:kern w:val="0"/>
          <w:szCs w:val="21"/>
          <w:highlight w:val="none"/>
          <w:lang w:eastAsia="zh-CN"/>
        </w:rPr>
        <w:t>，除</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的情形外（</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(4)因重大变故，采购任务取消的。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.1　除资格性检查认定错误、分值汇总计算错误、分项评分超出评分标准范围、客观分评分不一致、经磋商小组一致认定评分畸高、畸低的情形外，采购人或者采购代理机构不得以任何理由组织重新评审。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.保密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.1　磋商小组成员以及与评审工作有关的人员不得泄露评审情况以及评审过程中获悉的国家秘密、商业秘密。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.禁止行为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.1　供应商不得与采购人、采购代理机构、其他供应商恶意串通；不得向采购人、采购代理机构或者磋商小组成员行贿或者提供其他不正当利益；不得提供虚假材料谋取成交；不得以任何方式干扰、影响采购工作。</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五、成交结果信息公布与签订合同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.成交信息的公布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.1　成交供应商确定之日起2个工作日内，采购人或者采购代理机构应</w:t>
      </w:r>
      <w:r>
        <w:rPr>
          <w:rFonts w:hint="eastAsia" w:asciiTheme="minorEastAsia" w:hAnsiTheme="minorEastAsia" w:eastAsiaTheme="minorEastAsia" w:cstheme="minorEastAsia"/>
          <w:color w:val="auto"/>
          <w:kern w:val="0"/>
          <w:szCs w:val="21"/>
          <w:highlight w:val="none"/>
          <w:lang w:val="en-US" w:eastAsia="zh-CN"/>
        </w:rPr>
        <w:t>将</w:t>
      </w:r>
      <w:r>
        <w:rPr>
          <w:rFonts w:hint="eastAsia" w:asciiTheme="minorEastAsia" w:hAnsiTheme="minorEastAsia" w:eastAsiaTheme="minorEastAsia" w:cstheme="minorEastAsia"/>
          <w:color w:val="auto"/>
          <w:kern w:val="0"/>
          <w:szCs w:val="21"/>
          <w:highlight w:val="none"/>
        </w:rPr>
        <w:t>成交结果在磋商须知前附表中规定的公告媒体上公布。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.2　磋商文件随成交结果同时公告。但成交结果公告前磋商文件已公告的，不再重复公告。</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.3　采用书面推荐供应商参加采购活动的，在公告结果同时公告采购人和评审专家的推荐意见。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.成交通知</w:t>
      </w:r>
    </w:p>
    <w:p>
      <w:pPr>
        <w:pStyle w:val="20"/>
        <w:spacing w:line="440" w:lineRule="exact"/>
        <w:ind w:firstLine="400" w:firstLineChars="200"/>
        <w:rPr>
          <w:rFonts w:ascii="Times New Roman" w:hAnsi="Times New Roman" w:eastAsia="MingLiU_HKSCS" w:cs="Times New Roman"/>
          <w:color w:val="auto"/>
          <w:highlight w:val="none"/>
        </w:rPr>
      </w:pPr>
      <w:r>
        <w:rPr>
          <w:rFonts w:hint="eastAsia" w:ascii="Times New Roman" w:hAnsi="Times New Roman"/>
          <w:color w:val="auto"/>
          <w:highlight w:val="none"/>
        </w:rPr>
        <w:t>采购人或者采购代理机构应当自发布</w:t>
      </w:r>
      <w:r>
        <w:rPr>
          <w:rFonts w:hint="eastAsia" w:ascii="Times New Roman"/>
          <w:color w:val="auto"/>
          <w:highlight w:val="none"/>
          <w:lang w:val="en-US" w:eastAsia="zh-CN"/>
        </w:rPr>
        <w:t>成交</w:t>
      </w:r>
      <w:r>
        <w:rPr>
          <w:rFonts w:hint="eastAsia" w:ascii="Times New Roman" w:hAnsi="Times New Roman"/>
          <w:color w:val="auto"/>
          <w:highlight w:val="none"/>
        </w:rPr>
        <w:t>公告的同时</w:t>
      </w:r>
      <w:r>
        <w:rPr>
          <w:rFonts w:hint="eastAsia" w:ascii="Times New Roman" w:hAnsi="Times New Roman" w:cs="MingLiU_HKSCS"/>
          <w:color w:val="auto"/>
          <w:highlight w:val="none"/>
        </w:rPr>
        <w:t>，</w:t>
      </w:r>
      <w:r>
        <w:rPr>
          <w:rFonts w:hint="eastAsia" w:ascii="Times New Roman" w:hAnsi="Times New Roman"/>
          <w:color w:val="auto"/>
          <w:highlight w:val="none"/>
        </w:rPr>
        <w:t>发出</w:t>
      </w:r>
      <w:r>
        <w:rPr>
          <w:rFonts w:hint="eastAsia" w:ascii="Times New Roman"/>
          <w:color w:val="auto"/>
          <w:highlight w:val="none"/>
          <w:lang w:val="en-US" w:eastAsia="zh-CN"/>
        </w:rPr>
        <w:t>成交</w:t>
      </w:r>
      <w:r>
        <w:rPr>
          <w:rFonts w:hint="eastAsia" w:ascii="Times New Roman" w:hAnsi="Times New Roman"/>
          <w:color w:val="auto"/>
          <w:highlight w:val="none"/>
        </w:rPr>
        <w:t>通知书</w:t>
      </w:r>
      <w:r>
        <w:rPr>
          <w:rFonts w:hint="eastAsia" w:ascii="Times New Roman" w:hAnsi="Times New Roman" w:cs="MingLiU_HKSCS"/>
          <w:color w:val="auto"/>
          <w:highlight w:val="none"/>
        </w:rPr>
        <w:t>，</w:t>
      </w:r>
      <w:r>
        <w:rPr>
          <w:rFonts w:hint="eastAsia" w:ascii="Times New Roman"/>
          <w:color w:val="auto"/>
          <w:highlight w:val="none"/>
          <w:lang w:val="en-US" w:eastAsia="zh-CN"/>
        </w:rPr>
        <w:t>成交</w:t>
      </w:r>
      <w:r>
        <w:rPr>
          <w:rFonts w:hint="eastAsia" w:ascii="Times New Roman" w:hAnsi="Times New Roman"/>
          <w:color w:val="auto"/>
          <w:highlight w:val="none"/>
        </w:rPr>
        <w:t>通知书对采购人和</w:t>
      </w:r>
      <w:r>
        <w:rPr>
          <w:rFonts w:hint="eastAsia" w:ascii="Times New Roman"/>
          <w:color w:val="auto"/>
          <w:highlight w:val="none"/>
          <w:lang w:val="en-US" w:eastAsia="zh-CN"/>
        </w:rPr>
        <w:t>成交供应商</w:t>
      </w:r>
      <w:r>
        <w:rPr>
          <w:rFonts w:hint="eastAsia" w:ascii="Times New Roman" w:hAnsi="Times New Roman"/>
          <w:color w:val="auto"/>
          <w:highlight w:val="none"/>
        </w:rPr>
        <w:t>具有同等法律效力。</w:t>
      </w:r>
    </w:p>
    <w:p>
      <w:pPr>
        <w:pStyle w:val="20"/>
        <w:spacing w:line="440" w:lineRule="exact"/>
        <w:ind w:firstLine="400" w:firstLineChars="200"/>
        <w:rPr>
          <w:rFonts w:ascii="Times New Roman" w:hAnsi="Times New Roman" w:eastAsia="MingLiU_HKSCS" w:cs="Times New Roman"/>
          <w:color w:val="auto"/>
          <w:highlight w:val="none"/>
        </w:rPr>
      </w:pPr>
      <w:r>
        <w:rPr>
          <w:rFonts w:hint="eastAsia" w:ascii="Times New Roman"/>
          <w:color w:val="auto"/>
          <w:highlight w:val="none"/>
          <w:lang w:val="en-US" w:eastAsia="zh-CN"/>
        </w:rPr>
        <w:t>成交</w:t>
      </w:r>
      <w:r>
        <w:rPr>
          <w:rFonts w:hint="eastAsia" w:ascii="Times New Roman" w:hAnsi="Times New Roman"/>
          <w:color w:val="auto"/>
          <w:highlight w:val="none"/>
        </w:rPr>
        <w:t>通知书发出后</w:t>
      </w:r>
      <w:r>
        <w:rPr>
          <w:rFonts w:hint="eastAsia" w:ascii="Times New Roman" w:hAnsi="Times New Roman" w:cs="MingLiU_HKSCS"/>
          <w:color w:val="auto"/>
          <w:highlight w:val="none"/>
        </w:rPr>
        <w:t>，</w:t>
      </w:r>
      <w:r>
        <w:rPr>
          <w:rFonts w:hint="eastAsia" w:ascii="Times New Roman"/>
          <w:color w:val="auto"/>
          <w:highlight w:val="none"/>
          <w:lang w:val="en-US" w:eastAsia="zh-CN"/>
        </w:rPr>
        <w:t>成交供应商</w:t>
      </w:r>
      <w:r>
        <w:rPr>
          <w:rFonts w:hint="eastAsia" w:ascii="Times New Roman" w:hAnsi="Times New Roman"/>
          <w:color w:val="auto"/>
          <w:highlight w:val="none"/>
        </w:rPr>
        <w:t>无正当理由不得放弃</w:t>
      </w:r>
      <w:r>
        <w:rPr>
          <w:rFonts w:hint="eastAsia" w:ascii="Times New Roman"/>
          <w:color w:val="auto"/>
          <w:highlight w:val="none"/>
          <w:lang w:val="en-US" w:eastAsia="zh-CN"/>
        </w:rPr>
        <w:t>成交</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.履约保证金</w:t>
      </w:r>
    </w:p>
    <w:p>
      <w:pPr>
        <w:spacing w:line="360" w:lineRule="auto"/>
        <w:ind w:firstLine="420" w:firstLineChars="200"/>
        <w:rPr>
          <w:rFonts w:hint="eastAsia" w:eastAsia="宋体" w:asciiTheme="minorEastAsia" w:hAnsi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.1　</w:t>
      </w:r>
      <w:r>
        <w:rPr>
          <w:rFonts w:hint="eastAsia" w:ascii="Times New Roman" w:hAnsi="Times New Roman"/>
          <w:color w:val="auto"/>
          <w:highlight w:val="none"/>
        </w:rPr>
        <w:t>本项目是否缴纳履约保证金见</w:t>
      </w:r>
      <w:r>
        <w:rPr>
          <w:rFonts w:hint="eastAsia"/>
          <w:b/>
          <w:color w:val="auto"/>
          <w:highlight w:val="none"/>
          <w:lang w:val="en-US" w:eastAsia="zh-CN"/>
        </w:rPr>
        <w:t>磋商</w:t>
      </w:r>
      <w:r>
        <w:rPr>
          <w:rFonts w:hint="eastAsia" w:ascii="Times New Roman" w:hAnsi="Times New Roman"/>
          <w:b/>
          <w:color w:val="auto"/>
          <w:highlight w:val="none"/>
        </w:rPr>
        <w:t>须知前附表</w:t>
      </w:r>
      <w:r>
        <w:rPr>
          <w:rFonts w:hint="eastAsia"/>
          <w:b/>
          <w:color w:val="auto"/>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 xml:space="preserve">38.2 </w:t>
      </w:r>
      <w:r>
        <w:rPr>
          <w:rFonts w:hint="eastAsia" w:asciiTheme="minorEastAsia" w:hAnsiTheme="minorEastAsia" w:eastAsiaTheme="minorEastAsia" w:cstheme="minorEastAsia"/>
          <w:color w:val="auto"/>
          <w:kern w:val="0"/>
          <w:szCs w:val="21"/>
          <w:highlight w:val="none"/>
        </w:rPr>
        <w:t>磋商须知前附表</w:t>
      </w:r>
      <w:r>
        <w:rPr>
          <w:rFonts w:hint="eastAsia" w:ascii="Times New Roman" w:hAnsi="Times New Roman"/>
          <w:color w:val="auto"/>
          <w:highlight w:val="none"/>
        </w:rPr>
        <w:t>规定交纳履约保证金的</w:t>
      </w:r>
      <w:r>
        <w:rPr>
          <w:rFonts w:hint="eastAsia" w:asciiTheme="minorEastAsia" w:hAnsiTheme="minorEastAsia" w:eastAsiaTheme="minorEastAsia" w:cstheme="minorEastAsia"/>
          <w:color w:val="auto"/>
          <w:kern w:val="0"/>
          <w:szCs w:val="21"/>
          <w:highlight w:val="none"/>
        </w:rPr>
        <w:t>，</w:t>
      </w:r>
      <w:r>
        <w:rPr>
          <w:rFonts w:hint="eastAsia" w:ascii="Times New Roman"/>
          <w:color w:val="auto"/>
          <w:highlight w:val="none"/>
          <w:lang w:val="en-US" w:eastAsia="zh-CN"/>
        </w:rPr>
        <w:t>成交供应商</w:t>
      </w:r>
      <w:r>
        <w:rPr>
          <w:rFonts w:hint="eastAsia" w:asciiTheme="minorEastAsia" w:hAnsiTheme="minorEastAsia" w:eastAsiaTheme="minorEastAsia" w:cstheme="minorEastAsia"/>
          <w:color w:val="auto"/>
          <w:kern w:val="0"/>
          <w:szCs w:val="21"/>
          <w:highlight w:val="none"/>
        </w:rPr>
        <w:t>在签订采购合同前，向采购人提交履约保证金。联合体成交的，履约保证金以联合体各方或联合体中牵头人的名义提交。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成交供应商没有按照磋商须知前附表的规定提交履约保证金的，视为</w:t>
      </w:r>
      <w:r>
        <w:rPr>
          <w:rFonts w:hint="eastAsia" w:asciiTheme="minorEastAsia" w:hAnsiTheme="minorEastAsia" w:eastAsiaTheme="minorEastAsia" w:cstheme="minorEastAsia"/>
          <w:color w:val="auto"/>
          <w:kern w:val="0"/>
          <w:szCs w:val="21"/>
          <w:highlight w:val="none"/>
          <w:lang w:val="en-US" w:eastAsia="zh-CN"/>
        </w:rPr>
        <w:t>成交后</w:t>
      </w:r>
      <w:r>
        <w:rPr>
          <w:rFonts w:hint="eastAsia" w:ascii="Times New Roman" w:hAnsi="Times New Roman"/>
          <w:color w:val="auto"/>
          <w:highlight w:val="none"/>
        </w:rPr>
        <w:t>无正当理由不与采购人签订合同</w:t>
      </w:r>
      <w:r>
        <w:rPr>
          <w:rFonts w:hint="eastAsia" w:asciiTheme="minorEastAsia" w:hAnsiTheme="minorEastAsia" w:eastAsiaTheme="minorEastAsia" w:cstheme="minorEastAsia"/>
          <w:color w:val="auto"/>
          <w:kern w:val="0"/>
          <w:szCs w:val="21"/>
          <w:highlight w:val="none"/>
        </w:rPr>
        <w:t>，其磋商保证金不予退还。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.1　磋商文件</w:t>
      </w:r>
      <w:r>
        <w:rPr>
          <w:rFonts w:hint="eastAsia" w:asciiTheme="minorEastAsia" w:hAnsiTheme="minorEastAsia" w:eastAsiaTheme="minorEastAsia" w:cstheme="minorEastAsia"/>
          <w:color w:val="auto"/>
          <w:kern w:val="0"/>
          <w:szCs w:val="21"/>
          <w:highlight w:val="none"/>
          <w:lang w:val="en-US" w:eastAsia="zh-CN"/>
        </w:rPr>
        <w:t>和</w:t>
      </w:r>
      <w:r>
        <w:rPr>
          <w:rFonts w:hint="eastAsia" w:asciiTheme="minorEastAsia" w:hAnsiTheme="minorEastAsia" w:eastAsiaTheme="minorEastAsia" w:cstheme="minorEastAsia"/>
          <w:color w:val="auto"/>
          <w:kern w:val="0"/>
          <w:szCs w:val="21"/>
          <w:highlight w:val="none"/>
        </w:rPr>
        <w:t>成交供应商的响应文件等均为签订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合同的依据。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.2　成交供应商应当在成交通知书发出之日起</w:t>
      </w: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日内</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与采购人签订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rPr>
        <w:t>.3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六、其他规定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.采购代理服务费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.1　成交供应商是否交纳采购代理服务费及相关要求见磋商须知前附表。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.询问、质疑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.1　供应商对</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活动事项有疑问的，可以向采购人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提出询</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.2　供应商认为磋商文件、磋商过程和成交结果使自己的权益受到损害的，可以在知道或者应知其权益受到损害之日起7个工作日内，以书面形式向采购人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提出质疑。供应商应在法定质疑期内一次性提出针对同一采购程序环节的质疑。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.3　供应商提出质疑的，应提供质疑函原件。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41</w:t>
      </w:r>
      <w:r>
        <w:rPr>
          <w:rFonts w:hint="eastAsia" w:asciiTheme="minorEastAsia" w:hAnsiTheme="minorEastAsia" w:eastAsiaTheme="minorEastAsia" w:cstheme="minorEastAsia"/>
          <w:color w:val="auto"/>
          <w:kern w:val="0"/>
          <w:szCs w:val="21"/>
          <w:highlight w:val="none"/>
        </w:rPr>
        <w:t>.4　质疑函应当由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法定代表人（负责人）或其授权的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代表签字并加盖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单位章，质疑函由授权的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代表签字的应附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法定代表人（负责人）委托授权书。</w:t>
      </w:r>
    </w:p>
    <w:p>
      <w:pPr>
        <w:pStyle w:val="20"/>
        <w:spacing w:line="440" w:lineRule="exact"/>
        <w:ind w:firstLine="42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42.其他规定。</w:t>
      </w:r>
    </w:p>
    <w:p>
      <w:pPr>
        <w:pStyle w:val="20"/>
        <w:spacing w:line="440" w:lineRule="exact"/>
        <w:ind w:firstLine="42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响应文件的其他规定见</w:t>
      </w:r>
      <w:r>
        <w:rPr>
          <w:rFonts w:hint="eastAsia" w:asciiTheme="minorEastAsia" w:hAnsiTheme="minorEastAsia" w:eastAsiaTheme="minorEastAsia" w:cstheme="minorEastAsia"/>
          <w:b/>
          <w:bCs/>
          <w:color w:val="auto"/>
          <w:kern w:val="0"/>
          <w:sz w:val="21"/>
          <w:szCs w:val="21"/>
          <w:highlight w:val="none"/>
          <w:lang w:val="en-US" w:eastAsia="zh-CN" w:bidi="ar-SA"/>
        </w:rPr>
        <w:t>磋商须知前附表</w:t>
      </w:r>
      <w:r>
        <w:rPr>
          <w:rFonts w:hint="eastAsia" w:asciiTheme="minorEastAsia" w:hAnsiTheme="minorEastAsia" w:eastAsiaTheme="minorEastAsia" w:cstheme="minorEastAsia"/>
          <w:color w:val="auto"/>
          <w:kern w:val="0"/>
          <w:sz w:val="21"/>
          <w:szCs w:val="21"/>
          <w:highlight w:val="none"/>
          <w:lang w:val="en-US" w:eastAsia="zh-CN" w:bidi="ar-SA"/>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43</w:t>
      </w:r>
      <w:r>
        <w:rPr>
          <w:rFonts w:hint="eastAsia" w:asciiTheme="minorEastAsia" w:hAnsiTheme="minorEastAsia" w:eastAsiaTheme="minorEastAsia" w:cstheme="minorEastAsia"/>
          <w:color w:val="auto"/>
          <w:kern w:val="0"/>
          <w:szCs w:val="21"/>
          <w:highlight w:val="none"/>
        </w:rPr>
        <w:t>.文件解释权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43</w:t>
      </w:r>
      <w:r>
        <w:rPr>
          <w:rFonts w:hint="eastAsia" w:asciiTheme="minorEastAsia" w:hAnsiTheme="minorEastAsia" w:eastAsiaTheme="minorEastAsia" w:cstheme="minorEastAsia"/>
          <w:color w:val="auto"/>
          <w:kern w:val="0"/>
          <w:szCs w:val="21"/>
          <w:highlight w:val="none"/>
        </w:rPr>
        <w:t>.1　本</w:t>
      </w:r>
      <w:r>
        <w:rPr>
          <w:rFonts w:hint="eastAsia" w:asciiTheme="minorEastAsia" w:hAnsiTheme="minorEastAsia" w:eastAsiaTheme="minorEastAsia" w:cstheme="minorEastAsia"/>
          <w:color w:val="auto"/>
          <w:kern w:val="0"/>
          <w:szCs w:val="21"/>
          <w:highlight w:val="none"/>
          <w:lang w:val="en-US" w:eastAsia="zh-CN"/>
        </w:rPr>
        <w:t>采购</w:t>
      </w:r>
      <w:r>
        <w:rPr>
          <w:rFonts w:hint="eastAsia" w:asciiTheme="minorEastAsia" w:hAnsiTheme="minorEastAsia" w:eastAsiaTheme="minorEastAsia" w:cstheme="minorEastAsia"/>
          <w:color w:val="auto"/>
          <w:kern w:val="0"/>
          <w:szCs w:val="21"/>
          <w:highlight w:val="none"/>
        </w:rPr>
        <w:t>文件的解释权归采购人(或采购代理机构)所有。</w:t>
      </w:r>
    </w:p>
    <w:p>
      <w:pPr>
        <w:rPr>
          <w:rFonts w:hint="eastAsia"/>
          <w:color w:val="auto"/>
          <w:highlight w:val="none"/>
        </w:rPr>
      </w:pPr>
    </w:p>
    <w:p>
      <w:pPr>
        <w:pStyle w:val="3"/>
        <w:rPr>
          <w:rFonts w:hint="eastAsia"/>
          <w:color w:val="auto"/>
          <w:highlight w:val="none"/>
        </w:rPr>
      </w:pPr>
    </w:p>
    <w:bookmarkEnd w:id="53"/>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54" w:name="_Toc22872"/>
      <w:r>
        <w:rPr>
          <w:rFonts w:hint="eastAsia" w:asciiTheme="minorEastAsia" w:hAnsiTheme="minorEastAsia" w:eastAsiaTheme="minorEastAsia" w:cstheme="minorEastAsia"/>
          <w:b/>
          <w:color w:val="auto"/>
          <w:sz w:val="28"/>
          <w:szCs w:val="28"/>
          <w:highlight w:val="none"/>
        </w:rPr>
        <w:t>第三章 评审方法及标准</w:t>
      </w:r>
      <w:bookmarkEnd w:id="54"/>
    </w:p>
    <w:p>
      <w:pPr>
        <w:pStyle w:val="20"/>
        <w:spacing w:line="360" w:lineRule="auto"/>
        <w:ind w:firstLine="434" w:firstLineChars="216"/>
        <w:rPr>
          <w:rFonts w:hint="eastAsia" w:asciiTheme="minorEastAsia" w:hAnsiTheme="minorEastAsia" w:eastAsiaTheme="minorEastAsia" w:cstheme="minorEastAsia"/>
          <w:b/>
          <w:color w:val="auto"/>
          <w:highlight w:val="none"/>
        </w:rPr>
      </w:pPr>
    </w:p>
    <w:p>
      <w:pPr>
        <w:pStyle w:val="20"/>
        <w:spacing w:line="360" w:lineRule="auto"/>
        <w:ind w:firstLine="455" w:firstLineChars="21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一、评审原则</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（一）磋商小组构成：本项目的磋商小组分别由采购人代表和</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w:t>
      </w:r>
      <w:r>
        <w:rPr>
          <w:rFonts w:hint="eastAsia" w:asciiTheme="minorEastAsia" w:hAnsiTheme="minorEastAsia" w:eastAsiaTheme="minorEastAsia" w:cstheme="minorEastAsia"/>
          <w:bCs/>
          <w:color w:val="auto"/>
          <w:sz w:val="21"/>
          <w:szCs w:val="21"/>
          <w:highlight w:val="none"/>
          <w:lang w:eastAsia="zh-CN"/>
        </w:rPr>
        <w:t>共</w:t>
      </w:r>
      <w:r>
        <w:rPr>
          <w:rFonts w:hint="eastAsia" w:asciiTheme="minorEastAsia" w:hAnsiTheme="minorEastAsia" w:eastAsiaTheme="minorEastAsia" w:cstheme="minorEastAsia"/>
          <w:bCs/>
          <w:color w:val="auto"/>
          <w:sz w:val="21"/>
          <w:szCs w:val="21"/>
          <w:highlight w:val="none"/>
          <w:lang w:val="en-US" w:eastAsia="zh-CN"/>
        </w:rPr>
        <w:t>3人以上单数</w:t>
      </w:r>
      <w:r>
        <w:rPr>
          <w:rFonts w:hint="eastAsia" w:asciiTheme="minorEastAsia" w:hAnsiTheme="minorEastAsia" w:eastAsiaTheme="minorEastAsia" w:cstheme="minorEastAsia"/>
          <w:bCs/>
          <w:color w:val="auto"/>
          <w:sz w:val="21"/>
          <w:szCs w:val="21"/>
          <w:highlight w:val="none"/>
        </w:rPr>
        <w:t>组成，其中</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专家人数不得少于</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bCs/>
          <w:color w:val="auto"/>
          <w:sz w:val="21"/>
          <w:szCs w:val="21"/>
          <w:highlight w:val="none"/>
        </w:rPr>
        <w:t>成员总数的三分之二。</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（二）评审依据：评委将以磋商文件为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依据，</w:t>
      </w:r>
      <w:r>
        <w:rPr>
          <w:rFonts w:hint="eastAsia" w:asciiTheme="minorEastAsia" w:hAnsiTheme="minorEastAsia" w:eastAsiaTheme="minorEastAsia" w:cstheme="minorEastAsia"/>
          <w:bCs/>
          <w:color w:val="auto"/>
          <w:sz w:val="21"/>
          <w:szCs w:val="21"/>
          <w:highlight w:val="none"/>
          <w:u w:val="none"/>
        </w:rPr>
        <w:t>对供应商的</w:t>
      </w:r>
      <w:r>
        <w:rPr>
          <w:rFonts w:hint="eastAsia" w:hAnsi="宋体" w:cs="宋体"/>
          <w:bCs/>
          <w:color w:val="auto"/>
          <w:sz w:val="21"/>
          <w:szCs w:val="21"/>
          <w:highlight w:val="none"/>
        </w:rPr>
        <w:t>报价、</w:t>
      </w:r>
      <w:r>
        <w:rPr>
          <w:rFonts w:hint="eastAsia" w:hAnsi="宋体" w:cs="宋体"/>
          <w:bCs/>
          <w:color w:val="auto"/>
          <w:sz w:val="21"/>
          <w:szCs w:val="21"/>
          <w:highlight w:val="none"/>
          <w:lang w:val="en-US" w:eastAsia="zh-CN"/>
        </w:rPr>
        <w:t>技术、商务</w:t>
      </w:r>
      <w:r>
        <w:rPr>
          <w:rFonts w:hint="eastAsia" w:hAnsi="宋体" w:cs="宋体"/>
          <w:bCs/>
          <w:color w:val="auto"/>
          <w:sz w:val="21"/>
          <w:szCs w:val="21"/>
          <w:highlight w:val="none"/>
        </w:rPr>
        <w:t>等</w:t>
      </w:r>
      <w:r>
        <w:rPr>
          <w:rFonts w:hint="eastAsia" w:asciiTheme="minorEastAsia" w:hAnsiTheme="minorEastAsia" w:eastAsiaTheme="minorEastAsia" w:cstheme="minorEastAsia"/>
          <w:bCs/>
          <w:color w:val="auto"/>
          <w:sz w:val="21"/>
          <w:szCs w:val="21"/>
          <w:highlight w:val="none"/>
        </w:rPr>
        <w:t>方面内容按百分制打分</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（三）评审方式：以封闭方式进行。</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bCs/>
          <w:color w:val="auto"/>
          <w:sz w:val="21"/>
          <w:szCs w:val="21"/>
          <w:highlight w:val="none"/>
          <w:lang w:eastAsia="zh-CN"/>
        </w:rPr>
        <w:t>评审</w:t>
      </w:r>
      <w:r>
        <w:rPr>
          <w:rFonts w:hint="eastAsia" w:asciiTheme="minorEastAsia" w:hAnsiTheme="minorEastAsia" w:eastAsiaTheme="minorEastAsia" w:cstheme="minorEastAsia"/>
          <w:b/>
          <w:bCs/>
          <w:color w:val="auto"/>
          <w:sz w:val="21"/>
          <w:szCs w:val="21"/>
          <w:highlight w:val="none"/>
        </w:rPr>
        <w:t>方法</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（一）首先由磋商小组依法对供应商的资格进行评审，再由评委对响应文件进行符合性评审，只有资格性评审、符合性评审合格的响应文件才能进入详评。</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（二）对进入详评的，采用百分制综合评分法。</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（三）计分办法（按四舍五入取至百分位）</w:t>
      </w: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1、价格分……………………………………………………………………………………</w:t>
      </w:r>
      <w:r>
        <w:rPr>
          <w:rFonts w:hint="eastAsia" w:asciiTheme="minorEastAsia" w:hAnsiTheme="minorEastAsia" w:eastAsiaTheme="minorEastAsia" w:cstheme="minorEastAsia"/>
          <w:b/>
          <w:bCs/>
          <w:color w:val="auto"/>
          <w:sz w:val="21"/>
          <w:szCs w:val="21"/>
          <w:highlight w:val="none"/>
          <w:lang w:val="en-US" w:eastAsia="zh-CN"/>
        </w:rPr>
        <w:t>30</w:t>
      </w:r>
      <w:r>
        <w:rPr>
          <w:rFonts w:hint="eastAsia" w:asciiTheme="minorEastAsia" w:hAnsiTheme="minorEastAsia" w:eastAsiaTheme="minorEastAsia" w:cstheme="minorEastAsia"/>
          <w:b/>
          <w:bCs/>
          <w:color w:val="auto"/>
          <w:sz w:val="21"/>
          <w:szCs w:val="21"/>
          <w:highlight w:val="none"/>
        </w:rPr>
        <w:t>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评审价为供应商的最后报价，评审价只是作为评审时使用。最终成交供应商的成交金额等于最后报价（如有修正，以确认修正后的最后报价为准）。</w:t>
      </w:r>
    </w:p>
    <w:p>
      <w:pPr>
        <w:pStyle w:val="2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sz w:val="21"/>
          <w:szCs w:val="21"/>
          <w:highlight w:val="none"/>
        </w:rPr>
        <w:t>政策性扣除计算方法：</w:t>
      </w:r>
    </w:p>
    <w:p>
      <w:pPr>
        <w:pStyle w:val="2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本项目为专门面对中小企业项目，按照《政府采购促进中小企业发展管理办法》（财库〔2020〕46号）规定，小微企业、监狱企业、残疾人福利性单位不再执行价格评审优惠的扶持政策。</w:t>
      </w:r>
    </w:p>
    <w:p>
      <w:pPr>
        <w:pStyle w:val="2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hAnsi="宋体" w:cs="宋体"/>
          <w:color w:val="auto"/>
          <w:sz w:val="21"/>
          <w:szCs w:val="21"/>
          <w:highlight w:val="none"/>
          <w:lang w:val="en-US" w:eastAsia="zh-CN"/>
        </w:rPr>
        <w:t>餐饮业</w:t>
      </w:r>
      <w:r>
        <w:rPr>
          <w:rFonts w:hint="eastAsia" w:ascii="宋体" w:hAnsi="宋体" w:eastAsia="宋体" w:cs="宋体"/>
          <w:color w:val="auto"/>
          <w:sz w:val="21"/>
          <w:szCs w:val="21"/>
          <w:highlight w:val="none"/>
        </w:rPr>
        <w:t>，中型、小型或微型企业划分标准按照《关于印发中小企业划型标准规定的通知》（工信中联企业〔2011〕300号）文件执行。</w:t>
      </w:r>
    </w:p>
    <w:p>
      <w:pPr>
        <w:pStyle w:val="2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rPr>
        <w:t xml:space="preserve"> </w:t>
      </w:r>
      <w:r>
        <w:rPr>
          <w:rFonts w:hint="eastAsia" w:hAnsi="宋体" w:cs="Courier New"/>
          <w:bCs/>
          <w:color w:val="auto"/>
          <w:kern w:val="2"/>
          <w:sz w:val="21"/>
          <w:highlight w:val="none"/>
          <w:u w:val="single"/>
          <w:lang w:val="en-US" w:eastAsia="zh-CN"/>
        </w:rPr>
        <w:t>30</w:t>
      </w:r>
      <w:r>
        <w:rPr>
          <w:rFonts w:hint="eastAsia" w:hAnsi="宋体" w:cs="Courier New"/>
          <w:bCs/>
          <w:color w:val="auto"/>
          <w:kern w:val="2"/>
          <w:sz w:val="18"/>
          <w:szCs w:val="18"/>
          <w:highlight w:val="none"/>
          <w:u w:val="single"/>
        </w:rPr>
        <w:t>分</w:t>
      </w:r>
      <w:r>
        <w:rPr>
          <w:rFonts w:hint="eastAsia" w:hAnsi="宋体" w:cs="Courier New"/>
          <w:bCs/>
          <w:color w:val="auto"/>
          <w:kern w:val="2"/>
          <w:sz w:val="21"/>
          <w:highlight w:val="none"/>
        </w:rPr>
        <w:t>。</w:t>
      </w:r>
    </w:p>
    <w:p>
      <w:pPr>
        <w:pStyle w:val="2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w:t>
      </w: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价格分计算公式：</w:t>
      </w:r>
    </w:p>
    <w:p>
      <w:pPr>
        <w:ind w:firstLine="840" w:firstLineChars="400"/>
        <w:rPr>
          <w:rFonts w:hint="eastAsia"/>
          <w:color w:val="auto"/>
          <w:highlight w:val="none"/>
        </w:rPr>
      </w:pPr>
      <w:r>
        <w:rPr>
          <w:rFonts w:hint="eastAsia" w:hAnsi="宋体" w:cs="Courier New"/>
          <w:bCs/>
          <w:color w:val="auto"/>
          <w:kern w:val="2"/>
          <w:sz w:val="21"/>
          <w:highlight w:val="none"/>
        </w:rPr>
        <w:t>报价得分=（基准价/</w:t>
      </w:r>
      <w:r>
        <w:rPr>
          <w:rFonts w:hint="eastAsia" w:ascii="宋体" w:hAnsi="宋体"/>
          <w:color w:val="auto"/>
          <w:sz w:val="21"/>
          <w:szCs w:val="21"/>
          <w:highlight w:val="none"/>
        </w:rPr>
        <w:t>评审价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30</w:t>
      </w:r>
      <w:r>
        <w:rPr>
          <w:rFonts w:hint="eastAsia" w:hAnsi="宋体" w:cs="Courier New"/>
          <w:bCs/>
          <w:color w:val="auto"/>
          <w:kern w:val="2"/>
          <w:sz w:val="21"/>
          <w:highlight w:val="none"/>
          <w:u w:val="single"/>
        </w:rPr>
        <w:t>分</w:t>
      </w:r>
    </w:p>
    <w:p>
      <w:pPr>
        <w:pStyle w:val="20"/>
        <w:numPr>
          <w:ilvl w:val="0"/>
          <w:numId w:val="2"/>
        </w:numPr>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技术分</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55</w:t>
      </w:r>
      <w:r>
        <w:rPr>
          <w:rFonts w:hint="eastAsia" w:asciiTheme="minorEastAsia" w:hAnsiTheme="minorEastAsia" w:eastAsiaTheme="minorEastAsia" w:cstheme="minorEastAsia"/>
          <w:b/>
          <w:bCs/>
          <w:color w:val="auto"/>
          <w:sz w:val="21"/>
          <w:szCs w:val="21"/>
          <w:highlight w:val="none"/>
        </w:rPr>
        <w:t>分</w:t>
      </w:r>
    </w:p>
    <w:p>
      <w:pPr>
        <w:numPr>
          <w:ilvl w:val="0"/>
          <w:numId w:val="0"/>
        </w:numPr>
        <w:spacing w:line="360" w:lineRule="auto"/>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说明：不提供方案或不满足项目采购需求的不得分。</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1</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服务方案（满分20分）</w:t>
      </w:r>
      <w:r>
        <w:rPr>
          <w:rFonts w:hint="eastAsia" w:ascii="宋体" w:hAnsi="宋体"/>
          <w:b/>
          <w:bCs/>
          <w:color w:val="auto"/>
          <w:szCs w:val="21"/>
          <w:highlight w:val="none"/>
        </w:rPr>
        <w:t>。</w:t>
      </w:r>
    </w:p>
    <w:p>
      <w:pPr>
        <w:numPr>
          <w:ilvl w:val="0"/>
          <w:numId w:val="0"/>
        </w:numPr>
        <w:spacing w:line="36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①供应商针对本项目各个工作环节（如食品质量控制方案、服务质量、卫生管理控制、食品安全承诺等）所制定的计划方案和相关措施，</w:t>
      </w:r>
      <w:r>
        <w:rPr>
          <w:rFonts w:hint="eastAsia"/>
          <w:color w:val="auto"/>
          <w:highlight w:val="none"/>
        </w:rPr>
        <w:t>内容详细</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color w:val="auto"/>
          <w:highlight w:val="none"/>
        </w:rPr>
        <w:t>工作方案科学合理，具有预见性及可操作性</w:t>
      </w:r>
      <w:r>
        <w:rPr>
          <w:rFonts w:hint="eastAsia"/>
          <w:color w:val="auto"/>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得20分。</w:t>
      </w:r>
    </w:p>
    <w:p>
      <w:pPr>
        <w:numPr>
          <w:ilvl w:val="0"/>
          <w:numId w:val="0"/>
        </w:numPr>
        <w:spacing w:line="36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②供应商针对本项目各个工作环节（如食品质量控制方案、服务质量、卫生管理控制、食品安全承诺等）所制定的计划方案和相关措施，内容详细、</w:t>
      </w:r>
      <w:r>
        <w:rPr>
          <w:rFonts w:hint="eastAsia"/>
          <w:color w:val="auto"/>
          <w:highlight w:val="none"/>
        </w:rPr>
        <w:t>工作方案能满足采购需求</w:t>
      </w:r>
      <w:r>
        <w:rPr>
          <w:rFonts w:hint="eastAsia" w:asciiTheme="minorEastAsia" w:hAnsiTheme="minorEastAsia" w:eastAsiaTheme="minorEastAsia" w:cstheme="minorEastAsia"/>
          <w:b w:val="0"/>
          <w:bCs w:val="0"/>
          <w:color w:val="auto"/>
          <w:sz w:val="21"/>
          <w:szCs w:val="21"/>
          <w:highlight w:val="none"/>
          <w:lang w:val="en-US" w:eastAsia="zh-CN"/>
        </w:rPr>
        <w:t>，得15分。</w:t>
      </w:r>
    </w:p>
    <w:p>
      <w:pPr>
        <w:numPr>
          <w:ilvl w:val="0"/>
          <w:numId w:val="0"/>
        </w:numPr>
        <w:spacing w:line="36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③供应商针对本项目各个工作环节（如食品质量控制方案、服务质量、卫生管理控制、食品安全承诺等）所制定的计划方案和相关措施，内容简单，</w:t>
      </w:r>
      <w:r>
        <w:rPr>
          <w:rFonts w:hint="eastAsia"/>
          <w:color w:val="auto"/>
          <w:highlight w:val="none"/>
        </w:rPr>
        <w:t>工作方案能满足采购需求</w:t>
      </w:r>
      <w:r>
        <w:rPr>
          <w:rFonts w:hint="eastAsia"/>
          <w:color w:val="auto"/>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得10分。</w:t>
      </w:r>
    </w:p>
    <w:p>
      <w:pPr>
        <w:numPr>
          <w:ilvl w:val="0"/>
          <w:numId w:val="0"/>
        </w:num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④供应商针对本项目各个工作环节（如食品质量控制方案、服务质量、卫生管理控制、食品安全承诺等）所制定的计划方案和相关措施，</w:t>
      </w:r>
      <w:r>
        <w:rPr>
          <w:rFonts w:hint="eastAsia"/>
          <w:color w:val="auto"/>
          <w:highlight w:val="none"/>
        </w:rPr>
        <w:t>安排不清晰，方案不具可行性，缺乏针对性和可操作性</w:t>
      </w:r>
      <w:r>
        <w:rPr>
          <w:rFonts w:hint="eastAsia" w:asciiTheme="minorEastAsia" w:hAnsiTheme="minorEastAsia" w:eastAsiaTheme="minorEastAsia" w:cstheme="minorEastAsia"/>
          <w:b w:val="0"/>
          <w:bCs w:val="0"/>
          <w:color w:val="auto"/>
          <w:sz w:val="21"/>
          <w:szCs w:val="21"/>
          <w:highlight w:val="none"/>
          <w:lang w:val="en-US" w:eastAsia="zh-CN"/>
        </w:rPr>
        <w:t>的，得0分。</w:t>
      </w:r>
    </w:p>
    <w:p>
      <w:pPr>
        <w:numPr>
          <w:ilvl w:val="0"/>
          <w:numId w:val="0"/>
        </w:numPr>
        <w:spacing w:line="360" w:lineRule="auto"/>
        <w:ind w:firstLine="422"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（2）管理制度（满分20分）</w:t>
      </w:r>
    </w:p>
    <w:p>
      <w:pPr>
        <w:numPr>
          <w:ilvl w:val="0"/>
          <w:numId w:val="0"/>
        </w:num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①供应商的各项管理制度（如卫生知识培训制度、卫生检查制度、食物储存管理等），</w:t>
      </w:r>
      <w:r>
        <w:rPr>
          <w:rFonts w:hint="eastAsia" w:ascii="宋体" w:hAnsi="宋体" w:eastAsia="宋体" w:cs="宋体"/>
          <w:color w:val="auto"/>
          <w:sz w:val="21"/>
          <w:szCs w:val="21"/>
          <w:highlight w:val="none"/>
          <w:lang w:eastAsia="zh-CN"/>
        </w:rPr>
        <w:t>人员管理制度（至少包含出勤及请假管理制度、保密制度、违反工作纪律处理规定），内容详细完整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表述清晰，且符合项目采购需求，整体制度严谨规范，针对性强，</w:t>
      </w:r>
      <w:r>
        <w:rPr>
          <w:rFonts w:hint="eastAsia" w:asciiTheme="minorEastAsia" w:hAnsiTheme="minorEastAsia" w:eastAsiaTheme="minorEastAsia" w:cstheme="minorEastAsia"/>
          <w:b w:val="0"/>
          <w:bCs w:val="0"/>
          <w:color w:val="auto"/>
          <w:sz w:val="21"/>
          <w:szCs w:val="21"/>
          <w:highlight w:val="none"/>
          <w:lang w:val="en-US" w:eastAsia="zh-CN"/>
        </w:rPr>
        <w:t>得20分。</w:t>
      </w:r>
    </w:p>
    <w:p>
      <w:pPr>
        <w:numPr>
          <w:ilvl w:val="0"/>
          <w:numId w:val="0"/>
        </w:num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②供应商的各项管理制度（如卫生知识培训制度、卫生检查制度、食物储存管理等），</w:t>
      </w:r>
      <w:r>
        <w:rPr>
          <w:rFonts w:hint="eastAsia" w:ascii="宋体" w:hAnsi="宋体" w:eastAsia="宋体" w:cs="宋体"/>
          <w:color w:val="auto"/>
          <w:sz w:val="21"/>
          <w:szCs w:val="21"/>
          <w:highlight w:val="none"/>
          <w:lang w:eastAsia="zh-CN"/>
        </w:rPr>
        <w:t>人员管理制度（至少包含出勤及请假管理制度、保密制度、违反工作纪律处理规定），</w:t>
      </w:r>
      <w:r>
        <w:rPr>
          <w:rFonts w:hint="eastAsia" w:ascii="宋体" w:hAnsi="宋体" w:cs="宋体"/>
          <w:color w:val="auto"/>
          <w:sz w:val="21"/>
          <w:szCs w:val="21"/>
          <w:highlight w:val="none"/>
          <w:lang w:val="en-US" w:eastAsia="zh-CN"/>
        </w:rPr>
        <w:t>内容详细、</w:t>
      </w:r>
      <w:r>
        <w:rPr>
          <w:rFonts w:hint="eastAsia" w:ascii="宋体" w:hAnsi="宋体" w:eastAsia="宋体" w:cs="宋体"/>
          <w:color w:val="auto"/>
          <w:sz w:val="21"/>
          <w:szCs w:val="21"/>
          <w:highlight w:val="none"/>
          <w:lang w:eastAsia="zh-CN"/>
        </w:rPr>
        <w:t>表述清晰，且符合项目采购需求</w:t>
      </w:r>
      <w:r>
        <w:rPr>
          <w:rFonts w:hint="eastAsia" w:asciiTheme="minorEastAsia" w:hAnsiTheme="minorEastAsia" w:eastAsiaTheme="minorEastAsia" w:cstheme="minorEastAsia"/>
          <w:b w:val="0"/>
          <w:bCs w:val="0"/>
          <w:color w:val="auto"/>
          <w:sz w:val="21"/>
          <w:szCs w:val="21"/>
          <w:highlight w:val="none"/>
          <w:lang w:val="en-US" w:eastAsia="zh-CN"/>
        </w:rPr>
        <w:t>，有针对性，得15分。</w:t>
      </w:r>
    </w:p>
    <w:p>
      <w:pPr>
        <w:numPr>
          <w:ilvl w:val="0"/>
          <w:numId w:val="0"/>
        </w:numPr>
        <w:spacing w:line="360" w:lineRule="auto"/>
        <w:ind w:firstLine="420" w:firstLineChars="200"/>
        <w:rPr>
          <w:color w:val="auto"/>
          <w:highlight w:val="none"/>
        </w:rPr>
      </w:pPr>
      <w:r>
        <w:rPr>
          <w:rFonts w:hint="eastAsia" w:asciiTheme="minorEastAsia" w:hAnsiTheme="minorEastAsia" w:eastAsiaTheme="minorEastAsia" w:cstheme="minorEastAsia"/>
          <w:b w:val="0"/>
          <w:bCs w:val="0"/>
          <w:color w:val="auto"/>
          <w:sz w:val="21"/>
          <w:szCs w:val="21"/>
          <w:highlight w:val="none"/>
          <w:lang w:val="en-US" w:eastAsia="zh-CN"/>
        </w:rPr>
        <w:t>③供应商的各项管理制度（如卫生知识培训制度、卫生检查制度、食物储存管理等），</w:t>
      </w:r>
      <w:r>
        <w:rPr>
          <w:rFonts w:hint="eastAsia" w:ascii="宋体" w:hAnsi="宋体" w:eastAsia="宋体" w:cs="宋体"/>
          <w:color w:val="auto"/>
          <w:sz w:val="21"/>
          <w:szCs w:val="21"/>
          <w:highlight w:val="none"/>
          <w:lang w:eastAsia="zh-CN"/>
        </w:rPr>
        <w:t>人员管理制度（至少包含出勤及请假管理制度、保密制度、违反工作纪律处理规定），</w:t>
      </w:r>
      <w:r>
        <w:rPr>
          <w:rFonts w:hint="eastAsia" w:ascii="宋体" w:hAnsi="宋体" w:cs="宋体"/>
          <w:color w:val="auto"/>
          <w:sz w:val="21"/>
          <w:szCs w:val="21"/>
          <w:highlight w:val="none"/>
          <w:lang w:val="en-US" w:eastAsia="zh-CN"/>
        </w:rPr>
        <w:t>内容简单、</w:t>
      </w:r>
      <w:r>
        <w:rPr>
          <w:rFonts w:hint="eastAsia" w:ascii="宋体" w:hAnsi="宋体" w:eastAsia="宋体" w:cs="宋体"/>
          <w:color w:val="auto"/>
          <w:sz w:val="21"/>
          <w:szCs w:val="21"/>
          <w:highlight w:val="none"/>
          <w:lang w:eastAsia="zh-CN"/>
        </w:rPr>
        <w:t>表述清晰，且符合项目采购需求</w:t>
      </w:r>
      <w:r>
        <w:rPr>
          <w:rFonts w:hint="eastAsia" w:asciiTheme="minorEastAsia" w:hAnsiTheme="minorEastAsia" w:eastAsiaTheme="minorEastAsia" w:cstheme="minorEastAsia"/>
          <w:b w:val="0"/>
          <w:bCs w:val="0"/>
          <w:color w:val="auto"/>
          <w:sz w:val="21"/>
          <w:szCs w:val="21"/>
          <w:highlight w:val="none"/>
          <w:lang w:val="en-US" w:eastAsia="zh-CN"/>
        </w:rPr>
        <w:t>，得10分。</w:t>
      </w:r>
    </w:p>
    <w:p>
      <w:pPr>
        <w:numPr>
          <w:ilvl w:val="0"/>
          <w:numId w:val="0"/>
        </w:numPr>
        <w:spacing w:line="360" w:lineRule="auto"/>
        <w:ind w:firstLine="420" w:firstLineChars="200"/>
        <w:rPr>
          <w:color w:val="auto"/>
          <w:highlight w:val="none"/>
        </w:rPr>
      </w:pPr>
      <w:r>
        <w:rPr>
          <w:rFonts w:hint="eastAsia" w:asciiTheme="minorEastAsia" w:hAnsiTheme="minorEastAsia" w:eastAsiaTheme="minorEastAsia" w:cstheme="minorEastAsia"/>
          <w:b w:val="0"/>
          <w:bCs w:val="0"/>
          <w:color w:val="auto"/>
          <w:sz w:val="21"/>
          <w:szCs w:val="21"/>
          <w:highlight w:val="none"/>
          <w:lang w:val="en-US" w:eastAsia="zh-CN"/>
        </w:rPr>
        <w:t>④供应商的各项管理制度（如卫生知识培训制度、卫生检查制度、食物储存管理等），</w:t>
      </w:r>
      <w:r>
        <w:rPr>
          <w:rFonts w:hint="eastAsia" w:ascii="宋体" w:hAnsi="宋体" w:eastAsia="宋体" w:cs="宋体"/>
          <w:color w:val="auto"/>
          <w:sz w:val="21"/>
          <w:szCs w:val="21"/>
          <w:highlight w:val="none"/>
          <w:lang w:eastAsia="zh-CN"/>
        </w:rPr>
        <w:t>人员管理制度（至少包含出勤及请假管理制度、保密制度、违反工作纪律处理规定），</w:t>
      </w:r>
      <w:r>
        <w:rPr>
          <w:rFonts w:hint="eastAsia" w:ascii="宋体" w:hAnsi="宋体" w:cs="宋体"/>
          <w:color w:val="auto"/>
          <w:sz w:val="21"/>
          <w:szCs w:val="21"/>
          <w:highlight w:val="none"/>
          <w:lang w:val="en-US" w:eastAsia="zh-CN"/>
        </w:rPr>
        <w:t>内容不完整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不合理</w:t>
      </w:r>
      <w:r>
        <w:rPr>
          <w:rFonts w:hint="eastAsia" w:asciiTheme="minorEastAsia" w:hAnsiTheme="minorEastAsia" w:eastAsiaTheme="minorEastAsia" w:cstheme="minorEastAsia"/>
          <w:b w:val="0"/>
          <w:bCs w:val="0"/>
          <w:color w:val="auto"/>
          <w:sz w:val="21"/>
          <w:szCs w:val="21"/>
          <w:highlight w:val="none"/>
          <w:lang w:val="en-US" w:eastAsia="zh-CN"/>
        </w:rPr>
        <w:t>，得0分。</w:t>
      </w:r>
    </w:p>
    <w:p>
      <w:pPr>
        <w:pStyle w:val="2"/>
        <w:ind w:firstLine="422" w:firstLineChars="200"/>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（3）售后服务方案（满分15分）</w:t>
      </w:r>
    </w:p>
    <w:p>
      <w:pPr>
        <w:pStyle w:val="2"/>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①</w:t>
      </w:r>
      <w:r>
        <w:rPr>
          <w:rFonts w:hint="eastAsia" w:asciiTheme="minorEastAsia" w:hAnsiTheme="minorEastAsia" w:eastAsiaTheme="minorEastAsia" w:cstheme="minorEastAsia"/>
          <w:color w:val="auto"/>
          <w:szCs w:val="21"/>
          <w:highlight w:val="none"/>
          <w:lang w:val="en-US" w:eastAsia="zh-CN"/>
        </w:rPr>
        <w:t>售后服务方案合理可行并且具有针对性的应急保障方案、保密承诺等，且有完整的项目售后服务和应急保障方案的方法以及实现方式，提供了售后服务联系人及联系方式等资料，有具体的服务承诺和保障措施，得15分。</w:t>
      </w:r>
    </w:p>
    <w:p>
      <w:pPr>
        <w:pStyle w:val="2"/>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②</w:t>
      </w:r>
      <w:r>
        <w:rPr>
          <w:rFonts w:hint="eastAsia" w:asciiTheme="minorEastAsia" w:hAnsiTheme="minorEastAsia" w:eastAsiaTheme="minorEastAsia" w:cstheme="minorEastAsia"/>
          <w:color w:val="auto"/>
          <w:szCs w:val="21"/>
          <w:highlight w:val="none"/>
          <w:lang w:val="en-US" w:eastAsia="zh-CN"/>
        </w:rPr>
        <w:t>售后服务方案详细，有售后服务管理流程的，得10分。</w:t>
      </w:r>
    </w:p>
    <w:p>
      <w:pPr>
        <w:pStyle w:val="2"/>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③</w:t>
      </w:r>
      <w:r>
        <w:rPr>
          <w:rFonts w:hint="eastAsia" w:asciiTheme="minorEastAsia" w:hAnsiTheme="minorEastAsia" w:eastAsiaTheme="minorEastAsia" w:cstheme="minorEastAsia"/>
          <w:color w:val="auto"/>
          <w:szCs w:val="21"/>
          <w:highlight w:val="none"/>
          <w:lang w:val="en-US" w:eastAsia="zh-CN"/>
        </w:rPr>
        <w:t>售后服务方案简单，没有售后服务管理流程的，得5分。</w:t>
      </w:r>
    </w:p>
    <w:p>
      <w:pPr>
        <w:pStyle w:val="2"/>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④</w:t>
      </w:r>
      <w:r>
        <w:rPr>
          <w:rFonts w:hint="eastAsia" w:asciiTheme="minorEastAsia" w:hAnsiTheme="minorEastAsia" w:eastAsiaTheme="minorEastAsia" w:cstheme="minorEastAsia"/>
          <w:color w:val="auto"/>
          <w:szCs w:val="21"/>
          <w:highlight w:val="none"/>
          <w:lang w:val="en-US" w:eastAsia="zh-CN"/>
        </w:rPr>
        <w:t>缺乏售后服务方案或售后服务方案不具可行性，不具备可操作性的，得0分。</w:t>
      </w:r>
    </w:p>
    <w:p>
      <w:pPr>
        <w:numPr>
          <w:ilvl w:val="0"/>
          <w:numId w:val="0"/>
        </w:numPr>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p>
    <w:p>
      <w:pPr>
        <w:pStyle w:val="20"/>
        <w:numPr>
          <w:ilvl w:val="0"/>
          <w:numId w:val="0"/>
        </w:numPr>
        <w:spacing w:line="360" w:lineRule="auto"/>
        <w:ind w:left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hAnsi="宋体" w:cs="宋体"/>
          <w:b/>
          <w:bCs/>
          <w:color w:val="auto"/>
          <w:sz w:val="21"/>
          <w:szCs w:val="21"/>
          <w:highlight w:val="none"/>
          <w:lang w:val="en-US" w:eastAsia="zh-CN"/>
        </w:rPr>
        <w:t>商务</w:t>
      </w:r>
      <w:r>
        <w:rPr>
          <w:rFonts w:hint="eastAsia" w:hAnsi="宋体" w:cs="宋体"/>
          <w:b/>
          <w:bCs/>
          <w:color w:val="auto"/>
          <w:sz w:val="21"/>
          <w:szCs w:val="21"/>
          <w:highlight w:val="none"/>
        </w:rPr>
        <w:t>分</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rPr>
        <w:t>分</w:t>
      </w:r>
    </w:p>
    <w:p>
      <w:pPr>
        <w:pStyle w:val="2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（1）</w:t>
      </w:r>
      <w:r>
        <w:rPr>
          <w:rFonts w:hint="eastAsia" w:hAnsi="宋体" w:cs="宋体"/>
          <w:bCs/>
          <w:color w:val="auto"/>
          <w:sz w:val="21"/>
          <w:szCs w:val="21"/>
          <w:highlight w:val="none"/>
          <w:lang w:val="en-US" w:eastAsia="zh-CN"/>
        </w:rPr>
        <w:t>供应商</w:t>
      </w:r>
      <w:r>
        <w:rPr>
          <w:rFonts w:hint="eastAsia" w:hAnsi="宋体" w:cs="宋体"/>
          <w:bCs/>
          <w:color w:val="auto"/>
          <w:sz w:val="21"/>
          <w:szCs w:val="21"/>
          <w:highlight w:val="none"/>
        </w:rPr>
        <w:t>自</w:t>
      </w:r>
      <w:r>
        <w:rPr>
          <w:rFonts w:hint="eastAsia" w:ascii="宋体" w:hAnsi="宋体" w:eastAsia="宋体" w:cs="宋体"/>
          <w:b w:val="0"/>
          <w:bCs w:val="0"/>
          <w:color w:val="auto"/>
          <w:kern w:val="2"/>
          <w:sz w:val="21"/>
          <w:szCs w:val="21"/>
          <w:highlight w:val="none"/>
          <w:lang w:val="en-US" w:eastAsia="zh-CN" w:bidi="ar-SA"/>
        </w:rPr>
        <w:t>2018 年1月1日至今</w:t>
      </w:r>
      <w:r>
        <w:rPr>
          <w:rFonts w:hint="eastAsia" w:hAnsi="宋体" w:cs="宋体"/>
          <w:bCs/>
          <w:color w:val="auto"/>
          <w:sz w:val="21"/>
          <w:szCs w:val="21"/>
          <w:highlight w:val="none"/>
          <w:lang w:val="en-US" w:eastAsia="zh-CN"/>
        </w:rPr>
        <w:t>类似</w:t>
      </w:r>
      <w:r>
        <w:rPr>
          <w:rFonts w:hint="eastAsia" w:hAnsi="宋体" w:cs="宋体"/>
          <w:bCs/>
          <w:color w:val="auto"/>
          <w:sz w:val="21"/>
          <w:szCs w:val="21"/>
          <w:highlight w:val="none"/>
        </w:rPr>
        <w:t>服务项目</w:t>
      </w:r>
      <w:r>
        <w:rPr>
          <w:rFonts w:hint="eastAsia" w:hAnsi="宋体" w:cs="宋体"/>
          <w:bCs/>
          <w:color w:val="auto"/>
          <w:sz w:val="21"/>
          <w:szCs w:val="21"/>
          <w:highlight w:val="none"/>
          <w:lang w:val="en-US" w:eastAsia="zh-CN"/>
        </w:rPr>
        <w:t>业绩</w:t>
      </w:r>
      <w:r>
        <w:rPr>
          <w:rFonts w:hint="eastAsia" w:hAnsi="宋体" w:cs="宋体"/>
          <w:bCs/>
          <w:color w:val="auto"/>
          <w:sz w:val="21"/>
          <w:szCs w:val="21"/>
          <w:highlight w:val="none"/>
        </w:rPr>
        <w:t>（以有效的合同或中标</w:t>
      </w:r>
      <w:r>
        <w:rPr>
          <w:rFonts w:hint="eastAsia" w:hAnsi="宋体" w:cs="宋体"/>
          <w:bCs/>
          <w:color w:val="auto"/>
          <w:sz w:val="21"/>
          <w:szCs w:val="21"/>
          <w:highlight w:val="none"/>
          <w:lang w:eastAsia="zh-CN"/>
        </w:rPr>
        <w:t>（</w:t>
      </w:r>
      <w:r>
        <w:rPr>
          <w:rFonts w:hint="eastAsia" w:hAnsi="宋体" w:cs="宋体"/>
          <w:bCs/>
          <w:color w:val="auto"/>
          <w:sz w:val="21"/>
          <w:szCs w:val="21"/>
          <w:highlight w:val="none"/>
          <w:lang w:val="en-US" w:eastAsia="zh-CN"/>
        </w:rPr>
        <w:t>成交</w:t>
      </w:r>
      <w:r>
        <w:rPr>
          <w:rFonts w:hint="eastAsia" w:hAnsi="宋体" w:cs="宋体"/>
          <w:bCs/>
          <w:color w:val="auto"/>
          <w:sz w:val="21"/>
          <w:szCs w:val="21"/>
          <w:highlight w:val="none"/>
          <w:lang w:eastAsia="zh-CN"/>
        </w:rPr>
        <w:t>）</w:t>
      </w:r>
      <w:r>
        <w:rPr>
          <w:rFonts w:hint="eastAsia" w:hAnsi="宋体" w:cs="宋体"/>
          <w:bCs/>
          <w:color w:val="auto"/>
          <w:sz w:val="21"/>
          <w:szCs w:val="21"/>
          <w:highlight w:val="none"/>
        </w:rPr>
        <w:t>通知书复印件为准，合同须清晰反映服务内容，上述复印件均需加盖</w:t>
      </w:r>
      <w:r>
        <w:rPr>
          <w:rFonts w:hint="eastAsia" w:hAnsi="宋体" w:cs="宋体"/>
          <w:bCs/>
          <w:color w:val="auto"/>
          <w:sz w:val="21"/>
          <w:szCs w:val="21"/>
          <w:highlight w:val="none"/>
          <w:lang w:val="en-US" w:eastAsia="zh-CN"/>
        </w:rPr>
        <w:t>供应商</w:t>
      </w:r>
      <w:r>
        <w:rPr>
          <w:rFonts w:hint="eastAsia" w:hAnsi="宋体" w:cs="宋体"/>
          <w:bCs/>
          <w:color w:val="auto"/>
          <w:sz w:val="21"/>
          <w:szCs w:val="21"/>
          <w:highlight w:val="none"/>
        </w:rPr>
        <w:t>公章），每有一</w:t>
      </w:r>
      <w:r>
        <w:rPr>
          <w:rFonts w:hint="eastAsia" w:hAnsi="宋体" w:cs="宋体"/>
          <w:bCs/>
          <w:color w:val="auto"/>
          <w:sz w:val="21"/>
          <w:szCs w:val="21"/>
          <w:highlight w:val="none"/>
          <w:lang w:val="en-US" w:eastAsia="zh-CN"/>
        </w:rPr>
        <w:t>项</w:t>
      </w:r>
      <w:r>
        <w:rPr>
          <w:rFonts w:hint="eastAsia" w:hAnsi="宋体" w:cs="宋体"/>
          <w:bCs/>
          <w:color w:val="auto"/>
          <w:sz w:val="21"/>
          <w:szCs w:val="21"/>
          <w:highlight w:val="none"/>
        </w:rPr>
        <w:t>得3分，满分</w:t>
      </w:r>
      <w:r>
        <w:rPr>
          <w:rFonts w:hint="eastAsia" w:hAnsi="宋体" w:cs="宋体"/>
          <w:bCs/>
          <w:color w:val="auto"/>
          <w:sz w:val="21"/>
          <w:szCs w:val="21"/>
          <w:highlight w:val="none"/>
          <w:lang w:val="en-US" w:eastAsia="zh-CN"/>
        </w:rPr>
        <w:t>12</w:t>
      </w:r>
      <w:r>
        <w:rPr>
          <w:rFonts w:hint="eastAsia" w:hAnsi="宋体" w:cs="宋体"/>
          <w:bCs/>
          <w:color w:val="auto"/>
          <w:sz w:val="21"/>
          <w:szCs w:val="21"/>
          <w:highlight w:val="none"/>
        </w:rPr>
        <w:t>分。</w:t>
      </w:r>
    </w:p>
    <w:p>
      <w:pPr>
        <w:pStyle w:val="20"/>
        <w:spacing w:line="360" w:lineRule="auto"/>
        <w:ind w:firstLine="420" w:firstLineChars="200"/>
        <w:jc w:val="left"/>
        <w:rPr>
          <w:rFonts w:hint="eastAsia" w:hAnsi="宋体" w:cs="宋体"/>
          <w:bCs/>
          <w:color w:val="auto"/>
          <w:sz w:val="21"/>
          <w:szCs w:val="21"/>
          <w:highlight w:val="none"/>
        </w:rPr>
      </w:pPr>
      <w:r>
        <w:rPr>
          <w:rFonts w:hint="eastAsia" w:hAnsi="宋体" w:cs="宋体"/>
          <w:bCs/>
          <w:color w:val="auto"/>
          <w:sz w:val="21"/>
          <w:szCs w:val="21"/>
          <w:highlight w:val="none"/>
        </w:rPr>
        <w:t>（</w:t>
      </w: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）获得ISO22000食品安全管理体系认证证书，得</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分；获得OHSAS18001职业健康安全管理体系认证证书的，得</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分,；获得ISO9001质量管理体系认证证书的，得</w:t>
      </w:r>
      <w:r>
        <w:rPr>
          <w:rFonts w:hint="eastAsia" w:hAnsi="宋体" w:cs="宋体"/>
          <w:bCs/>
          <w:color w:val="auto"/>
          <w:sz w:val="21"/>
          <w:szCs w:val="21"/>
          <w:highlight w:val="none"/>
          <w:lang w:val="en-US" w:eastAsia="zh-CN"/>
        </w:rPr>
        <w:t>1</w:t>
      </w:r>
      <w:r>
        <w:rPr>
          <w:rFonts w:hint="eastAsia" w:hAnsi="宋体" w:cs="宋体"/>
          <w:bCs/>
          <w:color w:val="auto"/>
          <w:sz w:val="21"/>
          <w:szCs w:val="21"/>
          <w:highlight w:val="none"/>
        </w:rPr>
        <w:t>分。</w:t>
      </w:r>
    </w:p>
    <w:p>
      <w:pPr>
        <w:pStyle w:val="3"/>
        <w:rPr>
          <w:rFonts w:hint="eastAsia"/>
          <w:color w:val="auto"/>
          <w:highlight w:val="none"/>
          <w:lang w:val="en-US" w:eastAsia="zh-CN"/>
        </w:rPr>
      </w:pP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（四）总得分=1+2+3</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三、成交候选人推荐原则</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（一）磋商小组将根据得分由高到低排列次序（得分相同时，以最</w:t>
      </w:r>
      <w:r>
        <w:rPr>
          <w:rFonts w:hint="eastAsia" w:asciiTheme="minorEastAsia" w:hAnsiTheme="minorEastAsia" w:eastAsiaTheme="minorEastAsia" w:cstheme="minorEastAsia"/>
          <w:bCs/>
          <w:color w:val="auto"/>
          <w:sz w:val="21"/>
          <w:szCs w:val="21"/>
          <w:highlight w:val="none"/>
          <w:lang w:val="en-US" w:eastAsia="zh-CN"/>
        </w:rPr>
        <w:t>后</w:t>
      </w:r>
      <w:r>
        <w:rPr>
          <w:rFonts w:hint="eastAsia" w:asciiTheme="minorEastAsia" w:hAnsiTheme="minorEastAsia" w:eastAsiaTheme="minorEastAsia" w:cstheme="minorEastAsia"/>
          <w:bCs/>
          <w:color w:val="auto"/>
          <w:sz w:val="21"/>
          <w:szCs w:val="21"/>
          <w:highlight w:val="none"/>
        </w:rPr>
        <w:t>报价由低到高顺序排列；得分相同且最</w:t>
      </w:r>
      <w:r>
        <w:rPr>
          <w:rFonts w:hint="eastAsia" w:asciiTheme="minorEastAsia" w:hAnsiTheme="minorEastAsia" w:eastAsiaTheme="minorEastAsia" w:cstheme="minorEastAsia"/>
          <w:bCs/>
          <w:color w:val="auto"/>
          <w:sz w:val="21"/>
          <w:szCs w:val="21"/>
          <w:highlight w:val="none"/>
          <w:lang w:val="en-US" w:eastAsia="zh-CN"/>
        </w:rPr>
        <w:t>后</w:t>
      </w:r>
      <w:r>
        <w:rPr>
          <w:rFonts w:hint="eastAsia" w:asciiTheme="minorEastAsia" w:hAnsiTheme="minorEastAsia" w:eastAsiaTheme="minorEastAsia" w:cstheme="minorEastAsia"/>
          <w:bCs/>
          <w:color w:val="auto"/>
          <w:sz w:val="21"/>
          <w:szCs w:val="21"/>
          <w:highlight w:val="none"/>
        </w:rPr>
        <w:t>报价相同的，依次按技术分由高到低、商务分由高到低顺序排列，并推荐成交候选人3名。得分最高的成交候选人为成交供应商。采购人应当确定磋商小组推荐排名第一的成交候选人为成交供应商。</w:t>
      </w:r>
    </w:p>
    <w:p>
      <w:pPr>
        <w:pStyle w:val="20"/>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除非有法定事由，如排名第一的成交候选人放弃成交、因不可抗力不能履行合同、不按照磋商文件要求提交履约保证金（或质量保证金），或者被查实存在影响成交结果的违法行为等情形，不符合成交条件的。该等情况下，采购人可以按照磋商小组提出的成交候选人名单排序依法确定其他成交候选人为成交供应商，也可以重新组织采购。</w:t>
      </w: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lang w:eastAsia="zh-CN"/>
        </w:rPr>
      </w:pPr>
    </w:p>
    <w:p>
      <w:pPr>
        <w:pStyle w:val="20"/>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四、特别说明</w:t>
      </w:r>
    </w:p>
    <w:p>
      <w:pPr>
        <w:pStyle w:val="20"/>
        <w:numPr>
          <w:ilvl w:val="0"/>
          <w:numId w:val="0"/>
        </w:numPr>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（一）</w:t>
      </w:r>
      <w:r>
        <w:rPr>
          <w:rFonts w:hint="eastAsia" w:asciiTheme="minorEastAsia" w:hAnsiTheme="minorEastAsia" w:eastAsiaTheme="minorEastAsia" w:cstheme="minorEastAsia"/>
          <w:bCs/>
          <w:color w:val="auto"/>
          <w:sz w:val="21"/>
          <w:szCs w:val="21"/>
          <w:highlight w:val="none"/>
        </w:rPr>
        <w:t>磋商小组认为供应商的竞标报价明显低于其他通过符合性审查供应商的竞标报价，有可能影响产品（或服务）质量或者不能诚信履约的，应当要求其在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现场合理的时间内提供书面说明，必要时提交相关证明材料；供应商不能证明其竞标报价合理性的，磋商小组应当将其作为无效磋商处理。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（二）以上评审内容需要提供材料的，除必要的原件核对外，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如能够在线查询的材料，请提供查询网址链接，可以不用同时提供纸质材料。</w:t>
      </w: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55" w:name="_Toc26773"/>
      <w:r>
        <w:rPr>
          <w:rFonts w:hint="eastAsia" w:asciiTheme="minorEastAsia" w:hAnsiTheme="minorEastAsia" w:eastAsiaTheme="minorEastAsia" w:cstheme="minorEastAsia"/>
          <w:b/>
          <w:color w:val="auto"/>
          <w:sz w:val="28"/>
          <w:szCs w:val="28"/>
          <w:highlight w:val="none"/>
        </w:rPr>
        <w:t xml:space="preserve">第四章 </w:t>
      </w:r>
      <w:r>
        <w:rPr>
          <w:rFonts w:hint="eastAsia"/>
          <w:b/>
          <w:bCs/>
          <w:color w:val="auto"/>
          <w:sz w:val="28"/>
          <w:szCs w:val="28"/>
          <w:highlight w:val="none"/>
        </w:rPr>
        <w:t>拟签订的合同文本</w:t>
      </w:r>
      <w:bookmarkEnd w:id="55"/>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30"/>
          <w:szCs w:val="30"/>
          <w:highlight w:val="none"/>
        </w:rPr>
        <w:t>合同封面）</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合同类别：技术服务类</w:t>
      </w:r>
    </w:p>
    <w:p>
      <w:pPr>
        <w:jc w:val="center"/>
        <w:rPr>
          <w:rFonts w:hint="eastAsia" w:asciiTheme="minorEastAsia" w:hAnsiTheme="minorEastAsia" w:eastAsiaTheme="minorEastAsia" w:cstheme="minorEastAsia"/>
          <w:b/>
          <w:color w:val="auto"/>
          <w:sz w:val="44"/>
          <w:szCs w:val="44"/>
          <w:highlight w:val="none"/>
        </w:rPr>
      </w:pPr>
    </w:p>
    <w:p>
      <w:pPr>
        <w:jc w:val="center"/>
        <w:rPr>
          <w:rFonts w:hint="eastAsia" w:asciiTheme="minorEastAsia" w:hAnsiTheme="minorEastAsia" w:eastAsiaTheme="minorEastAsia" w:cstheme="minorEastAsia"/>
          <w:b/>
          <w:color w:val="auto"/>
          <w:sz w:val="44"/>
          <w:szCs w:val="44"/>
          <w:highlight w:val="none"/>
          <w:lang w:eastAsia="zh-CN"/>
        </w:rPr>
      </w:pPr>
    </w:p>
    <w:p>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lang w:eastAsia="zh-CN"/>
        </w:rPr>
        <w:t>采购</w:t>
      </w:r>
      <w:r>
        <w:rPr>
          <w:rFonts w:hint="eastAsia" w:asciiTheme="minorEastAsia" w:hAnsiTheme="minorEastAsia" w:eastAsiaTheme="minorEastAsia" w:cstheme="minorEastAsia"/>
          <w:b/>
          <w:color w:val="auto"/>
          <w:sz w:val="44"/>
          <w:szCs w:val="44"/>
          <w:highlight w:val="none"/>
        </w:rPr>
        <w:t>合同</w:t>
      </w:r>
    </w:p>
    <w:p>
      <w:pPr>
        <w:ind w:firstLine="560" w:firstLineChars="200"/>
        <w:jc w:val="center"/>
        <w:rPr>
          <w:rFonts w:hint="eastAsia" w:asciiTheme="minorEastAsia" w:hAnsiTheme="minorEastAsia" w:eastAsiaTheme="minorEastAsia" w:cstheme="minorEastAsia"/>
          <w:color w:val="auto"/>
          <w:sz w:val="28"/>
          <w:szCs w:val="28"/>
          <w:highlight w:val="none"/>
        </w:rPr>
      </w:pPr>
    </w:p>
    <w:p>
      <w:pPr>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（年度</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p>
    <w:p>
      <w:pPr>
        <w:ind w:firstLine="600" w:firstLineChars="200"/>
        <w:jc w:val="center"/>
        <w:rPr>
          <w:rFonts w:hint="eastAsia" w:asciiTheme="minorEastAsia" w:hAnsiTheme="minorEastAsia" w:eastAsiaTheme="minorEastAsia" w:cstheme="minorEastAsia"/>
          <w:color w:val="auto"/>
          <w:sz w:val="30"/>
          <w:szCs w:val="30"/>
          <w:highlight w:val="none"/>
        </w:rPr>
      </w:pPr>
    </w:p>
    <w:p>
      <w:pPr>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项目名称：</w:t>
      </w:r>
    </w:p>
    <w:p>
      <w:pPr>
        <w:spacing w:line="360" w:lineRule="auto"/>
        <w:ind w:firstLine="1200" w:firstLineChars="4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（分标子项目）：</w:t>
      </w:r>
    </w:p>
    <w:p>
      <w:pPr>
        <w:pStyle w:val="2"/>
        <w:rPr>
          <w:rFonts w:hint="eastAsia" w:asciiTheme="minorEastAsia" w:hAnsiTheme="minorEastAsia" w:eastAsiaTheme="minorEastAsia" w:cstheme="minorEastAsia"/>
          <w:color w:val="auto"/>
          <w:sz w:val="30"/>
          <w:szCs w:val="30"/>
          <w:highlight w:val="none"/>
        </w:rPr>
      </w:pPr>
    </w:p>
    <w:p>
      <w:pPr>
        <w:pStyle w:val="2"/>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合同编号：</w:t>
      </w:r>
    </w:p>
    <w:p>
      <w:pPr>
        <w:spacing w:line="360" w:lineRule="auto"/>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（本项目为目录外标准下）</w:t>
      </w: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甲方(采购人名称) ：</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default"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乙方(供应商名称)：</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pStyle w:val="20"/>
        <w:jc w:val="center"/>
        <w:rPr>
          <w:rFonts w:hAnsi="宋体" w:cs="Times New Roman"/>
          <w:color w:val="auto"/>
          <w:sz w:val="30"/>
          <w:szCs w:val="30"/>
          <w:highlight w:val="none"/>
        </w:rPr>
      </w:pPr>
      <w:r>
        <w:rPr>
          <w:rFonts w:hint="eastAsia" w:hAnsi="宋体" w:cs="Times New Roman"/>
          <w:color w:val="auto"/>
          <w:sz w:val="30"/>
          <w:szCs w:val="30"/>
          <w:highlight w:val="none"/>
        </w:rPr>
        <w:t>签</w:t>
      </w:r>
      <w:r>
        <w:rPr>
          <w:rFonts w:hAnsi="宋体" w:cs="Times New Roman"/>
          <w:color w:val="auto"/>
          <w:sz w:val="30"/>
          <w:szCs w:val="30"/>
          <w:highlight w:val="none"/>
        </w:rPr>
        <w:t xml:space="preserve"> </w:t>
      </w:r>
      <w:r>
        <w:rPr>
          <w:rFonts w:hint="eastAsia" w:hAnsi="宋体" w:cs="Times New Roman"/>
          <w:color w:val="auto"/>
          <w:sz w:val="30"/>
          <w:szCs w:val="30"/>
          <w:highlight w:val="none"/>
        </w:rPr>
        <w:t>订</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r>
        <w:rPr>
          <w:rFonts w:hAnsi="宋体" w:cs="Times New Roman"/>
          <w:color w:val="auto"/>
          <w:sz w:val="30"/>
          <w:szCs w:val="30"/>
          <w:highlight w:val="none"/>
        </w:rPr>
        <w:t xml:space="preserve"> </w:t>
      </w:r>
      <w:r>
        <w:rPr>
          <w:rFonts w:hint="eastAsia" w:hAnsi="宋体" w:cs="Times New Roman"/>
          <w:color w:val="auto"/>
          <w:sz w:val="30"/>
          <w:szCs w:val="30"/>
          <w:highlight w:val="none"/>
        </w:rPr>
        <w:t>期：</w:t>
      </w:r>
      <w:r>
        <w:rPr>
          <w:rFonts w:hAnsi="宋体" w:cs="Times New Roman"/>
          <w:color w:val="auto"/>
          <w:sz w:val="30"/>
          <w:szCs w:val="30"/>
          <w:highlight w:val="none"/>
        </w:rPr>
        <w:t xml:space="preserve">       </w:t>
      </w:r>
      <w:r>
        <w:rPr>
          <w:rFonts w:hint="eastAsia" w:hAnsi="宋体" w:cs="Times New Roman"/>
          <w:color w:val="auto"/>
          <w:sz w:val="30"/>
          <w:szCs w:val="30"/>
          <w:highlight w:val="none"/>
        </w:rPr>
        <w:t>年</w:t>
      </w:r>
      <w:r>
        <w:rPr>
          <w:rFonts w:hAnsi="宋体" w:cs="Times New Roman"/>
          <w:color w:val="auto"/>
          <w:sz w:val="30"/>
          <w:szCs w:val="30"/>
          <w:highlight w:val="none"/>
        </w:rPr>
        <w:t xml:space="preserve">    </w:t>
      </w:r>
      <w:r>
        <w:rPr>
          <w:rFonts w:hint="eastAsia" w:hAnsi="宋体" w:cs="Times New Roman"/>
          <w:color w:val="auto"/>
          <w:sz w:val="30"/>
          <w:szCs w:val="30"/>
          <w:highlight w:val="none"/>
        </w:rPr>
        <w:t xml:space="preserve">  月</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p>
    <w:p>
      <w:pPr>
        <w:pStyle w:val="20"/>
        <w:jc w:val="center"/>
        <w:rPr>
          <w:rFonts w:ascii="Times New Roman" w:hAnsi="Times New Roman" w:eastAsia="黑体" w:cs="Times New Roman"/>
          <w:b/>
          <w:color w:val="auto"/>
          <w:sz w:val="30"/>
          <w:szCs w:val="30"/>
          <w:highlight w:val="none"/>
        </w:rPr>
      </w:pPr>
      <w:r>
        <w:rPr>
          <w:rFonts w:hint="eastAsia" w:asciiTheme="minorEastAsia" w:hAnsiTheme="minorEastAsia" w:eastAsiaTheme="minorEastAsia" w:cstheme="minorEastAsia"/>
          <w:color w:val="auto"/>
          <w:kern w:val="0"/>
          <w:szCs w:val="21"/>
          <w:highlight w:val="none"/>
        </w:rPr>
        <w:br w:type="page"/>
      </w:r>
      <w:r>
        <w:rPr>
          <w:rFonts w:hint="eastAsia" w:ascii="Times New Roman" w:hAnsi="Times New Roman" w:eastAsia="黑体" w:cs="Times New Roman"/>
          <w:b/>
          <w:color w:val="auto"/>
          <w:sz w:val="30"/>
          <w:szCs w:val="30"/>
          <w:highlight w:val="none"/>
        </w:rPr>
        <w:t>一、合同前文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根据《中华人民共和国</w:t>
      </w:r>
      <w:r>
        <w:rPr>
          <w:rFonts w:hint="eastAsia" w:asciiTheme="minorEastAsia" w:hAnsiTheme="minorEastAsia" w:eastAsiaTheme="minorEastAsia" w:cstheme="minorEastAsia"/>
          <w:color w:val="auto"/>
          <w:kern w:val="0"/>
          <w:szCs w:val="21"/>
          <w:highlight w:val="none"/>
          <w:lang w:eastAsia="zh-CN"/>
        </w:rPr>
        <w:t>民法典</w:t>
      </w:r>
      <w:r>
        <w:rPr>
          <w:rFonts w:hint="eastAsia" w:asciiTheme="minorEastAsia" w:hAnsiTheme="minorEastAsia" w:eastAsiaTheme="minorEastAsia" w:cstheme="minorEastAsia"/>
          <w:color w:val="auto"/>
          <w:kern w:val="0"/>
          <w:szCs w:val="21"/>
          <w:highlight w:val="none"/>
        </w:rPr>
        <w:t>》等有关法律法规规定</w:t>
      </w:r>
      <w:r>
        <w:rPr>
          <w:rFonts w:hint="eastAsia" w:asciiTheme="minorEastAsia" w:hAnsiTheme="minorEastAsia" w:eastAsiaTheme="minorEastAsia" w:cstheme="minorEastAsia"/>
          <w:color w:val="auto"/>
          <w:kern w:val="0"/>
          <w:szCs w:val="21"/>
          <w:highlight w:val="none"/>
          <w:lang w:eastAsia="zh-CN"/>
        </w:rPr>
        <w:t>，</w:t>
      </w:r>
      <w:r>
        <w:rPr>
          <w:rFonts w:hint="eastAsia"/>
          <w:color w:val="auto"/>
          <w:highlight w:val="none"/>
        </w:rPr>
        <w:t>按照采购文件规定采购方式、条款和成交供应商的承诺，甲乙双方经协商一致同意签订本合同</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下列文件是构成本合同不可分割的部分：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(1)采购项目需求、磋商文件规定的合同条款；</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(3)响应文件技术部分和商务部分；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(4)甲、乙双方商定确认后的补充协议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(5)其他(根据实际情况需要增加的内容)。</w:t>
      </w:r>
    </w:p>
    <w:p>
      <w:pPr>
        <w:pStyle w:val="2"/>
        <w:rPr>
          <w:rFonts w:hint="eastAsia"/>
          <w:color w:val="auto"/>
          <w:highlight w:val="none"/>
        </w:rPr>
      </w:pPr>
    </w:p>
    <w:p>
      <w:pPr>
        <w:numPr>
          <w:ilvl w:val="0"/>
          <w:numId w:val="3"/>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合同标的(根据实际情况填写)</w:t>
      </w:r>
    </w:p>
    <w:p>
      <w:pPr>
        <w:pStyle w:val="2"/>
        <w:numPr>
          <w:ilvl w:val="0"/>
          <w:numId w:val="0"/>
        </w:numPr>
        <w:ind w:firstLine="420" w:firstLineChars="200"/>
        <w:rPr>
          <w:rFonts w:hint="eastAsia"/>
          <w:color w:val="auto"/>
          <w:highlight w:val="none"/>
        </w:rPr>
      </w:pPr>
      <w:r>
        <w:rPr>
          <w:rFonts w:hint="eastAsia"/>
          <w:color w:val="auto"/>
          <w:highlight w:val="none"/>
        </w:rPr>
        <w:t>乙方应按照合同的规定，提供本项目采购文件中要求的服务（详见附件：服务内容一览表）。</w:t>
      </w:r>
    </w:p>
    <w:p>
      <w:pPr>
        <w:pStyle w:val="2"/>
        <w:numPr>
          <w:ilvl w:val="0"/>
          <w:numId w:val="0"/>
        </w:numPr>
        <w:ind w:firstLine="420" w:firstLineChars="200"/>
        <w:rPr>
          <w:rFonts w:hint="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3.合同金额</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本合同服务时间为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年，合同单价为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元/年，合同总金额为人民币______元(______)。本合同项下所有服务的全部税费均已包含于合同价中，甲方不再另行支付。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4.合同签订地</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广西壮族自治区</w:t>
      </w:r>
      <w:r>
        <w:rPr>
          <w:rFonts w:hint="eastAsia" w:asciiTheme="minorEastAsia" w:hAnsiTheme="minorEastAsia" w:eastAsiaTheme="minorEastAsia" w:cstheme="minorEastAsia"/>
          <w:color w:val="auto"/>
          <w:szCs w:val="21"/>
          <w:highlight w:val="none"/>
          <w:u w:val="single"/>
          <w:lang w:val="en-US" w:eastAsia="zh-CN"/>
        </w:rPr>
        <w:t>柳州市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5.合同生效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cs="Times New Roman"/>
          <w:color w:val="auto"/>
          <w:highlight w:val="none"/>
        </w:rPr>
        <w:t>本合同一式</w:t>
      </w:r>
      <w:r>
        <w:rPr>
          <w:rFonts w:hint="eastAsia" w:cs="Times New Roman"/>
          <w:color w:val="auto"/>
          <w:highlight w:val="none"/>
          <w:lang w:eastAsia="zh-CN"/>
        </w:rPr>
        <w:t>六</w:t>
      </w:r>
      <w:r>
        <w:rPr>
          <w:rFonts w:hint="eastAsia" w:cs="Times New Roman"/>
          <w:color w:val="auto"/>
          <w:highlight w:val="none"/>
        </w:rPr>
        <w:t>份，</w:t>
      </w:r>
      <w:r>
        <w:rPr>
          <w:rFonts w:hint="eastAsia"/>
          <w:color w:val="auto"/>
          <w:highlight w:val="none"/>
        </w:rPr>
        <w:t>具有同等法律效力，甲</w:t>
      </w:r>
      <w:r>
        <w:rPr>
          <w:rFonts w:hint="eastAsia"/>
          <w:color w:val="auto"/>
          <w:highlight w:val="none"/>
          <w:lang w:eastAsia="zh-CN"/>
        </w:rPr>
        <w:t>方三份，</w:t>
      </w:r>
      <w:r>
        <w:rPr>
          <w:rFonts w:hint="eastAsia"/>
          <w:color w:val="auto"/>
          <w:highlight w:val="none"/>
        </w:rPr>
        <w:t>乙方二份，采购代理机构一份（可根据需要另增加）。</w:t>
      </w:r>
      <w:r>
        <w:rPr>
          <w:rFonts w:hint="eastAsia" w:asciiTheme="minorEastAsia" w:hAnsiTheme="minorEastAsia" w:eastAsiaTheme="minorEastAsia" w:cstheme="minorEastAsia"/>
          <w:color w:val="auto"/>
          <w:kern w:val="0"/>
          <w:szCs w:val="21"/>
          <w:highlight w:val="none"/>
        </w:rPr>
        <w:t>经甲乙双方</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或其授权代表签字盖章，并在甲方收到乙方提交的履约保证金后生效。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jc w:val="center"/>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二、合同前附表</w:t>
      </w:r>
    </w:p>
    <w:p>
      <w:pPr>
        <w:jc w:val="center"/>
        <w:rPr>
          <w:rFonts w:hint="eastAsia" w:asciiTheme="minorEastAsia" w:hAnsiTheme="minorEastAsia" w:eastAsiaTheme="minorEastAsia" w:cstheme="minorEastAsia"/>
          <w:b/>
          <w:color w:val="auto"/>
          <w:kern w:val="0"/>
          <w:sz w:val="28"/>
          <w:szCs w:val="21"/>
          <w:highlight w:val="none"/>
        </w:rPr>
      </w:pPr>
    </w:p>
    <w:tbl>
      <w:tblPr>
        <w:tblStyle w:val="4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7941"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7941" w:type="dxa"/>
            <w:vAlign w:val="center"/>
          </w:tcPr>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合同名称：</w:t>
            </w:r>
          </w:p>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甲方联系人：</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甲方开户银行名称：</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乙方联系人：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乙方开户银行名称：</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5" w:type="dxa"/>
            <w:vAlign w:val="center"/>
          </w:tcPr>
          <w:p>
            <w:pPr>
              <w:pStyle w:val="20"/>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合同金额：总金额为人民币（大写）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服务时间、履行期：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年（月）或合同签订之日起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个日历天内实施完毕，具体时间从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日起至</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日止，即自合同生效之日起至合同全部权利义务履行完毕之日止。</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7941" w:type="dxa"/>
            <w:vAlign w:val="center"/>
          </w:tcPr>
          <w:p>
            <w:pPr>
              <w:spacing w:line="360" w:lineRule="auto"/>
              <w:jc w:val="left"/>
              <w:rPr>
                <w:rFonts w:hint="default" w:eastAsia="宋体" w:asciiTheme="minorEastAsia" w:hAnsiTheme="minorEastAsia" w:cstheme="minorEastAsia"/>
                <w:color w:val="auto"/>
                <w:szCs w:val="21"/>
                <w:highlight w:val="none"/>
                <w:lang w:val="en-US" w:eastAsia="zh-CN"/>
              </w:rPr>
            </w:pPr>
            <w:r>
              <w:rPr>
                <w:rFonts w:hint="eastAsia" w:ascii="Times New Roman" w:hAnsi="Times New Roman"/>
                <w:color w:val="auto"/>
                <w:highlight w:val="none"/>
              </w:rPr>
              <w:t>服务地点：</w:t>
            </w:r>
            <w:r>
              <w:rPr>
                <w:rFonts w:hint="eastAsia"/>
                <w:color w:val="auto"/>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验收方式及标准：按照采购需求、磋商(响应)文件及国家、行业规定的技术标准及规范</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7941"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付款方式： 1、劳务外包费：乙方每月3日前将发票给到甲方，甲方应在收到发票的五个工作日内将上月的劳务外包服务费以转</w:t>
            </w:r>
            <w:r>
              <w:rPr>
                <w:rFonts w:hint="eastAsia" w:asciiTheme="minorEastAsia" w:hAnsiTheme="minorEastAsia" w:eastAsiaTheme="minorEastAsia" w:cstheme="minorEastAsia"/>
                <w:color w:val="auto"/>
                <w:sz w:val="21"/>
                <w:szCs w:val="21"/>
                <w:highlight w:val="none"/>
                <w:lang w:val="en-US" w:eastAsia="zh-CN"/>
              </w:rPr>
              <w:t>账</w:t>
            </w:r>
            <w:r>
              <w:rPr>
                <w:rFonts w:hint="eastAsia" w:asciiTheme="minorEastAsia" w:hAnsiTheme="minorEastAsia" w:eastAsiaTheme="minorEastAsia" w:cstheme="minorEastAsia"/>
                <w:color w:val="auto"/>
                <w:sz w:val="21"/>
                <w:szCs w:val="21"/>
                <w:highlight w:val="none"/>
              </w:rPr>
              <w:t>形式结算给乙方。</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2、餐费：参照甲方本系统各局食堂的运转模式，每月上旬甲方根据就餐情况，按本局在编人员的补贴餐费330元/人转给乙方，乙方应开具发票给甲方，并按市局食堂（总公司）规定的时间内和各食堂进行结清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9</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履约保证金及其返还：本项目要求乙方提供，履约保证金的数额不得超过采购合同金额的10%，本项目履约保证金为合同金额的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金额为人民币（大写）___元(¥______)（取整到元），提交方式为支票、汇票、本票或者金融机构、担保机构出具的保函等非现金形式，乙方在签订合同前应提交履约保证金，否则，不予签订合同。采用转账、电汇方式的，由乙方在签订合同前按规定的金额从乙方银行账户直接缴入采购人账户。</w:t>
            </w:r>
          </w:p>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合同期满且乙方完全履行了服务要求或产品质量保证义务的，甲方在收到乙方提出申请的30日内无息返还履约保证金；甲方如逾期退还履约保证金，每逾期一天，可按应退款项的</w:t>
            </w:r>
            <w:r>
              <w:rPr>
                <w:rFonts w:hint="eastAsia" w:asciiTheme="minorEastAsia" w:hAnsiTheme="minorEastAsia" w:eastAsiaTheme="minorEastAsia" w:cstheme="minorEastAsia"/>
                <w:color w:val="auto"/>
                <w:sz w:val="21"/>
                <w:szCs w:val="21"/>
                <w:highlight w:val="none"/>
                <w:shd w:val="clear" w:color="auto" w:fill="FFFFFF"/>
              </w:rPr>
              <w:t>银行同期存款利息</w:t>
            </w:r>
            <w:r>
              <w:rPr>
                <w:rFonts w:hint="eastAsia" w:asciiTheme="minorEastAsia" w:hAnsiTheme="minorEastAsia" w:eastAsiaTheme="minorEastAsia" w:cstheme="minorEastAsia"/>
                <w:color w:val="auto"/>
                <w:sz w:val="21"/>
                <w:szCs w:val="21"/>
                <w:highlight w:val="none"/>
              </w:rPr>
              <w:t>计算违约金；乙方在合同期限和质量保证期内不能履行合同义务或违约的，履约保证金不予退还。</w:t>
            </w:r>
          </w:p>
          <w:p>
            <w:pPr>
              <w:spacing w:line="360" w:lineRule="auto"/>
              <w:jc w:val="left"/>
              <w:rPr>
                <w:rFonts w:hint="eastAsia" w:asciiTheme="minorEastAsia" w:hAnsiTheme="minorEastAsia" w:eastAsiaTheme="minorEastAsia" w:cstheme="minorEastAsia"/>
                <w:b/>
                <w:i/>
                <w:color w:val="auto"/>
                <w:szCs w:val="21"/>
                <w:highlight w:val="none"/>
              </w:rPr>
            </w:pPr>
            <w:r>
              <w:rPr>
                <w:rFonts w:hint="eastAsia" w:asciiTheme="minorEastAsia" w:hAnsiTheme="minorEastAsia" w:eastAsiaTheme="minorEastAsia" w:cstheme="minorEastAsia"/>
                <w:b/>
                <w:i/>
                <w:color w:val="auto"/>
                <w:sz w:val="21"/>
                <w:szCs w:val="21"/>
                <w:highlight w:val="none"/>
              </w:rPr>
              <w:t>备注：该项缴纳是否缴纳、比例和缴纳方式具体由采购人根据采购需求和实际情况制定。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违约金约定：1.乙方违约或无正当理由造成解除合同的，按合同价款的10%计算。逾期退回款项及违约金的，每逾期一天，按应退款项及违约金总额的0.5%计算违约金。2.其它违约行为按违约服务款额5%收取违约金。</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误期赔偿费约定：如果乙方没有按照合同规定的时间交货和提供服务，甲方有权从货款或履约保证金中扣除误期赔偿费而不影响合同项下的其他补救方法。赔偿费按每日加收合同金额的0.5%计收，直至交货或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5" w:type="dxa"/>
            <w:vAlign w:val="center"/>
          </w:tcPr>
          <w:p>
            <w:pPr>
              <w:pStyle w:val="20"/>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7941" w:type="dxa"/>
            <w:vAlign w:val="center"/>
          </w:tcPr>
          <w:p>
            <w:pPr>
              <w:pStyle w:val="2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合同纠纷的解决方式：</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首先通过双方协商解决，协商解决不成，则通过以下途径之一解决纠纷(请在方框内画“√”选择)：</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提请______仲裁委员会按照仲裁程序在______(仲裁地)仲裁</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向人民法院提起诉讼</w:t>
            </w:r>
          </w:p>
        </w:tc>
      </w:tr>
    </w:tbl>
    <w:p>
      <w:pPr>
        <w:ind w:firstLine="420" w:firstLineChars="200"/>
        <w:rPr>
          <w:rFonts w:hint="eastAsia" w:asciiTheme="minorEastAsia" w:hAnsiTheme="minorEastAsia" w:eastAsiaTheme="minorEastAsia" w:cstheme="minorEastAsia"/>
          <w:color w:val="auto"/>
          <w:szCs w:val="21"/>
          <w:highlight w:val="none"/>
        </w:rPr>
      </w:pPr>
    </w:p>
    <w:p>
      <w:pPr>
        <w:ind w:firstLine="422" w:firstLineChars="200"/>
        <w:jc w:val="center"/>
        <w:rPr>
          <w:rFonts w:hint="eastAsia" w:asciiTheme="minorEastAsia" w:hAnsiTheme="minorEastAsia" w:eastAsiaTheme="minorEastAsia" w:cstheme="minorEastAsia"/>
          <w:b/>
          <w:color w:val="auto"/>
          <w:szCs w:val="21"/>
          <w:highlight w:val="none"/>
        </w:rPr>
      </w:pPr>
    </w:p>
    <w:p>
      <w:pPr>
        <w:spacing w:line="360" w:lineRule="auto"/>
        <w:ind w:firstLine="643" w:firstLineChars="200"/>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三、合同通用条款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1.定义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本合同下列术语应解释为：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“甲方”是指采购人。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　“乙方”是指成交供应商。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　“合同”系指甲乙双方签署的、载明甲乙双方权利义务所达成的协议，包括所有的附件、附录和上述文件所提到的构成合同的所有文件。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“服务”是指乙方按照采购、响应文件要求，向采购人提供的技术支持服务。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“项目现场”是指甲方指定的最终服务地点。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　“天”除非特别指出，“天”均为自然天。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乙方为甲方交付的服务应符合采购文件和乙方的响应文件所述的内容，如果没有提及适用标准，则应符合相应的国家标准。这些标准必须是有关机构发布的最新版本的标准。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除非技术要求中另有规定，计量单位均采用中华人民共和国法定计量单位。</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乙方应按照合同的规定，提供下列服务甲方提供符合要求的服务。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4.知识产权</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　乙方应保证所提供的服务免受第三方提出侵犯其知识产权(专利权、商标权、版权等)的起诉。因侵害他人知识产权而产生的法律责任，全部由乙方承担。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　甲方委托乙方开发的产品，甲方享有知识产权，未经甲方许可不得转让任何第三人。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5.保密条款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(1)应以审慎态度避免泄露、公开或传播甲方的信息；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(2)未经甲方书面许可，不得对有关信息进行修改、补充、复制；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(3)未经甲方书面许可，不得将信息以任何方式(如E－mail)携带出甲方场所；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(4)未经甲方书面许可，不得将信息透露给任何其他人；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(5)甲方以书面形式提出的其他保密措施。</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　甲乙双方如出现泄密行为，泄密方应承担相关的法律责任，包括但是不限于对由此给对方造成的经济损失进行赔偿。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6.服务质量保证</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乙方应保证所提供的服务，符合合同规定的技术要求。如不符时，乙方应负全责并尽快处理解决，由此造成的损失和相关费用由乙方负责，甲方保留终止合同及索赔的权利。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乙方应保证通过执行合同中全部方案后，可以取得本合同规定的结果，达到本合同规定的预期目标。对任何情况下出现问题的，应尽快提出解决方案。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乙方应在签署合同前，</w:t>
      </w:r>
      <w:r>
        <w:rPr>
          <w:rFonts w:hint="eastAsia" w:asciiTheme="minorEastAsia" w:hAnsiTheme="minorEastAsia" w:eastAsiaTheme="minorEastAsia" w:cstheme="minorEastAsia"/>
          <w:color w:val="auto"/>
          <w:highlight w:val="none"/>
        </w:rPr>
        <w:t>以支票、汇票、本票或者金融机构、担保机构出具的保函等非现金形式向甲方提供</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履约保证金具体金额及返还要求见合同条款前附表。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　如乙方未能履行合同规定的义务，甲方有权按照本合同的约定从履约保证金中进行相应扣除。乙方应在甲方扣除履约保证金后15天内，及时补充扣除部分金额。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　乙方不履行合同，或者履行合同义务不符合约定使得合同目的不能实现，履约保证金不予退还，给甲方造成的损失超过履约保证金数额的，还应当对超过部分予以赔偿。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8.服务时间、地点与验收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　服务地点：合同条款前附表指定地点。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　服务时间：合同条款前附表指定时间。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　甲方应在乙方完成相关服务工作后及时对服务质量、技术指标、服务成果进行验收。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服务缺陷的补救措施和索赔</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(1)如果乙方提供的服务不符合本合同约定以及</w:t>
      </w:r>
      <w:r>
        <w:rPr>
          <w:rFonts w:hint="eastAsia" w:asciiTheme="minorEastAsia" w:hAnsiTheme="minorEastAsia" w:eastAsiaTheme="minorEastAsia" w:cstheme="minorEastAsia"/>
          <w:color w:val="auto"/>
          <w:szCs w:val="21"/>
          <w:highlight w:val="none"/>
          <w:lang w:eastAsia="zh-CN"/>
        </w:rPr>
        <w:t>磋商文件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关于服务的要求和承诺，乙方应按照甲方同意的下列一种或几种方式结合起来解决索赔事宜：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①乙方同意将服务款项退还给甲方，由此发生的一切费用和损失由乙方承担。如甲方以适当的条件和方法购买与未履约标的相类似的服务，乙方应负担新购买类似服务所超出的费用。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②根据服务的质量状况以及甲方所遭受的损失，经过甲乙双方商定降低服务的价格。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迟延履约的违约责任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　未履行合同义务的违约责任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(1)守约方有权终止全部或部分合同。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(2)不予退还全额履约保证金。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(3)由违约一方支付违约金，违约金标准见合同条款前附表(各单位可根据实际情况自行约定)。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(4)违约金不足以弥补守约方实际损失、可预见或者应当预见的损失，由违约方全额予以赔偿。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10.不可抗力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如果合同双方因不可抗力而导致合同实施延误或合同无法实施，不应该承担误期赔偿或不能履行合同义务的责任。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本条所述的“不可抗力”系指那些双方不可预见、不可避免、不可克服的客观情况，但不包括双方的违约或疏忽。这些事件包括但不限于：战争、严重火灾、洪水、台风、地震等。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11.合同纠纷的解决方式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合同各方应通过友好协商，解决在执行合同过程中所发生的或与合同有关的一切争端。如协商30日内(根据实际情况设定)不能解决，可以按合同规定的方式提起仲裁或诉讼。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仲裁裁决应为最终裁决，对双方均具有约束力。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仲裁费除仲裁机关另有裁决外应由败诉方负担。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诉讼应由服务所在地人民法院管辖。诉讼费除人民法院另有判决外应由败诉方负担。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如仲裁或诉讼事项不影响合同其他部分的履行，则在仲裁或诉讼期间，除正在进行仲裁或诉讼的部分外，合同的其他部分应继续执行。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12.合同修改或变更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如无重大变故，甲方双方不得擅自变更合同。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如确需变更合同，甲乙双方应签署书面变更协议。变更协议为本合同不可分割的一部分。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在不改变合同其他条款的前提下，甲方有权在合同价款10%的范围内追加与合同标的相同的货物或服务，并就此与乙方签订补充合同，乙方不得拒绝。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13.合同中止</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14.违约终止合同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若出现如下情况，在甲方对乙方违约行为而采取的任何补救措施不受影响的情况下，甲方可向乙方发出书面通知书，提出终止部分或全部合同。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14.1.1　如果乙方未能在合同规定的期限或甲方同意延长的期限内提供服务；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14.1.2　因乙方技术人员自身技术能力、经验不足等原因造成甲方硬件设备、应用系统发生重大紧急故障或应用系统数据丢失，带来重大影响和损失的；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14.1.3　乙方对甲方硬件设备、应用系统重大紧急故障没有及时响应，或不能在规定时间内解决处理故障，恢复系统正常运行的；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14.1.4　不能满足本项目技术需求的管理要求和规范，且经多次（3次及以上）整改无明显改进，仍然不能满足要求的；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14.1.5　在合同规定的每个服务年度(12个自然月)内，在运行维护支持服务过程中，出现2次经甲乙双方确认的违规操作的。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15.破产终止合同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　如果乙方破产或无清偿能力，甲方可在任何时候以书面形式通知乙方终止合同而不给乙方补偿。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　该终止协议将不损害或影响甲方已经采取或将要采取的任何行动或补救措施的权利。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16.其他情况的终止合同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　若合同继续履行将给甲方造成重大损失的，甲方可以终止合同而不给予乙方任何补偿。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乙方在执行合同的过程中发生重大事故，对履行合同有直接影响的，甲方可以终止合同而不给予乙方任何补偿。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　甲方因重大变故取消或部分取消原来的采购任务，导致合同全部或部分内容无须继续履行的，可以终止合同而不给予乙方任何补偿。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17.合同转让和分包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乙方不得以任何形式将合同转包，或部分或全部转让其应履行的合同义务。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　除经甲方事先书面同意外，乙方不得以任何形式将合同分包。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18.适用法律</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本合同适用中华人民共和国现行法律、行政法规和规章，如合同条款与法律、行政法规和规章不一致的，按照法律、行政法规和规章修改本合同。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19.合同语言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　本合同语言为中文。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　双方交换的与合同有关的信件和其他文件应用合同语言书写。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20.合同生效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　本合同应在双方签字盖章和甲方收到乙方提供的履约保证金后生效。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21.合同效力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除本合同和甲乙双方书面签署的补充协议外，其他任何形式的双方约定和往来函件均不具有合同效力，对本项目无约束。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22.检查和审计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22.1在本合同的履行过程中，甲方有权对乙方的合同履约情况进行阶段性检查，并对乙方响应时提供的相关资料进行复核。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rPr>
          <w:rFonts w:hint="eastAsia" w:asciiTheme="minorEastAsia" w:hAnsiTheme="minorEastAsia" w:eastAsiaTheme="minorEastAsia" w:cstheme="minorEastAsia"/>
          <w:color w:val="auto"/>
          <w:szCs w:val="21"/>
          <w:highlight w:val="none"/>
        </w:rPr>
      </w:pPr>
    </w:p>
    <w:p>
      <w:pPr>
        <w:pStyle w:val="2"/>
        <w:rPr>
          <w:rFonts w:hint="eastAsia" w:asciiTheme="minorEastAsia" w:hAnsiTheme="minorEastAsia" w:eastAsiaTheme="minorEastAsia" w:cstheme="minorEastAsia"/>
          <w:color w:val="auto"/>
          <w:szCs w:val="21"/>
          <w:highlight w:val="none"/>
        </w:rPr>
      </w:pPr>
    </w:p>
    <w:p>
      <w:pPr>
        <w:numPr>
          <w:ilvl w:val="0"/>
          <w:numId w:val="4"/>
        </w:numPr>
        <w:spacing w:line="460" w:lineRule="exact"/>
        <w:jc w:val="center"/>
        <w:rPr>
          <w:rFonts w:hint="eastAsia" w:ascii="黑体" w:hAnsi="黑体" w:eastAsia="黑体" w:cs="黑体"/>
          <w:b/>
          <w:color w:val="auto"/>
          <w:kern w:val="0"/>
          <w:sz w:val="30"/>
          <w:szCs w:val="30"/>
          <w:highlight w:val="none"/>
        </w:rPr>
      </w:pPr>
      <w:r>
        <w:rPr>
          <w:rFonts w:hint="eastAsia" w:ascii="黑体" w:hAnsi="黑体" w:eastAsia="黑体" w:cs="黑体"/>
          <w:b/>
          <w:color w:val="auto"/>
          <w:kern w:val="0"/>
          <w:sz w:val="30"/>
          <w:szCs w:val="30"/>
          <w:highlight w:val="none"/>
        </w:rPr>
        <w:t>合同补充条款（双方据实商定）</w:t>
      </w:r>
    </w:p>
    <w:p>
      <w:pPr>
        <w:spacing w:line="460" w:lineRule="exact"/>
        <w:rPr>
          <w:rFonts w:hint="eastAsia" w:asciiTheme="minorEastAsia" w:hAnsiTheme="minorEastAsia" w:eastAsiaTheme="minorEastAsia" w:cstheme="minorEastAsia"/>
          <w:b/>
          <w:color w:val="auto"/>
          <w:kern w:val="0"/>
          <w:sz w:val="24"/>
          <w:szCs w:val="21"/>
          <w:highlight w:val="none"/>
        </w:rPr>
      </w:pPr>
    </w:p>
    <w:p>
      <w:pPr>
        <w:spacing w:line="460" w:lineRule="exact"/>
        <w:rPr>
          <w:rFonts w:hint="eastAsia" w:asciiTheme="minorEastAsia" w:hAnsiTheme="minorEastAsia" w:eastAsiaTheme="minorEastAsia" w:cstheme="minorEastAsia"/>
          <w:b/>
          <w:color w:val="auto"/>
          <w:kern w:val="0"/>
          <w:sz w:val="24"/>
          <w:szCs w:val="21"/>
          <w:highlight w:val="none"/>
        </w:rPr>
      </w:pPr>
    </w:p>
    <w:p>
      <w:pPr>
        <w:widowControl/>
        <w:jc w:val="center"/>
        <w:rPr>
          <w:rFonts w:hint="eastAsia" w:ascii="黑体" w:hAnsi="黑体" w:eastAsia="黑体" w:cs="黑体"/>
          <w:bCs/>
          <w:color w:val="auto"/>
          <w:sz w:val="30"/>
          <w:szCs w:val="30"/>
          <w:highlight w:val="none"/>
        </w:rPr>
      </w:pPr>
      <w:r>
        <w:rPr>
          <w:rFonts w:hint="eastAsia" w:ascii="黑体" w:hAnsi="黑体" w:eastAsia="黑体" w:cs="黑体"/>
          <w:b/>
          <w:color w:val="auto"/>
          <w:sz w:val="30"/>
          <w:szCs w:val="30"/>
          <w:highlight w:val="none"/>
        </w:rPr>
        <w:t>五、合同附件（与正件装订成册）</w:t>
      </w:r>
    </w:p>
    <w:p>
      <w:pPr>
        <w:spacing w:line="460" w:lineRule="exact"/>
        <w:ind w:leftChars="500"/>
        <w:jc w:val="lef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（一）服务内容一览表（乙方填制）；</w:t>
      </w:r>
    </w:p>
    <w:p>
      <w:pPr>
        <w:spacing w:line="460" w:lineRule="exact"/>
        <w:ind w:leftChars="500"/>
        <w:jc w:val="lef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（二）磋商（响应）文件报价表部分（乙方提供）；</w:t>
      </w:r>
    </w:p>
    <w:p>
      <w:pPr>
        <w:spacing w:line="460" w:lineRule="exact"/>
        <w:ind w:leftChars="500"/>
        <w:jc w:val="lef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（三）磋商（响应）文件技术部分和商务部分（乙方提供）；</w:t>
      </w:r>
    </w:p>
    <w:p>
      <w:pPr>
        <w:spacing w:line="460" w:lineRule="exact"/>
        <w:ind w:leftChars="500"/>
        <w:jc w:val="lef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（四）采购需求（与采购文件一致）；</w:t>
      </w:r>
    </w:p>
    <w:p>
      <w:pPr>
        <w:spacing w:line="460" w:lineRule="exact"/>
        <w:ind w:leftChars="500"/>
        <w:jc w:val="lef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（五）合同验收书格式（验收时填制，供参考）；</w:t>
      </w:r>
    </w:p>
    <w:p>
      <w:pPr>
        <w:spacing w:line="460" w:lineRule="exact"/>
        <w:ind w:leftChars="5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 w:val="24"/>
          <w:szCs w:val="21"/>
          <w:highlight w:val="none"/>
        </w:rPr>
        <w:t>（六）</w:t>
      </w:r>
      <w:r>
        <w:rPr>
          <w:rFonts w:hint="eastAsia" w:asciiTheme="minorEastAsia" w:hAnsiTheme="minorEastAsia" w:eastAsiaTheme="minorEastAsia" w:cstheme="minorEastAsia"/>
          <w:bCs/>
          <w:color w:val="auto"/>
          <w:sz w:val="24"/>
          <w:szCs w:val="21"/>
          <w:highlight w:val="none"/>
          <w:lang w:eastAsia="zh-CN"/>
        </w:rPr>
        <w:t>采购</w:t>
      </w:r>
      <w:r>
        <w:rPr>
          <w:rFonts w:hint="eastAsia" w:asciiTheme="minorEastAsia" w:hAnsiTheme="minorEastAsia" w:eastAsiaTheme="minorEastAsia" w:cstheme="minorEastAsia"/>
          <w:bCs/>
          <w:color w:val="auto"/>
          <w:sz w:val="24"/>
          <w:szCs w:val="21"/>
          <w:highlight w:val="none"/>
        </w:rPr>
        <w:t>项目履约保证金或质量保证金退付意见书（供参考）。</w:t>
      </w:r>
    </w:p>
    <w:p>
      <w:pPr>
        <w:spacing w:line="460" w:lineRule="exact"/>
        <w:jc w:val="left"/>
        <w:rPr>
          <w:rFonts w:hint="eastAsia" w:asciiTheme="minorEastAsia" w:hAnsiTheme="minorEastAsia" w:eastAsiaTheme="minorEastAsia" w:cstheme="minorEastAsia"/>
          <w:color w:val="auto"/>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(一)服务内容一览表（乙方填制）</w:t>
      </w:r>
    </w:p>
    <w:p>
      <w:pPr>
        <w:ind w:firstLine="480" w:firstLineChars="200"/>
        <w:rPr>
          <w:rFonts w:hint="eastAsia" w:asciiTheme="minorEastAsia" w:hAnsiTheme="minorEastAsia" w:eastAsiaTheme="minorEastAsia" w:cstheme="minorEastAsia"/>
          <w:color w:val="auto"/>
          <w:sz w:val="24"/>
          <w:szCs w:val="21"/>
          <w:highlight w:val="none"/>
        </w:rPr>
      </w:pPr>
    </w:p>
    <w:tbl>
      <w:tblPr>
        <w:tblStyle w:val="4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570"/>
        <w:gridCol w:w="810"/>
        <w:gridCol w:w="5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服务名称</w:t>
            </w: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单位</w:t>
            </w: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数量</w:t>
            </w:r>
          </w:p>
        </w:tc>
        <w:tc>
          <w:tcPr>
            <w:tcW w:w="810" w:type="dxa"/>
            <w:vAlign w:val="center"/>
          </w:tcPr>
          <w:p>
            <w:pPr>
              <w:snapToGrid w:val="0"/>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金额</w:t>
            </w:r>
          </w:p>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（元）</w:t>
            </w: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w:t>
            </w: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81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81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p>
        </w:tc>
      </w:tr>
    </w:tbl>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(二)</w:t>
      </w:r>
      <w:r>
        <w:rPr>
          <w:rFonts w:hint="eastAsia"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sz w:val="24"/>
          <w:szCs w:val="21"/>
          <w:highlight w:val="none"/>
        </w:rPr>
        <w:t>磋商（响应）文件报价表部分（乙方提供）</w:t>
      </w: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由乙方按照磋商（响应）文件提供，并保持与磋商（响应）文件一致。</w:t>
      </w: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(三)响应文件技术部分和商务部分（乙方提供）</w:t>
      </w: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由乙方按照磋商（响应）文件提供，并保持与磋商（响应）文件一致。</w:t>
      </w: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(四)采购需求（与采购文件一致）</w:t>
      </w:r>
    </w:p>
    <w:p>
      <w:pPr>
        <w:rPr>
          <w:rFonts w:hint="eastAsia" w:asciiTheme="minorEastAsia" w:hAnsiTheme="minorEastAsia" w:eastAsiaTheme="minorEastAsia" w:cstheme="minorEastAsia"/>
          <w:b/>
          <w:color w:val="auto"/>
          <w:sz w:val="24"/>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bCs/>
          <w:color w:val="auto"/>
          <w:sz w:val="24"/>
          <w:szCs w:val="21"/>
          <w:highlight w:val="none"/>
        </w:rPr>
        <w:t>(五)合同验收书格式</w:t>
      </w:r>
      <w:r>
        <w:rPr>
          <w:rFonts w:hint="eastAsia" w:asciiTheme="minorEastAsia" w:hAnsiTheme="minorEastAsia" w:eastAsiaTheme="minorEastAsia" w:cstheme="minorEastAsia"/>
          <w:b w:val="0"/>
          <w:bCs w:val="0"/>
          <w:color w:val="auto"/>
          <w:sz w:val="24"/>
          <w:szCs w:val="21"/>
          <w:highlight w:val="none"/>
        </w:rPr>
        <w:t>（验收时填制</w:t>
      </w:r>
      <w:r>
        <w:rPr>
          <w:rFonts w:hint="eastAsia" w:asciiTheme="minorEastAsia" w:hAnsiTheme="minorEastAsia" w:eastAsiaTheme="minorEastAsia" w:cstheme="minorEastAsia"/>
          <w:b w:val="0"/>
          <w:bCs w:val="0"/>
          <w:color w:val="auto"/>
          <w:sz w:val="24"/>
          <w:szCs w:val="21"/>
          <w:highlight w:val="none"/>
          <w:lang w:eastAsia="zh-CN"/>
        </w:rPr>
        <w:t>，</w:t>
      </w:r>
      <w:r>
        <w:rPr>
          <w:rFonts w:hint="eastAsia" w:asciiTheme="minorEastAsia" w:hAnsiTheme="minorEastAsia" w:eastAsiaTheme="minorEastAsia" w:cstheme="minorEastAsia"/>
          <w:b w:val="0"/>
          <w:bCs w:val="0"/>
          <w:color w:val="auto"/>
          <w:sz w:val="24"/>
          <w:szCs w:val="21"/>
          <w:highlight w:val="none"/>
          <w:lang w:val="en-US" w:eastAsia="zh-CN"/>
        </w:rPr>
        <w:t>供参考</w:t>
      </w:r>
      <w:r>
        <w:rPr>
          <w:rFonts w:hint="eastAsia" w:asciiTheme="minorEastAsia" w:hAnsiTheme="minorEastAsia" w:eastAsiaTheme="minorEastAsia" w:cstheme="minorEastAsia"/>
          <w:b w:val="0"/>
          <w:bCs w:val="0"/>
          <w:color w:val="auto"/>
          <w:sz w:val="24"/>
          <w:szCs w:val="21"/>
          <w:highlight w:val="none"/>
        </w:rPr>
        <w:t>）</w:t>
      </w:r>
    </w:p>
    <w:p>
      <w:pPr>
        <w:jc w:val="center"/>
        <w:rPr>
          <w:rFonts w:hint="eastAsia" w:asciiTheme="minorEastAsia" w:hAnsiTheme="minorEastAsia" w:eastAsiaTheme="minorEastAsia" w:cstheme="minorEastAsia"/>
          <w:color w:val="auto"/>
          <w:szCs w:val="21"/>
          <w:highlight w:val="none"/>
        </w:rPr>
      </w:pPr>
    </w:p>
    <w:p>
      <w:pPr>
        <w:pStyle w:val="191"/>
        <w:adjustRightInd w:val="0"/>
        <w:spacing w:line="560" w:lineRule="exact"/>
        <w:ind w:firstLineChars="0"/>
        <w:jc w:val="center"/>
        <w:rPr>
          <w:rFonts w:hint="eastAsia" w:ascii="方正小标宋简体" w:hAnsi="方正小标宋简体" w:eastAsia="方正小标宋简体" w:cs="方正小标宋简体"/>
          <w:b w:val="0"/>
          <w:bCs/>
          <w:color w:val="auto"/>
          <w:sz w:val="36"/>
          <w:szCs w:val="36"/>
          <w:highlight w:val="none"/>
          <w:lang w:eastAsia="zh-CN"/>
        </w:rPr>
      </w:pPr>
      <w:r>
        <w:rPr>
          <w:rFonts w:hint="eastAsia" w:ascii="方正小标宋简体" w:hAnsi="方正小标宋简体" w:eastAsia="方正小标宋简体" w:cs="方正小标宋简体"/>
          <w:b w:val="0"/>
          <w:bCs/>
          <w:color w:val="auto"/>
          <w:sz w:val="36"/>
          <w:szCs w:val="36"/>
          <w:highlight w:val="none"/>
        </w:rPr>
        <w:br w:type="page"/>
      </w:r>
      <w:r>
        <w:rPr>
          <w:rFonts w:hint="eastAsia" w:ascii="方正小标宋简体" w:hAnsi="方正小标宋简体" w:eastAsia="方正小标宋简体" w:cs="方正小标宋简体"/>
          <w:b w:val="0"/>
          <w:bCs/>
          <w:color w:val="auto"/>
          <w:sz w:val="36"/>
          <w:szCs w:val="36"/>
          <w:highlight w:val="none"/>
        </w:rPr>
        <w:t>项目验收</w:t>
      </w:r>
      <w:r>
        <w:rPr>
          <w:rFonts w:hint="eastAsia" w:ascii="方正小标宋简体" w:hAnsi="方正小标宋简体" w:eastAsia="方正小标宋简体" w:cs="方正小标宋简体"/>
          <w:b w:val="0"/>
          <w:bCs/>
          <w:color w:val="auto"/>
          <w:sz w:val="36"/>
          <w:szCs w:val="36"/>
          <w:highlight w:val="none"/>
          <w:lang w:eastAsia="zh-CN"/>
        </w:rPr>
        <w:t>书（付款时提供）</w:t>
      </w:r>
    </w:p>
    <w:p>
      <w:pPr>
        <w:pStyle w:val="191"/>
        <w:adjustRightInd w:val="0"/>
        <w:spacing w:line="560" w:lineRule="exact"/>
        <w:ind w:firstLineChars="0"/>
        <w:jc w:val="center"/>
        <w:rPr>
          <w:rFonts w:hint="eastAsia" w:ascii="仿宋_GB2312" w:hAnsi="仿宋_GB2312" w:eastAsia="仿宋_GB2312" w:cs="仿宋_GB2312"/>
          <w:b/>
          <w:color w:val="auto"/>
          <w:sz w:val="28"/>
          <w:szCs w:val="28"/>
          <w:highlight w:val="none"/>
        </w:rPr>
      </w:pP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一、</w:t>
      </w:r>
      <w:r>
        <w:rPr>
          <w:rFonts w:hint="eastAsia" w:ascii="黑体" w:hAnsi="黑体" w:eastAsia="黑体" w:cs="黑体"/>
          <w:color w:val="auto"/>
          <w:sz w:val="32"/>
          <w:szCs w:val="32"/>
          <w:highlight w:val="none"/>
        </w:rPr>
        <w:t>项目基本情况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（一）</w:t>
      </w:r>
      <w:r>
        <w:rPr>
          <w:rFonts w:hint="eastAsia" w:ascii="仿宋_GB2312" w:hAnsi="仿宋_GB2312" w:eastAsia="仿宋_GB2312" w:cs="仿宋_GB2312"/>
          <w:color w:val="auto"/>
          <w:sz w:val="32"/>
          <w:szCs w:val="32"/>
          <w:highlight w:val="none"/>
        </w:rPr>
        <w:t>项目名称及编号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合同名称及编号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乙方名称、乙方联系人及联系方式</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（四）</w:t>
      </w:r>
      <w:r>
        <w:rPr>
          <w:rFonts w:hint="eastAsia" w:ascii="仿宋_GB2312" w:hAnsi="仿宋_GB2312" w:eastAsia="仿宋_GB2312" w:cs="仿宋_GB2312"/>
          <w:color w:val="auto"/>
          <w:sz w:val="32"/>
          <w:szCs w:val="32"/>
          <w:highlight w:val="none"/>
        </w:rPr>
        <w:t>合同金额</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（五）</w:t>
      </w:r>
      <w:r>
        <w:rPr>
          <w:rFonts w:hint="eastAsia" w:ascii="仿宋_GB2312" w:hAnsi="仿宋_GB2312" w:eastAsia="仿宋_GB2312" w:cs="仿宋_GB2312"/>
          <w:color w:val="auto"/>
          <w:sz w:val="32"/>
          <w:szCs w:val="32"/>
          <w:highlight w:val="none"/>
        </w:rPr>
        <w:t>历次验收及已付款情况等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二、</w:t>
      </w:r>
      <w:r>
        <w:rPr>
          <w:rFonts w:hint="eastAsia" w:ascii="黑体" w:hAnsi="黑体" w:eastAsia="黑体" w:cs="黑体"/>
          <w:color w:val="auto"/>
          <w:sz w:val="32"/>
          <w:szCs w:val="32"/>
          <w:highlight w:val="none"/>
        </w:rPr>
        <w:t>项目基本内容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合同约定的主要内容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本次付款对应的合同内容和所属阶段</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三、</w:t>
      </w:r>
      <w:r>
        <w:rPr>
          <w:rFonts w:hint="eastAsia" w:ascii="黑体" w:hAnsi="黑体" w:eastAsia="黑体" w:cs="黑体"/>
          <w:color w:val="auto"/>
          <w:sz w:val="32"/>
          <w:szCs w:val="32"/>
          <w:highlight w:val="none"/>
        </w:rPr>
        <w:t>组织验收情况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验收情况，包括验收内容、验收期限等</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验收评价及结论，包括项目执行情况、是否通过验收等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四、</w:t>
      </w:r>
      <w:r>
        <w:rPr>
          <w:rFonts w:hint="eastAsia" w:ascii="黑体" w:hAnsi="黑体" w:eastAsia="黑体" w:cs="黑体"/>
          <w:color w:val="auto"/>
          <w:sz w:val="32"/>
          <w:szCs w:val="32"/>
          <w:highlight w:val="none"/>
        </w:rPr>
        <w:t>其他需要说明的情况</w:t>
      </w:r>
    </w:p>
    <w:p>
      <w:pPr>
        <w:numPr>
          <w:ilvl w:val="0"/>
          <w:numId w:val="0"/>
        </w:numPr>
        <w:spacing w:line="560" w:lineRule="exact"/>
        <w:ind w:left="0"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　　五、应支付合同款情况</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依据验收结论，</w:t>
      </w:r>
      <w:r>
        <w:rPr>
          <w:rFonts w:hint="eastAsia" w:ascii="仿宋_GB2312" w:hAnsi="仿宋_GB2312" w:eastAsia="仿宋_GB2312" w:cs="仿宋_GB2312"/>
          <w:color w:val="auto"/>
          <w:sz w:val="32"/>
          <w:szCs w:val="32"/>
          <w:highlight w:val="none"/>
          <w:lang w:eastAsia="zh-CN"/>
        </w:rPr>
        <w:t>本次验收后应支付</w:t>
      </w:r>
      <w:r>
        <w:rPr>
          <w:rFonts w:hint="eastAsia" w:ascii="仿宋_GB2312" w:hAnsi="仿宋_GB2312" w:eastAsia="仿宋_GB2312" w:cs="仿宋_GB2312"/>
          <w:color w:val="auto"/>
          <w:sz w:val="32"/>
          <w:szCs w:val="32"/>
          <w:highlight w:val="none"/>
        </w:rPr>
        <w:t>合同第几次付款及付款金额等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项目负责人签字：</w:t>
      </w:r>
    </w:p>
    <w:p>
      <w:pPr>
        <w:numPr>
          <w:ilvl w:val="0"/>
          <w:numId w:val="0"/>
        </w:numPr>
        <w:spacing w:line="560" w:lineRule="exact"/>
        <w:ind w:left="0" w:firstLine="0" w:firstLineChars="0"/>
        <w:rPr>
          <w:rStyle w:val="44"/>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eastAsia="zh-CN" w:bidi="ar"/>
        </w:rPr>
        <w:t>　　验收牵头部门</w:t>
      </w:r>
      <w:r>
        <w:rPr>
          <w:rFonts w:hint="eastAsia" w:ascii="仿宋_GB2312" w:hAnsi="仿宋_GB2312" w:eastAsia="仿宋_GB2312" w:cs="仿宋_GB2312"/>
          <w:color w:val="auto"/>
          <w:sz w:val="32"/>
          <w:szCs w:val="32"/>
          <w:highlight w:val="none"/>
        </w:rPr>
        <w:t>领导签字：</w:t>
      </w:r>
      <w:r>
        <w:rPr>
          <w:rStyle w:val="44"/>
          <w:rFonts w:hint="eastAsia" w:ascii="仿宋_GB2312" w:hAnsi="仿宋_GB2312" w:eastAsia="仿宋_GB2312" w:cs="仿宋_GB2312"/>
          <w:b w:val="0"/>
          <w:color w:val="auto"/>
          <w:sz w:val="32"/>
          <w:szCs w:val="32"/>
          <w:highlight w:val="none"/>
        </w:rPr>
        <w:t xml:space="preserve">                                       </w:t>
      </w:r>
    </w:p>
    <w:p>
      <w:pPr>
        <w:spacing w:line="560" w:lineRule="exact"/>
        <w:ind w:left="3839" w:leftChars="1828" w:firstLine="1600" w:firstLineChars="500"/>
        <w:rPr>
          <w:rStyle w:val="44"/>
          <w:rFonts w:hint="eastAsia" w:ascii="仿宋_GB2312" w:hAnsi="仿宋_GB2312" w:eastAsia="仿宋_GB2312" w:cs="仿宋_GB2312"/>
          <w:b w:val="0"/>
          <w:color w:val="auto"/>
          <w:sz w:val="32"/>
          <w:szCs w:val="32"/>
          <w:highlight w:val="none"/>
        </w:rPr>
      </w:pPr>
      <w:r>
        <w:rPr>
          <w:rStyle w:val="44"/>
          <w:rFonts w:hint="eastAsia" w:ascii="仿宋_GB2312" w:hAnsi="仿宋_GB2312" w:eastAsia="仿宋_GB2312" w:cs="仿宋_GB2312"/>
          <w:b w:val="0"/>
          <w:color w:val="auto"/>
          <w:sz w:val="32"/>
          <w:szCs w:val="32"/>
          <w:highlight w:val="none"/>
        </w:rPr>
        <w:t xml:space="preserve">验收部门 (章) </w:t>
      </w:r>
    </w:p>
    <w:p>
      <w:pPr>
        <w:spacing w:line="360" w:lineRule="auto"/>
        <w:ind w:firstLine="4160" w:firstLineChars="1300"/>
        <w:jc w:val="center"/>
        <w:rPr>
          <w:rStyle w:val="44"/>
          <w:rFonts w:hint="eastAsia" w:ascii="仿宋_GB2312" w:hAnsi="仿宋_GB2312" w:eastAsia="仿宋_GB2312" w:cs="仿宋_GB2312"/>
          <w:b w:val="0"/>
          <w:color w:val="auto"/>
          <w:sz w:val="32"/>
          <w:szCs w:val="32"/>
          <w:highlight w:val="none"/>
        </w:rPr>
        <w:sectPr>
          <w:footerReference r:id="rId4" w:type="first"/>
          <w:footerReference r:id="rId3" w:type="default"/>
          <w:pgSz w:w="11906" w:h="16838"/>
          <w:pgMar w:top="1270" w:right="1474" w:bottom="1157" w:left="1587" w:header="851" w:footer="992" w:gutter="0"/>
          <w:pgNumType w:fmt="decimal" w:start="1"/>
          <w:cols w:space="720" w:num="1"/>
          <w:rtlGutter w:val="0"/>
          <w:docGrid w:type="lines" w:linePitch="312" w:charSpace="0"/>
        </w:sectPr>
      </w:pPr>
      <w:r>
        <w:rPr>
          <w:rStyle w:val="44"/>
          <w:rFonts w:hint="eastAsia" w:ascii="仿宋_GB2312" w:hAnsi="仿宋_GB2312" w:eastAsia="仿宋_GB2312" w:cs="仿宋_GB2312"/>
          <w:b w:val="0"/>
          <w:color w:val="auto"/>
          <w:sz w:val="32"/>
          <w:szCs w:val="32"/>
          <w:highlight w:val="none"/>
        </w:rPr>
        <w:t>年   月   日</w:t>
      </w:r>
    </w:p>
    <w:p>
      <w:pPr>
        <w:rPr>
          <w:rFonts w:hint="eastAsia"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bCs w:val="0"/>
          <w:color w:val="auto"/>
          <w:sz w:val="30"/>
          <w:szCs w:val="30"/>
          <w:highlight w:val="none"/>
        </w:rPr>
        <w:t>(六)</w:t>
      </w:r>
      <w:r>
        <w:rPr>
          <w:rFonts w:hint="eastAsia" w:asciiTheme="minorEastAsia" w:hAnsiTheme="minorEastAsia" w:eastAsiaTheme="minorEastAsia" w:cstheme="minorEastAsia"/>
          <w:b/>
          <w:bCs w:val="0"/>
          <w:color w:val="auto"/>
          <w:sz w:val="32"/>
          <w:szCs w:val="32"/>
          <w:highlight w:val="none"/>
          <w:lang w:eastAsia="zh-CN"/>
        </w:rPr>
        <w:t>采购</w:t>
      </w:r>
      <w:r>
        <w:rPr>
          <w:rFonts w:hint="eastAsia" w:asciiTheme="minorEastAsia" w:hAnsiTheme="minorEastAsia" w:eastAsiaTheme="minorEastAsia" w:cstheme="minorEastAsia"/>
          <w:b/>
          <w:bCs w:val="0"/>
          <w:color w:val="auto"/>
          <w:sz w:val="32"/>
          <w:szCs w:val="32"/>
          <w:highlight w:val="none"/>
        </w:rPr>
        <w:t>项目履约保证金或质量保证金退付意见书</w:t>
      </w:r>
      <w:r>
        <w:rPr>
          <w:rFonts w:hint="eastAsia" w:asciiTheme="minorEastAsia" w:hAnsiTheme="minorEastAsia" w:eastAsiaTheme="minorEastAsia" w:cstheme="minorEastAsia"/>
          <w:b w:val="0"/>
          <w:bCs/>
          <w:color w:val="auto"/>
          <w:sz w:val="32"/>
          <w:szCs w:val="32"/>
          <w:highlight w:val="none"/>
        </w:rPr>
        <w:t>（供参考）</w:t>
      </w:r>
    </w:p>
    <w:p>
      <w:pPr>
        <w:rPr>
          <w:rFonts w:hint="eastAsia" w:asciiTheme="minorEastAsia" w:hAnsiTheme="minorEastAsia" w:eastAsiaTheme="minorEastAsia" w:cstheme="minorEastAsia"/>
          <w:color w:val="auto"/>
          <w:sz w:val="32"/>
          <w:szCs w:val="32"/>
          <w:highlight w:val="none"/>
        </w:rPr>
      </w:pP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w:t>
            </w: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hint="eastAsia" w:asciiTheme="minorEastAsia" w:hAnsiTheme="minorEastAsia" w:eastAsiaTheme="minorEastAsia" w:cstheme="minorEastAsia"/>
                <w:color w:val="auto"/>
                <w:sz w:val="24"/>
                <w:highlight w:val="none"/>
              </w:rPr>
            </w:pP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08" w:type="dxa"/>
            <w:vMerge w:val="continue"/>
          </w:tcPr>
          <w:p>
            <w:pPr>
              <w:rPr>
                <w:rFonts w:hint="eastAsia" w:asciiTheme="minorEastAsia" w:hAnsiTheme="minorEastAsia" w:eastAsiaTheme="minorEastAsia" w:cstheme="minorEastAsia"/>
                <w:color w:val="auto"/>
                <w:sz w:val="24"/>
                <w:highlight w:val="none"/>
              </w:rPr>
            </w:pPr>
          </w:p>
        </w:tc>
        <w:tc>
          <w:tcPr>
            <w:tcW w:w="8206" w:type="dxa"/>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该项目已于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日验收并交付使用。根据合同规定，该项目的履约保证金（或质量保证金），期限于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日已满，请将履约保证金（或质量保证金）人民币（大写）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退付到达以下帐户。</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w:t>
            </w:r>
          </w:p>
          <w:p>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w:t>
            </w:r>
          </w:p>
          <w:p>
            <w:pPr>
              <w:spacing w:line="400" w:lineRule="exact"/>
              <w:rPr>
                <w:rFonts w:hint="eastAsia" w:asciiTheme="minorEastAsia" w:hAnsiTheme="minorEastAsia" w:eastAsiaTheme="minorEastAsia" w:cstheme="minorEastAsia"/>
                <w:color w:val="auto"/>
                <w:sz w:val="24"/>
                <w:highlight w:val="none"/>
              </w:rPr>
            </w:pP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购</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w:t>
            </w:r>
          </w:p>
        </w:tc>
        <w:tc>
          <w:tcPr>
            <w:tcW w:w="8206" w:type="dxa"/>
          </w:tcPr>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退付意见：（是否同意退付履约保证金或质量保证金及退付金额）</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                         采购人签章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520" w:lineRule="exact"/>
              <w:jc w:val="center"/>
              <w:rPr>
                <w:rFonts w:hint="eastAsia" w:asciiTheme="minorEastAsia" w:hAnsiTheme="minorEastAsia" w:eastAsiaTheme="minorEastAsia" w:cstheme="minorEastAsia"/>
                <w:color w:val="auto"/>
                <w:sz w:val="24"/>
                <w:highlight w:val="none"/>
              </w:rPr>
            </w:pPr>
          </w:p>
        </w:tc>
      </w:tr>
    </w:tbl>
    <w:p>
      <w:pPr>
        <w:rPr>
          <w:rFonts w:hint="eastAsia" w:asciiTheme="minorEastAsia" w:hAnsiTheme="minorEastAsia" w:eastAsiaTheme="minorEastAsia" w:cstheme="minorEastAsia"/>
          <w:color w:val="auto"/>
          <w:szCs w:val="21"/>
          <w:highlight w:val="none"/>
        </w:rPr>
      </w:pP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20"/>
          <w:szCs w:val="22"/>
          <w:highlight w:val="none"/>
        </w:rPr>
        <w:br w:type="page"/>
      </w:r>
      <w:bookmarkStart w:id="56" w:name="_Toc3075"/>
      <w:r>
        <w:rPr>
          <w:rFonts w:hint="eastAsia" w:asciiTheme="minorEastAsia" w:hAnsiTheme="minorEastAsia" w:eastAsiaTheme="minorEastAsia" w:cstheme="minorEastAsia"/>
          <w:b/>
          <w:color w:val="auto"/>
          <w:sz w:val="28"/>
          <w:szCs w:val="28"/>
          <w:highlight w:val="none"/>
        </w:rPr>
        <w:t>第五章 响应文件组成</w:t>
      </w:r>
      <w:bookmarkEnd w:id="56"/>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w:t>
      </w:r>
      <w:r>
        <w:rPr>
          <w:rFonts w:hint="eastAsia" w:asciiTheme="minorEastAsia" w:hAnsiTheme="minorEastAsia" w:eastAsiaTheme="minorEastAsia" w:cstheme="minorEastAsia"/>
          <w:b/>
          <w:color w:val="auto"/>
          <w:sz w:val="32"/>
          <w:szCs w:val="28"/>
          <w:highlight w:val="none"/>
        </w:rPr>
        <w:t>外层包装封套</w:t>
      </w:r>
      <w:r>
        <w:rPr>
          <w:rFonts w:hint="eastAsia" w:asciiTheme="minorEastAsia" w:hAnsiTheme="minorEastAsia" w:eastAsiaTheme="minorEastAsia" w:cstheme="minorEastAsia"/>
          <w:b/>
          <w:color w:val="auto"/>
          <w:sz w:val="24"/>
          <w:szCs w:val="28"/>
          <w:highlight w:val="none"/>
        </w:rPr>
        <w:t>格式：</w:t>
      </w: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___________________(项目名称)响应文件</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项目编号：____________________</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在______年____月____日____时____分之前不得启封</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供应商名称：____________________</w:t>
      </w:r>
    </w:p>
    <w:p>
      <w:pPr>
        <w:spacing w:line="720" w:lineRule="auto"/>
        <w:ind w:left="441" w:leftChars="172" w:hanging="80" w:hangingChars="25"/>
        <w:jc w:val="center"/>
        <w:rPr>
          <w:rFonts w:hint="eastAsia" w:asciiTheme="minorEastAsia" w:hAnsiTheme="minorEastAsia" w:eastAsiaTheme="minorEastAsia" w:cstheme="minorEastAsia"/>
          <w:b/>
          <w:color w:val="auto"/>
          <w:sz w:val="44"/>
          <w:szCs w:val="21"/>
          <w:highlight w:val="none"/>
        </w:rPr>
      </w:pPr>
      <w:r>
        <w:rPr>
          <w:rFonts w:hint="eastAsia" w:asciiTheme="minorEastAsia" w:hAnsiTheme="minorEastAsia" w:eastAsiaTheme="minorEastAsia" w:cstheme="minorEastAsia"/>
          <w:color w:val="auto"/>
          <w:sz w:val="32"/>
          <w:highlight w:val="none"/>
        </w:rPr>
        <w:t>其他____________________</w:t>
      </w:r>
    </w:p>
    <w:p>
      <w:pPr>
        <w:spacing w:line="720" w:lineRule="auto"/>
        <w:ind w:left="461" w:leftChars="172" w:hanging="100" w:hangingChars="25"/>
        <w:jc w:val="center"/>
        <w:rPr>
          <w:rFonts w:hint="eastAsia" w:asciiTheme="minorEastAsia" w:hAnsiTheme="minorEastAsia" w:eastAsiaTheme="minorEastAsia" w:cstheme="minorEastAsia"/>
          <w:b/>
          <w:color w:val="auto"/>
          <w:sz w:val="40"/>
          <w:szCs w:val="21"/>
          <w:highlight w:val="none"/>
        </w:rPr>
      </w:pPr>
      <w:r>
        <w:rPr>
          <w:rFonts w:hint="eastAsia" w:asciiTheme="minorEastAsia" w:hAnsiTheme="minorEastAsia" w:eastAsiaTheme="minorEastAsia" w:cstheme="minorEastAsia"/>
          <w:b/>
          <w:color w:val="auto"/>
          <w:sz w:val="40"/>
          <w:szCs w:val="21"/>
          <w:highlight w:val="none"/>
        </w:rPr>
        <w:t>（加盖公章）</w:t>
      </w:r>
    </w:p>
    <w:p>
      <w:pPr>
        <w:pStyle w:val="20"/>
        <w:spacing w:line="480" w:lineRule="auto"/>
        <w:jc w:val="center"/>
        <w:rPr>
          <w:rFonts w:hint="eastAsia" w:asciiTheme="minorEastAsia" w:hAnsiTheme="minorEastAsia" w:eastAsiaTheme="minorEastAsia" w:cstheme="minorEastAsia"/>
          <w:color w:val="auto"/>
          <w:sz w:val="24"/>
          <w:szCs w:val="21"/>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pStyle w:val="20"/>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br w:type="page"/>
      </w: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响应文件的封面格式：</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 xml:space="preserve">                                     正本/副本</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51" w:leftChars="172" w:hanging="90" w:hangingChars="25"/>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响应文件</w:t>
      </w: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项目编号：</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供应商地址：</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p>
    <w:p>
      <w:pPr>
        <w:spacing w:line="480" w:lineRule="auto"/>
        <w:ind w:left="421" w:leftChars="172" w:hanging="60" w:hangingChars="25"/>
        <w:jc w:val="center"/>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（加盖公章）</w:t>
      </w:r>
    </w:p>
    <w:p>
      <w:pPr>
        <w:pStyle w:val="20"/>
        <w:spacing w:line="480" w:lineRule="auto"/>
        <w:ind w:firstLine="4320" w:firstLineChars="18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年   月    日</w:t>
      </w:r>
    </w:p>
    <w:p>
      <w:pPr>
        <w:pStyle w:val="20"/>
        <w:spacing w:line="480" w:lineRule="auto"/>
        <w:jc w:val="center"/>
        <w:rPr>
          <w:rFonts w:hint="eastAsia" w:asciiTheme="minorEastAsia" w:hAnsiTheme="minorEastAsia" w:eastAsiaTheme="minorEastAsia" w:cstheme="minorEastAsia"/>
          <w:color w:val="auto"/>
          <w:sz w:val="24"/>
          <w:szCs w:val="21"/>
          <w:highlight w:val="none"/>
        </w:rPr>
      </w:pPr>
    </w:p>
    <w:p>
      <w:pPr>
        <w:pStyle w:val="20"/>
        <w:spacing w:line="380" w:lineRule="exact"/>
        <w:jc w:val="center"/>
        <w:rPr>
          <w:rFonts w:hint="eastAsia" w:asciiTheme="minorEastAsia" w:hAnsiTheme="minorEastAsia" w:eastAsiaTheme="minorEastAsia" w:cstheme="minorEastAsia"/>
          <w:color w:val="auto"/>
          <w:szCs w:val="21"/>
          <w:highlight w:val="none"/>
        </w:rPr>
      </w:pPr>
    </w:p>
    <w:p>
      <w:pPr>
        <w:pStyle w:val="20"/>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第一部分　商务部分</w:t>
      </w:r>
    </w:p>
    <w:p>
      <w:pPr>
        <w:pStyle w:val="20"/>
        <w:spacing w:line="360" w:lineRule="auto"/>
        <w:ind w:firstLine="482" w:firstLineChars="200"/>
        <w:jc w:val="center"/>
        <w:rPr>
          <w:rFonts w:hint="eastAsia" w:asciiTheme="minorEastAsia" w:hAnsiTheme="minorEastAsia" w:eastAsiaTheme="minorEastAsia" w:cstheme="minorEastAsia"/>
          <w:b/>
          <w:color w:val="auto"/>
          <w:sz w:val="24"/>
          <w:szCs w:val="28"/>
          <w:highlight w:val="none"/>
        </w:rPr>
      </w:pPr>
    </w:p>
    <w:p>
      <w:pPr>
        <w:numPr>
          <w:ilvl w:val="0"/>
          <w:numId w:val="5"/>
        </w:num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磋商响应声明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二、报价一览表、分项价格表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附件2－1　报价一览表(服务类)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附件2－2　分项价格表(服务类)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附件2－3　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三、商务条款偏离表(格式附后)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五、供应商的资格证明材料</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★①供应商基本情况表（格式见第五章）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★②有效的新版“营业执照”或《事业单位法人证书》或其他依法成立组织的证明文件（必须具有，如能够在线查询的材料，请提供国家有关部门规定查询的网址链接，原件备查）。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★③有效的税务登记证（必须具有，如能够在线查询的材料，请提供国家有关部门规定查询的网址链接，原件备查）；（若已经取得“三证合一”的可不提供）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★④法定代表人（负责人）完整有效的身份证复印件（第二代身份证必须提供正反面复印件）。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★⑤法定代表人（负责人）授权委托书(格式见第五章)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★⑥供应商参加本项目磋商时上一年度（2021年）的年度财务报告复印件（如供应商为参加本项目磋商当年新成立公司的，应提供于公司成立之日后的财务报表），原件备查；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⑦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⑧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★⑨参加本采购活动前三年内在经营活动中没有重大违法记录的书面声明（格式见第五章）。</w:t>
      </w:r>
    </w:p>
    <w:p>
      <w:pPr>
        <w:numPr>
          <w:ilvl w:val="0"/>
          <w:numId w:val="0"/>
        </w:numPr>
        <w:spacing w:line="360" w:lineRule="auto"/>
        <w:ind w:left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fldChar w:fldCharType="begin"/>
      </w:r>
      <w:r>
        <w:rPr>
          <w:rFonts w:hint="eastAsia" w:asciiTheme="minorEastAsia" w:hAnsiTheme="minorEastAsia" w:eastAsiaTheme="minorEastAsia" w:cstheme="minorEastAsia"/>
          <w:color w:val="auto"/>
          <w:kern w:val="0"/>
          <w:sz w:val="24"/>
          <w:szCs w:val="28"/>
          <w:highlight w:val="none"/>
          <w:lang w:val="en-US" w:eastAsia="zh-CN"/>
        </w:rPr>
        <w:instrText xml:space="preserve"> = 10 \* GB3 \* MERGEFORMAT </w:instrText>
      </w:r>
      <w:r>
        <w:rPr>
          <w:rFonts w:hint="eastAsia" w:asciiTheme="minorEastAsia" w:hAnsiTheme="minorEastAsia" w:eastAsiaTheme="minorEastAsia" w:cstheme="minorEastAsia"/>
          <w:color w:val="auto"/>
          <w:kern w:val="0"/>
          <w:sz w:val="24"/>
          <w:szCs w:val="28"/>
          <w:highlight w:val="none"/>
          <w:lang w:val="en-US" w:eastAsia="zh-CN"/>
        </w:rPr>
        <w:fldChar w:fldCharType="separate"/>
      </w:r>
      <w:r>
        <w:rPr>
          <w:color w:val="auto"/>
          <w:highlight w:val="none"/>
        </w:rPr>
        <w:t>⑩</w:t>
      </w:r>
      <w:r>
        <w:rPr>
          <w:rFonts w:hint="eastAsia" w:asciiTheme="minorEastAsia" w:hAnsiTheme="minorEastAsia" w:eastAsiaTheme="minorEastAsia" w:cstheme="minorEastAsia"/>
          <w:color w:val="auto"/>
          <w:kern w:val="0"/>
          <w:sz w:val="24"/>
          <w:szCs w:val="28"/>
          <w:highlight w:val="none"/>
          <w:lang w:val="en-US" w:eastAsia="zh-CN"/>
        </w:rPr>
        <w:fldChar w:fldCharType="end"/>
      </w:r>
      <w:r>
        <w:rPr>
          <w:rFonts w:hint="eastAsia" w:asciiTheme="minorEastAsia" w:hAnsiTheme="minorEastAsia" w:eastAsiaTheme="minorEastAsia" w:cstheme="minorEastAsia"/>
          <w:color w:val="auto"/>
          <w:kern w:val="0"/>
          <w:sz w:val="24"/>
          <w:szCs w:val="28"/>
          <w:highlight w:val="none"/>
          <w:lang w:val="en-US" w:eastAsia="zh-CN"/>
        </w:rPr>
        <w:t>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⑪符合政府采购政策的证明材料：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val="en-US" w:eastAsia="zh-CN"/>
        </w:rPr>
        <w:t>10.</w:t>
      </w:r>
      <w:r>
        <w:rPr>
          <w:rFonts w:hint="eastAsia" w:asciiTheme="minorEastAsia" w:hAnsiTheme="minorEastAsia" w:eastAsiaTheme="minorEastAsia" w:cstheme="minorEastAsia"/>
          <w:color w:val="auto"/>
          <w:kern w:val="0"/>
          <w:sz w:val="24"/>
          <w:szCs w:val="28"/>
          <w:highlight w:val="none"/>
        </w:rPr>
        <w:t>联合体协议(格式附后)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六、磋商须知前附表要求供应商提供的其他资料（格式附后）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七、供应商认为需提供的其他资料</w:t>
      </w:r>
    </w:p>
    <w:p>
      <w:pPr>
        <w:ind w:firstLine="480" w:firstLineChars="200"/>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28"/>
          <w:szCs w:val="28"/>
          <w:highlight w:val="none"/>
        </w:rPr>
        <w:t>第二部分　技术部分</w:t>
      </w:r>
    </w:p>
    <w:p>
      <w:pPr>
        <w:ind w:firstLine="482" w:firstLineChars="200"/>
        <w:jc w:val="center"/>
        <w:rPr>
          <w:rFonts w:hint="eastAsia" w:asciiTheme="minorEastAsia" w:hAnsiTheme="minorEastAsia" w:eastAsiaTheme="minorEastAsia" w:cstheme="minorEastAsia"/>
          <w:b/>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一、服务方案</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三、售后服务承诺</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四、用于本项目人员简历表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五、磋商标的物符合磋商文件要求的相关证明文件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ind w:firstLine="480"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第一部分　商务部分</w:t>
      </w:r>
    </w:p>
    <w:p>
      <w:pPr>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一、磋商响应声明</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磋商响应声明</w:t>
      </w:r>
    </w:p>
    <w:p>
      <w:pPr>
        <w:spacing w:line="360" w:lineRule="auto"/>
        <w:rPr>
          <w:rFonts w:hint="eastAsia" w:asciiTheme="minorEastAsia" w:hAnsiTheme="minorEastAsia" w:eastAsiaTheme="minorEastAsia" w:cstheme="minorEastAsia"/>
          <w:color w:val="auto"/>
          <w:kern w:val="0"/>
          <w:sz w:val="24"/>
          <w:szCs w:val="28"/>
          <w:highlight w:val="none"/>
        </w:rPr>
      </w:pP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一、我方同意在磋商响应有效期内遵守本响应文件中的承诺，且在此期限期满之前均具有法律约束力。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二、我方提交纸质响应文件正本______份和副本______份，并保证响应文件提供的数据和材料是真实、准确的。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三、我方愿意向贵方提供任何与本项采购有关的数据、情况和技术资料。若贵方需要，我方愿意提供我方作出的一切承诺的证明材料。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四、我方愿意按磋商文件规定和磋商小组要求重新提交响应文件和最后报价。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五、我方保证在获得成交资格后，按照磋商文件确定的事项签订采购合同，履行双方所签订的合同，并承担合同规定的责任和义务。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8" w:hRule="atLeast"/>
          <w:jc w:val="center"/>
        </w:trPr>
        <w:tc>
          <w:tcPr>
            <w:tcW w:w="498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p>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第二代身份证必须提供正反面复印件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lang w:eastAsia="zh-CN"/>
        </w:rPr>
        <w:t>法定代表人（负责人）</w:t>
      </w:r>
      <w:r>
        <w:rPr>
          <w:rFonts w:hint="eastAsia" w:asciiTheme="minorEastAsia" w:hAnsiTheme="minorEastAsia" w:eastAsiaTheme="minorEastAsia" w:cstheme="minorEastAsia"/>
          <w:b/>
          <w:bCs/>
          <w:color w:val="auto"/>
          <w:kern w:val="0"/>
          <w:sz w:val="24"/>
          <w:szCs w:val="28"/>
          <w:highlight w:val="none"/>
        </w:rPr>
        <w:t>授权委托书</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____________(供应商名称)的</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(姓名、职务)授权____________(磋商代表姓名、职务)为本公司的磋商代表，就____________(项目名称)磋商及相关事务代表本公司处理与之有关的一切事务。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委托期限：____________________。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代理人无转委托权。</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本授权书于______年____月____日签字生效，特此声明。</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被授权代表身份证正反面复印件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授权代表(签字或签章)：____________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二、报价一览表及分项价格表</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附件2－1</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报价一览表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p>
    <w:tbl>
      <w:tblPr>
        <w:tblStyle w:val="4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310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2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包号</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6069" w:type="dxa"/>
            <w:gridSpan w:val="3"/>
            <w:vAlign w:val="center"/>
          </w:tcPr>
          <w:p>
            <w:pPr>
              <w:spacing w:line="360" w:lineRule="auto"/>
              <w:jc w:val="left"/>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rPr>
              <w:t>大写：人民币______元</w:t>
            </w:r>
          </w:p>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______元（小写请保留至小数点后两位）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服务期限</w:t>
            </w:r>
          </w:p>
        </w:tc>
        <w:tc>
          <w:tcPr>
            <w:tcW w:w="6069" w:type="dxa"/>
            <w:gridSpan w:val="3"/>
            <w:vAlign w:val="center"/>
          </w:tcPr>
          <w:p>
            <w:pPr>
              <w:spacing w:line="360" w:lineRule="auto"/>
              <w:jc w:val="both"/>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附件2－2</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分项价格表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(服务类项目适用)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包号：无</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金额单位：元</w:t>
      </w:r>
    </w:p>
    <w:tbl>
      <w:tblPr>
        <w:tblStyle w:val="42"/>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服务内容</w:t>
            </w: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总计</w:t>
            </w:r>
          </w:p>
        </w:tc>
        <w:tc>
          <w:tcPr>
            <w:tcW w:w="6098" w:type="dxa"/>
            <w:gridSpan w:val="2"/>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大写：人民币____________________元</w:t>
            </w:r>
          </w:p>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__________________元</w:t>
            </w: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附件2－3</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项目编号：____________________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项目包号：_无</w:t>
      </w:r>
    </w:p>
    <w:tbl>
      <w:tblPr>
        <w:tblStyle w:val="4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1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磋商范围</w:t>
            </w: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最终报价</w:t>
            </w: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rPr>
              <w:t>人民币大写：</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r>
              <w:rPr>
                <w:rFonts w:hint="eastAsia" w:asciiTheme="minorEastAsia" w:hAnsiTheme="minorEastAsia" w:eastAsiaTheme="minorEastAsia" w:cstheme="minorEastAsia"/>
                <w:color w:val="auto"/>
                <w:kern w:val="0"/>
                <w:sz w:val="24"/>
                <w:szCs w:val="28"/>
                <w:highlight w:val="none"/>
                <w:lang w:val="en-US" w:eastAsia="zh-CN"/>
              </w:rPr>
              <w:t>,</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both"/>
              <w:rPr>
                <w:rFonts w:hint="default" w:asciiTheme="minorEastAsia" w:hAnsiTheme="minorEastAsia" w:eastAsiaTheme="minorEastAsia" w:cstheme="minorEastAsia"/>
                <w:color w:val="auto"/>
                <w:kern w:val="0"/>
                <w:sz w:val="24"/>
                <w:szCs w:val="28"/>
                <w:highlight w:val="none"/>
                <w:u w:val="single"/>
                <w:lang w:val="en-US" w:eastAsia="zh-CN"/>
              </w:rPr>
            </w:pPr>
            <w:r>
              <w:rPr>
                <w:rFonts w:hint="eastAsia" w:asciiTheme="minorEastAsia" w:hAnsiTheme="minorEastAsia" w:eastAsiaTheme="minorEastAsia" w:cstheme="minorEastAsia"/>
                <w:color w:val="auto"/>
                <w:kern w:val="0"/>
                <w:sz w:val="24"/>
                <w:szCs w:val="28"/>
                <w:highlight w:val="none"/>
              </w:rPr>
              <w:t>服务期限</w:t>
            </w:r>
            <w:r>
              <w:rPr>
                <w:rFonts w:hint="eastAsia" w:asciiTheme="minorEastAsia" w:hAnsiTheme="minorEastAsia" w:eastAsiaTheme="minorEastAsia" w:cstheme="minorEastAsia"/>
                <w:color w:val="auto"/>
                <w:kern w:val="0"/>
                <w:sz w:val="24"/>
                <w:szCs w:val="28"/>
                <w:highlight w:val="none"/>
                <w:lang w:val="en-US" w:eastAsia="zh-CN"/>
              </w:rPr>
              <w:t>:</w:t>
            </w:r>
          </w:p>
        </w:tc>
      </w:tr>
    </w:tbl>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p>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授权代表签字：</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年　　月　　日</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注：</w:t>
      </w:r>
      <w:r>
        <w:rPr>
          <w:rFonts w:hint="eastAsia" w:asciiTheme="minorEastAsia" w:hAnsiTheme="minorEastAsia" w:eastAsiaTheme="minorEastAsia" w:cstheme="minorEastAsia"/>
          <w:b/>
          <w:color w:val="auto"/>
          <w:kern w:val="0"/>
          <w:sz w:val="24"/>
          <w:szCs w:val="28"/>
          <w:highlight w:val="none"/>
        </w:rPr>
        <w:t>本页《最终报价承诺书》由供应商在磋商现场依磋商情况填写 (无需装订在响应文件内)。</w:t>
      </w:r>
      <w:r>
        <w:rPr>
          <w:rFonts w:hint="eastAsia" w:asciiTheme="minorEastAsia" w:hAnsiTheme="minorEastAsia" w:eastAsiaTheme="minorEastAsia" w:cstheme="minorEastAsia"/>
          <w:color w:val="auto"/>
          <w:kern w:val="0"/>
          <w:sz w:val="24"/>
          <w:szCs w:val="28"/>
          <w:highlight w:val="none"/>
        </w:rPr>
        <w:t>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三、商务条款偏离表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2"/>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磋商文件条目号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磋商文件的商务条款</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响应文件的商务条款</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说明：如有偏离，则必须注明“偏离”；未注明偏离的，视为完全响应。</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说明：可提供付款凭证或金融机构、担保机构出具的保函原件。</w:t>
      </w:r>
    </w:p>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lang w:val="en-US" w:eastAsia="zh-CN"/>
        </w:rPr>
        <w:t>磋商</w:t>
      </w:r>
      <w:r>
        <w:rPr>
          <w:rFonts w:hint="eastAsia" w:asciiTheme="minorEastAsia" w:hAnsiTheme="minorEastAsia" w:eastAsiaTheme="minorEastAsia" w:cstheme="minorEastAsia"/>
          <w:b/>
          <w:bCs/>
          <w:color w:val="auto"/>
          <w:kern w:val="0"/>
          <w:sz w:val="24"/>
          <w:szCs w:val="28"/>
          <w:highlight w:val="none"/>
        </w:rPr>
        <w:t>保证金汇款声明函(适用银行转账)</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w:t>
      </w:r>
      <w:r>
        <w:rPr>
          <w:rFonts w:hint="eastAsia" w:asciiTheme="minorEastAsia" w:hAnsiTheme="minorEastAsia" w:eastAsiaTheme="minorEastAsia" w:cstheme="minorEastAsia"/>
          <w:color w:val="auto"/>
          <w:kern w:val="0"/>
          <w:sz w:val="24"/>
          <w:szCs w:val="28"/>
          <w:highlight w:val="none"/>
          <w:u w:val="single"/>
        </w:rPr>
        <w:t>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我方为____________(项目名称)(项目编号：________)递交</w:t>
      </w:r>
      <w:r>
        <w:rPr>
          <w:rFonts w:hint="eastAsia" w:asciiTheme="minorEastAsia" w:hAnsiTheme="minorEastAsia" w:eastAsiaTheme="minorEastAsia" w:cstheme="minorEastAsia"/>
          <w:color w:val="auto"/>
          <w:kern w:val="0"/>
          <w:sz w:val="24"/>
          <w:szCs w:val="28"/>
          <w:highlight w:val="none"/>
          <w:lang w:val="en-US" w:eastAsia="zh-CN"/>
        </w:rPr>
        <w:t>磋商</w:t>
      </w:r>
      <w:r>
        <w:rPr>
          <w:rFonts w:hint="eastAsia" w:asciiTheme="minorEastAsia" w:hAnsiTheme="minorEastAsia" w:eastAsiaTheme="minorEastAsia" w:cstheme="minorEastAsia"/>
          <w:color w:val="auto"/>
          <w:kern w:val="0"/>
          <w:sz w:val="24"/>
          <w:szCs w:val="28"/>
          <w:highlight w:val="none"/>
        </w:rPr>
        <w:t>保证金人民币________元(大写人民币______元)已于______年____月____日以银行主动划账方式划入你方账户。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详见附件：银行出具的汇款单或转账凭证复印件。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退还</w:t>
      </w:r>
      <w:r>
        <w:rPr>
          <w:rFonts w:hint="eastAsia" w:asciiTheme="minorEastAsia" w:hAnsiTheme="minorEastAsia" w:eastAsiaTheme="minorEastAsia" w:cstheme="minorEastAsia"/>
          <w:color w:val="auto"/>
          <w:kern w:val="0"/>
          <w:sz w:val="24"/>
          <w:szCs w:val="28"/>
          <w:highlight w:val="none"/>
          <w:lang w:val="en-US" w:eastAsia="zh-CN"/>
        </w:rPr>
        <w:t>磋商</w:t>
      </w:r>
      <w:r>
        <w:rPr>
          <w:rFonts w:hint="eastAsia" w:asciiTheme="minorEastAsia" w:hAnsiTheme="minorEastAsia" w:eastAsiaTheme="minorEastAsia" w:cstheme="minorEastAsia"/>
          <w:color w:val="auto"/>
          <w:kern w:val="0"/>
          <w:sz w:val="24"/>
          <w:szCs w:val="28"/>
          <w:highlight w:val="none"/>
        </w:rPr>
        <w:t>保证金时请按以下内容划入我方账户。若因内容不全、错误、字迹潦草模糊导致该项目</w:t>
      </w:r>
      <w:r>
        <w:rPr>
          <w:rFonts w:hint="eastAsia" w:asciiTheme="minorEastAsia" w:hAnsiTheme="minorEastAsia" w:eastAsiaTheme="minorEastAsia" w:cstheme="minorEastAsia"/>
          <w:color w:val="auto"/>
          <w:kern w:val="0"/>
          <w:sz w:val="24"/>
          <w:szCs w:val="28"/>
          <w:highlight w:val="none"/>
          <w:lang w:val="en-US" w:eastAsia="zh-CN"/>
        </w:rPr>
        <w:t>磋商</w:t>
      </w:r>
      <w:r>
        <w:rPr>
          <w:rFonts w:hint="eastAsia" w:asciiTheme="minorEastAsia" w:hAnsiTheme="minorEastAsia" w:eastAsiaTheme="minorEastAsia" w:cstheme="minorEastAsia"/>
          <w:color w:val="auto"/>
          <w:kern w:val="0"/>
          <w:sz w:val="24"/>
          <w:szCs w:val="28"/>
          <w:highlight w:val="none"/>
        </w:rPr>
        <w:t>保证金未能及时退还或退还过程中发生错误，我方将承担全部责任和损失。</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单位全称：</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开户银行：</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开户账号：</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供应商(公章)：　　</w:t>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地址：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项目联系人：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电话(手机)：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汇款单或转账凭证复印件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五、供应商的资格证明材料</w:t>
      </w:r>
    </w:p>
    <w:p>
      <w:pPr>
        <w:ind w:firstLine="480" w:firstLineChars="200"/>
        <w:rPr>
          <w:rFonts w:hint="eastAsia" w:ascii="宋体" w:hAnsi="宋体" w:eastAsia="宋体" w:cs="宋体"/>
          <w:color w:val="auto"/>
          <w:kern w:val="0"/>
          <w:sz w:val="24"/>
          <w:szCs w:val="28"/>
          <w:highlight w:val="none"/>
        </w:rPr>
      </w:pPr>
    </w:p>
    <w:p>
      <w:pPr>
        <w:pStyle w:val="9"/>
        <w:spacing w:before="0" w:after="0" w:line="319" w:lineRule="auto"/>
        <w:jc w:val="center"/>
        <w:rPr>
          <w:rFonts w:hint="eastAsia" w:ascii="宋体" w:hAnsi="宋体" w:eastAsia="宋体" w:cs="宋体"/>
          <w:sz w:val="22"/>
          <w:szCs w:val="18"/>
          <w:highlight w:val="none"/>
        </w:rPr>
      </w:pPr>
      <w:r>
        <w:rPr>
          <w:rFonts w:hint="eastAsia" w:ascii="宋体" w:hAnsi="宋体" w:eastAsia="宋体" w:cs="宋体"/>
          <w:bCs w:val="0"/>
          <w:sz w:val="24"/>
          <w:szCs w:val="21"/>
          <w:highlight w:val="none"/>
        </w:rPr>
        <w:t>供应商基本情况表</w:t>
      </w:r>
    </w:p>
    <w:p>
      <w:pPr>
        <w:pStyle w:val="20"/>
        <w:ind w:firstLine="360" w:firstLineChars="200"/>
        <w:rPr>
          <w:rFonts w:hint="eastAsia" w:ascii="宋体" w:hAnsi="宋体" w:eastAsia="宋体" w:cs="宋体"/>
          <w:sz w:val="21"/>
          <w:szCs w:val="21"/>
          <w:highlight w:val="none"/>
        </w:rPr>
      </w:pPr>
      <w:r>
        <w:rPr>
          <w:rFonts w:hint="eastAsia" w:ascii="宋体" w:hAnsi="宋体" w:eastAsia="宋体" w:cs="宋体"/>
          <w:sz w:val="18"/>
          <w:szCs w:val="18"/>
          <w:highlight w:val="none"/>
        </w:rPr>
        <w:t>　</w:t>
      </w:r>
      <w:r>
        <w:rPr>
          <w:rFonts w:hint="eastAsia" w:ascii="宋体" w:hAnsi="宋体" w:eastAsia="宋体" w:cs="宋体"/>
          <w:sz w:val="21"/>
          <w:szCs w:val="21"/>
          <w:highlight w:val="none"/>
        </w:rPr>
        <w:t>供应商：(公章)</w:t>
      </w:r>
    </w:p>
    <w:tbl>
      <w:tblPr>
        <w:tblStyle w:val="42"/>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供应商名称</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法定代表人</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邮政编码</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授权代表</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联系电话</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电子邮箱</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传真</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上年营业收入（2020年）</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员工总人数</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税务登记机关</w:t>
            </w: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资质名称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等级</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发证机关</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直接控股股东名称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出资比例</w:t>
            </w: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78"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3951"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bCs/>
                <w:sz w:val="22"/>
                <w:szCs w:val="21"/>
                <w:highlight w:val="no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5629" w:type="dxa"/>
            <w:gridSpan w:val="3"/>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r>
              <w:rPr>
                <w:rFonts w:hint="eastAsia" w:ascii="宋体" w:hAnsi="宋体" w:eastAsia="宋体" w:cs="宋体"/>
                <w:kern w:val="2"/>
                <w:sz w:val="22"/>
                <w:szCs w:val="21"/>
                <w:highlight w:val="none"/>
                <w:lang w:val="en-US" w:eastAsia="zh-CN"/>
              </w:rPr>
              <w:t>备注</w:t>
            </w:r>
          </w:p>
        </w:tc>
        <w:tc>
          <w:tcPr>
            <w:tcW w:w="2135" w:type="dxa"/>
            <w:gridSpan w:val="2"/>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宋体" w:hAnsi="宋体" w:eastAsia="宋体" w:cs="宋体"/>
                <w:kern w:val="2"/>
                <w:sz w:val="22"/>
                <w:szCs w:val="21"/>
                <w:highlight w:val="none"/>
                <w:lang w:val="en-US" w:eastAsia="zh-CN"/>
              </w:rPr>
            </w:pPr>
          </w:p>
        </w:tc>
      </w:tr>
    </w:tbl>
    <w:p>
      <w:pPr>
        <w:spacing w:line="360" w:lineRule="auto"/>
        <w:ind w:firstLine="560" w:firstLineChars="200"/>
        <w:contextualSpacing/>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注：</w:t>
      </w:r>
    </w:p>
    <w:p>
      <w:pPr>
        <w:spacing w:line="360" w:lineRule="auto"/>
        <w:ind w:firstLine="440" w:firstLineChars="200"/>
        <w:contextualSpacing/>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40" w:firstLineChars="200"/>
        <w:contextualSpacing/>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2.管理关系：是指不具有出资持股关系的其他单位之间存在的管理与被管理关系，如一些上下级关系的事业单位和团体组织。本表所指的管理关系仅限于直接管理关系，不包括间接的管理关系。</w:t>
      </w:r>
    </w:p>
    <w:p>
      <w:pPr>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3.供应商不存在直接控股股东或管理关系的，则填“无”。</w:t>
      </w:r>
    </w:p>
    <w:p>
      <w:pPr>
        <w:pStyle w:val="2"/>
        <w:rPr>
          <w:rFonts w:hint="eastAsia"/>
          <w:highlight w:val="none"/>
        </w:rPr>
      </w:pP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★1.有效的新版“营业执照”或《事业单位法人证书》或其他依法成立组织的证明文件（必须具有，如能够在线查询的材料，请提供国家有关部门规定查询的网址链接，原件备查）。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★2.有效的税务登记证（必须具有，如能够在线查询的材料，请提供国家有关部门规定查询的网址链接，原件备查）；（若已经取得“三证合一”的可不提供）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★3.法定代表人（负责人）完整有效的身份证复印件（第二代身份证必须提供正反面复印件）。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★4.法定代表人（负责人）授权委托书(格式见第五章)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★5.供应商参加本项目磋商时上一年度（2021年）的年度财务报告复印件（如供应商为参加本项目磋商当年新成立公司的，应提供于公司成立之日后的财务报表），原件备查；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6.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7.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★8.参加本采购活动前三年内在经营活动中没有重大违法记录的书面声明（格式见第五章）。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9.符合磋商文件要求的供应商特定资格条件的证明材料：无。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10.符合政府采购政策的证明材料：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r>
        <w:rPr>
          <w:rFonts w:hint="eastAsia" w:ascii="宋体" w:hAnsi="宋体" w:eastAsia="宋体" w:cs="Calibri"/>
          <w:b/>
          <w:bCs w:val="0"/>
          <w:color w:val="auto"/>
          <w:kern w:val="2"/>
          <w:sz w:val="28"/>
          <w:szCs w:val="22"/>
          <w:highlight w:val="none"/>
          <w:lang w:val="en-US" w:eastAsia="zh-CN" w:bidi="ar-SA"/>
        </w:rPr>
        <w:br w:type="page"/>
      </w:r>
    </w:p>
    <w:p>
      <w:pPr>
        <w:keepNext/>
        <w:keepLines/>
        <w:widowControl w:val="0"/>
        <w:spacing w:before="0" w:after="0" w:line="360" w:lineRule="auto"/>
        <w:jc w:val="center"/>
        <w:outlineLvl w:val="5"/>
        <w:rPr>
          <w:rFonts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参加采购活动前三年内在经营活动中</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没有重大违法记录的书面声明</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p>
    <w:p>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我单位在参加采购活动前三年内在经营活动中没有《政府采购法》第二十二条第一款第</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项所称重大违法记录</w:t>
      </w:r>
      <w:r>
        <w:rPr>
          <w:rFonts w:hint="eastAsia" w:ascii="宋体" w:hAnsi="宋体" w:eastAsia="宋体" w:cs="MingLiU_HKS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包括：</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我单位或者其法定代表人（负责人）、董事、监事、高级管理人员未因经营活动中的违法行为受到刑事处罚或者责令停产停业、吊销许可证或者执照、较大数额罚款等行政处罚。</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公章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法定代表人（负责人）或其授权代表</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签字或盖章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ascii="宋体" w:hAnsi="宋体" w:eastAsia="宋体" w:cs="Times New Roman"/>
          <w:color w:val="auto"/>
          <w:kern w:val="2"/>
          <w:sz w:val="24"/>
          <w:szCs w:val="24"/>
          <w:highlight w:val="none"/>
          <w:lang w:val="en-US" w:eastAsia="zh-CN" w:bidi="ar-SA"/>
        </w:rPr>
        <w:t>______</w:t>
      </w:r>
      <w:r>
        <w:rPr>
          <w:rFonts w:hint="eastAsia" w:ascii="宋体" w:hAnsi="宋体" w:eastAsia="宋体" w:cs="宋体"/>
          <w:color w:val="auto"/>
          <w:kern w:val="2"/>
          <w:sz w:val="24"/>
          <w:szCs w:val="24"/>
          <w:highlight w:val="none"/>
          <w:lang w:val="en-US" w:eastAsia="zh-CN" w:bidi="ar-SA"/>
        </w:rPr>
        <w:t>年</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月</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日</w:t>
      </w:r>
    </w:p>
    <w:p>
      <w:pPr>
        <w:pStyle w:val="2"/>
        <w:spacing w:line="360" w:lineRule="auto"/>
        <w:rPr>
          <w:rFonts w:hint="eastAsia"/>
          <w:color w:val="auto"/>
          <w:highlight w:val="none"/>
          <w:lang w:val="en-US" w:eastAsia="zh-CN"/>
        </w:rPr>
      </w:pPr>
    </w:p>
    <w:p>
      <w:pPr>
        <w:pStyle w:val="2"/>
        <w:rPr>
          <w:rFonts w:hint="eastAsia"/>
          <w:color w:val="auto"/>
          <w:highlight w:val="none"/>
        </w:rPr>
      </w:pPr>
    </w:p>
    <w:p>
      <w:pPr>
        <w:numPr>
          <w:ilvl w:val="0"/>
          <w:numId w:val="0"/>
        </w:numPr>
        <w:spacing w:line="360" w:lineRule="auto"/>
        <w:ind w:leftChars="0"/>
        <w:rPr>
          <w:rFonts w:hint="eastAsia" w:asciiTheme="minorEastAsia" w:hAnsiTheme="minorEastAsia" w:eastAsiaTheme="minorEastAsia" w:cstheme="minorEastAsia"/>
          <w:color w:val="auto"/>
          <w:kern w:val="0"/>
          <w:sz w:val="24"/>
          <w:szCs w:val="28"/>
          <w:highlight w:val="none"/>
          <w:lang w:eastAsia="zh-CN"/>
        </w:rPr>
      </w:pPr>
    </w:p>
    <w:p>
      <w:pPr>
        <w:numPr>
          <w:ilvl w:val="0"/>
          <w:numId w:val="0"/>
        </w:numPr>
        <w:spacing w:line="360" w:lineRule="auto"/>
        <w:ind w:leftChars="0"/>
        <w:rPr>
          <w:b w:val="0"/>
          <w:bCs w:val="0"/>
          <w:color w:val="auto"/>
          <w:highlight w:val="none"/>
        </w:rPr>
      </w:pPr>
      <w:r>
        <w:rPr>
          <w:rFonts w:hint="eastAsia" w:asciiTheme="minorEastAsia" w:hAnsiTheme="minorEastAsia" w:eastAsiaTheme="minorEastAsia" w:cstheme="minorEastAsia"/>
          <w:b w:val="0"/>
          <w:bCs w:val="0"/>
          <w:color w:val="auto"/>
          <w:kern w:val="0"/>
          <w:sz w:val="24"/>
          <w:szCs w:val="28"/>
          <w:highlight w:val="none"/>
          <w:lang w:eastAsia="zh-CN"/>
        </w:rPr>
        <w:br w:type="page"/>
      </w:r>
      <w:r>
        <w:rPr>
          <w:rFonts w:hint="eastAsia" w:asciiTheme="minorEastAsia" w:hAnsiTheme="minorEastAsia" w:eastAsiaTheme="minorEastAsia" w:cstheme="minorEastAsia"/>
          <w:b w:val="0"/>
          <w:bCs w:val="0"/>
          <w:color w:val="auto"/>
          <w:kern w:val="0"/>
          <w:sz w:val="24"/>
          <w:szCs w:val="28"/>
          <w:highlight w:val="none"/>
          <w:lang w:eastAsia="zh-CN"/>
        </w:rPr>
        <w:t>六、</w:t>
      </w:r>
      <w:r>
        <w:rPr>
          <w:rFonts w:hint="eastAsia" w:asciiTheme="minorEastAsia" w:hAnsiTheme="minorEastAsia" w:eastAsiaTheme="minorEastAsia" w:cstheme="minorEastAsia"/>
          <w:b w:val="0"/>
          <w:bCs w:val="0"/>
          <w:color w:val="auto"/>
          <w:kern w:val="0"/>
          <w:sz w:val="24"/>
          <w:szCs w:val="28"/>
          <w:highlight w:val="none"/>
        </w:rPr>
        <w:t>提供符合政府采购政策的证明材料</w:t>
      </w:r>
    </w:p>
    <w:p>
      <w:pPr>
        <w:pStyle w:val="2"/>
        <w:numPr>
          <w:ilvl w:val="0"/>
          <w:numId w:val="0"/>
        </w:numPr>
        <w:ind w:leftChars="0"/>
        <w:rPr>
          <w:rFonts w:hint="eastAsia" w:ascii="宋体" w:hAnsi="宋体" w:cs="宋体"/>
          <w:b/>
          <w:color w:val="auto"/>
          <w:sz w:val="24"/>
          <w:highlight w:val="none"/>
          <w:lang w:eastAsia="zh-CN"/>
        </w:rPr>
      </w:pPr>
    </w:p>
    <w:p>
      <w:pPr>
        <w:pStyle w:val="2"/>
        <w:numPr>
          <w:ilvl w:val="0"/>
          <w:numId w:val="0"/>
        </w:numPr>
        <w:ind w:leftChars="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中小企业声明函格式：</w:t>
      </w:r>
    </w:p>
    <w:p>
      <w:pPr>
        <w:pStyle w:val="2"/>
        <w:numPr>
          <w:ilvl w:val="0"/>
          <w:numId w:val="0"/>
        </w:numPr>
        <w:ind w:leftChars="0"/>
        <w:rPr>
          <w:rFonts w:hint="eastAsia" w:ascii="宋体" w:hAnsi="宋体" w:cs="宋体"/>
          <w:b/>
          <w:color w:val="auto"/>
          <w:sz w:val="24"/>
          <w:highlight w:val="none"/>
          <w:lang w:eastAsia="zh-CN"/>
        </w:rPr>
      </w:pPr>
    </w:p>
    <w:p>
      <w:pPr>
        <w:widowControl w:val="0"/>
        <w:spacing w:line="360" w:lineRule="auto"/>
        <w:ind w:firstLine="562" w:firstLineChars="2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中小企业声明函（服务）</w:t>
      </w:r>
    </w:p>
    <w:p>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 xml:space="preserve">的 </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1.</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2.</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rPr>
          <w:rFonts w:hint="eastAsia" w:ascii="宋体" w:hAnsi="宋体" w:eastAsia="宋体" w:cs="宋体"/>
          <w:color w:val="auto"/>
          <w:sz w:val="24"/>
          <w:szCs w:val="24"/>
          <w:highlight w:val="none"/>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p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资产总额填报上一年度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2021年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数据，无上一年度数据的新成立企业可不填报。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2.中小企业划型应按《关于印发中小企业划型标准规定的通知》（工信部联企业〔2011〕300号）规定的划型标准划分。</w:t>
      </w:r>
    </w:p>
    <w:p>
      <w:pPr>
        <w:spacing w:line="360" w:lineRule="auto"/>
        <w:ind w:firstLine="562" w:firstLineChars="200"/>
        <w:rPr>
          <w:rFonts w:hint="default" w:ascii="宋体" w:hAnsi="宋体" w:eastAsia="宋体" w:cs="宋体"/>
          <w:b/>
          <w:bCs/>
          <w:color w:val="auto"/>
          <w:sz w:val="24"/>
          <w:highlight w:val="none"/>
          <w:u w:val="single"/>
          <w:lang w:val="en-US" w:eastAsia="zh-CN"/>
        </w:rPr>
      </w:pPr>
      <w:r>
        <w:rPr>
          <w:rFonts w:hint="eastAsia" w:ascii="宋体" w:hAnsi="宋体" w:eastAsia="宋体" w:cs="宋体"/>
          <w:b/>
          <w:bCs/>
          <w:color w:val="auto"/>
          <w:sz w:val="28"/>
          <w:szCs w:val="28"/>
          <w:highlight w:val="none"/>
          <w:u w:val="double"/>
        </w:rPr>
        <w:t>本项目</w:t>
      </w:r>
      <w:r>
        <w:rPr>
          <w:rFonts w:hint="eastAsia" w:ascii="宋体" w:hAnsi="宋体" w:cs="宋体"/>
          <w:b/>
          <w:bCs/>
          <w:color w:val="auto"/>
          <w:sz w:val="28"/>
          <w:szCs w:val="28"/>
          <w:highlight w:val="none"/>
          <w:u w:val="double"/>
          <w:lang w:eastAsia="zh-CN"/>
        </w:rPr>
        <w:t>采购标的对应的中小企业划分标准所属行业</w:t>
      </w:r>
      <w:r>
        <w:rPr>
          <w:rFonts w:hint="eastAsia" w:ascii="宋体" w:hAnsi="宋体" w:eastAsia="宋体" w:cs="宋体"/>
          <w:b/>
          <w:bCs/>
          <w:color w:val="auto"/>
          <w:sz w:val="28"/>
          <w:szCs w:val="28"/>
          <w:highlight w:val="none"/>
          <w:u w:val="double"/>
        </w:rPr>
        <w:t>为</w:t>
      </w:r>
      <w:r>
        <w:rPr>
          <w:rFonts w:hint="eastAsia" w:ascii="宋体" w:hAnsi="宋体" w:cs="宋体"/>
          <w:b/>
          <w:bCs/>
          <w:color w:val="auto"/>
          <w:sz w:val="28"/>
          <w:szCs w:val="28"/>
          <w:highlight w:val="none"/>
          <w:u w:val="double"/>
          <w:lang w:val="en-US" w:eastAsia="zh-CN"/>
        </w:rPr>
        <w:t>餐饮</w:t>
      </w:r>
      <w:r>
        <w:rPr>
          <w:rFonts w:hint="eastAsia" w:ascii="宋体" w:hAnsi="宋体" w:eastAsia="宋体" w:cs="宋体"/>
          <w:b/>
          <w:bCs/>
          <w:color w:val="auto"/>
          <w:sz w:val="28"/>
          <w:szCs w:val="28"/>
          <w:highlight w:val="none"/>
          <w:u w:val="double"/>
        </w:rPr>
        <w:t>业。</w:t>
      </w:r>
    </w:p>
    <w:p>
      <w:pPr>
        <w:pStyle w:val="3"/>
        <w:rPr>
          <w:rFonts w:hint="eastAsia"/>
          <w:color w:val="auto"/>
          <w:highlight w:val="none"/>
          <w:u w:val="single"/>
        </w:rPr>
      </w:pPr>
    </w:p>
    <w:p>
      <w:pPr>
        <w:pStyle w:val="37"/>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cs="宋体"/>
          <w:b/>
          <w:bCs/>
          <w:color w:val="auto"/>
          <w:kern w:val="0"/>
          <w:sz w:val="28"/>
          <w:szCs w:val="28"/>
          <w:highlight w:val="none"/>
        </w:rPr>
        <w:br w:type="page"/>
      </w:r>
      <w:r>
        <w:rPr>
          <w:rFonts w:hint="eastAsia" w:ascii="宋体" w:hAnsi="宋体" w:eastAsia="宋体" w:cs="宋体"/>
          <w:b/>
          <w:i w:val="0"/>
          <w:caps w:val="0"/>
          <w:color w:val="000000"/>
          <w:spacing w:val="0"/>
          <w:sz w:val="36"/>
          <w:szCs w:val="36"/>
          <w:highlight w:val="none"/>
          <w:u w:val="none"/>
          <w:shd w:val="clear" w:fill="FFFFFF"/>
        </w:rPr>
        <w:t>关于印发中小企业划型标准规定的通知</w:t>
      </w:r>
    </w:p>
    <w:p>
      <w:pPr>
        <w:pStyle w:val="37"/>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highlight w:val="none"/>
        </w:rPr>
      </w:pPr>
      <w:r>
        <w:rPr>
          <w:rFonts w:ascii="楷体_GB2312" w:hAnsi="宋体" w:eastAsia="楷体_GB2312" w:cs="楷体_GB2312"/>
          <w:b w:val="0"/>
          <w:i w:val="0"/>
          <w:caps w:val="0"/>
          <w:color w:val="000000"/>
          <w:spacing w:val="0"/>
          <w:sz w:val="24"/>
          <w:szCs w:val="24"/>
          <w:highlight w:val="none"/>
          <w:shd w:val="clear" w:fill="FFFFFF"/>
        </w:rPr>
        <w:t>工信部联企业〔2011〕300号</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各省、自治区、直辖市人民政府，国务院各部委、各直属机构及有关单位：</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工业和信息化部　国家统计局</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国家发展和改革委员会　财政部</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highlight w:val="none"/>
        </w:rPr>
      </w:pPr>
      <w:r>
        <w:rPr>
          <w:rFonts w:hint="eastAsia" w:ascii="宋体" w:hAnsi="宋体" w:eastAsia="宋体" w:cs="宋体"/>
          <w:b w:val="0"/>
          <w:i w:val="0"/>
          <w:caps w:val="0"/>
          <w:color w:val="000000"/>
          <w:spacing w:val="0"/>
          <w:sz w:val="24"/>
          <w:szCs w:val="24"/>
          <w:highlight w:val="none"/>
          <w:shd w:val="clear" w:fill="FFFFFF"/>
        </w:rPr>
        <w:t>　　　　　　　　　　　　　　　　　　　　　　　　二○一一年六月十八日</w:t>
      </w:r>
    </w:p>
    <w:p>
      <w:pPr>
        <w:pStyle w:val="37"/>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highlight w:val="none"/>
        </w:rPr>
      </w:pPr>
      <w:r>
        <w:rPr>
          <w:rFonts w:hint="eastAsia" w:ascii="宋体" w:hAnsi="宋体" w:eastAsia="宋体" w:cs="宋体"/>
          <w:b w:val="0"/>
          <w:i w:val="0"/>
          <w:caps w:val="0"/>
          <w:color w:val="000000"/>
          <w:spacing w:val="0"/>
          <w:sz w:val="24"/>
          <w:szCs w:val="24"/>
          <w:highlight w:val="none"/>
          <w:shd w:val="clear" w:fill="FFFFFF"/>
        </w:rPr>
        <w:t> </w:t>
      </w:r>
    </w:p>
    <w:p>
      <w:pPr>
        <w:pStyle w:val="37"/>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highlight w:val="none"/>
        </w:rPr>
      </w:pPr>
      <w:r>
        <w:rPr>
          <w:rStyle w:val="44"/>
          <w:rFonts w:hint="eastAsia" w:ascii="宋体" w:hAnsi="宋体" w:eastAsia="宋体" w:cs="宋体"/>
          <w:i w:val="0"/>
          <w:caps w:val="0"/>
          <w:color w:val="000000"/>
          <w:spacing w:val="0"/>
          <w:sz w:val="36"/>
          <w:szCs w:val="36"/>
          <w:highlight w:val="none"/>
          <w:shd w:val="clear" w:fill="FFFFFF"/>
        </w:rPr>
        <w:t>中小企业划型标准规定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一、根据《中华人民共和国中小企业促进法》和《国务院关于进一步促进中小企业发展的若干意见》(国发〔2009〕36号)，制定本规定。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二、中小企业划分为中型、小型、微型三种类型，具体标准根据企业从业人员、营业收入、资产总额等指标，结合行业特点制定。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四、各行业划型标准为：</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五、企业类型的划分以统计部门的统计数据为依据。</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六、本规定适用于在中华人民共和国境内依法设立的各类所有制和各种组织形式的企业。个体工商户和本规定以外的行业，参照本规定进行划型。</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八、本规定由工业和信息化部、国家统计局会同有关部门根据《国民经济行业分类》修订情况和企业发展变化情况适时修订。</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lang w:eastAsia="zh-CN"/>
        </w:rPr>
      </w:pPr>
      <w:r>
        <w:rPr>
          <w:rFonts w:hint="eastAsia" w:ascii="宋体" w:hAnsi="宋体" w:eastAsia="宋体" w:cs="宋体"/>
          <w:b w:val="0"/>
          <w:i w:val="0"/>
          <w:caps w:val="0"/>
          <w:color w:val="000000"/>
          <w:spacing w:val="0"/>
          <w:sz w:val="24"/>
          <w:szCs w:val="24"/>
          <w:highlight w:val="none"/>
          <w:shd w:val="clear" w:fill="FFFFFF"/>
        </w:rPr>
        <w:t>　　九、本规定由工业和信息化部、国家统计局会同有关部门负责解释。</w:t>
      </w:r>
    </w:p>
    <w:p>
      <w:pPr>
        <w:overflowPunct w:val="0"/>
        <w:spacing w:line="360" w:lineRule="auto"/>
        <w:jc w:val="left"/>
        <w:rPr>
          <w:rFonts w:hint="eastAsia" w:ascii="宋体" w:hAnsi="宋体" w:eastAsia="宋体" w:cs="宋体"/>
          <w:b w:val="0"/>
          <w:i w:val="0"/>
          <w:caps w:val="0"/>
          <w:color w:val="000000"/>
          <w:spacing w:val="0"/>
          <w:sz w:val="24"/>
          <w:szCs w:val="24"/>
          <w:highlight w:val="none"/>
          <w:shd w:val="clear" w:fill="FFFFFF"/>
        </w:rPr>
      </w:pPr>
      <w:r>
        <w:rPr>
          <w:rFonts w:hint="eastAsia" w:ascii="宋体" w:hAnsi="宋体" w:eastAsia="宋体" w:cs="宋体"/>
          <w:b w:val="0"/>
          <w:i w:val="0"/>
          <w:caps w:val="0"/>
          <w:color w:val="000000"/>
          <w:spacing w:val="0"/>
          <w:sz w:val="24"/>
          <w:szCs w:val="24"/>
          <w:highlight w:val="none"/>
          <w:shd w:val="clear" w:fill="FFFFFF"/>
        </w:rPr>
        <w:t>　　十、本规定自发布之日起执行，原国家经贸委、原国家计委、财政部和国家统计局2003年颁布的《中小企业标准暂行规定》同时废止。</w:t>
      </w:r>
    </w:p>
    <w:p>
      <w:pPr>
        <w:overflowPunct w:val="0"/>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val="0"/>
          <w:i w:val="0"/>
          <w:caps w:val="0"/>
          <w:color w:val="000000"/>
          <w:spacing w:val="0"/>
          <w:sz w:val="24"/>
          <w:szCs w:val="24"/>
          <w:highlight w:val="none"/>
          <w:shd w:val="clear" w:fill="FFFFFF"/>
        </w:rPr>
        <w:br w:type="page"/>
      </w:r>
      <w:r>
        <w:rPr>
          <w:rFonts w:hint="eastAsia" w:ascii="宋体" w:hAnsi="宋体" w:eastAsia="宋体" w:cs="宋体"/>
          <w:b/>
          <w:color w:val="auto"/>
          <w:sz w:val="24"/>
          <w:highlight w:val="none"/>
        </w:rPr>
        <w:t>残疾人福利性单位声明函</w:t>
      </w:r>
      <w:r>
        <w:rPr>
          <w:rFonts w:hint="eastAsia" w:ascii="宋体" w:hAnsi="宋体" w:cs="宋体"/>
          <w:b/>
          <w:color w:val="auto"/>
          <w:sz w:val="24"/>
          <w:highlight w:val="none"/>
          <w:lang w:eastAsia="zh-CN"/>
        </w:rPr>
        <w:t>格式：</w:t>
      </w:r>
    </w:p>
    <w:p>
      <w:pPr>
        <w:rPr>
          <w:rFonts w:hint="eastAsia" w:ascii="宋体" w:hAnsi="宋体" w:eastAsia="宋体" w:cs="宋体"/>
          <w:color w:val="auto"/>
          <w:sz w:val="24"/>
          <w:highlight w:val="none"/>
        </w:rPr>
      </w:pPr>
    </w:p>
    <w:p>
      <w:pPr>
        <w:rPr>
          <w:rFonts w:hint="eastAsia"/>
          <w:color w:val="auto"/>
          <w:highlight w:val="none"/>
        </w:rPr>
      </w:pPr>
    </w:p>
    <w:p>
      <w:pPr>
        <w:overflowPunct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overflowPunct w:val="0"/>
        <w:spacing w:line="360" w:lineRule="auto"/>
        <w:ind w:firstLine="480" w:firstLineChars="200"/>
        <w:rPr>
          <w:rFonts w:hint="eastAsia" w:ascii="宋体" w:hAnsi="宋体" w:eastAsia="宋体" w:cs="宋体"/>
          <w:color w:val="auto"/>
          <w:sz w:val="24"/>
          <w:highlight w:val="none"/>
        </w:rPr>
      </w:pPr>
    </w:p>
    <w:p>
      <w:pPr>
        <w:overflowPunct w:val="0"/>
        <w:spacing w:line="360" w:lineRule="auto"/>
        <w:ind w:firstLine="6720" w:firstLineChars="2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供应商为残疾人福利性单位的，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结果将同时公告其《残疾人福利性单位声明函》，接受社会监督。</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宋体" w:hAnsi="宋体" w:eastAsia="宋体" w:cs="宋体"/>
          <w:color w:val="auto"/>
          <w:sz w:val="24"/>
          <w:highlight w:val="none"/>
        </w:rPr>
        <w:br w:type="page"/>
      </w:r>
      <w:r>
        <w:rPr>
          <w:rFonts w:hint="eastAsia" w:asciiTheme="minorEastAsia" w:hAnsiTheme="minorEastAsia" w:eastAsiaTheme="minorEastAsia" w:cstheme="minorEastAsia"/>
          <w:color w:val="auto"/>
          <w:kern w:val="0"/>
          <w:sz w:val="24"/>
          <w:szCs w:val="28"/>
          <w:highlight w:val="none"/>
          <w:lang w:eastAsia="zh-CN"/>
        </w:rPr>
        <w:t>七、</w:t>
      </w:r>
      <w:r>
        <w:rPr>
          <w:rFonts w:hint="eastAsia" w:asciiTheme="minorEastAsia" w:hAnsiTheme="minorEastAsia" w:eastAsiaTheme="minorEastAsia" w:cstheme="minorEastAsia"/>
          <w:color w:val="auto"/>
          <w:kern w:val="0"/>
          <w:sz w:val="24"/>
          <w:szCs w:val="28"/>
          <w:highlight w:val="none"/>
        </w:rPr>
        <w:t>磋商须知前附表要求供应商提供的其他资料</w:t>
      </w:r>
    </w:p>
    <w:p>
      <w:pPr>
        <w:rPr>
          <w:rFonts w:hint="eastAsia" w:asciiTheme="minorEastAsia" w:hAnsiTheme="minorEastAsia" w:eastAsiaTheme="minorEastAsia" w:cstheme="minorEastAsia"/>
          <w:color w:val="auto"/>
          <w:kern w:val="0"/>
          <w:sz w:val="24"/>
          <w:szCs w:val="28"/>
          <w:highlight w:val="none"/>
        </w:rPr>
      </w:pP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r>
        <w:rPr>
          <w:rFonts w:hint="eastAsia" w:asciiTheme="minorEastAsia" w:hAnsiTheme="minorEastAsia" w:eastAsiaTheme="minorEastAsia" w:cstheme="minorEastAsia"/>
          <w:b/>
          <w:color w:val="auto"/>
          <w:spacing w:val="20"/>
          <w:sz w:val="24"/>
          <w:szCs w:val="28"/>
          <w:highlight w:val="none"/>
        </w:rPr>
        <w:t>（注意：供应商递交</w:t>
      </w:r>
      <w:r>
        <w:rPr>
          <w:rFonts w:hint="eastAsia" w:asciiTheme="minorEastAsia" w:hAnsiTheme="minorEastAsia" w:eastAsiaTheme="minorEastAsia" w:cstheme="minorEastAsia"/>
          <w:b/>
          <w:color w:val="auto"/>
          <w:spacing w:val="20"/>
          <w:sz w:val="24"/>
          <w:szCs w:val="28"/>
          <w:highlight w:val="none"/>
          <w:lang w:val="en-US" w:eastAsia="zh-CN"/>
        </w:rPr>
        <w:t>首次</w:t>
      </w:r>
      <w:r>
        <w:rPr>
          <w:rFonts w:hint="eastAsia" w:asciiTheme="minorEastAsia" w:hAnsiTheme="minorEastAsia" w:eastAsiaTheme="minorEastAsia" w:cstheme="minorEastAsia"/>
          <w:b/>
          <w:color w:val="auto"/>
          <w:spacing w:val="20"/>
          <w:sz w:val="24"/>
          <w:szCs w:val="28"/>
          <w:highlight w:val="none"/>
        </w:rPr>
        <w:t>响应文件时，请同时单独递交供应商信息、响应文件签收回执，无需密封包装）</w:t>
      </w: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p>
    <w:p>
      <w:pPr>
        <w:ind w:firstLine="420"/>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供应商信息</w:t>
      </w:r>
    </w:p>
    <w:p>
      <w:pPr>
        <w:autoSpaceDE w:val="0"/>
        <w:autoSpaceDN w:val="0"/>
        <w:adjustRightInd w:val="0"/>
        <w:spacing w:line="480" w:lineRule="auto"/>
        <w:jc w:val="left"/>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供应商信息：</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供应商全称：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供应商统一社会信用代码：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供应商联系电话：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供应商地址：</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法定代表人（负责人）姓名：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法定代表人（负责人）身份证号码：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授权委托代理人姓名：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授权委托代理人身份证号码：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p>
    <w:p>
      <w:pPr>
        <w:snapToGrid w:val="0"/>
        <w:spacing w:line="480" w:lineRule="auto"/>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供应商开票资料：</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开票信息</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（填“专票”或“普票”）</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供应商名称：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纳税人识别号：</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地址、电话：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开户行及帐号：</w:t>
      </w:r>
      <w:r>
        <w:rPr>
          <w:rFonts w:hint="eastAsia" w:asciiTheme="minorEastAsia" w:hAnsiTheme="minorEastAsia" w:eastAsiaTheme="minorEastAsia" w:cstheme="minorEastAsia"/>
          <w:color w:val="auto"/>
          <w:sz w:val="24"/>
          <w:szCs w:val="28"/>
          <w:highlight w:val="none"/>
          <w:u w:val="single"/>
        </w:rPr>
        <w:t xml:space="preserve">             　               </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br w:type="page"/>
      </w: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393"/>
        <w:gridCol w:w="447"/>
        <w:gridCol w:w="143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39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886"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p>
    <w:p>
      <w:pPr>
        <w:autoSpaceDE w:val="0"/>
        <w:autoSpaceDN w:val="0"/>
        <w:adjustRightInd w:val="0"/>
        <w:spacing w:line="276" w:lineRule="auto"/>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注：在“采购代理机构签收人”处，供应商不用填写</w:t>
      </w:r>
    </w:p>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803"/>
        <w:gridCol w:w="37"/>
        <w:gridCol w:w="1439"/>
        <w:gridCol w:w="5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80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2050" w:type="dxa"/>
            <w:gridSpan w:val="3"/>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275"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八、供应商认为需提供的其他资料</w:t>
      </w:r>
    </w:p>
    <w:p>
      <w:pPr>
        <w:rPr>
          <w:rFonts w:hint="eastAsia" w:asciiTheme="minorEastAsia" w:hAnsiTheme="minorEastAsia" w:eastAsiaTheme="minorEastAsia" w:cstheme="minorEastAsia"/>
          <w:color w:val="auto"/>
          <w:kern w:val="0"/>
          <w:sz w:val="24"/>
          <w:szCs w:val="28"/>
          <w:highlight w:val="none"/>
        </w:rPr>
      </w:pPr>
    </w:p>
    <w:p>
      <w:pPr>
        <w:ind w:firstLine="482"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第二部分 技术部分</w:t>
      </w:r>
    </w:p>
    <w:p>
      <w:pPr>
        <w:ind w:firstLine="643" w:firstLineChars="200"/>
        <w:jc w:val="center"/>
        <w:rPr>
          <w:rFonts w:hint="eastAsia" w:asciiTheme="minorEastAsia" w:hAnsiTheme="minorEastAsia" w:eastAsiaTheme="minorEastAsia" w:cstheme="minorEastAsia"/>
          <w:b/>
          <w:color w:val="auto"/>
          <w:kern w:val="0"/>
          <w:sz w:val="32"/>
          <w:szCs w:val="32"/>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一、服务方案（格式自拟）</w:t>
      </w: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2"/>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94"/>
        <w:gridCol w:w="2986"/>
        <w:gridCol w:w="1652"/>
        <w:gridCol w:w="10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品目号</w:t>
            </w: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服务名称</w:t>
            </w: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技术服务需求及要求</w:t>
            </w: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响应情况</w:t>
            </w: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说明：在偏离项必须注明正偏离、负偏离或无偏离。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三、售后服务承诺格式</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lang w:eastAsia="zh-CN"/>
        </w:rPr>
        <w:t>（正文内容自拟）</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四、用于本项目人员简历表</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用于本项目人员简历表</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2"/>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1964"/>
        <w:gridCol w:w="2212"/>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姓名</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性别</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职务</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职称</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毕业学校、专业</w:t>
            </w:r>
          </w:p>
        </w:tc>
        <w:tc>
          <w:tcPr>
            <w:tcW w:w="6891" w:type="dxa"/>
            <w:gridSpan w:val="3"/>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拟在本项目任职</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执业资格证</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执业资格证书号</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0" w:type="dxa"/>
            <w:gridSpan w:val="4"/>
            <w:vAlign w:val="center"/>
          </w:tcPr>
          <w:p>
            <w:pPr>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近____年承担项目情况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时间</w:t>
            </w: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类似项目名称</w:t>
            </w: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担任职务</w:t>
            </w: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项目单位名称及电话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9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212"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715"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注：需提供本项目投入人员的毕业证书（含专业）、职称证书、资格证书或其他相关执业证书，以及</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与项目投入人员签署的有效劳动合同复印件（合同须体现相关工作内容）等证明材料；相关工作经验可提供人员参与类似项目名称、在该项目中担任的工作等工作履历。以上材料均需加盖公章（</w:t>
      </w:r>
      <w:r>
        <w:rPr>
          <w:rFonts w:hint="eastAsia" w:asciiTheme="minorEastAsia" w:hAnsiTheme="minorEastAsia" w:eastAsiaTheme="minorEastAsia" w:cstheme="minorEastAsia"/>
          <w:color w:val="auto"/>
          <w:kern w:val="0"/>
          <w:sz w:val="24"/>
          <w:szCs w:val="28"/>
          <w:highlight w:val="none"/>
          <w:lang w:val="en-US" w:eastAsia="zh-CN"/>
        </w:rPr>
        <w:t>供应商</w:t>
      </w:r>
      <w:r>
        <w:rPr>
          <w:rFonts w:hint="eastAsia" w:asciiTheme="minorEastAsia" w:hAnsiTheme="minorEastAsia" w:eastAsiaTheme="minorEastAsia" w:cstheme="minorEastAsia"/>
          <w:color w:val="auto"/>
          <w:kern w:val="0"/>
          <w:sz w:val="24"/>
          <w:szCs w:val="28"/>
          <w:highlight w:val="none"/>
        </w:rPr>
        <w:t>如能够在线查询的材料，请提供查询网址链接，可以不用同时提供纸质材料）。</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五、磋商标的物符合磋商文件规定的证明文件</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备注：提供第二章“磋商须知前附表”和第六章“项目采购需求”要求(包括磋商标的物的强制性认证、注册等)的证明材料复印件（</w:t>
      </w:r>
      <w:r>
        <w:rPr>
          <w:rFonts w:hint="eastAsia" w:asciiTheme="minorEastAsia" w:hAnsiTheme="minorEastAsia" w:eastAsiaTheme="minorEastAsia" w:cstheme="minorEastAsia"/>
          <w:color w:val="auto"/>
          <w:kern w:val="0"/>
          <w:sz w:val="21"/>
          <w:szCs w:val="21"/>
          <w:highlight w:val="none"/>
          <w:lang w:val="en-US" w:eastAsia="zh-CN"/>
        </w:rPr>
        <w:t>供应商</w:t>
      </w:r>
      <w:r>
        <w:rPr>
          <w:rFonts w:hint="eastAsia" w:asciiTheme="minorEastAsia" w:hAnsiTheme="minorEastAsia" w:eastAsiaTheme="minorEastAsia" w:cstheme="minorEastAsia"/>
          <w:color w:val="auto"/>
          <w:kern w:val="0"/>
          <w:sz w:val="21"/>
          <w:szCs w:val="21"/>
          <w:highlight w:val="none"/>
        </w:rPr>
        <w:t>如能够在线查询的材料，请提供查询网址链接，可以不用同时提供纸质材料）。</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jc w:val="center"/>
        <w:outlineLvl w:val="0"/>
        <w:rPr>
          <w:rFonts w:hint="eastAsia" w:ascii="Times New Roman" w:hAnsi="Times New Roman" w:cs="Courier New"/>
          <w:b/>
          <w:color w:val="auto"/>
          <w:sz w:val="28"/>
          <w:highlight w:val="none"/>
        </w:rPr>
      </w:pPr>
      <w:r>
        <w:rPr>
          <w:rFonts w:hint="eastAsia" w:asciiTheme="minorEastAsia" w:hAnsiTheme="minorEastAsia" w:eastAsiaTheme="minorEastAsia" w:cstheme="minorEastAsia"/>
          <w:color w:val="auto"/>
          <w:sz w:val="28"/>
          <w:szCs w:val="28"/>
          <w:highlight w:val="none"/>
        </w:rPr>
        <w:br w:type="page"/>
      </w:r>
      <w:bookmarkStart w:id="57" w:name="_Toc30243"/>
      <w:bookmarkStart w:id="58" w:name="_Toc17978"/>
      <w:r>
        <w:rPr>
          <w:rFonts w:hint="eastAsia" w:ascii="Times New Roman" w:hAnsi="Times New Roman" w:cs="Courier New"/>
          <w:b/>
          <w:color w:val="auto"/>
          <w:sz w:val="28"/>
          <w:highlight w:val="none"/>
        </w:rPr>
        <w:t>第二部分　技术部分</w:t>
      </w:r>
      <w:bookmarkEnd w:id="57"/>
    </w:p>
    <w:p>
      <w:pPr>
        <w:spacing w:line="360" w:lineRule="auto"/>
        <w:jc w:val="center"/>
        <w:outlineLvl w:val="0"/>
        <w:rPr>
          <w:rFonts w:hint="eastAsia" w:ascii="Times New Roman" w:hAnsi="Times New Roman" w:cs="Courier New"/>
          <w:b/>
          <w:color w:val="auto"/>
          <w:sz w:val="28"/>
          <w:highlight w:val="none"/>
        </w:rPr>
      </w:pP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第六章 项目采购需求</w:t>
      </w:r>
    </w:p>
    <w:p>
      <w:pPr>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说明：</w:t>
      </w:r>
    </w:p>
    <w:p>
      <w:pPr>
        <w:spacing w:line="360" w:lineRule="auto"/>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磋商文件中带“★”的条款为实质性要求和条件，供应商须满足或响应，若无法完全满足，将会被认定为无效</w:t>
      </w:r>
      <w:r>
        <w:rPr>
          <w:rFonts w:hint="eastAsia" w:asciiTheme="minorEastAsia" w:hAnsiTheme="minorEastAsia" w:eastAsiaTheme="minorEastAsia" w:cstheme="minorEastAsia"/>
          <w:b/>
          <w:bCs/>
          <w:color w:val="auto"/>
          <w:kern w:val="0"/>
          <w:sz w:val="24"/>
          <w:szCs w:val="24"/>
          <w:highlight w:val="none"/>
          <w:lang w:val="en-US" w:eastAsia="zh-CN"/>
        </w:rPr>
        <w:t>磋商</w:t>
      </w:r>
      <w:r>
        <w:rPr>
          <w:rFonts w:hint="eastAsia" w:asciiTheme="minorEastAsia" w:hAnsiTheme="minorEastAsia" w:eastAsiaTheme="minorEastAsia" w:cstheme="minorEastAsia"/>
          <w:b/>
          <w:bCs/>
          <w:color w:val="auto"/>
          <w:kern w:val="0"/>
          <w:sz w:val="24"/>
          <w:szCs w:val="24"/>
          <w:highlight w:val="none"/>
        </w:rPr>
        <w:t>。</w:t>
      </w:r>
    </w:p>
    <w:p>
      <w:pPr>
        <w:spacing w:line="360" w:lineRule="auto"/>
        <w:jc w:val="left"/>
        <w:rPr>
          <w:rFonts w:ascii="Arial" w:hAnsi="Arial" w:cs="Arial"/>
          <w:bCs/>
          <w:color w:val="auto"/>
          <w:kern w:val="0"/>
          <w:sz w:val="32"/>
          <w:szCs w:val="32"/>
          <w:highlight w:val="none"/>
        </w:rPr>
      </w:pPr>
      <w:r>
        <w:rPr>
          <w:rFonts w:hint="eastAsia" w:asciiTheme="minorEastAsia" w:hAnsiTheme="minorEastAsia" w:eastAsiaTheme="minorEastAsia" w:cstheme="minorEastAsia"/>
          <w:b/>
          <w:bCs/>
          <w:color w:val="auto"/>
          <w:kern w:val="0"/>
          <w:sz w:val="24"/>
          <w:szCs w:val="24"/>
          <w:highlight w:val="none"/>
        </w:rPr>
        <w:t>采购内容所属行业：</w:t>
      </w:r>
      <w:r>
        <w:rPr>
          <w:rFonts w:hint="eastAsia" w:asciiTheme="minorEastAsia" w:hAnsiTheme="minorEastAsia" w:eastAsiaTheme="minorEastAsia" w:cstheme="minorEastAsia"/>
          <w:b/>
          <w:bCs/>
          <w:color w:val="auto"/>
          <w:kern w:val="0"/>
          <w:sz w:val="24"/>
          <w:szCs w:val="24"/>
          <w:highlight w:val="none"/>
          <w:lang w:val="en-US" w:eastAsia="zh-CN"/>
        </w:rPr>
        <w:t>餐饮业</w:t>
      </w:r>
      <w:r>
        <w:rPr>
          <w:rFonts w:hint="eastAsia" w:asciiTheme="minorEastAsia" w:hAnsiTheme="minorEastAsia" w:eastAsiaTheme="minorEastAsia" w:cstheme="minorEastAsia"/>
          <w:b/>
          <w:bCs/>
          <w:color w:val="auto"/>
          <w:kern w:val="0"/>
          <w:sz w:val="24"/>
          <w:szCs w:val="24"/>
          <w:highlight w:val="none"/>
        </w:rPr>
        <w:t>。</w:t>
      </w:r>
      <w:bookmarkStart w:id="59" w:name="_Toc3727755"/>
      <w:r>
        <w:rPr>
          <w:rFonts w:hint="eastAsia" w:ascii="宋体" w:hAnsi="宋体" w:cs="宋体"/>
          <w:color w:val="auto"/>
          <w:sz w:val="40"/>
          <w:szCs w:val="32"/>
          <w:highlight w:val="none"/>
        </w:rPr>
        <w:t>　</w:t>
      </w:r>
      <w:bookmarkEnd w:id="59"/>
    </w:p>
    <w:p>
      <w:pPr>
        <w:ind w:firstLine="420" w:firstLineChars="200"/>
        <w:rPr>
          <w:rFonts w:ascii="Arial" w:hAnsi="Arial" w:cs="Arial"/>
          <w:bCs/>
          <w:color w:val="auto"/>
          <w:kern w:val="0"/>
          <w:szCs w:val="21"/>
          <w:highlight w:val="none"/>
        </w:rPr>
      </w:pPr>
    </w:p>
    <w:p>
      <w:pPr>
        <w:widowControl/>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一、项目概况</w:t>
      </w:r>
    </w:p>
    <w:p>
      <w:pPr>
        <w:widowControl/>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1、食堂位于柳州市柳北区税务局园艺路18号办公楼五楼，面积约90平方米，就餐总人数约在80-150人之间，食堂设备设施齐全，水、电、厨用燃烧油等配套设施到位。</w:t>
      </w:r>
    </w:p>
    <w:p>
      <w:pPr>
        <w:widowControl/>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2、采购人提供食堂饭厅和食堂现有加工间、售饭间、周转库房、厨房设备、设施。</w:t>
      </w:r>
    </w:p>
    <w:p>
      <w:pPr>
        <w:widowControl/>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3、房屋用途为食品加工服务。</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不得改变房屋用途，超范围经营或租赁给第三方。</w:t>
      </w:r>
    </w:p>
    <w:p>
      <w:pPr>
        <w:widowControl/>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4、水、电、厨用燃烧油费用、劳保用品供给由</w:t>
      </w:r>
      <w:r>
        <w:rPr>
          <w:rFonts w:hint="eastAsia" w:ascii="宋体" w:hAnsi="宋体" w:eastAsia="宋体" w:cs="宋体"/>
          <w:color w:val="auto"/>
          <w:kern w:val="0"/>
          <w:sz w:val="24"/>
          <w:szCs w:val="24"/>
          <w:highlight w:val="none"/>
        </w:rPr>
        <w:t>采购人</w:t>
      </w:r>
      <w:r>
        <w:rPr>
          <w:rFonts w:hint="eastAsia" w:ascii="宋体" w:hAnsi="宋体" w:eastAsia="宋体" w:cs="宋体"/>
          <w:bCs/>
          <w:color w:val="auto"/>
          <w:kern w:val="0"/>
          <w:sz w:val="24"/>
          <w:szCs w:val="24"/>
          <w:highlight w:val="none"/>
        </w:rPr>
        <w:t>承担。</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二、业务需求 </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食堂的伙食供应及日常管理，包括：</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1、负责早餐、午餐供应。</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2、食堂内食品卫生管理。</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3、食堂内各类设备、设施管理。</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4、会议、培训、公务接待就餐。</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5、其他与伙食供应管理及食堂管理相关的业务。</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三、要求：</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1、采购人水、电、厨用燃烧油等配套设施齐全，</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不得私自对食堂区域进行装修改造。如有需要进行装修改造的，需与采购人协商费用，所有装修必须符合消防要求，不得破坏房屋外观和主体结构，装修方案须经采购人后勤管理处书面同意后方可实施。服务期限满后，</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必须保证房屋及设施完好，其装修投入归柳州市柳北区税务局所有。</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应妥善保管、使用采购方所提供的厨房设备，如</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在使用过程中因操作不当或者设备保养不当造成的损失由</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负责。</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3、供餐的食材委托</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采购（采购金额以就餐人员实际就餐费用结算），由双方管理人员验收后进行加工。</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实行有效的成本核算，控制好各环节的经营成本，不得浪费。</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必须按采购人标</w:t>
      </w:r>
      <w:r>
        <w:rPr>
          <w:rFonts w:hint="eastAsia" w:ascii="宋体" w:hAnsi="宋体" w:eastAsia="宋体" w:cs="宋体"/>
          <w:color w:val="auto"/>
          <w:kern w:val="0"/>
          <w:sz w:val="24"/>
          <w:szCs w:val="24"/>
          <w:highlight w:val="none"/>
        </w:rPr>
        <w:t>准供餐，</w:t>
      </w:r>
      <w:r>
        <w:rPr>
          <w:rFonts w:hint="eastAsia" w:ascii="宋体" w:hAnsi="宋体" w:eastAsia="宋体" w:cs="宋体"/>
          <w:bCs/>
          <w:color w:val="auto"/>
          <w:kern w:val="0"/>
          <w:sz w:val="24"/>
          <w:szCs w:val="24"/>
          <w:highlight w:val="none"/>
        </w:rPr>
        <w:t>按时配餐。</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所出售的商品品种、价格份量及服务承诺必须征得采购人同意。其中早餐品种丰富，至少提供不少于2个品种，价格合理。</w:t>
      </w:r>
      <w:r>
        <w:rPr>
          <w:rFonts w:hint="eastAsia" w:ascii="宋体" w:hAnsi="宋体" w:eastAsia="宋体" w:cs="宋体"/>
          <w:bCs/>
          <w:color w:val="auto"/>
          <w:kern w:val="0"/>
          <w:sz w:val="24"/>
          <w:szCs w:val="24"/>
          <w:highlight w:val="none"/>
        </w:rPr>
        <w:t>午餐</w:t>
      </w:r>
      <w:r>
        <w:rPr>
          <w:rFonts w:hint="eastAsia" w:ascii="宋体" w:hAnsi="宋体" w:eastAsia="宋体" w:cs="宋体"/>
          <w:bCs/>
          <w:color w:val="auto"/>
          <w:kern w:val="0"/>
          <w:sz w:val="24"/>
          <w:szCs w:val="24"/>
          <w:highlight w:val="none"/>
          <w:lang w:eastAsia="zh-CN"/>
        </w:rPr>
        <w:t>采用</w:t>
      </w:r>
      <w:r>
        <w:rPr>
          <w:rFonts w:hint="eastAsia" w:ascii="宋体" w:hAnsi="宋体" w:eastAsia="宋体" w:cs="宋体"/>
          <w:bCs/>
          <w:color w:val="auto"/>
          <w:kern w:val="0"/>
          <w:sz w:val="24"/>
          <w:szCs w:val="24"/>
          <w:highlight w:val="none"/>
        </w:rPr>
        <w:t>套餐</w:t>
      </w:r>
      <w:r>
        <w:rPr>
          <w:rFonts w:hint="eastAsia" w:ascii="宋体" w:hAnsi="宋体" w:eastAsia="宋体" w:cs="宋体"/>
          <w:bCs/>
          <w:color w:val="auto"/>
          <w:kern w:val="0"/>
          <w:sz w:val="24"/>
          <w:szCs w:val="24"/>
          <w:highlight w:val="none"/>
          <w:lang w:eastAsia="zh-CN"/>
        </w:rPr>
        <w:t>或点</w:t>
      </w:r>
      <w:r>
        <w:rPr>
          <w:rFonts w:hint="eastAsia" w:ascii="宋体" w:hAnsi="宋体" w:eastAsia="宋体" w:cs="宋体"/>
          <w:bCs/>
          <w:color w:val="auto"/>
          <w:kern w:val="0"/>
          <w:sz w:val="24"/>
          <w:szCs w:val="24"/>
          <w:highlight w:val="none"/>
        </w:rPr>
        <w:t>餐</w:t>
      </w:r>
      <w:r>
        <w:rPr>
          <w:rFonts w:hint="eastAsia" w:ascii="宋体" w:hAnsi="宋体" w:eastAsia="宋体" w:cs="宋体"/>
          <w:bCs/>
          <w:color w:val="auto"/>
          <w:kern w:val="0"/>
          <w:sz w:val="24"/>
          <w:szCs w:val="24"/>
          <w:highlight w:val="none"/>
          <w:lang w:eastAsia="zh-CN"/>
        </w:rPr>
        <w:t>制</w:t>
      </w:r>
      <w:r>
        <w:rPr>
          <w:rFonts w:hint="eastAsia" w:ascii="宋体" w:hAnsi="宋体" w:eastAsia="宋体" w:cs="宋体"/>
          <w:bCs/>
          <w:color w:val="auto"/>
          <w:kern w:val="0"/>
          <w:sz w:val="24"/>
          <w:szCs w:val="24"/>
          <w:highlight w:val="none"/>
        </w:rPr>
        <w:t>，必须包含两荤一素一汤一饭；以上套餐不含加菜的品种价格。</w:t>
      </w:r>
    </w:p>
    <w:p>
      <w:pPr>
        <w:widowControl/>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在原材料采购中，要保证从正规渠道购进，并经过</w:t>
      </w:r>
      <w:r>
        <w:rPr>
          <w:rFonts w:hint="eastAsia" w:ascii="宋体" w:hAnsi="宋体" w:eastAsia="宋体" w:cs="宋体"/>
          <w:color w:val="auto"/>
          <w:kern w:val="0"/>
          <w:sz w:val="24"/>
          <w:szCs w:val="24"/>
          <w:highlight w:val="none"/>
        </w:rPr>
        <w:t>有关食品检验检疫部门的正规检验合格，必须严格执行国家相关法规。</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须实行食品及原料留样、索证和验收制度。</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必须按标准供餐，按时配餐。由于采购人单位工作特殊性，如有加班用餐情况，成交供应商须无条件配合。</w:t>
      </w:r>
      <w:r>
        <w:rPr>
          <w:rFonts w:hint="eastAsia" w:ascii="宋体" w:hAnsi="宋体" w:eastAsia="宋体" w:cs="宋体"/>
          <w:color w:val="auto"/>
          <w:kern w:val="0"/>
          <w:sz w:val="24"/>
          <w:szCs w:val="24"/>
          <w:highlight w:val="none"/>
        </w:rPr>
        <w:t>法定节假日加班费用另计。</w:t>
      </w:r>
    </w:p>
    <w:p>
      <w:pPr>
        <w:widowControl/>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必须自主经营、自负盈亏，不得转租、转包，不得自行安排对承包的餐厅进行大改造。</w:t>
      </w:r>
    </w:p>
    <w:p>
      <w:pPr>
        <w:widowControl/>
        <w:ind w:firstLine="360" w:firstLineChars="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8、当采购人增加或减少餐费标准时，</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color w:val="auto"/>
          <w:kern w:val="0"/>
          <w:sz w:val="24"/>
          <w:szCs w:val="24"/>
          <w:highlight w:val="none"/>
        </w:rPr>
        <w:t>应在采购人指定的时间内对饭菜做出调整，调整前必须提前制定出方案，经采购人审核、确认、批准后方可实施。</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在食堂工作的工作人员由</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自行管理，必须执健康证明上岗，福利待遇、社保、人员培训、丧残疾病等所有费用均由</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自行承担，</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承担经营场所范围内的独立法律责任。</w:t>
      </w:r>
    </w:p>
    <w:p>
      <w:pPr>
        <w:widowControl/>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r>
        <w:rPr>
          <w:rFonts w:hint="eastAsia" w:ascii="宋体" w:hAnsi="宋体" w:cs="宋体"/>
          <w:bCs/>
          <w:color w:val="auto"/>
          <w:kern w:val="0"/>
          <w:sz w:val="24"/>
          <w:szCs w:val="24"/>
          <w:highlight w:val="none"/>
          <w:lang w:val="en-US" w:eastAsia="zh-CN"/>
        </w:rPr>
        <w:t>成交供应商</w:t>
      </w:r>
      <w:r>
        <w:rPr>
          <w:rFonts w:hint="eastAsia" w:ascii="宋体" w:hAnsi="宋体" w:eastAsia="宋体" w:cs="宋体"/>
          <w:bCs/>
          <w:color w:val="auto"/>
          <w:kern w:val="0"/>
          <w:sz w:val="24"/>
          <w:szCs w:val="24"/>
          <w:highlight w:val="none"/>
        </w:rPr>
        <w:t>保证食堂区域卫生、整洁。食堂的卫生防疫、就餐环境必须达到国家规定的食堂卫生标准；</w:t>
      </w:r>
    </w:p>
    <w:p>
      <w:pPr>
        <w:autoSpaceDE w:val="0"/>
        <w:autoSpaceDN w:val="0"/>
        <w:adjustRightInd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11、食堂的人员应统一着装。</w:t>
      </w:r>
    </w:p>
    <w:p>
      <w:pPr>
        <w:autoSpaceDE w:val="0"/>
        <w:autoSpaceDN w:val="0"/>
        <w:adjustRightInd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12、食堂服务对象为柳州市柳北区税务局的干部职工，不对外营业。</w:t>
      </w:r>
    </w:p>
    <w:p>
      <w:pPr>
        <w:autoSpaceDE w:val="0"/>
        <w:autoSpaceDN w:val="0"/>
        <w:adjustRightInd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13、采购人每季度进行满意度调查，满意度须达到60%以上。连续二个季度低于60%的，双方解除合同。</w:t>
      </w:r>
    </w:p>
    <w:p>
      <w:pPr>
        <w:autoSpaceDE w:val="0"/>
        <w:autoSpaceDN w:val="0"/>
        <w:adjustRightInd w:val="0"/>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14、食堂人员配置不低于</w:t>
      </w:r>
      <w:r>
        <w:rPr>
          <w:rFonts w:hint="eastAsia" w:ascii="宋体" w:hAnsi="宋体" w:eastAsia="宋体" w:cs="宋体"/>
          <w:b/>
          <w:color w:val="auto"/>
          <w:kern w:val="0"/>
          <w:sz w:val="24"/>
          <w:szCs w:val="24"/>
          <w:highlight w:val="none"/>
          <w:lang w:val="en-US" w:eastAsia="zh-CN"/>
        </w:rPr>
        <w:t>5</w:t>
      </w:r>
      <w:r>
        <w:rPr>
          <w:rFonts w:hint="eastAsia" w:ascii="宋体" w:hAnsi="宋体" w:eastAsia="宋体" w:cs="宋体"/>
          <w:b/>
          <w:color w:val="auto"/>
          <w:kern w:val="0"/>
          <w:sz w:val="24"/>
          <w:szCs w:val="24"/>
          <w:highlight w:val="none"/>
        </w:rPr>
        <w:t>人：</w:t>
      </w:r>
      <w:r>
        <w:rPr>
          <w:rFonts w:hint="eastAsia" w:ascii="宋体" w:hAnsi="宋体" w:eastAsia="宋体" w:cs="宋体"/>
          <w:color w:val="auto"/>
          <w:kern w:val="0"/>
          <w:sz w:val="24"/>
          <w:szCs w:val="24"/>
          <w:highlight w:val="none"/>
        </w:rPr>
        <w:t>大厨1人（核算员兼职，负责系统就餐统计核算）、红案厨师1人、白案厨师1人、杂工、服务员</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w:t>
      </w:r>
    </w:p>
    <w:p>
      <w:pPr>
        <w:widowControl/>
        <w:ind w:firstLine="468"/>
        <w:jc w:val="left"/>
        <w:rPr>
          <w:rFonts w:hint="eastAsia" w:ascii="宋体" w:hAnsi="宋体" w:eastAsia="宋体" w:cs="宋体"/>
          <w:b/>
          <w:bCs w:val="0"/>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w:t>
      </w:r>
      <w:r>
        <w:rPr>
          <w:rFonts w:hint="eastAsia" w:ascii="宋体" w:hAnsi="宋体" w:eastAsia="宋体" w:cs="宋体"/>
          <w:b/>
          <w:bCs w:val="0"/>
          <w:color w:val="auto"/>
          <w:kern w:val="0"/>
          <w:sz w:val="24"/>
          <w:szCs w:val="24"/>
          <w:highlight w:val="none"/>
        </w:rPr>
        <w:t>15、未尽事宜详见《食堂管理考核细则》。</w:t>
      </w:r>
      <w:r>
        <w:rPr>
          <w:rFonts w:hint="eastAsia" w:ascii="宋体" w:hAnsi="宋体" w:cs="宋体"/>
          <w:b/>
          <w:bCs w:val="0"/>
          <w:color w:val="auto"/>
          <w:kern w:val="0"/>
          <w:sz w:val="24"/>
          <w:szCs w:val="24"/>
          <w:highlight w:val="none"/>
          <w:lang w:val="en-US" w:eastAsia="zh-CN"/>
        </w:rPr>
        <w:t>响应</w:t>
      </w:r>
      <w:r>
        <w:rPr>
          <w:rFonts w:hint="eastAsia" w:ascii="宋体" w:hAnsi="宋体" w:eastAsia="宋体" w:cs="宋体"/>
          <w:b/>
          <w:bCs w:val="0"/>
          <w:color w:val="auto"/>
          <w:kern w:val="0"/>
          <w:sz w:val="24"/>
          <w:szCs w:val="24"/>
          <w:highlight w:val="none"/>
        </w:rPr>
        <w:t>文件必须就考核细则做出接受的承诺，否则</w:t>
      </w:r>
      <w:r>
        <w:rPr>
          <w:rFonts w:hint="eastAsia" w:ascii="宋体" w:hAnsi="宋体" w:cs="宋体"/>
          <w:b/>
          <w:bCs w:val="0"/>
          <w:color w:val="auto"/>
          <w:kern w:val="0"/>
          <w:sz w:val="24"/>
          <w:szCs w:val="24"/>
          <w:highlight w:val="none"/>
          <w:lang w:val="en-US" w:eastAsia="zh-CN"/>
        </w:rPr>
        <w:t>认定为</w:t>
      </w:r>
      <w:r>
        <w:rPr>
          <w:rFonts w:hint="eastAsia" w:ascii="宋体" w:hAnsi="宋体" w:eastAsia="宋体" w:cs="宋体"/>
          <w:b/>
          <w:bCs w:val="0"/>
          <w:color w:val="auto"/>
          <w:kern w:val="0"/>
          <w:sz w:val="24"/>
          <w:szCs w:val="24"/>
          <w:highlight w:val="none"/>
        </w:rPr>
        <w:t>无效</w:t>
      </w:r>
      <w:r>
        <w:rPr>
          <w:rFonts w:hint="eastAsia" w:ascii="宋体" w:hAnsi="宋体" w:cs="宋体"/>
          <w:b/>
          <w:bCs w:val="0"/>
          <w:color w:val="auto"/>
          <w:kern w:val="0"/>
          <w:sz w:val="24"/>
          <w:szCs w:val="24"/>
          <w:highlight w:val="none"/>
          <w:lang w:val="en-US" w:eastAsia="zh-CN"/>
        </w:rPr>
        <w:t>响应文件</w:t>
      </w:r>
      <w:r>
        <w:rPr>
          <w:rFonts w:hint="eastAsia" w:ascii="宋体" w:hAnsi="宋体" w:eastAsia="宋体" w:cs="宋体"/>
          <w:b/>
          <w:bCs w:val="0"/>
          <w:color w:val="auto"/>
          <w:kern w:val="0"/>
          <w:sz w:val="24"/>
          <w:szCs w:val="24"/>
          <w:highlight w:val="none"/>
        </w:rPr>
        <w:t>。</w:t>
      </w:r>
    </w:p>
    <w:p>
      <w:pPr>
        <w:jc w:val="center"/>
        <w:rPr>
          <w:rFonts w:ascii="Arial" w:hAnsi="Arial" w:cs="Arial"/>
          <w:bCs/>
          <w:color w:val="auto"/>
          <w:kern w:val="0"/>
          <w:sz w:val="32"/>
          <w:szCs w:val="32"/>
          <w:highlight w:val="none"/>
        </w:rPr>
      </w:pPr>
      <w:r>
        <w:rPr>
          <w:rFonts w:hint="eastAsia" w:ascii="宋体" w:hAnsi="宋体" w:eastAsia="宋体" w:cs="宋体"/>
          <w:bCs/>
          <w:color w:val="auto"/>
          <w:kern w:val="0"/>
          <w:sz w:val="24"/>
          <w:szCs w:val="24"/>
          <w:highlight w:val="none"/>
          <w:lang w:val="en-US" w:eastAsia="zh-CN"/>
        </w:rPr>
        <w:t xml:space="preserve"> </w:t>
      </w:r>
    </w:p>
    <w:p>
      <w:pPr>
        <w:rPr>
          <w:color w:val="auto"/>
          <w:highlight w:val="none"/>
        </w:rPr>
      </w:pPr>
    </w:p>
    <w:p>
      <w:pPr>
        <w:rPr>
          <w:color w:val="auto"/>
          <w:highlight w:val="none"/>
        </w:rPr>
      </w:pPr>
    </w:p>
    <w:tbl>
      <w:tblPr>
        <w:tblStyle w:val="42"/>
        <w:tblW w:w="10123" w:type="dxa"/>
        <w:tblInd w:w="111" w:type="dxa"/>
        <w:tblLayout w:type="fixed"/>
        <w:tblCellMar>
          <w:top w:w="0" w:type="dxa"/>
          <w:left w:w="108" w:type="dxa"/>
          <w:bottom w:w="0" w:type="dxa"/>
          <w:right w:w="108" w:type="dxa"/>
        </w:tblCellMar>
      </w:tblPr>
      <w:tblGrid>
        <w:gridCol w:w="744"/>
        <w:gridCol w:w="1183"/>
        <w:gridCol w:w="4218"/>
        <w:gridCol w:w="3231"/>
        <w:gridCol w:w="747"/>
      </w:tblGrid>
      <w:tr>
        <w:tblPrEx>
          <w:tblCellMar>
            <w:top w:w="0" w:type="dxa"/>
            <w:left w:w="108" w:type="dxa"/>
            <w:bottom w:w="0" w:type="dxa"/>
            <w:right w:w="108" w:type="dxa"/>
          </w:tblCellMar>
        </w:tblPrEx>
        <w:trPr>
          <w:trHeight w:val="660" w:hRule="atLeast"/>
        </w:trPr>
        <w:tc>
          <w:tcPr>
            <w:tcW w:w="10123" w:type="dxa"/>
            <w:gridSpan w:val="5"/>
            <w:tcBorders>
              <w:top w:val="nil"/>
              <w:left w:val="nil"/>
              <w:bottom w:val="single" w:color="auto" w:sz="4" w:space="0"/>
              <w:right w:val="nil"/>
            </w:tcBorders>
            <w:shd w:val="clear" w:color="auto" w:fill="auto"/>
            <w:noWrap/>
            <w:vAlign w:val="center"/>
          </w:tcPr>
          <w:p>
            <w:pPr>
              <w:widowControl/>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食堂管理考核细则</w:t>
            </w:r>
          </w:p>
        </w:tc>
      </w:tr>
      <w:tr>
        <w:tblPrEx>
          <w:tblCellMar>
            <w:top w:w="0" w:type="dxa"/>
            <w:left w:w="108" w:type="dxa"/>
            <w:bottom w:w="0" w:type="dxa"/>
            <w:right w:w="108" w:type="dxa"/>
          </w:tblCellMar>
        </w:tblPrEx>
        <w:trPr>
          <w:trHeight w:val="600" w:hRule="atLeast"/>
        </w:trPr>
        <w:tc>
          <w:tcPr>
            <w:tcW w:w="7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1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项目</w:t>
            </w:r>
          </w:p>
        </w:tc>
        <w:tc>
          <w:tcPr>
            <w:tcW w:w="42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考核内容</w:t>
            </w:r>
          </w:p>
        </w:tc>
        <w:tc>
          <w:tcPr>
            <w:tcW w:w="32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评分要求</w:t>
            </w:r>
          </w:p>
        </w:tc>
        <w:tc>
          <w:tcPr>
            <w:tcW w:w="7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扣分</w:t>
            </w:r>
          </w:p>
        </w:tc>
      </w:tr>
      <w:tr>
        <w:tblPrEx>
          <w:tblCellMar>
            <w:top w:w="0" w:type="dxa"/>
            <w:left w:w="108" w:type="dxa"/>
            <w:bottom w:w="0" w:type="dxa"/>
            <w:right w:w="108" w:type="dxa"/>
          </w:tblCellMar>
        </w:tblPrEx>
        <w:trPr>
          <w:trHeight w:val="779" w:hRule="atLeast"/>
        </w:trPr>
        <w:tc>
          <w:tcPr>
            <w:tcW w:w="7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工作纪律</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服从甲方领导和安排</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不服从领导和安排的，每人次扣5分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12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按时上下班，人员配置达到标准。</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发现缺员，厨师每日每人次扣20分，其他人员每日每人次扣10分。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1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有重大会议、培训和接待任务要及时加派人员。</w:t>
            </w:r>
          </w:p>
        </w:tc>
        <w:tc>
          <w:tcPr>
            <w:tcW w:w="32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有违反以上事项的，每项扣5分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61"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根据季节、原料确定每周食谱和菜单，经审定后实施，并作出菜单（谱）的成本核算。</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88"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会议、培训和接待用餐的标准、人数、开餐时间由甲方审定。</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49"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禁止当班喝酒和酒后上班。</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8"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食堂工作一定要遵循节能减排，杜绝水电跑、冒、滴、漏等各种浪费行为。</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发现有浪费行为的，每1人次扣5分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54"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上班不许大声喧哗、嬉戏、打闹</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有违反以上事项的，每人次扣1分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禁止偷拿、偷吃食堂的物品和食品</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有以上行为的，罚2倍价钱，扣10分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妥善保管和使用食堂固定资产和物资，出现人为损坏和丢失的</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除赔偿甲方损失外，扣5分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各岗位做好每月盘点工作</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不能按时交盘点表的，每项扣2分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个人卫生</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全体员工必须持有效的健康证明上岗</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发现没有健康证明的，1人次扣5分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员工身体健康，无痢疾、伤寒、活动性肺结核、化脓性皮肤病等疾病。</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有以上疾病仍上班的，每人次扣5分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上班穿戴工作服、帽，制作和销售直接入口的食品应戴口罩。</w:t>
            </w:r>
          </w:p>
        </w:tc>
        <w:tc>
          <w:tcPr>
            <w:tcW w:w="32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未按要求做，每发现1人次扣1分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工作人员进入操作间要洗手消毒，不许留长指甲、涂指甲油、戴戒指。</w:t>
            </w:r>
          </w:p>
        </w:tc>
        <w:tc>
          <w:tcPr>
            <w:tcW w:w="3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5" w:hRule="atLeast"/>
        </w:trPr>
        <w:tc>
          <w:tcPr>
            <w:tcW w:w="7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个人卫生要做到四勤：勤洗手、勤剪指甲、勤理发、勤换工作服帽。</w:t>
            </w:r>
          </w:p>
        </w:tc>
        <w:tc>
          <w:tcPr>
            <w:tcW w:w="3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69" w:hRule="atLeast"/>
        </w:trPr>
        <w:tc>
          <w:tcPr>
            <w:tcW w:w="7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1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餐厅卫生</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墙壁无污垢、灰尘，门窗清晰明亮</w:t>
            </w:r>
          </w:p>
        </w:tc>
        <w:tc>
          <w:tcPr>
            <w:tcW w:w="32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69"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天面（吊顶）无蜘蛛网、吊尘、霉斑。</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69"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地面洁净，无水、无油渍、无垃圾</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69"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餐厅的桌椅设备，摆放整齐，干净无尘。</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27" w:hRule="atLeast"/>
        </w:trPr>
        <w:tc>
          <w:tcPr>
            <w:tcW w:w="744"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183"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厨房公共卫生</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厨房禁止吸烟、乱丢垃圾。</w:t>
            </w:r>
          </w:p>
        </w:tc>
        <w:tc>
          <w:tcPr>
            <w:tcW w:w="323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00"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墙壁无食品残渣和污迹，门窗干净。</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00"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天面（吊顶）无蜘蛛网、吊尘。 </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09"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地面洁净，无水、无油渍、无垃圾，做到一市一清扫，每天一清洗。</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19"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厨房设施、设备及物品，摆放整齐有序，清洁卫生。</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1034"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冰箱（柜）实行分类使用，生熟分开，原料先进先用。冰箱每市一整、每日一清、每周一洗，保持整洁卫生。</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1034"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厨房用具（抹布、刀、砧板等）专人负责，生熟分开，有明显标志，严禁混合使用。</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食用油和调味品做到一市一清理，下班加盖，保持整洁卫生。</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收市后，食品和原材料要妥善处理，分类贮藏，摆放整齐。</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保持垃圾桶、潲水桶外观清洁、加盖，及时处理。</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27"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排水道通畅，无淤泥，定期清洗。</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69" w:hRule="atLeast"/>
        </w:trPr>
        <w:tc>
          <w:tcPr>
            <w:tcW w:w="74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落实好防尘、防蝇、防鼠措施。</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熟食间卫生</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熟食制作要实行按需定量，一市一烧、一配，隔夜熟食未经回锅不得出售。</w:t>
            </w:r>
          </w:p>
        </w:tc>
        <w:tc>
          <w:tcPr>
            <w:tcW w:w="32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熟食冰箱（柜）要专人管理，食品摆放合理整齐，半成品定期处理另做它用。</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1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糕点间卫生</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操作前做好台板、刀棍棒等用具的清洁、消毒，生熟分开，并有明显标志。</w:t>
            </w:r>
          </w:p>
        </w:tc>
        <w:tc>
          <w:tcPr>
            <w:tcW w:w="323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成品必须放在专用的冰箱（柜）或食品贮存柜保存。</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保持烤箱、纸托、容器清洁，且上盖下垫，有防污染措施。</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79"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物品、原料分类摆放、整齐清晰明了。</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79"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每天晚上下班后开紫外线灯消毒。</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61" w:hRule="atLeast"/>
        </w:trPr>
        <w:tc>
          <w:tcPr>
            <w:tcW w:w="7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1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洗碗间卫生</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餐具清洁严格按一刮、二洗、三冲、四消毒、五保洁顺序操作。</w:t>
            </w:r>
          </w:p>
        </w:tc>
        <w:tc>
          <w:tcPr>
            <w:tcW w:w="32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18"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餐具消毒后，立即分类、摆放、保洁。</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餐具回收、洗涤、保洁时要轻拿轻放，避免不必要的损坏，保持较低损坏率。</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1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公共安全</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厨房重地，非工作人员不许入内。做好防盗、防毒、防火、防破坏。</w:t>
            </w:r>
          </w:p>
        </w:tc>
        <w:tc>
          <w:tcPr>
            <w:tcW w:w="3231"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未达标一项，扣3分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每位员工都知道水、电开关、阀门所在位置，并能正确操作。</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960"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正确使用和维护中设施设备，如发现有损坏（异常）应及时报修和做好必要的应急处理，不能带“病”运行。</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易燃、易爆物品应严格按照规定摆放使用，并做好阀门关闭和贮藏。</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下班时，检查所有开关、阀门、冰柜、厨柜门和窗口是否关闭，大门锁好。</w:t>
            </w:r>
          </w:p>
        </w:tc>
        <w:tc>
          <w:tcPr>
            <w:tcW w:w="323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558" w:hRule="atLeast"/>
        </w:trPr>
        <w:tc>
          <w:tcPr>
            <w:tcW w:w="7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1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食品安全</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上岗前必须经过食品安全和卫生培训。</w:t>
            </w:r>
          </w:p>
        </w:tc>
        <w:tc>
          <w:tcPr>
            <w:tcW w:w="32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1049"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不新鲜或来路不明、变质、过期的原料，不收、不用、不煮、不卖。确保食品安全，杜绝食品中毒。</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980"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正确贮存、鉴别和使用食品原材料和半成品，隔夜熟食和半成品要彻底加热才能出售。</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严格按《食品添加剂使用卫生标准》购买、贮存、使用和记录食品添加剂。</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1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菜肴质量</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初加工方法准确，原料干净、无杂质、无异味；不浪费，物尽其用。</w:t>
            </w:r>
          </w:p>
        </w:tc>
        <w:tc>
          <w:tcPr>
            <w:tcW w:w="32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未达标一项，扣5分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配菜要刀工精细、便于使用；配比合理；腌制适当；原料先进先用。</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打荷器皿合适、围边讲究；原料熟透、试味准确、菜无异物。</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炒菜要火候适度均匀、调味恰当准确、勾芡厚薄适当，少用食品添加剂。</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930"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烧卤制品要卫生安全、调味准确、刀工精细、装盘美观大方。菜肴传送要及时、安全、卫生。</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858"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因菜品质量原因发生需要退换的菜肴，要立即退换。</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68"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菜肴传送要及时、安全、卫生。</w:t>
            </w:r>
          </w:p>
        </w:tc>
        <w:tc>
          <w:tcPr>
            <w:tcW w:w="3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679" w:hRule="atLeast"/>
        </w:trPr>
        <w:tc>
          <w:tcPr>
            <w:tcW w:w="7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1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服务质量</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制服清洁整齐，仪容仪表要符合要求。</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不按规定着装的每人次扣1分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8"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服务态度要热情周到、耐心及时，不能互相推诿，怠慢客人。</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出现互相推诿，怠慢客人，每人次扣2分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1003" w:hRule="atLeast"/>
        </w:trPr>
        <w:tc>
          <w:tcPr>
            <w:tcW w:w="7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根据服务程序和标准，做好餐厅不同岗位的接待服务工作。</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未能按标准提供优质服务，出现失误的，每次扣2分</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945" w:hRule="atLeast"/>
        </w:trPr>
        <w:tc>
          <w:tcPr>
            <w:tcW w:w="744"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183" w:type="dxa"/>
            <w:tcBorders>
              <w:top w:val="nil"/>
              <w:left w:val="nil"/>
              <w:bottom w:val="nil"/>
              <w:right w:val="single" w:color="auto" w:sz="4" w:space="0"/>
            </w:tcBorders>
            <w:shd w:val="clear" w:color="auto" w:fill="auto"/>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合同约定</w:t>
            </w:r>
          </w:p>
        </w:tc>
        <w:tc>
          <w:tcPr>
            <w:tcW w:w="4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服务期内发生缺员情况，对应相应岗位薪金，按照会计制度的核算方法扣减相应费用。</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如不按规定缴纳或少缴，从应支付的劳务费中扣减</w:t>
            </w:r>
          </w:p>
        </w:tc>
        <w:tc>
          <w:tcPr>
            <w:tcW w:w="7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794" w:hRule="atLeast"/>
        </w:trPr>
        <w:tc>
          <w:tcPr>
            <w:tcW w:w="1012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注：每分10元。采购人每月按照上述考核细则汇总扣分和扣款，最终折算的扣款金额从支付的成交供应商劳务费中扣除。</w:t>
            </w:r>
          </w:p>
        </w:tc>
      </w:tr>
    </w:tbl>
    <w:p>
      <w:pPr>
        <w:rPr>
          <w:color w:val="auto"/>
          <w:highlight w:val="none"/>
        </w:rPr>
      </w:pPr>
    </w:p>
    <w:p>
      <w:pPr>
        <w:pStyle w:val="3"/>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rPr>
          <w:rFonts w:hint="eastAsia" w:asciiTheme="minorEastAsia" w:hAnsiTheme="minorEastAsia" w:eastAsiaTheme="minorEastAsia" w:cstheme="minorEastAsia"/>
          <w:b/>
          <w:bCs/>
          <w:color w:val="auto"/>
          <w:kern w:val="0"/>
          <w:sz w:val="30"/>
          <w:szCs w:val="30"/>
          <w:highlight w:val="none"/>
        </w:rPr>
      </w:pPr>
    </w:p>
    <w:p>
      <w:pPr>
        <w:pStyle w:val="3"/>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br w:type="page"/>
      </w:r>
      <w:r>
        <w:rPr>
          <w:rFonts w:hint="eastAsia" w:asciiTheme="minorEastAsia" w:hAnsiTheme="minorEastAsia" w:eastAsiaTheme="minorEastAsia" w:cstheme="minorEastAsia"/>
          <w:b/>
          <w:bCs/>
          <w:color w:val="auto"/>
          <w:kern w:val="0"/>
          <w:sz w:val="30"/>
          <w:szCs w:val="30"/>
          <w:highlight w:val="none"/>
        </w:rPr>
        <w:t>商务条款</w:t>
      </w:r>
    </w:p>
    <w:p>
      <w:pPr>
        <w:numPr>
          <w:ilvl w:val="0"/>
          <w:numId w:val="6"/>
        </w:num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提供服务的时间、地点、方式、项目服务期限：</w:t>
      </w:r>
    </w:p>
    <w:p>
      <w:pPr>
        <w:numPr>
          <w:ilvl w:val="0"/>
          <w:numId w:val="0"/>
        </w:numPr>
        <w:spacing w:line="360" w:lineRule="auto"/>
        <w:ind w:left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提供服务的时间：一年，自2022年5月1日至2023年4月30日止。 </w:t>
      </w:r>
    </w:p>
    <w:p>
      <w:pPr>
        <w:spacing w:line="360" w:lineRule="auto"/>
        <w:ind w:left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提供服务的地点：</w:t>
      </w:r>
      <w:r>
        <w:rPr>
          <w:rFonts w:hint="eastAsia" w:asciiTheme="minorEastAsia" w:hAnsiTheme="minorEastAsia" w:eastAsiaTheme="minorEastAsia" w:cstheme="minorEastAsia"/>
          <w:color w:val="auto"/>
          <w:sz w:val="24"/>
          <w:szCs w:val="24"/>
          <w:highlight w:val="none"/>
          <w:lang w:val="en-US" w:eastAsia="zh-CN"/>
        </w:rPr>
        <w:t>采</w:t>
      </w:r>
      <w:r>
        <w:rPr>
          <w:rFonts w:hint="eastAsia" w:asciiTheme="minorEastAsia" w:hAnsiTheme="minorEastAsia" w:eastAsiaTheme="minorEastAsia" w:cstheme="minorEastAsia"/>
          <w:color w:val="auto"/>
          <w:sz w:val="24"/>
          <w:szCs w:val="24"/>
          <w:highlight w:val="none"/>
        </w:rPr>
        <w:t>购人指定地点。</w:t>
      </w:r>
    </w:p>
    <w:p>
      <w:pPr>
        <w:spacing w:line="360" w:lineRule="auto"/>
        <w:ind w:left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提供服务的方式：</w:t>
      </w:r>
      <w:r>
        <w:rPr>
          <w:rFonts w:hint="eastAsia" w:asciiTheme="minorEastAsia" w:hAnsiTheme="minorEastAsia" w:eastAsiaTheme="minorEastAsia" w:cstheme="minorEastAsia"/>
          <w:color w:val="auto"/>
          <w:sz w:val="24"/>
          <w:szCs w:val="24"/>
          <w:highlight w:val="none"/>
          <w:lang w:eastAsia="zh-CN"/>
        </w:rPr>
        <w:t>详见采购需求。</w:t>
      </w:r>
    </w:p>
    <w:p>
      <w:pPr>
        <w:pStyle w:val="2"/>
        <w:spacing w:line="360" w:lineRule="auto"/>
        <w:ind w:left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项目服务期限：一年，自2022年5月1日至2023年4月30日止。</w:t>
      </w:r>
    </w:p>
    <w:p>
      <w:pPr>
        <w:numPr>
          <w:ilvl w:val="0"/>
          <w:numId w:val="6"/>
        </w:numPr>
        <w:tabs>
          <w:tab w:val="left" w:pos="180"/>
          <w:tab w:val="left" w:pos="1620"/>
        </w:tabs>
        <w:spacing w:line="360" w:lineRule="auto"/>
        <w:ind w:left="0" w:leftChars="0" w:firstLine="0" w:firstLineChars="0"/>
        <w:rPr>
          <w:rFonts w:hint="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合同签订时间: 自成交通知书发出之日起</w:t>
      </w:r>
      <w:r>
        <w:rPr>
          <w:rFonts w:hint="eastAsia" w:asciiTheme="minorEastAsia" w:hAnsiTheme="minorEastAsia" w:eastAsiaTheme="minorEastAsia" w:cstheme="minorEastAsia"/>
          <w:color w:val="auto"/>
          <w:sz w:val="24"/>
          <w:szCs w:val="24"/>
          <w:highlight w:val="none"/>
          <w:u w:val="none"/>
          <w:lang w:val="en-US" w:eastAsia="zh-CN"/>
        </w:rPr>
        <w:t>25个自然</w:t>
      </w:r>
      <w:r>
        <w:rPr>
          <w:rFonts w:hint="eastAsia" w:asciiTheme="minorEastAsia" w:hAnsiTheme="minorEastAsia" w:eastAsiaTheme="minorEastAsia" w:cstheme="minorEastAsia"/>
          <w:color w:val="auto"/>
          <w:sz w:val="24"/>
          <w:szCs w:val="24"/>
          <w:highlight w:val="none"/>
        </w:rPr>
        <w:t>日内</w:t>
      </w:r>
      <w:r>
        <w:rPr>
          <w:rFonts w:hint="eastAsia" w:asciiTheme="minorEastAsia" w:hAnsiTheme="minorEastAsia" w:eastAsiaTheme="minorEastAsia" w:cstheme="minorEastAsia"/>
          <w:color w:val="auto"/>
          <w:sz w:val="24"/>
          <w:szCs w:val="24"/>
          <w:highlight w:val="none"/>
          <w:lang w:eastAsia="zh-CN"/>
        </w:rPr>
        <w:t>。</w:t>
      </w:r>
    </w:p>
    <w:p>
      <w:pPr>
        <w:pStyle w:val="20"/>
        <w:spacing w:line="360" w:lineRule="auto"/>
        <w:jc w:val="left"/>
        <w:rPr>
          <w:rFonts w:hint="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kern w:val="0"/>
          <w:sz w:val="24"/>
          <w:szCs w:val="24"/>
          <w:highlight w:val="none"/>
        </w:rPr>
        <w:t>采购资金的支付方式和时间</w:t>
      </w:r>
      <w:r>
        <w:rPr>
          <w:rFonts w:hint="eastAsia" w:asciiTheme="minorEastAsia" w:hAnsiTheme="minorEastAsia" w:eastAsiaTheme="minorEastAsia" w:cstheme="minorEastAsia"/>
          <w:color w:val="auto"/>
          <w:kern w:val="0"/>
          <w:sz w:val="24"/>
          <w:szCs w:val="24"/>
          <w:highlight w:val="none"/>
          <w:lang w:eastAsia="zh-CN"/>
        </w:rPr>
        <w:t>：</w:t>
      </w:r>
    </w:p>
    <w:p>
      <w:pPr>
        <w:pStyle w:val="20"/>
        <w:spacing w:line="360" w:lineRule="auto"/>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1、劳务外包费：成交供应商每月3日前将发票给到采购人，采购人应在收到发票的五个工作日内将上月的劳务外包服务费以转帐形式结算给成交供应商</w:t>
      </w:r>
    </w:p>
    <w:p>
      <w:pPr>
        <w:pStyle w:val="20"/>
        <w:spacing w:line="360" w:lineRule="auto"/>
        <w:jc w:val="left"/>
        <w:rPr>
          <w:rFonts w:hint="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2、餐费：参照采购人本系统各局食堂的运转模式，每月上旬采购人根据就餐情况，按本局在编人员的补贴餐费330元/人转给成交供应商，成交供应商应开具发票给采购人，并按市局食堂（总公司）规定的时间内和各食堂进行结清餐费。</w:t>
      </w:r>
    </w:p>
    <w:p>
      <w:pPr>
        <w:pStyle w:val="2"/>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四、验收标准：符合本项目采购需求及响应文件具体承诺内容。</w:t>
      </w:r>
    </w:p>
    <w:bookmarkEnd w:id="58"/>
    <w:p>
      <w:pPr>
        <w:pStyle w:val="2"/>
        <w:spacing w:line="360" w:lineRule="auto"/>
        <w:rPr>
          <w:rFonts w:hint="eastAsia" w:asciiTheme="minorEastAsia" w:hAnsiTheme="minorEastAsia" w:eastAsiaTheme="minorEastAsia" w:cstheme="minorEastAsia"/>
          <w:color w:val="auto"/>
          <w:kern w:val="0"/>
          <w:sz w:val="24"/>
          <w:szCs w:val="24"/>
          <w:highlight w:val="none"/>
          <w:lang w:eastAsia="zh-CN"/>
        </w:rPr>
      </w:pPr>
    </w:p>
    <w:sectPr>
      <w:headerReference r:id="rId6" w:type="first"/>
      <w:footerReference r:id="rId9" w:type="first"/>
      <w:headerReference r:id="rId5" w:type="default"/>
      <w:footerReference r:id="rId7" w:type="default"/>
      <w:footerReference r:id="rId8" w:type="even"/>
      <w:pgSz w:w="11906" w:h="16838"/>
      <w:pgMar w:top="1134" w:right="1134" w:bottom="1134" w:left="1134" w:header="680" w:footer="680" w:gutter="0"/>
      <w:pgNumType w:fmt="decimal"/>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Demi Cond">
    <w:altName w:val="Segoe Print"/>
    <w:panose1 w:val="020B07060304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宋体">
    <w:panose1 w:val="02010600030101010101"/>
    <w:charset w:val="86"/>
    <w:family w:val="auto"/>
    <w:pitch w:val="default"/>
    <w:sig w:usb0="0000000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13" o:spid="_x0000_s411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14" o:spid="_x0000_s411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4097" o:spid="_x0000_s4097"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v:path/>
          <v:fill on="f" focussize="0,0"/>
          <v:stroke on="f" joinstyle="miter"/>
          <v:imagedata o:title=""/>
          <o:lock v:ext="edit"/>
          <v:textbox inset="0mm,0mm,0mm,0mm">
            <w:txbxContent>
              <w:p>
                <w:pPr>
                  <w:pStyle w:val="25"/>
                  <w:rPr>
                    <w:rStyle w:val="45"/>
                  </w:rPr>
                </w:pPr>
                <w:r>
                  <w:rPr>
                    <w:rStyle w:val="45"/>
                  </w:rPr>
                  <w:fldChar w:fldCharType="begin"/>
                </w:r>
                <w:r>
                  <w:rPr>
                    <w:rStyle w:val="45"/>
                  </w:rPr>
                  <w:instrText xml:space="preserve">PAGE  </w:instrText>
                </w:r>
                <w:r>
                  <w:rPr>
                    <w:rStyle w:val="45"/>
                  </w:rPr>
                  <w:fldChar w:fldCharType="separate"/>
                </w:r>
                <w:r>
                  <w:rPr>
                    <w:rStyle w:val="45"/>
                  </w:rPr>
                  <w:t>1</w:t>
                </w:r>
                <w:r>
                  <w:rPr>
                    <w:rStyle w:val="45"/>
                  </w:rPr>
                  <w:fldChar w:fldCharType="end"/>
                </w:r>
              </w:p>
            </w:txbxContent>
          </v:textbox>
          <w10:wrap type="squar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4112" o:spid="_x0000_s411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501E8"/>
    <w:multiLevelType w:val="singleLevel"/>
    <w:tmpl w:val="B09501E8"/>
    <w:lvl w:ilvl="0" w:tentative="0">
      <w:start w:val="1"/>
      <w:numFmt w:val="chineseCounting"/>
      <w:suff w:val="nothing"/>
      <w:lvlText w:val="%1、"/>
      <w:lvlJc w:val="left"/>
      <w:rPr>
        <w:rFonts w:hint="eastAsia"/>
      </w:rPr>
    </w:lvl>
  </w:abstractNum>
  <w:abstractNum w:abstractNumId="1">
    <w:nsid w:val="CECD5E7B"/>
    <w:multiLevelType w:val="singleLevel"/>
    <w:tmpl w:val="CECD5E7B"/>
    <w:lvl w:ilvl="0" w:tentative="0">
      <w:start w:val="2"/>
      <w:numFmt w:val="decimal"/>
      <w:lvlText w:val="%1."/>
      <w:lvlJc w:val="left"/>
      <w:pPr>
        <w:tabs>
          <w:tab w:val="left" w:pos="312"/>
        </w:tabs>
      </w:pPr>
    </w:lvl>
  </w:abstractNum>
  <w:abstractNum w:abstractNumId="2">
    <w:nsid w:val="EF890F5E"/>
    <w:multiLevelType w:val="singleLevel"/>
    <w:tmpl w:val="EF890F5E"/>
    <w:lvl w:ilvl="0" w:tentative="0">
      <w:start w:val="2"/>
      <w:numFmt w:val="decimal"/>
      <w:suff w:val="nothing"/>
      <w:lvlText w:val="%1、"/>
      <w:lvlJc w:val="left"/>
    </w:lvl>
  </w:abstractNum>
  <w:abstractNum w:abstractNumId="3">
    <w:nsid w:val="2A73644E"/>
    <w:multiLevelType w:val="singleLevel"/>
    <w:tmpl w:val="2A73644E"/>
    <w:lvl w:ilvl="0" w:tentative="0">
      <w:start w:val="4"/>
      <w:numFmt w:val="decimal"/>
      <w:lvlText w:val="%1."/>
      <w:lvlJc w:val="left"/>
      <w:pPr>
        <w:tabs>
          <w:tab w:val="left" w:pos="312"/>
        </w:tabs>
      </w:pPr>
    </w:lvl>
  </w:abstractNum>
  <w:abstractNum w:abstractNumId="4">
    <w:nsid w:val="4C0E79E8"/>
    <w:multiLevelType w:val="multilevel"/>
    <w:tmpl w:val="4C0E79E8"/>
    <w:lvl w:ilvl="0" w:tentative="0">
      <w:start w:val="1"/>
      <w:numFmt w:val="japaneseCounting"/>
      <w:lvlText w:val="%1、"/>
      <w:lvlJc w:val="left"/>
      <w:pPr>
        <w:ind w:left="790" w:hanging="39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
    <w:nsid w:val="5C29471B"/>
    <w:multiLevelType w:val="singleLevel"/>
    <w:tmpl w:val="5C29471B"/>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162"/>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554"/>
    <w:rsid w:val="00393FFC"/>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6C3"/>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19"/>
    <w:rsid w:val="00FC5152"/>
    <w:rsid w:val="00FD5ADD"/>
    <w:rsid w:val="00FD7E69"/>
    <w:rsid w:val="00FE1466"/>
    <w:rsid w:val="00FE19E5"/>
    <w:rsid w:val="00FE2181"/>
    <w:rsid w:val="00FE2F65"/>
    <w:rsid w:val="00FE56F3"/>
    <w:rsid w:val="00FE5D1D"/>
    <w:rsid w:val="00FE6B9F"/>
    <w:rsid w:val="00FF5456"/>
    <w:rsid w:val="00FF7472"/>
    <w:rsid w:val="011B037A"/>
    <w:rsid w:val="01220CF5"/>
    <w:rsid w:val="012D2EC5"/>
    <w:rsid w:val="01342743"/>
    <w:rsid w:val="013A1033"/>
    <w:rsid w:val="013E7093"/>
    <w:rsid w:val="01710F01"/>
    <w:rsid w:val="01866661"/>
    <w:rsid w:val="018F6336"/>
    <w:rsid w:val="01A8004E"/>
    <w:rsid w:val="01BF2670"/>
    <w:rsid w:val="01C11008"/>
    <w:rsid w:val="01DA64AC"/>
    <w:rsid w:val="02281ACB"/>
    <w:rsid w:val="022D2826"/>
    <w:rsid w:val="023E5953"/>
    <w:rsid w:val="023F2E8C"/>
    <w:rsid w:val="024A028C"/>
    <w:rsid w:val="02A35ADD"/>
    <w:rsid w:val="02CA601E"/>
    <w:rsid w:val="02D84A36"/>
    <w:rsid w:val="02F93F6A"/>
    <w:rsid w:val="03000716"/>
    <w:rsid w:val="03013312"/>
    <w:rsid w:val="03173BD2"/>
    <w:rsid w:val="037F54DC"/>
    <w:rsid w:val="03A33348"/>
    <w:rsid w:val="03BD27FE"/>
    <w:rsid w:val="03C53A79"/>
    <w:rsid w:val="03E033DF"/>
    <w:rsid w:val="040746DF"/>
    <w:rsid w:val="042934D9"/>
    <w:rsid w:val="042D4A23"/>
    <w:rsid w:val="045F41F5"/>
    <w:rsid w:val="04713603"/>
    <w:rsid w:val="04860150"/>
    <w:rsid w:val="049931E9"/>
    <w:rsid w:val="04AD01DD"/>
    <w:rsid w:val="04AD50FB"/>
    <w:rsid w:val="04B00DAB"/>
    <w:rsid w:val="04DF6E7A"/>
    <w:rsid w:val="04E92BD4"/>
    <w:rsid w:val="05357951"/>
    <w:rsid w:val="05EE2D3C"/>
    <w:rsid w:val="05F24075"/>
    <w:rsid w:val="06043DDA"/>
    <w:rsid w:val="06051ED1"/>
    <w:rsid w:val="061D3517"/>
    <w:rsid w:val="064908D3"/>
    <w:rsid w:val="06C113BF"/>
    <w:rsid w:val="06D5473A"/>
    <w:rsid w:val="0763320F"/>
    <w:rsid w:val="07701841"/>
    <w:rsid w:val="07916581"/>
    <w:rsid w:val="07E415FD"/>
    <w:rsid w:val="07F868FE"/>
    <w:rsid w:val="081B70E2"/>
    <w:rsid w:val="081D144E"/>
    <w:rsid w:val="082575F2"/>
    <w:rsid w:val="08324EFA"/>
    <w:rsid w:val="08664722"/>
    <w:rsid w:val="087210F5"/>
    <w:rsid w:val="08892065"/>
    <w:rsid w:val="088B26A9"/>
    <w:rsid w:val="08AF56BC"/>
    <w:rsid w:val="08BC0BB7"/>
    <w:rsid w:val="08C30259"/>
    <w:rsid w:val="095443A2"/>
    <w:rsid w:val="0958411A"/>
    <w:rsid w:val="0971471F"/>
    <w:rsid w:val="09A06294"/>
    <w:rsid w:val="09B64B81"/>
    <w:rsid w:val="09D770A2"/>
    <w:rsid w:val="0A5646FF"/>
    <w:rsid w:val="0A613935"/>
    <w:rsid w:val="0A7B1588"/>
    <w:rsid w:val="0A8248C7"/>
    <w:rsid w:val="0AD25578"/>
    <w:rsid w:val="0AE6579C"/>
    <w:rsid w:val="0B37192D"/>
    <w:rsid w:val="0B3C3E6E"/>
    <w:rsid w:val="0B5E54D2"/>
    <w:rsid w:val="0B9233BA"/>
    <w:rsid w:val="0B953549"/>
    <w:rsid w:val="0B9C4D21"/>
    <w:rsid w:val="0BA903A7"/>
    <w:rsid w:val="0BC2279B"/>
    <w:rsid w:val="0BEA23A9"/>
    <w:rsid w:val="0C291372"/>
    <w:rsid w:val="0C2D09CA"/>
    <w:rsid w:val="0C5E57F4"/>
    <w:rsid w:val="0C6C13F0"/>
    <w:rsid w:val="0CB1145B"/>
    <w:rsid w:val="0CB82A8F"/>
    <w:rsid w:val="0CCA51A5"/>
    <w:rsid w:val="0CE80310"/>
    <w:rsid w:val="0D27054C"/>
    <w:rsid w:val="0D2F2A34"/>
    <w:rsid w:val="0D813AA8"/>
    <w:rsid w:val="0DCE517E"/>
    <w:rsid w:val="0DCF202E"/>
    <w:rsid w:val="0E0D57FE"/>
    <w:rsid w:val="0E6D7980"/>
    <w:rsid w:val="0EA612FA"/>
    <w:rsid w:val="0EDD23BC"/>
    <w:rsid w:val="0EF632FA"/>
    <w:rsid w:val="0F0517F9"/>
    <w:rsid w:val="0F233951"/>
    <w:rsid w:val="0F4E5291"/>
    <w:rsid w:val="0F802C2A"/>
    <w:rsid w:val="0FA52275"/>
    <w:rsid w:val="0FF71687"/>
    <w:rsid w:val="10073A12"/>
    <w:rsid w:val="10242995"/>
    <w:rsid w:val="10567490"/>
    <w:rsid w:val="10924860"/>
    <w:rsid w:val="109D6616"/>
    <w:rsid w:val="10B25489"/>
    <w:rsid w:val="10B77D5E"/>
    <w:rsid w:val="10C948EA"/>
    <w:rsid w:val="11013334"/>
    <w:rsid w:val="110F29EB"/>
    <w:rsid w:val="11154DB3"/>
    <w:rsid w:val="1125578F"/>
    <w:rsid w:val="1142151C"/>
    <w:rsid w:val="11584547"/>
    <w:rsid w:val="118A48C8"/>
    <w:rsid w:val="11B803E3"/>
    <w:rsid w:val="11E313AE"/>
    <w:rsid w:val="121F5337"/>
    <w:rsid w:val="12590794"/>
    <w:rsid w:val="12700445"/>
    <w:rsid w:val="12D270FE"/>
    <w:rsid w:val="12F92FCD"/>
    <w:rsid w:val="13081D2B"/>
    <w:rsid w:val="13163595"/>
    <w:rsid w:val="134A3213"/>
    <w:rsid w:val="135544CB"/>
    <w:rsid w:val="13B47386"/>
    <w:rsid w:val="13D047FA"/>
    <w:rsid w:val="140A5109"/>
    <w:rsid w:val="14627B07"/>
    <w:rsid w:val="147C2498"/>
    <w:rsid w:val="147F0940"/>
    <w:rsid w:val="1495642C"/>
    <w:rsid w:val="14A91FC6"/>
    <w:rsid w:val="14D503D0"/>
    <w:rsid w:val="14F564FC"/>
    <w:rsid w:val="14FB7CE6"/>
    <w:rsid w:val="158C6B52"/>
    <w:rsid w:val="15A379E8"/>
    <w:rsid w:val="15B3486E"/>
    <w:rsid w:val="15C852A0"/>
    <w:rsid w:val="15DD32CF"/>
    <w:rsid w:val="15ED499E"/>
    <w:rsid w:val="160C1BF0"/>
    <w:rsid w:val="162A0D38"/>
    <w:rsid w:val="163E1FB5"/>
    <w:rsid w:val="164C2546"/>
    <w:rsid w:val="1671084C"/>
    <w:rsid w:val="16812655"/>
    <w:rsid w:val="16B54C35"/>
    <w:rsid w:val="16BB2FFC"/>
    <w:rsid w:val="16BE457E"/>
    <w:rsid w:val="16D61793"/>
    <w:rsid w:val="16F9460E"/>
    <w:rsid w:val="17006957"/>
    <w:rsid w:val="17010E58"/>
    <w:rsid w:val="170B3241"/>
    <w:rsid w:val="17526B40"/>
    <w:rsid w:val="17881643"/>
    <w:rsid w:val="179A4E5D"/>
    <w:rsid w:val="17AF1E1D"/>
    <w:rsid w:val="17BE5E36"/>
    <w:rsid w:val="17EE05A8"/>
    <w:rsid w:val="17FB4E2B"/>
    <w:rsid w:val="18162133"/>
    <w:rsid w:val="181B0BD3"/>
    <w:rsid w:val="18274990"/>
    <w:rsid w:val="187A77EE"/>
    <w:rsid w:val="18825DCA"/>
    <w:rsid w:val="18A11F85"/>
    <w:rsid w:val="18BB236B"/>
    <w:rsid w:val="18C10D8C"/>
    <w:rsid w:val="18D33856"/>
    <w:rsid w:val="18D340CB"/>
    <w:rsid w:val="18E401B4"/>
    <w:rsid w:val="19233AB4"/>
    <w:rsid w:val="19515F00"/>
    <w:rsid w:val="199A6F4C"/>
    <w:rsid w:val="19B36E89"/>
    <w:rsid w:val="19B9490E"/>
    <w:rsid w:val="19CB1816"/>
    <w:rsid w:val="19CF77AC"/>
    <w:rsid w:val="19D607CF"/>
    <w:rsid w:val="19D9534F"/>
    <w:rsid w:val="19E60A93"/>
    <w:rsid w:val="19EC4058"/>
    <w:rsid w:val="1A2A2353"/>
    <w:rsid w:val="1A2A68D9"/>
    <w:rsid w:val="1A662FB1"/>
    <w:rsid w:val="1A7C77D9"/>
    <w:rsid w:val="1AC02F34"/>
    <w:rsid w:val="1B3568BA"/>
    <w:rsid w:val="1B5779D5"/>
    <w:rsid w:val="1B5F2B71"/>
    <w:rsid w:val="1B5F5BC3"/>
    <w:rsid w:val="1B662708"/>
    <w:rsid w:val="1BAC3858"/>
    <w:rsid w:val="1BF126E8"/>
    <w:rsid w:val="1C367689"/>
    <w:rsid w:val="1C5C2829"/>
    <w:rsid w:val="1C6110A8"/>
    <w:rsid w:val="1C6136F5"/>
    <w:rsid w:val="1C6C3E02"/>
    <w:rsid w:val="1C803656"/>
    <w:rsid w:val="1C904157"/>
    <w:rsid w:val="1CCC4B92"/>
    <w:rsid w:val="1CE2791E"/>
    <w:rsid w:val="1CE3453F"/>
    <w:rsid w:val="1CF850F8"/>
    <w:rsid w:val="1CF96E1F"/>
    <w:rsid w:val="1D0A14E8"/>
    <w:rsid w:val="1D2D14EE"/>
    <w:rsid w:val="1D3E5275"/>
    <w:rsid w:val="1D5864FD"/>
    <w:rsid w:val="1D7B7EAB"/>
    <w:rsid w:val="1DA3195C"/>
    <w:rsid w:val="1DC04F9F"/>
    <w:rsid w:val="1DE92B23"/>
    <w:rsid w:val="1E0E75D4"/>
    <w:rsid w:val="1E2D31E8"/>
    <w:rsid w:val="1E3E41AE"/>
    <w:rsid w:val="1E5B55C8"/>
    <w:rsid w:val="1E977324"/>
    <w:rsid w:val="1EAC1126"/>
    <w:rsid w:val="1EAD5731"/>
    <w:rsid w:val="1EF531E5"/>
    <w:rsid w:val="1F0B5B77"/>
    <w:rsid w:val="1F3F0D5D"/>
    <w:rsid w:val="1F746F81"/>
    <w:rsid w:val="1FA013B8"/>
    <w:rsid w:val="1FED2B80"/>
    <w:rsid w:val="20186E6C"/>
    <w:rsid w:val="2062029C"/>
    <w:rsid w:val="206316B5"/>
    <w:rsid w:val="208C5442"/>
    <w:rsid w:val="20AA2037"/>
    <w:rsid w:val="20D22B9B"/>
    <w:rsid w:val="20FF0120"/>
    <w:rsid w:val="210B1554"/>
    <w:rsid w:val="21115205"/>
    <w:rsid w:val="21600F64"/>
    <w:rsid w:val="21880846"/>
    <w:rsid w:val="218C10EC"/>
    <w:rsid w:val="21A750B2"/>
    <w:rsid w:val="21C45B13"/>
    <w:rsid w:val="21CC5BCB"/>
    <w:rsid w:val="2209059C"/>
    <w:rsid w:val="22254C4D"/>
    <w:rsid w:val="22605614"/>
    <w:rsid w:val="22970399"/>
    <w:rsid w:val="22E05540"/>
    <w:rsid w:val="230B5CEC"/>
    <w:rsid w:val="232D22B0"/>
    <w:rsid w:val="235E2343"/>
    <w:rsid w:val="2368614C"/>
    <w:rsid w:val="238D068C"/>
    <w:rsid w:val="23906722"/>
    <w:rsid w:val="23A06920"/>
    <w:rsid w:val="24004303"/>
    <w:rsid w:val="24145536"/>
    <w:rsid w:val="24265FB9"/>
    <w:rsid w:val="24416CE3"/>
    <w:rsid w:val="247E3093"/>
    <w:rsid w:val="247F5174"/>
    <w:rsid w:val="249A5DB1"/>
    <w:rsid w:val="24AD2296"/>
    <w:rsid w:val="24E639EA"/>
    <w:rsid w:val="250528B0"/>
    <w:rsid w:val="252B6B5B"/>
    <w:rsid w:val="257829F7"/>
    <w:rsid w:val="258C7EDA"/>
    <w:rsid w:val="25AC55EF"/>
    <w:rsid w:val="25CB2FF1"/>
    <w:rsid w:val="25DD52F2"/>
    <w:rsid w:val="25E30303"/>
    <w:rsid w:val="25E643D3"/>
    <w:rsid w:val="25F71B5A"/>
    <w:rsid w:val="26270381"/>
    <w:rsid w:val="262F1EEF"/>
    <w:rsid w:val="26604556"/>
    <w:rsid w:val="267562A5"/>
    <w:rsid w:val="26C83DB6"/>
    <w:rsid w:val="26CE3281"/>
    <w:rsid w:val="26D468DF"/>
    <w:rsid w:val="26DE72B5"/>
    <w:rsid w:val="26EF621A"/>
    <w:rsid w:val="270846C4"/>
    <w:rsid w:val="270B43EA"/>
    <w:rsid w:val="274261F5"/>
    <w:rsid w:val="27440760"/>
    <w:rsid w:val="275711AA"/>
    <w:rsid w:val="276E6E06"/>
    <w:rsid w:val="27AC385B"/>
    <w:rsid w:val="27C75DAF"/>
    <w:rsid w:val="27E106FE"/>
    <w:rsid w:val="27E70979"/>
    <w:rsid w:val="28216FD2"/>
    <w:rsid w:val="2830013E"/>
    <w:rsid w:val="28357716"/>
    <w:rsid w:val="284C2B12"/>
    <w:rsid w:val="288D1C22"/>
    <w:rsid w:val="28947A10"/>
    <w:rsid w:val="28EE51EF"/>
    <w:rsid w:val="29006482"/>
    <w:rsid w:val="290C02AF"/>
    <w:rsid w:val="292656AF"/>
    <w:rsid w:val="29425C46"/>
    <w:rsid w:val="294D5D55"/>
    <w:rsid w:val="297D4D3B"/>
    <w:rsid w:val="29BE2ECE"/>
    <w:rsid w:val="29D97536"/>
    <w:rsid w:val="29DF067B"/>
    <w:rsid w:val="29EA35D3"/>
    <w:rsid w:val="2A436327"/>
    <w:rsid w:val="2A624569"/>
    <w:rsid w:val="2A682B5C"/>
    <w:rsid w:val="2A9B6C10"/>
    <w:rsid w:val="2AC463B4"/>
    <w:rsid w:val="2AD42667"/>
    <w:rsid w:val="2B001BEB"/>
    <w:rsid w:val="2B0334EF"/>
    <w:rsid w:val="2B63714B"/>
    <w:rsid w:val="2B9F5C98"/>
    <w:rsid w:val="2BA7274F"/>
    <w:rsid w:val="2BB55721"/>
    <w:rsid w:val="2BD4634C"/>
    <w:rsid w:val="2BF023DA"/>
    <w:rsid w:val="2C204E94"/>
    <w:rsid w:val="2C2737F0"/>
    <w:rsid w:val="2C4F5E7E"/>
    <w:rsid w:val="2C573937"/>
    <w:rsid w:val="2C952E57"/>
    <w:rsid w:val="2C9A1510"/>
    <w:rsid w:val="2CAE0B17"/>
    <w:rsid w:val="2CB203AC"/>
    <w:rsid w:val="2CE764D7"/>
    <w:rsid w:val="2CEA239D"/>
    <w:rsid w:val="2CFB3109"/>
    <w:rsid w:val="2D134D45"/>
    <w:rsid w:val="2D2219EF"/>
    <w:rsid w:val="2D27747B"/>
    <w:rsid w:val="2D2F5925"/>
    <w:rsid w:val="2D343226"/>
    <w:rsid w:val="2D3D4DD6"/>
    <w:rsid w:val="2D3F54E0"/>
    <w:rsid w:val="2D4C133D"/>
    <w:rsid w:val="2D4C6D7E"/>
    <w:rsid w:val="2D601795"/>
    <w:rsid w:val="2D994590"/>
    <w:rsid w:val="2DA17AFE"/>
    <w:rsid w:val="2DF237AE"/>
    <w:rsid w:val="2E1B7662"/>
    <w:rsid w:val="2E1E5F27"/>
    <w:rsid w:val="2E3576A8"/>
    <w:rsid w:val="2E635E79"/>
    <w:rsid w:val="2E7A1C46"/>
    <w:rsid w:val="2EBB5F72"/>
    <w:rsid w:val="2EBC27AA"/>
    <w:rsid w:val="2ED916E0"/>
    <w:rsid w:val="2F3A280F"/>
    <w:rsid w:val="2F3C1A2D"/>
    <w:rsid w:val="2F4A2787"/>
    <w:rsid w:val="2F5279CC"/>
    <w:rsid w:val="2F6B4286"/>
    <w:rsid w:val="2FB56E77"/>
    <w:rsid w:val="2FD02702"/>
    <w:rsid w:val="2FF14450"/>
    <w:rsid w:val="2FFB51B0"/>
    <w:rsid w:val="301268B1"/>
    <w:rsid w:val="30423A77"/>
    <w:rsid w:val="30493B8F"/>
    <w:rsid w:val="30543732"/>
    <w:rsid w:val="305F4675"/>
    <w:rsid w:val="30615379"/>
    <w:rsid w:val="307A5F46"/>
    <w:rsid w:val="308F23A0"/>
    <w:rsid w:val="30EE7B24"/>
    <w:rsid w:val="30F75AD5"/>
    <w:rsid w:val="31221663"/>
    <w:rsid w:val="313D44E3"/>
    <w:rsid w:val="3190076F"/>
    <w:rsid w:val="31CE0B2E"/>
    <w:rsid w:val="322F6D90"/>
    <w:rsid w:val="325029B8"/>
    <w:rsid w:val="32517AFD"/>
    <w:rsid w:val="32520100"/>
    <w:rsid w:val="32A27D61"/>
    <w:rsid w:val="32AD5A91"/>
    <w:rsid w:val="32D8067B"/>
    <w:rsid w:val="32DF06EA"/>
    <w:rsid w:val="331560B7"/>
    <w:rsid w:val="331C66A1"/>
    <w:rsid w:val="3352708F"/>
    <w:rsid w:val="33562B12"/>
    <w:rsid w:val="3369209D"/>
    <w:rsid w:val="33825082"/>
    <w:rsid w:val="33C64164"/>
    <w:rsid w:val="33FB6A7E"/>
    <w:rsid w:val="34B87C3F"/>
    <w:rsid w:val="34BA33B8"/>
    <w:rsid w:val="34C44FA1"/>
    <w:rsid w:val="34D0311F"/>
    <w:rsid w:val="34D6222F"/>
    <w:rsid w:val="34D93DE9"/>
    <w:rsid w:val="34EB2276"/>
    <w:rsid w:val="34FB78EF"/>
    <w:rsid w:val="350D449E"/>
    <w:rsid w:val="353A78EB"/>
    <w:rsid w:val="363D3ADC"/>
    <w:rsid w:val="366A55B9"/>
    <w:rsid w:val="366C0770"/>
    <w:rsid w:val="36990952"/>
    <w:rsid w:val="36A05A36"/>
    <w:rsid w:val="36A5046F"/>
    <w:rsid w:val="36AF48BF"/>
    <w:rsid w:val="36EE67C0"/>
    <w:rsid w:val="36EF2BC0"/>
    <w:rsid w:val="36FB3646"/>
    <w:rsid w:val="373805A7"/>
    <w:rsid w:val="37767AE9"/>
    <w:rsid w:val="37BD234A"/>
    <w:rsid w:val="37DA5B74"/>
    <w:rsid w:val="380642E2"/>
    <w:rsid w:val="381A13CC"/>
    <w:rsid w:val="38375CB1"/>
    <w:rsid w:val="38734222"/>
    <w:rsid w:val="388670E9"/>
    <w:rsid w:val="38E16F84"/>
    <w:rsid w:val="38E43E04"/>
    <w:rsid w:val="392D58ED"/>
    <w:rsid w:val="39301243"/>
    <w:rsid w:val="396D0E78"/>
    <w:rsid w:val="39785D68"/>
    <w:rsid w:val="397F2CB0"/>
    <w:rsid w:val="39C45CA1"/>
    <w:rsid w:val="39C577C8"/>
    <w:rsid w:val="39E5148A"/>
    <w:rsid w:val="3A456BE7"/>
    <w:rsid w:val="3A544B87"/>
    <w:rsid w:val="3A5A5A1A"/>
    <w:rsid w:val="3A5D22E7"/>
    <w:rsid w:val="3AA16B8F"/>
    <w:rsid w:val="3AAE314C"/>
    <w:rsid w:val="3AB8583D"/>
    <w:rsid w:val="3AEA152C"/>
    <w:rsid w:val="3AF35C5F"/>
    <w:rsid w:val="3B0B43BB"/>
    <w:rsid w:val="3B2001AC"/>
    <w:rsid w:val="3B253A65"/>
    <w:rsid w:val="3B2D54EE"/>
    <w:rsid w:val="3B6150DA"/>
    <w:rsid w:val="3B832AE2"/>
    <w:rsid w:val="3BD0670F"/>
    <w:rsid w:val="3BDE4BA7"/>
    <w:rsid w:val="3C3E7321"/>
    <w:rsid w:val="3C41552D"/>
    <w:rsid w:val="3C530F3B"/>
    <w:rsid w:val="3C5E53ED"/>
    <w:rsid w:val="3CB92E18"/>
    <w:rsid w:val="3CBD44CF"/>
    <w:rsid w:val="3CD9412D"/>
    <w:rsid w:val="3CF54B95"/>
    <w:rsid w:val="3D234E82"/>
    <w:rsid w:val="3D7A18F8"/>
    <w:rsid w:val="3D930B3B"/>
    <w:rsid w:val="3D9835E1"/>
    <w:rsid w:val="3DA02F62"/>
    <w:rsid w:val="3DC4445C"/>
    <w:rsid w:val="3E3E4744"/>
    <w:rsid w:val="3E403626"/>
    <w:rsid w:val="3E416AFE"/>
    <w:rsid w:val="3E452B90"/>
    <w:rsid w:val="3E783DB5"/>
    <w:rsid w:val="3E7C27CE"/>
    <w:rsid w:val="3E8C6C3F"/>
    <w:rsid w:val="3EC22BAE"/>
    <w:rsid w:val="3EDD647A"/>
    <w:rsid w:val="3F111CEF"/>
    <w:rsid w:val="3F123024"/>
    <w:rsid w:val="3F322658"/>
    <w:rsid w:val="3F6947D8"/>
    <w:rsid w:val="3F9C4267"/>
    <w:rsid w:val="3FB53723"/>
    <w:rsid w:val="3FC22361"/>
    <w:rsid w:val="400920A8"/>
    <w:rsid w:val="400A0BC7"/>
    <w:rsid w:val="40532060"/>
    <w:rsid w:val="40585659"/>
    <w:rsid w:val="406446FB"/>
    <w:rsid w:val="40EB48AF"/>
    <w:rsid w:val="40EF645B"/>
    <w:rsid w:val="40F06099"/>
    <w:rsid w:val="40FF67DD"/>
    <w:rsid w:val="412A4EB2"/>
    <w:rsid w:val="415D109C"/>
    <w:rsid w:val="416C6026"/>
    <w:rsid w:val="418D5BB6"/>
    <w:rsid w:val="41B869B8"/>
    <w:rsid w:val="41DA2723"/>
    <w:rsid w:val="41DB2A9B"/>
    <w:rsid w:val="41E443BE"/>
    <w:rsid w:val="41E73ED3"/>
    <w:rsid w:val="41F041F6"/>
    <w:rsid w:val="41F64722"/>
    <w:rsid w:val="420A527D"/>
    <w:rsid w:val="42122149"/>
    <w:rsid w:val="4237099E"/>
    <w:rsid w:val="424706A7"/>
    <w:rsid w:val="426A488F"/>
    <w:rsid w:val="427E1F17"/>
    <w:rsid w:val="42C8352F"/>
    <w:rsid w:val="42E12859"/>
    <w:rsid w:val="431B6C88"/>
    <w:rsid w:val="43211F27"/>
    <w:rsid w:val="432309AC"/>
    <w:rsid w:val="43296D0F"/>
    <w:rsid w:val="43434FEC"/>
    <w:rsid w:val="437A1BF0"/>
    <w:rsid w:val="43877624"/>
    <w:rsid w:val="43AC6B5A"/>
    <w:rsid w:val="43B237DA"/>
    <w:rsid w:val="43CF7490"/>
    <w:rsid w:val="43F66A11"/>
    <w:rsid w:val="440E1D91"/>
    <w:rsid w:val="44542398"/>
    <w:rsid w:val="44843DAD"/>
    <w:rsid w:val="44A80DF9"/>
    <w:rsid w:val="44B13A3F"/>
    <w:rsid w:val="44CA6470"/>
    <w:rsid w:val="44F00B6E"/>
    <w:rsid w:val="45095B9F"/>
    <w:rsid w:val="45A673AE"/>
    <w:rsid w:val="45DB083F"/>
    <w:rsid w:val="45DB408C"/>
    <w:rsid w:val="45DF5D89"/>
    <w:rsid w:val="45E8576C"/>
    <w:rsid w:val="45EA4CC4"/>
    <w:rsid w:val="46274B29"/>
    <w:rsid w:val="463F0F1F"/>
    <w:rsid w:val="46414AF3"/>
    <w:rsid w:val="4668255C"/>
    <w:rsid w:val="46823974"/>
    <w:rsid w:val="46BE496C"/>
    <w:rsid w:val="46E53C65"/>
    <w:rsid w:val="474C147D"/>
    <w:rsid w:val="476D2079"/>
    <w:rsid w:val="478B4D5C"/>
    <w:rsid w:val="47997BB5"/>
    <w:rsid w:val="47A57D35"/>
    <w:rsid w:val="47B26A5A"/>
    <w:rsid w:val="47F34FCF"/>
    <w:rsid w:val="481A0801"/>
    <w:rsid w:val="485523F0"/>
    <w:rsid w:val="487B2C47"/>
    <w:rsid w:val="48894934"/>
    <w:rsid w:val="488B6342"/>
    <w:rsid w:val="488D272B"/>
    <w:rsid w:val="48A56114"/>
    <w:rsid w:val="48F16D90"/>
    <w:rsid w:val="498A5448"/>
    <w:rsid w:val="4A104A88"/>
    <w:rsid w:val="4A216B47"/>
    <w:rsid w:val="4A284CFD"/>
    <w:rsid w:val="4A375BAA"/>
    <w:rsid w:val="4A703D85"/>
    <w:rsid w:val="4A7323A7"/>
    <w:rsid w:val="4AEC59E4"/>
    <w:rsid w:val="4AEE640C"/>
    <w:rsid w:val="4AFD4C7B"/>
    <w:rsid w:val="4B08297C"/>
    <w:rsid w:val="4B234A68"/>
    <w:rsid w:val="4B3667C1"/>
    <w:rsid w:val="4B554F81"/>
    <w:rsid w:val="4B8D0273"/>
    <w:rsid w:val="4BC126E2"/>
    <w:rsid w:val="4BD702E7"/>
    <w:rsid w:val="4BE90FB4"/>
    <w:rsid w:val="4BEC20E3"/>
    <w:rsid w:val="4C196A63"/>
    <w:rsid w:val="4C2A6EF5"/>
    <w:rsid w:val="4C7843AA"/>
    <w:rsid w:val="4C8F302E"/>
    <w:rsid w:val="4CD72FB7"/>
    <w:rsid w:val="4CDC0EB7"/>
    <w:rsid w:val="4CE00331"/>
    <w:rsid w:val="4CF26B7A"/>
    <w:rsid w:val="4D17698C"/>
    <w:rsid w:val="4D3D2422"/>
    <w:rsid w:val="4D5A0123"/>
    <w:rsid w:val="4D653D41"/>
    <w:rsid w:val="4D794717"/>
    <w:rsid w:val="4DA51238"/>
    <w:rsid w:val="4DCA7E75"/>
    <w:rsid w:val="4DEA0FE1"/>
    <w:rsid w:val="4E014703"/>
    <w:rsid w:val="4E2C4007"/>
    <w:rsid w:val="4E505F64"/>
    <w:rsid w:val="4E815E66"/>
    <w:rsid w:val="4EF710A8"/>
    <w:rsid w:val="4F1070FC"/>
    <w:rsid w:val="4F4B05A8"/>
    <w:rsid w:val="4F53402A"/>
    <w:rsid w:val="4FAF07F9"/>
    <w:rsid w:val="50370D76"/>
    <w:rsid w:val="507B33EA"/>
    <w:rsid w:val="50911690"/>
    <w:rsid w:val="50F65069"/>
    <w:rsid w:val="510E1558"/>
    <w:rsid w:val="511238D4"/>
    <w:rsid w:val="512B4AB9"/>
    <w:rsid w:val="514C7363"/>
    <w:rsid w:val="51803E48"/>
    <w:rsid w:val="51A34ED7"/>
    <w:rsid w:val="51C64060"/>
    <w:rsid w:val="51CC1773"/>
    <w:rsid w:val="51DE17D9"/>
    <w:rsid w:val="51DF2492"/>
    <w:rsid w:val="51E314DA"/>
    <w:rsid w:val="51E76C31"/>
    <w:rsid w:val="51F56B1E"/>
    <w:rsid w:val="523D62FF"/>
    <w:rsid w:val="537D469C"/>
    <w:rsid w:val="538945BA"/>
    <w:rsid w:val="539A34D7"/>
    <w:rsid w:val="53B4394C"/>
    <w:rsid w:val="53E800DF"/>
    <w:rsid w:val="53EC2500"/>
    <w:rsid w:val="54324BBD"/>
    <w:rsid w:val="54466608"/>
    <w:rsid w:val="548E3187"/>
    <w:rsid w:val="54962B8B"/>
    <w:rsid w:val="549A4334"/>
    <w:rsid w:val="54CA518B"/>
    <w:rsid w:val="54F66FA9"/>
    <w:rsid w:val="54F84291"/>
    <w:rsid w:val="55007A41"/>
    <w:rsid w:val="551634A5"/>
    <w:rsid w:val="55287CA8"/>
    <w:rsid w:val="559A4FB7"/>
    <w:rsid w:val="55AA0013"/>
    <w:rsid w:val="55BD3804"/>
    <w:rsid w:val="55C448D4"/>
    <w:rsid w:val="55D17BFC"/>
    <w:rsid w:val="55E03AD5"/>
    <w:rsid w:val="562167E1"/>
    <w:rsid w:val="562D56EF"/>
    <w:rsid w:val="56391DCA"/>
    <w:rsid w:val="56423AC9"/>
    <w:rsid w:val="56565F8E"/>
    <w:rsid w:val="566A512A"/>
    <w:rsid w:val="567100BB"/>
    <w:rsid w:val="56892354"/>
    <w:rsid w:val="56B109A1"/>
    <w:rsid w:val="57011DBA"/>
    <w:rsid w:val="57293748"/>
    <w:rsid w:val="575764EB"/>
    <w:rsid w:val="577A0069"/>
    <w:rsid w:val="578219C3"/>
    <w:rsid w:val="57A83A14"/>
    <w:rsid w:val="57A90050"/>
    <w:rsid w:val="57BC4F9D"/>
    <w:rsid w:val="57C11682"/>
    <w:rsid w:val="57CC0EB8"/>
    <w:rsid w:val="58043F47"/>
    <w:rsid w:val="580823FC"/>
    <w:rsid w:val="581B4A6D"/>
    <w:rsid w:val="584E74D1"/>
    <w:rsid w:val="587E04A6"/>
    <w:rsid w:val="58B17683"/>
    <w:rsid w:val="58B907CE"/>
    <w:rsid w:val="58D33114"/>
    <w:rsid w:val="591C5BB6"/>
    <w:rsid w:val="59310F20"/>
    <w:rsid w:val="59432C66"/>
    <w:rsid w:val="5952308F"/>
    <w:rsid w:val="59526959"/>
    <w:rsid w:val="5980489F"/>
    <w:rsid w:val="59A538E7"/>
    <w:rsid w:val="59C22940"/>
    <w:rsid w:val="59EA2CD9"/>
    <w:rsid w:val="5A39041A"/>
    <w:rsid w:val="5A3F5FAF"/>
    <w:rsid w:val="5A432D43"/>
    <w:rsid w:val="5A563893"/>
    <w:rsid w:val="5AC70D29"/>
    <w:rsid w:val="5ACD0A91"/>
    <w:rsid w:val="5B5145BC"/>
    <w:rsid w:val="5B7C6500"/>
    <w:rsid w:val="5BC73AFD"/>
    <w:rsid w:val="5C066BB2"/>
    <w:rsid w:val="5C2D58E6"/>
    <w:rsid w:val="5C372D98"/>
    <w:rsid w:val="5C711D2F"/>
    <w:rsid w:val="5C815359"/>
    <w:rsid w:val="5C9E3FCC"/>
    <w:rsid w:val="5CA11E8A"/>
    <w:rsid w:val="5CAA4C3D"/>
    <w:rsid w:val="5CB07B66"/>
    <w:rsid w:val="5CB906F4"/>
    <w:rsid w:val="5CED1A7A"/>
    <w:rsid w:val="5D2D5741"/>
    <w:rsid w:val="5D7A5B2F"/>
    <w:rsid w:val="5DAC3FA0"/>
    <w:rsid w:val="5E0B5CFE"/>
    <w:rsid w:val="5E6B4649"/>
    <w:rsid w:val="5E7D011C"/>
    <w:rsid w:val="5E872B1F"/>
    <w:rsid w:val="5EDF1CA2"/>
    <w:rsid w:val="5EE04E07"/>
    <w:rsid w:val="5EE57A15"/>
    <w:rsid w:val="5EED1B29"/>
    <w:rsid w:val="5F5D4835"/>
    <w:rsid w:val="5F87025A"/>
    <w:rsid w:val="5F9067A3"/>
    <w:rsid w:val="5FA07AED"/>
    <w:rsid w:val="5FB05CDB"/>
    <w:rsid w:val="5FB61E72"/>
    <w:rsid w:val="5FBA3FF9"/>
    <w:rsid w:val="5FD12D75"/>
    <w:rsid w:val="5FD71210"/>
    <w:rsid w:val="5FE155FF"/>
    <w:rsid w:val="5FE70AB0"/>
    <w:rsid w:val="5FEA65F5"/>
    <w:rsid w:val="5FF376F6"/>
    <w:rsid w:val="600D2EB2"/>
    <w:rsid w:val="6042387F"/>
    <w:rsid w:val="606B5493"/>
    <w:rsid w:val="608B7F32"/>
    <w:rsid w:val="61034BA5"/>
    <w:rsid w:val="610C45CD"/>
    <w:rsid w:val="615C1EA9"/>
    <w:rsid w:val="618E78A1"/>
    <w:rsid w:val="61CD595E"/>
    <w:rsid w:val="61F50435"/>
    <w:rsid w:val="62770119"/>
    <w:rsid w:val="628A41DC"/>
    <w:rsid w:val="62B71088"/>
    <w:rsid w:val="62DD09E9"/>
    <w:rsid w:val="63456615"/>
    <w:rsid w:val="6354550C"/>
    <w:rsid w:val="635856DF"/>
    <w:rsid w:val="636139BC"/>
    <w:rsid w:val="63856EF8"/>
    <w:rsid w:val="63BB6B84"/>
    <w:rsid w:val="63CA0718"/>
    <w:rsid w:val="63E22063"/>
    <w:rsid w:val="645B401F"/>
    <w:rsid w:val="646B49D5"/>
    <w:rsid w:val="64853AA3"/>
    <w:rsid w:val="64944659"/>
    <w:rsid w:val="64B52F53"/>
    <w:rsid w:val="64E61168"/>
    <w:rsid w:val="6507003D"/>
    <w:rsid w:val="652400B9"/>
    <w:rsid w:val="6537177C"/>
    <w:rsid w:val="658C06F5"/>
    <w:rsid w:val="659A68ED"/>
    <w:rsid w:val="65B44AAE"/>
    <w:rsid w:val="65CC248E"/>
    <w:rsid w:val="65D17659"/>
    <w:rsid w:val="65EB4DAD"/>
    <w:rsid w:val="66CD0896"/>
    <w:rsid w:val="673C6884"/>
    <w:rsid w:val="67842F10"/>
    <w:rsid w:val="67BB1F70"/>
    <w:rsid w:val="67C276FB"/>
    <w:rsid w:val="67D03EC5"/>
    <w:rsid w:val="67DF0AC3"/>
    <w:rsid w:val="68030CCD"/>
    <w:rsid w:val="68047B83"/>
    <w:rsid w:val="68145ED0"/>
    <w:rsid w:val="6844375D"/>
    <w:rsid w:val="684A3079"/>
    <w:rsid w:val="68735425"/>
    <w:rsid w:val="68DA1AD3"/>
    <w:rsid w:val="6963589B"/>
    <w:rsid w:val="696A26C8"/>
    <w:rsid w:val="69A52E3C"/>
    <w:rsid w:val="69B144DC"/>
    <w:rsid w:val="69CC2935"/>
    <w:rsid w:val="69DB1854"/>
    <w:rsid w:val="69E631B0"/>
    <w:rsid w:val="69EA1359"/>
    <w:rsid w:val="69F81010"/>
    <w:rsid w:val="6A006040"/>
    <w:rsid w:val="6A015450"/>
    <w:rsid w:val="6A040BE3"/>
    <w:rsid w:val="6A151C40"/>
    <w:rsid w:val="6A3A7047"/>
    <w:rsid w:val="6B06103C"/>
    <w:rsid w:val="6B084C38"/>
    <w:rsid w:val="6B560413"/>
    <w:rsid w:val="6B94583C"/>
    <w:rsid w:val="6BEE250B"/>
    <w:rsid w:val="6BF17E60"/>
    <w:rsid w:val="6C2D3C64"/>
    <w:rsid w:val="6C594AF7"/>
    <w:rsid w:val="6C5E1C3D"/>
    <w:rsid w:val="6CA156F2"/>
    <w:rsid w:val="6CA376C5"/>
    <w:rsid w:val="6CBD0945"/>
    <w:rsid w:val="6D760D35"/>
    <w:rsid w:val="6DA474D8"/>
    <w:rsid w:val="6DC44EDA"/>
    <w:rsid w:val="6DC97648"/>
    <w:rsid w:val="6E1D611F"/>
    <w:rsid w:val="6E4754BA"/>
    <w:rsid w:val="6E6B04F4"/>
    <w:rsid w:val="6E79351A"/>
    <w:rsid w:val="6ED13BBF"/>
    <w:rsid w:val="6F040F00"/>
    <w:rsid w:val="6F23540F"/>
    <w:rsid w:val="6F44343D"/>
    <w:rsid w:val="6F5B4B2E"/>
    <w:rsid w:val="6F842AEE"/>
    <w:rsid w:val="6F850090"/>
    <w:rsid w:val="6FD14068"/>
    <w:rsid w:val="6FD47568"/>
    <w:rsid w:val="6FD91F92"/>
    <w:rsid w:val="6FDC4B5E"/>
    <w:rsid w:val="6FEC6BEC"/>
    <w:rsid w:val="70801156"/>
    <w:rsid w:val="70967C65"/>
    <w:rsid w:val="70A50814"/>
    <w:rsid w:val="70D5734C"/>
    <w:rsid w:val="70E67304"/>
    <w:rsid w:val="70E952FD"/>
    <w:rsid w:val="711A42F2"/>
    <w:rsid w:val="71237795"/>
    <w:rsid w:val="717F547D"/>
    <w:rsid w:val="71A62F79"/>
    <w:rsid w:val="71A73B8F"/>
    <w:rsid w:val="7229148C"/>
    <w:rsid w:val="723A0AD1"/>
    <w:rsid w:val="72451726"/>
    <w:rsid w:val="724D5962"/>
    <w:rsid w:val="72785B36"/>
    <w:rsid w:val="728A51E8"/>
    <w:rsid w:val="72C11C2A"/>
    <w:rsid w:val="72CD7E4D"/>
    <w:rsid w:val="72DB34C4"/>
    <w:rsid w:val="73077798"/>
    <w:rsid w:val="736B37FA"/>
    <w:rsid w:val="738F007E"/>
    <w:rsid w:val="73B96F85"/>
    <w:rsid w:val="73C624BE"/>
    <w:rsid w:val="74214D05"/>
    <w:rsid w:val="74310172"/>
    <w:rsid w:val="747665BC"/>
    <w:rsid w:val="749C2402"/>
    <w:rsid w:val="74A92F89"/>
    <w:rsid w:val="74BA1666"/>
    <w:rsid w:val="74E96819"/>
    <w:rsid w:val="74F21F8B"/>
    <w:rsid w:val="74F33A8C"/>
    <w:rsid w:val="75410DEE"/>
    <w:rsid w:val="75414868"/>
    <w:rsid w:val="756F66AC"/>
    <w:rsid w:val="759454BB"/>
    <w:rsid w:val="759E589A"/>
    <w:rsid w:val="75AA229A"/>
    <w:rsid w:val="75BF7236"/>
    <w:rsid w:val="75C04997"/>
    <w:rsid w:val="75C335B9"/>
    <w:rsid w:val="75C67E4C"/>
    <w:rsid w:val="75DA4F1B"/>
    <w:rsid w:val="75F04518"/>
    <w:rsid w:val="75F45093"/>
    <w:rsid w:val="76814153"/>
    <w:rsid w:val="76992E10"/>
    <w:rsid w:val="76D8044E"/>
    <w:rsid w:val="76F20D2B"/>
    <w:rsid w:val="77261E71"/>
    <w:rsid w:val="77452475"/>
    <w:rsid w:val="77690CCD"/>
    <w:rsid w:val="77886FA2"/>
    <w:rsid w:val="778F680C"/>
    <w:rsid w:val="77A55F74"/>
    <w:rsid w:val="77C2566B"/>
    <w:rsid w:val="77D46579"/>
    <w:rsid w:val="77D4794A"/>
    <w:rsid w:val="77FF044D"/>
    <w:rsid w:val="782E03C8"/>
    <w:rsid w:val="78357D36"/>
    <w:rsid w:val="78961637"/>
    <w:rsid w:val="78A10449"/>
    <w:rsid w:val="78D3687E"/>
    <w:rsid w:val="78F36B4E"/>
    <w:rsid w:val="796230AE"/>
    <w:rsid w:val="796E3428"/>
    <w:rsid w:val="79B82E62"/>
    <w:rsid w:val="79CE2CAA"/>
    <w:rsid w:val="79F8545F"/>
    <w:rsid w:val="7A4B37A6"/>
    <w:rsid w:val="7A650BCD"/>
    <w:rsid w:val="7AB10BAE"/>
    <w:rsid w:val="7AB25C2E"/>
    <w:rsid w:val="7AC562B4"/>
    <w:rsid w:val="7ADC05F0"/>
    <w:rsid w:val="7AF94FE5"/>
    <w:rsid w:val="7B12248F"/>
    <w:rsid w:val="7B206431"/>
    <w:rsid w:val="7B2B06C7"/>
    <w:rsid w:val="7B2B779C"/>
    <w:rsid w:val="7B5F164A"/>
    <w:rsid w:val="7B6D0992"/>
    <w:rsid w:val="7BA3117B"/>
    <w:rsid w:val="7C483429"/>
    <w:rsid w:val="7C49646C"/>
    <w:rsid w:val="7C547083"/>
    <w:rsid w:val="7C783FFA"/>
    <w:rsid w:val="7C817AB4"/>
    <w:rsid w:val="7CAD301A"/>
    <w:rsid w:val="7CD20D26"/>
    <w:rsid w:val="7CEC74B4"/>
    <w:rsid w:val="7CFC3068"/>
    <w:rsid w:val="7D0864A9"/>
    <w:rsid w:val="7D160D5D"/>
    <w:rsid w:val="7D2E5B0F"/>
    <w:rsid w:val="7D3E6E97"/>
    <w:rsid w:val="7DAD22ED"/>
    <w:rsid w:val="7DBB5005"/>
    <w:rsid w:val="7DBD1D05"/>
    <w:rsid w:val="7DEF4E15"/>
    <w:rsid w:val="7E08693A"/>
    <w:rsid w:val="7E0C1293"/>
    <w:rsid w:val="7E346B9D"/>
    <w:rsid w:val="7E830234"/>
    <w:rsid w:val="7E863295"/>
    <w:rsid w:val="7E9465A7"/>
    <w:rsid w:val="7EB40ACA"/>
    <w:rsid w:val="7EB775A1"/>
    <w:rsid w:val="7EB90B65"/>
    <w:rsid w:val="7EBC37CF"/>
    <w:rsid w:val="7EEB3813"/>
    <w:rsid w:val="7F1F7466"/>
    <w:rsid w:val="7F2E698C"/>
    <w:rsid w:val="7F397F15"/>
    <w:rsid w:val="7F4701B2"/>
    <w:rsid w:val="7F50451D"/>
    <w:rsid w:val="7F613D86"/>
    <w:rsid w:val="7F7967DA"/>
    <w:rsid w:val="7FCE5950"/>
    <w:rsid w:val="7FE8071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Franklin Gothic Demi Cond"/>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outlineLvl w:val="0"/>
    </w:pPr>
    <w:rPr>
      <w:rFonts w:eastAsia="华文新魏"/>
      <w:b/>
    </w:rPr>
  </w:style>
  <w:style w:type="paragraph" w:styleId="4">
    <w:name w:val="heading 2"/>
    <w:basedOn w:val="1"/>
    <w:next w:val="1"/>
    <w:link w:val="54"/>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5"/>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5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7"/>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58"/>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59"/>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0"/>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1"/>
    <w:qFormat/>
    <w:uiPriority w:val="0"/>
    <w:pPr>
      <w:keepNext/>
      <w:keepLines/>
      <w:spacing w:before="240" w:after="64" w:line="319" w:lineRule="auto"/>
      <w:outlineLvl w:val="8"/>
    </w:pPr>
    <w:rPr>
      <w:rFonts w:ascii="Arial" w:hAnsi="Arial" w:eastAsia="黑体"/>
      <w:szCs w:val="20"/>
    </w:r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99"/>
    <w:pPr>
      <w:spacing w:after="120"/>
    </w:p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Document Map"/>
    <w:basedOn w:val="1"/>
    <w:link w:val="62"/>
    <w:qFormat/>
    <w:uiPriority w:val="99"/>
    <w:rPr>
      <w:rFonts w:ascii="宋体" w:eastAsia="华文新魏"/>
      <w:sz w:val="18"/>
      <w:szCs w:val="18"/>
    </w:rPr>
  </w:style>
  <w:style w:type="paragraph" w:styleId="15">
    <w:name w:val="annotation text"/>
    <w:basedOn w:val="1"/>
    <w:link w:val="63"/>
    <w:qFormat/>
    <w:uiPriority w:val="0"/>
    <w:pPr>
      <w:jc w:val="left"/>
    </w:pPr>
  </w:style>
  <w:style w:type="paragraph" w:styleId="16">
    <w:name w:val="Body Text Indent"/>
    <w:basedOn w:val="1"/>
    <w:link w:val="65"/>
    <w:qFormat/>
    <w:uiPriority w:val="99"/>
    <w:pPr>
      <w:spacing w:line="200" w:lineRule="exact"/>
      <w:ind w:firstLine="301"/>
    </w:pPr>
    <w:rPr>
      <w:rFonts w:ascii="宋体" w:eastAsia="华文新魏"/>
      <w:spacing w:val="-4"/>
      <w:sz w:val="18"/>
      <w:szCs w:val="20"/>
    </w:rPr>
  </w:style>
  <w:style w:type="paragraph" w:styleId="17">
    <w:name w:val="List 2"/>
    <w:basedOn w:val="1"/>
    <w:qFormat/>
    <w:uiPriority w:val="99"/>
    <w:pPr>
      <w:tabs>
        <w:tab w:val="left" w:pos="0"/>
      </w:tabs>
      <w:spacing w:line="360" w:lineRule="auto"/>
      <w:ind w:left="454"/>
    </w:pPr>
    <w:rPr>
      <w:rFonts w:eastAsia="华文新魏"/>
      <w:sz w:val="24"/>
    </w:rPr>
  </w:style>
  <w:style w:type="paragraph" w:styleId="18">
    <w:name w:val="toc 5"/>
    <w:basedOn w:val="1"/>
    <w:next w:val="1"/>
    <w:qFormat/>
    <w:uiPriority w:val="39"/>
    <w:pPr>
      <w:ind w:left="840"/>
      <w:jc w:val="left"/>
    </w:pPr>
    <w:rPr>
      <w:rFonts w:ascii="等线" w:hAnsi="等线" w:eastAsia="等线"/>
      <w:sz w:val="18"/>
      <w:szCs w:val="18"/>
    </w:rPr>
  </w:style>
  <w:style w:type="paragraph" w:styleId="19">
    <w:name w:val="toc 3"/>
    <w:basedOn w:val="1"/>
    <w:next w:val="1"/>
    <w:qFormat/>
    <w:uiPriority w:val="39"/>
    <w:pPr>
      <w:ind w:left="400" w:leftChars="400"/>
    </w:pPr>
    <w:rPr>
      <w:rFonts w:eastAsia="华文新魏"/>
    </w:rPr>
  </w:style>
  <w:style w:type="paragraph" w:styleId="20">
    <w:name w:val="Plain Text"/>
    <w:basedOn w:val="1"/>
    <w:next w:val="1"/>
    <w:link w:val="66"/>
    <w:qFormat/>
    <w:uiPriority w:val="0"/>
    <w:rPr>
      <w:rFonts w:ascii="宋体"/>
      <w:kern w:val="0"/>
      <w:sz w:val="20"/>
      <w:szCs w:val="20"/>
    </w:rPr>
  </w:style>
  <w:style w:type="paragraph" w:styleId="21">
    <w:name w:val="toc 8"/>
    <w:basedOn w:val="1"/>
    <w:next w:val="1"/>
    <w:qFormat/>
    <w:uiPriority w:val="39"/>
    <w:pPr>
      <w:ind w:left="1470"/>
      <w:jc w:val="left"/>
    </w:pPr>
    <w:rPr>
      <w:rFonts w:ascii="等线" w:hAnsi="等线" w:eastAsia="等线"/>
      <w:sz w:val="18"/>
      <w:szCs w:val="18"/>
    </w:rPr>
  </w:style>
  <w:style w:type="paragraph" w:styleId="22">
    <w:name w:val="Date"/>
    <w:basedOn w:val="1"/>
    <w:next w:val="1"/>
    <w:link w:val="67"/>
    <w:qFormat/>
    <w:uiPriority w:val="99"/>
    <w:pPr>
      <w:ind w:left="2500" w:leftChars="2500"/>
    </w:pPr>
    <w:rPr>
      <w:rFonts w:ascii="宋体" w:eastAsia="华文新魏"/>
      <w:bCs/>
      <w:sz w:val="24"/>
      <w:szCs w:val="20"/>
    </w:rPr>
  </w:style>
  <w:style w:type="paragraph" w:styleId="23">
    <w:name w:val="Body Text Indent 2"/>
    <w:basedOn w:val="1"/>
    <w:link w:val="68"/>
    <w:qFormat/>
    <w:uiPriority w:val="0"/>
    <w:pPr>
      <w:ind w:firstLine="196" w:firstLineChars="196"/>
    </w:pPr>
    <w:rPr>
      <w:rFonts w:eastAsia="华文新魏"/>
    </w:rPr>
  </w:style>
  <w:style w:type="paragraph" w:styleId="24">
    <w:name w:val="Balloon Text"/>
    <w:basedOn w:val="1"/>
    <w:link w:val="69"/>
    <w:qFormat/>
    <w:uiPriority w:val="99"/>
    <w:rPr>
      <w:rFonts w:eastAsia="华文新魏"/>
      <w:sz w:val="18"/>
      <w:szCs w:val="18"/>
    </w:rPr>
  </w:style>
  <w:style w:type="paragraph" w:styleId="25">
    <w:name w:val="footer"/>
    <w:basedOn w:val="1"/>
    <w:link w:val="70"/>
    <w:qFormat/>
    <w:uiPriority w:val="99"/>
    <w:pPr>
      <w:tabs>
        <w:tab w:val="center" w:pos="4153"/>
        <w:tab w:val="right" w:pos="8306"/>
      </w:tabs>
      <w:snapToGrid w:val="0"/>
      <w:jc w:val="left"/>
    </w:pPr>
    <w:rPr>
      <w:rFonts w:ascii="宋体"/>
      <w:kern w:val="0"/>
      <w:sz w:val="18"/>
      <w:szCs w:val="20"/>
    </w:rPr>
  </w:style>
  <w:style w:type="paragraph" w:styleId="26">
    <w:name w:val="header"/>
    <w:basedOn w:val="1"/>
    <w:link w:val="71"/>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7">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28">
    <w:name w:val="toc 4"/>
    <w:basedOn w:val="1"/>
    <w:next w:val="1"/>
    <w:qFormat/>
    <w:uiPriority w:val="39"/>
    <w:pPr>
      <w:ind w:left="630"/>
      <w:jc w:val="left"/>
    </w:pPr>
    <w:rPr>
      <w:rFonts w:ascii="等线" w:hAnsi="等线" w:eastAsia="等线"/>
      <w:sz w:val="18"/>
      <w:szCs w:val="18"/>
    </w:rPr>
  </w:style>
  <w:style w:type="paragraph" w:styleId="29">
    <w:name w:val="footnote text"/>
    <w:basedOn w:val="1"/>
    <w:link w:val="183"/>
    <w:unhideWhenUsed/>
    <w:qFormat/>
    <w:locked/>
    <w:uiPriority w:val="99"/>
    <w:pPr>
      <w:snapToGrid w:val="0"/>
      <w:jc w:val="left"/>
    </w:pPr>
    <w:rPr>
      <w:rFonts w:ascii="Calibri" w:hAnsi="Calibri"/>
      <w:sz w:val="18"/>
      <w:szCs w:val="18"/>
    </w:rPr>
  </w:style>
  <w:style w:type="paragraph" w:styleId="30">
    <w:name w:val="toc 6"/>
    <w:basedOn w:val="1"/>
    <w:next w:val="1"/>
    <w:qFormat/>
    <w:uiPriority w:val="39"/>
    <w:pPr>
      <w:ind w:left="1050"/>
      <w:jc w:val="left"/>
    </w:pPr>
    <w:rPr>
      <w:rFonts w:ascii="等线" w:hAnsi="等线" w:eastAsia="等线"/>
      <w:sz w:val="18"/>
      <w:szCs w:val="18"/>
    </w:rPr>
  </w:style>
  <w:style w:type="paragraph" w:styleId="31">
    <w:name w:val="Body Text Indent 3"/>
    <w:basedOn w:val="1"/>
    <w:link w:val="72"/>
    <w:qFormat/>
    <w:uiPriority w:val="99"/>
    <w:pPr>
      <w:spacing w:after="120"/>
      <w:ind w:left="200" w:leftChars="200"/>
    </w:pPr>
    <w:rPr>
      <w:rFonts w:eastAsia="华文新魏"/>
      <w:sz w:val="16"/>
      <w:szCs w:val="16"/>
    </w:rPr>
  </w:style>
  <w:style w:type="paragraph" w:styleId="32">
    <w:name w:val="toc 2"/>
    <w:basedOn w:val="1"/>
    <w:next w:val="1"/>
    <w:qFormat/>
    <w:uiPriority w:val="39"/>
    <w:rPr>
      <w:rFonts w:ascii="宋体" w:eastAsia="华文新魏" w:cs="Arial"/>
      <w:b/>
      <w:szCs w:val="21"/>
    </w:rPr>
  </w:style>
  <w:style w:type="paragraph" w:styleId="33">
    <w:name w:val="toc 9"/>
    <w:basedOn w:val="1"/>
    <w:next w:val="1"/>
    <w:qFormat/>
    <w:uiPriority w:val="39"/>
    <w:pPr>
      <w:ind w:left="1600" w:leftChars="1600"/>
    </w:pPr>
    <w:rPr>
      <w:rFonts w:eastAsia="华文新魏"/>
    </w:rPr>
  </w:style>
  <w:style w:type="paragraph" w:styleId="34">
    <w:name w:val="Body Text 2"/>
    <w:basedOn w:val="1"/>
    <w:link w:val="73"/>
    <w:qFormat/>
    <w:uiPriority w:val="99"/>
    <w:pPr>
      <w:spacing w:after="120" w:line="480" w:lineRule="auto"/>
    </w:pPr>
    <w:rPr>
      <w:rFonts w:eastAsia="华文新魏"/>
    </w:rPr>
  </w:style>
  <w:style w:type="paragraph" w:styleId="35">
    <w:name w:val="List 4"/>
    <w:basedOn w:val="1"/>
    <w:qFormat/>
    <w:uiPriority w:val="99"/>
    <w:pPr>
      <w:tabs>
        <w:tab w:val="left" w:pos="0"/>
      </w:tabs>
      <w:adjustRightInd w:val="0"/>
      <w:snapToGrid w:val="0"/>
      <w:spacing w:line="360" w:lineRule="auto"/>
      <w:ind w:left="1361"/>
    </w:pPr>
    <w:rPr>
      <w:rFonts w:eastAsia="华文新魏"/>
      <w:sz w:val="24"/>
    </w:rPr>
  </w:style>
  <w:style w:type="paragraph" w:styleId="36">
    <w:name w:val="HTML Preformatted"/>
    <w:basedOn w:val="1"/>
    <w:link w:val="7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7">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38">
    <w:name w:val="index 1"/>
    <w:basedOn w:val="1"/>
    <w:next w:val="1"/>
    <w:qFormat/>
    <w:uiPriority w:val="99"/>
    <w:pPr>
      <w:spacing w:line="360" w:lineRule="auto"/>
    </w:pPr>
    <w:rPr>
      <w:rFonts w:ascii="宋体" w:eastAsia="华文新魏"/>
      <w:bCs/>
      <w:szCs w:val="21"/>
    </w:rPr>
  </w:style>
  <w:style w:type="paragraph" w:styleId="39">
    <w:name w:val="Title"/>
    <w:basedOn w:val="1"/>
    <w:link w:val="75"/>
    <w:qFormat/>
    <w:uiPriority w:val="0"/>
    <w:pPr>
      <w:spacing w:before="240" w:after="60"/>
      <w:jc w:val="center"/>
      <w:outlineLvl w:val="0"/>
    </w:pPr>
    <w:rPr>
      <w:rFonts w:ascii="Arial" w:hAnsi="Arial" w:eastAsia="华文新魏"/>
      <w:b/>
      <w:bCs/>
      <w:sz w:val="32"/>
      <w:szCs w:val="32"/>
    </w:rPr>
  </w:style>
  <w:style w:type="paragraph" w:styleId="40">
    <w:name w:val="annotation subject"/>
    <w:basedOn w:val="15"/>
    <w:next w:val="15"/>
    <w:link w:val="76"/>
    <w:qFormat/>
    <w:uiPriority w:val="99"/>
    <w:rPr>
      <w:rFonts w:eastAsia="华文新魏"/>
      <w:b/>
      <w:bCs/>
    </w:rPr>
  </w:style>
  <w:style w:type="paragraph" w:styleId="41">
    <w:name w:val="Body Text First Indent"/>
    <w:basedOn w:val="2"/>
    <w:link w:val="77"/>
    <w:qFormat/>
    <w:uiPriority w:val="99"/>
    <w:pPr>
      <w:ind w:firstLine="100" w:firstLineChars="100"/>
    </w:pPr>
  </w:style>
  <w:style w:type="character" w:styleId="44">
    <w:name w:val="Strong"/>
    <w:basedOn w:val="43"/>
    <w:qFormat/>
    <w:uiPriority w:val="99"/>
    <w:rPr>
      <w:rFonts w:ascii="Times New Roman" w:hAnsi="Times New Roman" w:eastAsia="华文新魏" w:cs="Times New Roman"/>
      <w:b/>
    </w:rPr>
  </w:style>
  <w:style w:type="character" w:styleId="45">
    <w:name w:val="page number"/>
    <w:basedOn w:val="43"/>
    <w:qFormat/>
    <w:uiPriority w:val="0"/>
    <w:rPr>
      <w:rFonts w:ascii="Times New Roman" w:hAnsi="Times New Roman" w:eastAsia="华文新魏" w:cs="Times New Roman"/>
    </w:rPr>
  </w:style>
  <w:style w:type="character" w:styleId="46">
    <w:name w:val="FollowedHyperlink"/>
    <w:basedOn w:val="43"/>
    <w:qFormat/>
    <w:uiPriority w:val="99"/>
    <w:rPr>
      <w:rFonts w:ascii="Times New Roman" w:hAnsi="Times New Roman" w:eastAsia="华文新魏" w:cs="Times New Roman"/>
      <w:color w:val="800080"/>
      <w:u w:val="single"/>
    </w:rPr>
  </w:style>
  <w:style w:type="character" w:styleId="47">
    <w:name w:val="Emphasis"/>
    <w:qFormat/>
    <w:uiPriority w:val="20"/>
    <w:rPr>
      <w:color w:val="CC0000"/>
    </w:rPr>
  </w:style>
  <w:style w:type="character" w:styleId="48">
    <w:name w:val="line number"/>
    <w:basedOn w:val="43"/>
    <w:qFormat/>
    <w:uiPriority w:val="99"/>
    <w:rPr>
      <w:rFonts w:ascii="Times New Roman" w:hAnsi="Times New Roman" w:eastAsia="华文新魏" w:cs="Times New Roman"/>
    </w:rPr>
  </w:style>
  <w:style w:type="character" w:styleId="49">
    <w:name w:val="Hyperlink"/>
    <w:basedOn w:val="43"/>
    <w:qFormat/>
    <w:uiPriority w:val="99"/>
    <w:rPr>
      <w:rFonts w:ascii="Times New Roman" w:hAnsi="Times New Roman" w:eastAsia="华文新魏" w:cs="Times New Roman"/>
      <w:color w:val="0000FF"/>
      <w:u w:val="single"/>
    </w:rPr>
  </w:style>
  <w:style w:type="character" w:styleId="50">
    <w:name w:val="annotation reference"/>
    <w:basedOn w:val="43"/>
    <w:qFormat/>
    <w:uiPriority w:val="99"/>
    <w:rPr>
      <w:rFonts w:ascii="Times New Roman" w:hAnsi="Times New Roman" w:eastAsia="华文新魏" w:cs="Times New Roman"/>
      <w:sz w:val="21"/>
    </w:rPr>
  </w:style>
  <w:style w:type="character" w:styleId="51">
    <w:name w:val="footnote reference"/>
    <w:unhideWhenUsed/>
    <w:qFormat/>
    <w:locked/>
    <w:uiPriority w:val="99"/>
    <w:rPr>
      <w:vertAlign w:val="superscript"/>
    </w:rPr>
  </w:style>
  <w:style w:type="paragraph" w:customStyle="1" w:styleId="52">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53">
    <w:name w:val="标题 1 Char"/>
    <w:basedOn w:val="43"/>
    <w:link w:val="3"/>
    <w:qFormat/>
    <w:locked/>
    <w:uiPriority w:val="99"/>
    <w:rPr>
      <w:rFonts w:ascii="Times New Roman" w:hAnsi="Times New Roman" w:eastAsia="华文新魏" w:cs="Times New Roman"/>
      <w:b/>
      <w:sz w:val="24"/>
      <w:szCs w:val="24"/>
    </w:rPr>
  </w:style>
  <w:style w:type="character" w:customStyle="1" w:styleId="54">
    <w:name w:val="标题 2 Char"/>
    <w:basedOn w:val="43"/>
    <w:link w:val="4"/>
    <w:qFormat/>
    <w:locked/>
    <w:uiPriority w:val="99"/>
    <w:rPr>
      <w:rFonts w:ascii="Arial" w:hAnsi="Arial" w:eastAsia="黑体" w:cs="Times New Roman"/>
      <w:b/>
      <w:kern w:val="0"/>
      <w:sz w:val="20"/>
      <w:szCs w:val="20"/>
    </w:rPr>
  </w:style>
  <w:style w:type="character" w:customStyle="1" w:styleId="55">
    <w:name w:val="标题 3 Char"/>
    <w:basedOn w:val="43"/>
    <w:link w:val="5"/>
    <w:qFormat/>
    <w:locked/>
    <w:uiPriority w:val="99"/>
    <w:rPr>
      <w:rFonts w:ascii="Times New Roman" w:hAnsi="Times New Roman" w:eastAsia="华文新魏" w:cs="Times New Roman"/>
      <w:b/>
      <w:bCs/>
      <w:sz w:val="32"/>
      <w:szCs w:val="32"/>
    </w:rPr>
  </w:style>
  <w:style w:type="character" w:customStyle="1" w:styleId="56">
    <w:name w:val="标题 4 Char"/>
    <w:basedOn w:val="43"/>
    <w:link w:val="6"/>
    <w:qFormat/>
    <w:locked/>
    <w:uiPriority w:val="99"/>
    <w:rPr>
      <w:rFonts w:ascii="Arial" w:hAnsi="Arial" w:eastAsia="黑体" w:cs="Times New Roman"/>
      <w:b/>
      <w:bCs/>
      <w:sz w:val="28"/>
      <w:szCs w:val="28"/>
    </w:rPr>
  </w:style>
  <w:style w:type="character" w:customStyle="1" w:styleId="57">
    <w:name w:val="标题 5 Char"/>
    <w:basedOn w:val="43"/>
    <w:link w:val="7"/>
    <w:qFormat/>
    <w:locked/>
    <w:uiPriority w:val="99"/>
    <w:rPr>
      <w:rFonts w:ascii="Times New Roman" w:hAnsi="Times New Roman" w:eastAsia="华文新魏" w:cs="Times New Roman"/>
      <w:b/>
      <w:sz w:val="20"/>
      <w:szCs w:val="20"/>
    </w:rPr>
  </w:style>
  <w:style w:type="character" w:customStyle="1" w:styleId="58">
    <w:name w:val="标题 6 Char"/>
    <w:basedOn w:val="43"/>
    <w:link w:val="9"/>
    <w:qFormat/>
    <w:locked/>
    <w:uiPriority w:val="99"/>
    <w:rPr>
      <w:rFonts w:ascii="Arial" w:hAnsi="Arial" w:eastAsia="黑体" w:cs="Times New Roman"/>
      <w:b/>
      <w:sz w:val="20"/>
      <w:szCs w:val="20"/>
    </w:rPr>
  </w:style>
  <w:style w:type="character" w:customStyle="1" w:styleId="59">
    <w:name w:val="标题 7 Char"/>
    <w:basedOn w:val="43"/>
    <w:link w:val="10"/>
    <w:qFormat/>
    <w:locked/>
    <w:uiPriority w:val="99"/>
    <w:rPr>
      <w:rFonts w:ascii="Times New Roman" w:hAnsi="Times New Roman" w:eastAsia="华文新魏" w:cs="Times New Roman"/>
      <w:b/>
      <w:sz w:val="20"/>
      <w:szCs w:val="20"/>
    </w:rPr>
  </w:style>
  <w:style w:type="character" w:customStyle="1" w:styleId="60">
    <w:name w:val="标题 8 Char"/>
    <w:basedOn w:val="43"/>
    <w:link w:val="11"/>
    <w:qFormat/>
    <w:locked/>
    <w:uiPriority w:val="99"/>
    <w:rPr>
      <w:rFonts w:ascii="Arial" w:hAnsi="Arial" w:eastAsia="黑体" w:cs="Times New Roman"/>
      <w:sz w:val="20"/>
      <w:szCs w:val="20"/>
    </w:rPr>
  </w:style>
  <w:style w:type="character" w:customStyle="1" w:styleId="61">
    <w:name w:val="标题 9 Char"/>
    <w:basedOn w:val="43"/>
    <w:link w:val="12"/>
    <w:qFormat/>
    <w:locked/>
    <w:uiPriority w:val="99"/>
    <w:rPr>
      <w:rFonts w:ascii="Arial" w:hAnsi="Arial" w:eastAsia="黑体" w:cs="Times New Roman"/>
      <w:sz w:val="20"/>
      <w:szCs w:val="20"/>
    </w:rPr>
  </w:style>
  <w:style w:type="character" w:customStyle="1" w:styleId="62">
    <w:name w:val="文档结构图 Char"/>
    <w:basedOn w:val="43"/>
    <w:link w:val="14"/>
    <w:qFormat/>
    <w:locked/>
    <w:uiPriority w:val="99"/>
    <w:rPr>
      <w:rFonts w:ascii="宋体" w:hAnsi="Times New Roman" w:eastAsia="华文新魏" w:cs="Times New Roman"/>
      <w:sz w:val="18"/>
      <w:szCs w:val="18"/>
    </w:rPr>
  </w:style>
  <w:style w:type="character" w:customStyle="1" w:styleId="63">
    <w:name w:val="批注文字 Char1"/>
    <w:basedOn w:val="43"/>
    <w:link w:val="15"/>
    <w:semiHidden/>
    <w:qFormat/>
    <w:locked/>
    <w:uiPriority w:val="99"/>
    <w:rPr>
      <w:rFonts w:ascii="Times New Roman" w:hAnsi="Times New Roman" w:eastAsia="宋体" w:cs="Times New Roman"/>
      <w:sz w:val="24"/>
      <w:szCs w:val="24"/>
    </w:rPr>
  </w:style>
  <w:style w:type="character" w:customStyle="1" w:styleId="64">
    <w:name w:val="正文文本 Char"/>
    <w:basedOn w:val="43"/>
    <w:link w:val="2"/>
    <w:semiHidden/>
    <w:qFormat/>
    <w:locked/>
    <w:uiPriority w:val="99"/>
    <w:rPr>
      <w:rFonts w:ascii="Times New Roman" w:hAnsi="Times New Roman" w:eastAsia="宋体" w:cs="Times New Roman"/>
      <w:sz w:val="24"/>
      <w:szCs w:val="24"/>
    </w:rPr>
  </w:style>
  <w:style w:type="character" w:customStyle="1" w:styleId="65">
    <w:name w:val="正文文本缩进 Char"/>
    <w:basedOn w:val="43"/>
    <w:link w:val="16"/>
    <w:qFormat/>
    <w:locked/>
    <w:uiPriority w:val="99"/>
    <w:rPr>
      <w:rFonts w:ascii="宋体" w:hAnsi="Times New Roman" w:eastAsia="华文新魏" w:cs="Times New Roman"/>
      <w:spacing w:val="-4"/>
      <w:sz w:val="20"/>
      <w:szCs w:val="20"/>
    </w:rPr>
  </w:style>
  <w:style w:type="character" w:customStyle="1" w:styleId="66">
    <w:name w:val="纯文本 Char"/>
    <w:basedOn w:val="43"/>
    <w:link w:val="20"/>
    <w:qFormat/>
    <w:locked/>
    <w:uiPriority w:val="99"/>
    <w:rPr>
      <w:rFonts w:ascii="宋体" w:hAnsi="Times New Roman" w:eastAsia="宋体" w:cs="Times New Roman"/>
    </w:rPr>
  </w:style>
  <w:style w:type="character" w:customStyle="1" w:styleId="67">
    <w:name w:val="日期 Char"/>
    <w:basedOn w:val="43"/>
    <w:link w:val="22"/>
    <w:qFormat/>
    <w:locked/>
    <w:uiPriority w:val="99"/>
    <w:rPr>
      <w:rFonts w:ascii="宋体" w:hAnsi="Times New Roman" w:eastAsia="华文新魏" w:cs="Times New Roman"/>
      <w:bCs/>
      <w:sz w:val="20"/>
      <w:szCs w:val="20"/>
    </w:rPr>
  </w:style>
  <w:style w:type="character" w:customStyle="1" w:styleId="68">
    <w:name w:val="正文文本缩进 2 Char"/>
    <w:basedOn w:val="43"/>
    <w:link w:val="23"/>
    <w:qFormat/>
    <w:locked/>
    <w:uiPriority w:val="99"/>
    <w:rPr>
      <w:rFonts w:ascii="Times New Roman" w:hAnsi="Times New Roman" w:eastAsia="华文新魏" w:cs="Times New Roman"/>
      <w:sz w:val="24"/>
      <w:szCs w:val="24"/>
    </w:rPr>
  </w:style>
  <w:style w:type="character" w:customStyle="1" w:styleId="69">
    <w:name w:val="批注框文本 Char"/>
    <w:basedOn w:val="43"/>
    <w:link w:val="24"/>
    <w:qFormat/>
    <w:locked/>
    <w:uiPriority w:val="99"/>
    <w:rPr>
      <w:rFonts w:ascii="Times New Roman" w:hAnsi="Times New Roman" w:eastAsia="华文新魏" w:cs="Times New Roman"/>
      <w:sz w:val="18"/>
      <w:szCs w:val="18"/>
    </w:rPr>
  </w:style>
  <w:style w:type="character" w:customStyle="1" w:styleId="70">
    <w:name w:val="页脚 Char"/>
    <w:basedOn w:val="43"/>
    <w:link w:val="25"/>
    <w:qFormat/>
    <w:locked/>
    <w:uiPriority w:val="99"/>
    <w:rPr>
      <w:rFonts w:ascii="宋体" w:hAnsi="Times New Roman" w:eastAsia="宋体" w:cs="Times New Roman"/>
      <w:sz w:val="18"/>
    </w:rPr>
  </w:style>
  <w:style w:type="character" w:customStyle="1" w:styleId="71">
    <w:name w:val="页眉 Char"/>
    <w:basedOn w:val="43"/>
    <w:link w:val="26"/>
    <w:qFormat/>
    <w:locked/>
    <w:uiPriority w:val="99"/>
    <w:rPr>
      <w:rFonts w:ascii="宋体" w:hAnsi="Times New Roman" w:eastAsia="华文新魏" w:cs="Times New Roman"/>
      <w:sz w:val="20"/>
      <w:szCs w:val="20"/>
    </w:rPr>
  </w:style>
  <w:style w:type="character" w:customStyle="1" w:styleId="72">
    <w:name w:val="正文文本缩进 3 Char"/>
    <w:basedOn w:val="43"/>
    <w:link w:val="31"/>
    <w:qFormat/>
    <w:locked/>
    <w:uiPriority w:val="99"/>
    <w:rPr>
      <w:rFonts w:ascii="Times New Roman" w:hAnsi="Times New Roman" w:eastAsia="华文新魏" w:cs="Times New Roman"/>
      <w:sz w:val="16"/>
      <w:szCs w:val="16"/>
    </w:rPr>
  </w:style>
  <w:style w:type="character" w:customStyle="1" w:styleId="73">
    <w:name w:val="正文文本 2 Char"/>
    <w:basedOn w:val="43"/>
    <w:link w:val="34"/>
    <w:qFormat/>
    <w:locked/>
    <w:uiPriority w:val="99"/>
    <w:rPr>
      <w:rFonts w:ascii="Times New Roman" w:hAnsi="Times New Roman" w:eastAsia="华文新魏" w:cs="Times New Roman"/>
      <w:sz w:val="24"/>
      <w:szCs w:val="24"/>
    </w:rPr>
  </w:style>
  <w:style w:type="character" w:customStyle="1" w:styleId="74">
    <w:name w:val="HTML 预设格式 Char"/>
    <w:basedOn w:val="43"/>
    <w:link w:val="36"/>
    <w:qFormat/>
    <w:locked/>
    <w:uiPriority w:val="99"/>
    <w:rPr>
      <w:rFonts w:ascii="Arial" w:hAnsi="Arial" w:eastAsia="华文新魏" w:cs="Arial"/>
      <w:kern w:val="0"/>
      <w:sz w:val="21"/>
      <w:szCs w:val="21"/>
    </w:rPr>
  </w:style>
  <w:style w:type="character" w:customStyle="1" w:styleId="75">
    <w:name w:val="标题 Char"/>
    <w:basedOn w:val="43"/>
    <w:link w:val="39"/>
    <w:qFormat/>
    <w:locked/>
    <w:uiPriority w:val="99"/>
    <w:rPr>
      <w:rFonts w:ascii="Arial" w:hAnsi="Arial" w:eastAsia="华文新魏" w:cs="Times New Roman"/>
      <w:b/>
      <w:bCs/>
      <w:sz w:val="32"/>
      <w:szCs w:val="32"/>
    </w:rPr>
  </w:style>
  <w:style w:type="character" w:customStyle="1" w:styleId="76">
    <w:name w:val="批注主题 Char"/>
    <w:basedOn w:val="63"/>
    <w:link w:val="40"/>
    <w:qFormat/>
    <w:locked/>
    <w:uiPriority w:val="99"/>
    <w:rPr>
      <w:rFonts w:eastAsia="华文新魏"/>
      <w:b/>
      <w:bCs/>
    </w:rPr>
  </w:style>
  <w:style w:type="character" w:customStyle="1" w:styleId="77">
    <w:name w:val="正文首行缩进 Char"/>
    <w:basedOn w:val="64"/>
    <w:link w:val="41"/>
    <w:qFormat/>
    <w:locked/>
    <w:uiPriority w:val="99"/>
  </w:style>
  <w:style w:type="character" w:customStyle="1" w:styleId="78">
    <w:name w:val="marklong"/>
    <w:qFormat/>
    <w:uiPriority w:val="99"/>
    <w:rPr>
      <w:rFonts w:ascii="Times New Roman" w:hAnsi="Times New Roman" w:eastAsia="华文新魏"/>
    </w:rPr>
  </w:style>
  <w:style w:type="character" w:customStyle="1" w:styleId="79">
    <w:name w:val="批注文字 Char"/>
    <w:qFormat/>
    <w:uiPriority w:val="0"/>
    <w:rPr>
      <w:rFonts w:ascii="Times New Roman" w:hAnsi="Times New Roman" w:eastAsia="宋体"/>
      <w:kern w:val="2"/>
      <w:sz w:val="24"/>
    </w:rPr>
  </w:style>
  <w:style w:type="character" w:customStyle="1" w:styleId="80">
    <w:name w:val="zi1"/>
    <w:qFormat/>
    <w:uiPriority w:val="99"/>
    <w:rPr>
      <w:rFonts w:ascii="??" w:hAnsi="??" w:eastAsia="华文新魏"/>
      <w:color w:val="000000"/>
      <w:sz w:val="22"/>
      <w:u w:val="none"/>
    </w:rPr>
  </w:style>
  <w:style w:type="character" w:customStyle="1" w:styleId="81">
    <w:name w:val="main141"/>
    <w:qFormat/>
    <w:uiPriority w:val="99"/>
    <w:rPr>
      <w:rFonts w:ascii="Times New Roman" w:hAnsi="Times New Roman" w:eastAsia="华文新魏"/>
      <w:sz w:val="21"/>
    </w:rPr>
  </w:style>
  <w:style w:type="character" w:customStyle="1" w:styleId="82">
    <w:name w:val="huei12b1"/>
    <w:qFormat/>
    <w:uiPriority w:val="99"/>
    <w:rPr>
      <w:rFonts w:ascii="Times New Roman" w:hAnsi="Times New Roman" w:eastAsia="华文新魏"/>
      <w:b/>
      <w:color w:val="333333"/>
      <w:sz w:val="18"/>
    </w:rPr>
  </w:style>
  <w:style w:type="character" w:customStyle="1" w:styleId="83">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4">
    <w:name w:val="纯文本 字符1"/>
    <w:qFormat/>
    <w:uiPriority w:val="99"/>
    <w:rPr>
      <w:rFonts w:ascii="宋体" w:hAnsi="Times New Roman" w:eastAsia="宋体"/>
      <w:sz w:val="21"/>
    </w:rPr>
  </w:style>
  <w:style w:type="character" w:customStyle="1" w:styleId="85">
    <w:name w:val="小标题 Char"/>
    <w:qFormat/>
    <w:uiPriority w:val="99"/>
    <w:rPr>
      <w:rFonts w:ascii="Times New Roman" w:hAnsi="Times New Roman" w:eastAsia="华文新魏"/>
      <w:b/>
      <w:kern w:val="2"/>
      <w:sz w:val="32"/>
    </w:rPr>
  </w:style>
  <w:style w:type="character" w:customStyle="1" w:styleId="86">
    <w:name w:val="px141"/>
    <w:qFormat/>
    <w:uiPriority w:val="99"/>
    <w:rPr>
      <w:rFonts w:ascii="Times New Roman" w:hAnsi="Times New Roman" w:eastAsia="华文新魏"/>
      <w:sz w:val="21"/>
    </w:rPr>
  </w:style>
  <w:style w:type="character" w:customStyle="1" w:styleId="87">
    <w:name w:val="普通文字 Char Char2"/>
    <w:qFormat/>
    <w:uiPriority w:val="99"/>
    <w:rPr>
      <w:rFonts w:ascii="宋体" w:hAnsi="Times New Roman" w:eastAsia="宋体"/>
      <w:sz w:val="21"/>
    </w:rPr>
  </w:style>
  <w:style w:type="character" w:customStyle="1" w:styleId="88">
    <w:name w:val="price7"/>
    <w:qFormat/>
    <w:uiPriority w:val="99"/>
    <w:rPr>
      <w:rFonts w:ascii="Times New Roman" w:hAnsi="Times New Roman" w:eastAsia="华文新魏"/>
      <w:color w:val="CC0000"/>
    </w:rPr>
  </w:style>
  <w:style w:type="character" w:customStyle="1" w:styleId="89">
    <w:name w:val="纯文本 Char1"/>
    <w:qFormat/>
    <w:uiPriority w:val="0"/>
    <w:rPr>
      <w:rFonts w:ascii="宋体" w:hAnsi="Times New Roman" w:eastAsia="宋体"/>
      <w:sz w:val="20"/>
    </w:rPr>
  </w:style>
  <w:style w:type="character" w:customStyle="1" w:styleId="90">
    <w:name w:val="纯文本 Char2"/>
    <w:qFormat/>
    <w:uiPriority w:val="0"/>
    <w:rPr>
      <w:rFonts w:ascii="宋体" w:hAnsi="Times New Roman" w:eastAsia="宋体"/>
      <w:kern w:val="2"/>
      <w:sz w:val="21"/>
      <w:lang w:val="en-US" w:eastAsia="zh-CN"/>
    </w:rPr>
  </w:style>
  <w:style w:type="character" w:customStyle="1" w:styleId="91">
    <w:name w:val="paramname3"/>
    <w:qFormat/>
    <w:uiPriority w:val="99"/>
    <w:rPr>
      <w:rFonts w:ascii="Times New Roman" w:hAnsi="Times New Roman" w:eastAsia="华文新魏"/>
    </w:rPr>
  </w:style>
  <w:style w:type="character" w:customStyle="1" w:styleId="92">
    <w:name w:val="h"/>
    <w:qFormat/>
    <w:uiPriority w:val="99"/>
    <w:rPr>
      <w:rFonts w:ascii="Times New Roman" w:hAnsi="Times New Roman" w:eastAsia="华文新魏"/>
    </w:rPr>
  </w:style>
  <w:style w:type="character" w:customStyle="1" w:styleId="93">
    <w:name w:val="style2"/>
    <w:qFormat/>
    <w:uiPriority w:val="99"/>
    <w:rPr>
      <w:rFonts w:ascii="Times New Roman" w:hAnsi="Times New Roman" w:eastAsia="华文新魏"/>
    </w:rPr>
  </w:style>
  <w:style w:type="character" w:customStyle="1" w:styleId="94">
    <w:name w:val="标题 4 Char2"/>
    <w:qFormat/>
    <w:uiPriority w:val="99"/>
    <w:rPr>
      <w:rFonts w:ascii="Arial" w:hAnsi="Arial" w:eastAsia="黑体"/>
      <w:sz w:val="28"/>
    </w:rPr>
  </w:style>
  <w:style w:type="character" w:customStyle="1" w:styleId="95">
    <w:name w:val="font01"/>
    <w:qFormat/>
    <w:uiPriority w:val="99"/>
    <w:rPr>
      <w:rFonts w:ascii="宋体" w:hAnsi="Times New Roman" w:eastAsia="宋体"/>
      <w:color w:val="000000"/>
      <w:sz w:val="20"/>
      <w:u w:val="none"/>
    </w:rPr>
  </w:style>
  <w:style w:type="character" w:customStyle="1" w:styleId="96">
    <w:name w:val="city3"/>
    <w:qFormat/>
    <w:uiPriority w:val="99"/>
    <w:rPr>
      <w:rFonts w:ascii="Times New Roman" w:hAnsi="Times New Roman" w:eastAsia="华文新魏"/>
      <w:color w:val="999999"/>
    </w:rPr>
  </w:style>
  <w:style w:type="character" w:customStyle="1" w:styleId="97">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98">
    <w:name w:val="text11"/>
    <w:qFormat/>
    <w:uiPriority w:val="99"/>
    <w:rPr>
      <w:rFonts w:ascii="Verdana" w:hAnsi="Verdana" w:eastAsia="华文新魏"/>
      <w:color w:val="4E4E4E"/>
      <w:sz w:val="18"/>
    </w:rPr>
  </w:style>
  <w:style w:type="character" w:customStyle="1" w:styleId="99">
    <w:name w:val="正文缩进 字符"/>
    <w:qFormat/>
    <w:uiPriority w:val="99"/>
    <w:rPr>
      <w:rFonts w:ascii="Verdana" w:hAnsi="Verdana" w:eastAsia="华文新魏"/>
      <w:kern w:val="2"/>
      <w:sz w:val="21"/>
    </w:rPr>
  </w:style>
  <w:style w:type="character" w:customStyle="1" w:styleId="100">
    <w:name w:val="纯文本 Char3"/>
    <w:basedOn w:val="43"/>
    <w:semiHidden/>
    <w:qFormat/>
    <w:uiPriority w:val="99"/>
    <w:rPr>
      <w:rFonts w:ascii="宋体" w:hAnsi="Courier New" w:eastAsia="宋体" w:cs="Courier New"/>
      <w:sz w:val="21"/>
      <w:szCs w:val="21"/>
    </w:rPr>
  </w:style>
  <w:style w:type="character" w:customStyle="1" w:styleId="101">
    <w:name w:val="页脚 Char1"/>
    <w:basedOn w:val="43"/>
    <w:semiHidden/>
    <w:qFormat/>
    <w:uiPriority w:val="99"/>
    <w:rPr>
      <w:rFonts w:ascii="Times New Roman" w:hAnsi="Times New Roman" w:eastAsia="宋体" w:cs="Times New Roman"/>
      <w:sz w:val="18"/>
      <w:szCs w:val="18"/>
    </w:rPr>
  </w:style>
  <w:style w:type="paragraph" w:customStyle="1" w:styleId="102">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3">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4">
    <w:name w:val="CSS1级编号"/>
    <w:basedOn w:val="1"/>
    <w:qFormat/>
    <w:uiPriority w:val="99"/>
    <w:pPr>
      <w:tabs>
        <w:tab w:val="left" w:pos="0"/>
      </w:tabs>
      <w:spacing w:line="360" w:lineRule="auto"/>
    </w:pPr>
    <w:rPr>
      <w:rFonts w:eastAsia="华文新魏"/>
      <w:sz w:val="24"/>
    </w:rPr>
  </w:style>
  <w:style w:type="paragraph" w:customStyle="1" w:styleId="105">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06">
    <w:name w:val="2"/>
    <w:basedOn w:val="1"/>
    <w:next w:val="20"/>
    <w:qFormat/>
    <w:uiPriority w:val="99"/>
    <w:rPr>
      <w:rFonts w:ascii="宋体" w:eastAsia="华文新魏"/>
      <w:szCs w:val="20"/>
    </w:rPr>
  </w:style>
  <w:style w:type="paragraph" w:customStyle="1" w:styleId="107">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08">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09">
    <w:name w:val="图B-"/>
    <w:basedOn w:val="1"/>
    <w:qFormat/>
    <w:uiPriority w:val="99"/>
    <w:pPr>
      <w:tabs>
        <w:tab w:val="left" w:pos="0"/>
      </w:tabs>
      <w:jc w:val="center"/>
    </w:pPr>
    <w:rPr>
      <w:rFonts w:eastAsia="黑体"/>
      <w:szCs w:val="21"/>
    </w:rPr>
  </w:style>
  <w:style w:type="paragraph" w:customStyle="1" w:styleId="110">
    <w:name w:val="3"/>
    <w:basedOn w:val="1"/>
    <w:next w:val="20"/>
    <w:qFormat/>
    <w:uiPriority w:val="99"/>
    <w:rPr>
      <w:rFonts w:ascii="宋体" w:eastAsia="华文新魏"/>
      <w:szCs w:val="20"/>
    </w:rPr>
  </w:style>
  <w:style w:type="paragraph" w:customStyle="1" w:styleId="111">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2">
    <w:name w:val="纯文本2"/>
    <w:basedOn w:val="1"/>
    <w:qFormat/>
    <w:uiPriority w:val="99"/>
    <w:pPr>
      <w:suppressAutoHyphens/>
    </w:pPr>
    <w:rPr>
      <w:rFonts w:ascii="宋体" w:eastAsia="华文新魏" w:cs="Courier New"/>
      <w:szCs w:val="21"/>
      <w:lang w:eastAsia="ar-SA"/>
    </w:rPr>
  </w:style>
  <w:style w:type="paragraph" w:customStyle="1" w:styleId="113">
    <w:name w:val="1"/>
    <w:basedOn w:val="1"/>
    <w:next w:val="20"/>
    <w:qFormat/>
    <w:uiPriority w:val="99"/>
    <w:rPr>
      <w:rFonts w:ascii="宋体" w:eastAsia="华文新魏"/>
      <w:szCs w:val="20"/>
    </w:rPr>
  </w:style>
  <w:style w:type="paragraph" w:customStyle="1" w:styleId="114">
    <w:name w:val="项目-正文"/>
    <w:basedOn w:val="1"/>
    <w:qFormat/>
    <w:uiPriority w:val="99"/>
    <w:pPr>
      <w:spacing w:line="360" w:lineRule="auto"/>
      <w:ind w:firstLine="200" w:firstLineChars="200"/>
    </w:pPr>
    <w:rPr>
      <w:rFonts w:eastAsia="华文新魏"/>
      <w:kern w:val="0"/>
      <w:sz w:val="28"/>
      <w:szCs w:val="28"/>
    </w:rPr>
  </w:style>
  <w:style w:type="paragraph" w:customStyle="1" w:styleId="115">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16">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17">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18">
    <w:name w:val="列出段落1"/>
    <w:basedOn w:val="1"/>
    <w:qFormat/>
    <w:uiPriority w:val="99"/>
    <w:pPr>
      <w:ind w:firstLine="200" w:firstLineChars="200"/>
    </w:pPr>
    <w:rPr>
      <w:rFonts w:ascii="Calibri" w:hAnsi="Calibri" w:eastAsia="华文新魏" w:cs="Calibri"/>
      <w:szCs w:val="21"/>
    </w:rPr>
  </w:style>
  <w:style w:type="paragraph" w:customStyle="1" w:styleId="119">
    <w:name w:val="字元"/>
    <w:basedOn w:val="1"/>
    <w:qFormat/>
    <w:uiPriority w:val="99"/>
    <w:pPr>
      <w:widowControl/>
      <w:tabs>
        <w:tab w:val="left" w:pos="4665"/>
        <w:tab w:val="left" w:pos="8970"/>
      </w:tabs>
      <w:ind w:firstLine="400"/>
    </w:pPr>
    <w:rPr>
      <w:rFonts w:eastAsia="华文新魏"/>
      <w:szCs w:val="22"/>
    </w:rPr>
  </w:style>
  <w:style w:type="paragraph" w:customStyle="1" w:styleId="120">
    <w:name w:val="方案正文"/>
    <w:basedOn w:val="1"/>
    <w:qFormat/>
    <w:uiPriority w:val="99"/>
    <w:pPr>
      <w:spacing w:line="360" w:lineRule="auto"/>
      <w:ind w:firstLine="420"/>
    </w:pPr>
    <w:rPr>
      <w:rFonts w:ascii="宋体" w:eastAsia="华文新魏" w:cs="宋体"/>
      <w:sz w:val="24"/>
    </w:rPr>
  </w:style>
  <w:style w:type="paragraph" w:customStyle="1" w:styleId="121">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2">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3">
    <w:name w:val="正文11"/>
    <w:qFormat/>
    <w:uiPriority w:val="99"/>
    <w:pPr>
      <w:ind w:firstLine="200" w:firstLineChars="200"/>
    </w:pPr>
    <w:rPr>
      <w:rFonts w:ascii="Times New Roman" w:hAnsi="Times New Roman" w:eastAsia="宋体" w:cs="宋体"/>
      <w:lang w:val="en-US" w:eastAsia="zh-CN" w:bidi="ar-SA"/>
    </w:rPr>
  </w:style>
  <w:style w:type="paragraph" w:customStyle="1" w:styleId="124">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5">
    <w:name w:val="表A-"/>
    <w:basedOn w:val="1"/>
    <w:qFormat/>
    <w:uiPriority w:val="99"/>
    <w:pPr>
      <w:tabs>
        <w:tab w:val="left" w:pos="0"/>
      </w:tabs>
      <w:jc w:val="center"/>
    </w:pPr>
    <w:rPr>
      <w:rFonts w:eastAsia="华文新魏"/>
      <w:szCs w:val="21"/>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28">
    <w:name w:val="Char1 Char Char Char"/>
    <w:basedOn w:val="1"/>
    <w:qFormat/>
    <w:uiPriority w:val="0"/>
    <w:rPr>
      <w:rFonts w:eastAsia="华文新魏"/>
    </w:rPr>
  </w:style>
  <w:style w:type="paragraph" w:customStyle="1" w:styleId="129">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0">
    <w:name w:val="默认段落字体 Para Char"/>
    <w:basedOn w:val="1"/>
    <w:qFormat/>
    <w:uiPriority w:val="99"/>
    <w:rPr>
      <w:rFonts w:eastAsia="华文新魏"/>
    </w:rPr>
  </w:style>
  <w:style w:type="paragraph" w:customStyle="1" w:styleId="13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2">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3">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5">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36">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37">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38">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3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0">
    <w:name w:val="正文首行缩进两字符"/>
    <w:basedOn w:val="1"/>
    <w:qFormat/>
    <w:uiPriority w:val="99"/>
    <w:pPr>
      <w:spacing w:line="360" w:lineRule="auto"/>
      <w:ind w:firstLine="200" w:firstLineChars="200"/>
    </w:pPr>
    <w:rPr>
      <w:rFonts w:eastAsia="华文新魏"/>
      <w:kern w:val="0"/>
      <w:sz w:val="24"/>
    </w:rPr>
  </w:style>
  <w:style w:type="paragraph" w:customStyle="1" w:styleId="141">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2">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3">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4">
    <w:name w:val="Char Char Char1 Char"/>
    <w:basedOn w:val="1"/>
    <w:qFormat/>
    <w:uiPriority w:val="99"/>
    <w:rPr>
      <w:rFonts w:ascii="Tahoma" w:hAnsi="Tahoma" w:eastAsia="华文新魏"/>
      <w:sz w:val="24"/>
    </w:rPr>
  </w:style>
  <w:style w:type="paragraph" w:customStyle="1" w:styleId="145">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46">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4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8">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49">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0">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1">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2">
    <w:name w:val="纯文本1"/>
    <w:basedOn w:val="1"/>
    <w:qFormat/>
    <w:uiPriority w:val="0"/>
    <w:pPr>
      <w:suppressAutoHyphens/>
    </w:pPr>
    <w:rPr>
      <w:rFonts w:ascii="宋体" w:eastAsia="华文新魏"/>
      <w:sz w:val="20"/>
      <w:szCs w:val="21"/>
      <w:lang w:eastAsia="ar-SA"/>
    </w:rPr>
  </w:style>
  <w:style w:type="paragraph" w:customStyle="1" w:styleId="15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4">
    <w:name w:val="列出段落2"/>
    <w:basedOn w:val="1"/>
    <w:qFormat/>
    <w:uiPriority w:val="99"/>
    <w:pPr>
      <w:ind w:firstLine="200" w:firstLineChars="200"/>
    </w:pPr>
    <w:rPr>
      <w:rFonts w:eastAsia="华文新魏"/>
    </w:rPr>
  </w:style>
  <w:style w:type="paragraph" w:customStyle="1" w:styleId="15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5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7">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8">
    <w:name w:val="4"/>
    <w:basedOn w:val="1"/>
    <w:next w:val="20"/>
    <w:qFormat/>
    <w:uiPriority w:val="99"/>
    <w:rPr>
      <w:rFonts w:ascii="宋体" w:eastAsia="华文新魏"/>
      <w:szCs w:val="20"/>
    </w:rPr>
  </w:style>
  <w:style w:type="paragraph" w:customStyle="1" w:styleId="15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0">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1">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2">
    <w:name w:val="样式 目录 1"/>
    <w:basedOn w:val="27"/>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3">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4">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5">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6">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6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8">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69">
    <w:name w:val="p0"/>
    <w:basedOn w:val="1"/>
    <w:qFormat/>
    <w:uiPriority w:val="99"/>
    <w:pPr>
      <w:widowControl/>
    </w:pPr>
    <w:rPr>
      <w:rFonts w:eastAsia="华文新魏"/>
      <w:kern w:val="0"/>
      <w:szCs w:val="21"/>
    </w:rPr>
  </w:style>
  <w:style w:type="paragraph" w:customStyle="1" w:styleId="17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1">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2">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4">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5">
    <w:name w:val="param-value"/>
    <w:qFormat/>
    <w:uiPriority w:val="0"/>
  </w:style>
  <w:style w:type="character" w:customStyle="1" w:styleId="176">
    <w:name w:val="纯文本 字符"/>
    <w:qFormat/>
    <w:uiPriority w:val="99"/>
    <w:rPr>
      <w:rFonts w:ascii="Ђˎ̥" w:hAnsi="Verdana" w:eastAsia="Ђˎ̥" w:cs="Verdana"/>
      <w:szCs w:val="21"/>
    </w:rPr>
  </w:style>
  <w:style w:type="character" w:customStyle="1" w:styleId="177">
    <w:name w:val="正文文本_"/>
    <w:basedOn w:val="43"/>
    <w:link w:val="178"/>
    <w:qFormat/>
    <w:uiPriority w:val="0"/>
    <w:rPr>
      <w:rFonts w:ascii="Arial Unicode MS" w:hAnsi="Arial Unicode MS" w:eastAsia="Arial Unicode MS" w:cs="Arial Unicode MS"/>
      <w:shd w:val="clear" w:color="auto" w:fill="FFFFFF"/>
    </w:rPr>
  </w:style>
  <w:style w:type="paragraph" w:customStyle="1" w:styleId="178">
    <w:name w:val="正文文本10"/>
    <w:basedOn w:val="1"/>
    <w:link w:val="177"/>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79">
    <w:name w:val="脚注文本 Char"/>
    <w:qFormat/>
    <w:uiPriority w:val="99"/>
    <w:rPr>
      <w:kern w:val="2"/>
      <w:sz w:val="18"/>
      <w:szCs w:val="18"/>
    </w:rPr>
  </w:style>
  <w:style w:type="character" w:customStyle="1" w:styleId="180">
    <w:name w:val="普通文字 Char Char4"/>
    <w:qFormat/>
    <w:uiPriority w:val="0"/>
    <w:rPr>
      <w:rFonts w:ascii="宋体" w:eastAsia="宋体" w:cs="Courier New"/>
      <w:kern w:val="2"/>
      <w:sz w:val="21"/>
      <w:szCs w:val="21"/>
      <w:lang w:val="en-US" w:eastAsia="zh-CN" w:bidi="ar-SA"/>
    </w:rPr>
  </w:style>
  <w:style w:type="character" w:customStyle="1" w:styleId="181">
    <w:name w:val="正文文本 + MingLiU"/>
    <w:basedOn w:val="43"/>
    <w:qFormat/>
    <w:uiPriority w:val="0"/>
    <w:rPr>
      <w:rFonts w:ascii="MingLiU" w:hAnsi="MingLiU" w:eastAsia="MingLiU" w:cs="MingLiU"/>
      <w:color w:val="000000"/>
      <w:spacing w:val="0"/>
      <w:w w:val="100"/>
      <w:position w:val="0"/>
      <w:sz w:val="16"/>
      <w:szCs w:val="16"/>
      <w:u w:val="none"/>
      <w:lang w:val="zh-TW"/>
    </w:rPr>
  </w:style>
  <w:style w:type="character" w:customStyle="1" w:styleId="182">
    <w:name w:val="正文文本 + Batang"/>
    <w:basedOn w:val="177"/>
    <w:qFormat/>
    <w:uiPriority w:val="0"/>
  </w:style>
  <w:style w:type="character" w:customStyle="1" w:styleId="183">
    <w:name w:val="脚注文本 Char1"/>
    <w:basedOn w:val="43"/>
    <w:link w:val="29"/>
    <w:semiHidden/>
    <w:qFormat/>
    <w:uiPriority w:val="99"/>
    <w:rPr>
      <w:rFonts w:ascii="Times New Roman" w:hAnsi="Times New Roman"/>
      <w:kern w:val="2"/>
      <w:sz w:val="18"/>
      <w:szCs w:val="18"/>
    </w:rPr>
  </w:style>
  <w:style w:type="paragraph" w:customStyle="1" w:styleId="184">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5">
    <w:name w:val="_Style 12"/>
    <w:basedOn w:val="1"/>
    <w:qFormat/>
    <w:uiPriority w:val="0"/>
    <w:pPr>
      <w:spacing w:line="360" w:lineRule="auto"/>
      <w:ind w:firstLine="200" w:firstLineChars="200"/>
    </w:pPr>
    <w:rPr>
      <w:rFonts w:ascii="Arial" w:hAnsi="Arial"/>
      <w:kern w:val="0"/>
      <w:sz w:val="24"/>
    </w:rPr>
  </w:style>
  <w:style w:type="paragraph" w:customStyle="1" w:styleId="186">
    <w:name w:val="Char Char Char Char Char Char Char Char Char"/>
    <w:basedOn w:val="1"/>
    <w:qFormat/>
    <w:uiPriority w:val="0"/>
    <w:pPr>
      <w:widowControl/>
      <w:spacing w:after="160" w:line="240" w:lineRule="exact"/>
      <w:jc w:val="left"/>
    </w:pPr>
  </w:style>
  <w:style w:type="paragraph" w:customStyle="1" w:styleId="187">
    <w:name w:val="彩色底纹 - 着色 11"/>
    <w:qFormat/>
    <w:uiPriority w:val="0"/>
    <w:rPr>
      <w:rFonts w:ascii="Calibri" w:hAnsi="Calibri" w:eastAsia="宋体" w:cs="Times New Roman"/>
      <w:kern w:val="2"/>
      <w:sz w:val="21"/>
      <w:szCs w:val="22"/>
      <w:lang w:val="en-US" w:eastAsia="zh-CN" w:bidi="ar-SA"/>
    </w:rPr>
  </w:style>
  <w:style w:type="paragraph" w:customStyle="1" w:styleId="188">
    <w:name w:val="修订2"/>
    <w:qFormat/>
    <w:uiPriority w:val="0"/>
    <w:rPr>
      <w:rFonts w:ascii="Calibri" w:hAnsi="Calibri" w:eastAsia="宋体" w:cs="Times New Roman"/>
      <w:kern w:val="2"/>
      <w:sz w:val="21"/>
      <w:szCs w:val="22"/>
      <w:lang w:val="en-US" w:eastAsia="zh-CN" w:bidi="ar-SA"/>
    </w:rPr>
  </w:style>
  <w:style w:type="paragraph" w:customStyle="1" w:styleId="189">
    <w:name w:val="正文文字"/>
    <w:basedOn w:val="1"/>
    <w:qFormat/>
    <w:uiPriority w:val="0"/>
    <w:pPr>
      <w:spacing w:before="60" w:after="60" w:line="360" w:lineRule="auto"/>
      <w:ind w:firstLine="200" w:firstLineChars="200"/>
      <w:jc w:val="left"/>
    </w:pPr>
    <w:rPr>
      <w:sz w:val="24"/>
    </w:rPr>
  </w:style>
  <w:style w:type="paragraph" w:customStyle="1" w:styleId="190">
    <w:name w:val="List Paragraph1"/>
    <w:basedOn w:val="1"/>
    <w:qFormat/>
    <w:uiPriority w:val="0"/>
    <w:pPr>
      <w:ind w:firstLine="420" w:firstLineChars="200"/>
    </w:pPr>
  </w:style>
  <w:style w:type="paragraph" w:styleId="191">
    <w:name w:val="List Paragraph"/>
    <w:basedOn w:val="1"/>
    <w:qFormat/>
    <w:uiPriority w:val="34"/>
    <w:pPr>
      <w:ind w:firstLine="420" w:firstLineChars="200"/>
    </w:pPr>
  </w:style>
  <w:style w:type="paragraph" w:customStyle="1" w:styleId="192">
    <w:name w:val="BodyText"/>
    <w:basedOn w:val="1"/>
    <w:qFormat/>
    <w:uiPriority w:val="0"/>
    <w:pPr>
      <w:spacing w:after="120"/>
      <w:jc w:val="both"/>
      <w:textAlignment w:val="baseline"/>
    </w:pPr>
    <w:rPr>
      <w:rFonts w:ascii="Calibri" w:hAnsi="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13" textRotate="1"/>
    <customShpInfo spid="_x0000_s4114" textRotate="1"/>
    <customShpInfo spid="_x0000_s4111" textRotate="1"/>
    <customShpInfo spid="_x0000_s4097"/>
    <customShpInfo spid="_x0000_s411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73</Pages>
  <Words>38583</Words>
  <Characters>41682</Characters>
  <Lines>241</Lines>
  <Paragraphs>67</Paragraphs>
  <TotalTime>107</TotalTime>
  <ScaleCrop>false</ScaleCrop>
  <LinksUpToDate>false</LinksUpToDate>
  <CharactersWithSpaces>43554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2019-07-24T02:30:00Z</dcterms:created>
  <dc:creator>Administrator</dc:creator>
  <cp:lastModifiedBy>李思瑶</cp:lastModifiedBy>
  <cp:lastPrinted>2022-04-21T00:56:08Z</cp:lastPrinted>
  <dcterms:modified xsi:type="dcterms:W3CDTF">2022-04-21T02:06:04Z</dcterms:modified>
  <dc:title>广西科联招标中心有限公司</dc:title>
  <cp:revision>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46AB935C45EC4CA4855F1EB1E8B27228</vt:lpwstr>
  </property>
</Properties>
</file>