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三江侗族自治县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税务局</w:t>
      </w:r>
    </w:p>
    <w:p>
      <w:pPr>
        <w:pStyle w:val="4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第二税务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分局</w:t>
      </w:r>
    </w:p>
    <w:p>
      <w:pPr>
        <w:pStyle w:val="4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社会保险费缴费评估（检查）约谈通知书</w:t>
      </w:r>
    </w:p>
    <w:p>
      <w:pPr>
        <w:pStyle w:val="4"/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eastAsia="zh-CN"/>
        </w:rPr>
        <w:t>三江县税二分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税社约通〔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</w:t>
      </w:r>
    </w:p>
    <w:bookmarkEnd w:id="0"/>
    <w:p>
      <w:pPr>
        <w:pStyle w:val="4"/>
        <w:spacing w:line="600" w:lineRule="exact"/>
        <w:rPr>
          <w:rFonts w:hint="eastAsia" w:ascii="仿宋_GB2312" w:hAnsi="仿宋_GB2312" w:cs="仿宋_GB2312"/>
          <w:color w:val="000000"/>
        </w:rPr>
      </w:pPr>
    </w:p>
    <w:p>
      <w:pPr>
        <w:spacing w:line="50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广西国方建设工程有限责任公司三江分公司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：（统一社会信用代码：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91450226MABP5KQL9E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）</w:t>
      </w:r>
    </w:p>
    <w:p>
      <w:pPr>
        <w:spacing w:line="500" w:lineRule="exact"/>
        <w:ind w:firstLine="640" w:firstLineChars="200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经对你单位社会保险费缴纳情况评估，发现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你企业存在已注销但未缴纳社会保险费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疑点问题，需要你单位作进一步说明，请你单位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</w:rPr>
        <w:t>派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u w:val="single"/>
        </w:rPr>
        <w:t>法定代表人或财务人员、其他相关人员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于</w:t>
      </w:r>
      <w:r>
        <w:rPr>
          <w:rFonts w:ascii="仿宋_GB2312" w:hAnsi="仿宋_GB2312" w:cs="仿宋_GB2312"/>
          <w:color w:val="000000"/>
          <w:sz w:val="32"/>
          <w:szCs w:val="32"/>
          <w:u w:val="singl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</w:rPr>
        <w:t>日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15:30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</w:rPr>
        <w:t>时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携带相关资料到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国家税务总局三江侗族自治县税务局第二税务分局接受我局询问。</w:t>
      </w:r>
    </w:p>
    <w:p>
      <w:pPr>
        <w:spacing w:line="50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需携带资料：</w:t>
      </w:r>
    </w:p>
    <w:p>
      <w:pPr>
        <w:spacing w:line="500" w:lineRule="exact"/>
        <w:ind w:firstLine="607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一、职务证明等；</w:t>
      </w:r>
    </w:p>
    <w:p>
      <w:pPr>
        <w:pStyle w:val="4"/>
        <w:spacing w:line="5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二、近三个月货币资金余额情况证明材料；</w:t>
      </w:r>
    </w:p>
    <w:p>
      <w:pPr>
        <w:pStyle w:val="4"/>
        <w:spacing w:line="5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三、已开立银行账户清单；</w:t>
      </w:r>
    </w:p>
    <w:p>
      <w:pPr>
        <w:pStyle w:val="4"/>
        <w:spacing w:line="5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四、当（月）季财务报表；</w:t>
      </w:r>
    </w:p>
    <w:p>
      <w:pPr>
        <w:pStyle w:val="4"/>
        <w:spacing w:line="5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五、欠费清缴计划；</w:t>
      </w:r>
    </w:p>
    <w:p>
      <w:pPr>
        <w:pStyle w:val="4"/>
        <w:spacing w:line="50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六、其他应补充说明的材料。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杨雪</w:t>
      </w:r>
    </w:p>
    <w:p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0772-8618563</w:t>
      </w:r>
    </w:p>
    <w:p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约谈地址：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三江县古宜镇雅谷路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66号国家税务总局三江侗族自治县税务局办公楼三楼办公室。</w:t>
      </w:r>
    </w:p>
    <w:p>
      <w:pPr>
        <w:spacing w:line="500" w:lineRule="exact"/>
        <w:rPr>
          <w:rFonts w:hint="eastAsia" w:ascii="仿宋_GB2312" w:hAnsi="仿宋_GB2312" w:cs="仿宋_GB2312"/>
          <w:sz w:val="32"/>
          <w:szCs w:val="32"/>
        </w:rPr>
      </w:pPr>
    </w:p>
    <w:p>
      <w:pPr>
        <w:spacing w:line="500" w:lineRule="exact"/>
        <w:outlineLvl w:val="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税务机关（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cs="仿宋_GB2312"/>
          <w:sz w:val="32"/>
          <w:szCs w:val="32"/>
        </w:rPr>
        <w:t>章）</w:t>
      </w:r>
    </w:p>
    <w:p>
      <w:pPr>
        <w:spacing w:line="500" w:lineRule="exact"/>
        <w:outlineLvl w:val="0"/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10741"/>
    <w:rsid w:val="0D6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next w:val="1"/>
    <w:qFormat/>
    <w:uiPriority w:val="99"/>
    <w:pPr>
      <w:spacing w:line="660" w:lineRule="exact"/>
      <w:ind w:firstLine="720" w:firstLineChars="200"/>
    </w:pPr>
    <w:rPr>
      <w:rFonts w:ascii="Calibri" w:hAnsi="Calibri" w:eastAsia="楷体_GB2312" w:cs="Calibri"/>
      <w:sz w:val="36"/>
      <w:szCs w:val="36"/>
    </w:rPr>
  </w:style>
  <w:style w:type="paragraph" w:customStyle="1" w:styleId="3">
    <w:name w:val="正文_1"/>
    <w:next w:val="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2026-06-17T07:12:00Z</dcterms:created>
  <dc:creator>杨红柳</dc:creator>
  <cp:lastModifiedBy>杨红柳</cp:lastModifiedBy>
  <cp:lastPrinted>2026-06-17T07:12:48Z</cp:lastPrinted>
  <dcterms:modified xsi:type="dcterms:W3CDTF">2026-06-18T01:59:44Z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