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国家税务总局靖西市税务局机关（办税服务厅）非执法类辅助性服务项目采购</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2026年03月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26"/>
        </w:tabs>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rPr>
          <w:rFonts w:ascii="宋体" w:hAnsi="宋体" w:eastAsia="宋体" w:cs="宋体"/>
        </w:rPr>
        <w:fldChar w:fldCharType="begin"/>
      </w:r>
      <w:r>
        <w:rPr>
          <w:rFonts w:ascii="宋体" w:hAnsi="宋体" w:eastAsia="宋体" w:cs="宋体"/>
        </w:rPr>
        <w:instrText xml:space="preserve"> HYPERLINK \l _Toc21341 </w:instrText>
      </w:r>
      <w:r>
        <w:rPr>
          <w:rFonts w:ascii="宋体" w:hAnsi="宋体" w:eastAsia="宋体" w:cs="宋体"/>
        </w:rPr>
        <w:fldChar w:fldCharType="separate"/>
      </w:r>
      <w:r>
        <w:rPr>
          <w:rFonts w:ascii="仿宋_GB2312" w:hAnsi="仿宋_GB2312" w:eastAsia="仿宋_GB2312" w:cs="仿宋_GB2312"/>
          <w:kern w:val="36"/>
        </w:rPr>
        <w:t>1项目概述</w:t>
      </w:r>
      <w:r>
        <w:tab/>
      </w:r>
      <w:r>
        <w:fldChar w:fldCharType="begin"/>
      </w:r>
      <w:r>
        <w:instrText xml:space="preserve"> PAGEREF _Toc21341 \h </w:instrText>
      </w:r>
      <w:r>
        <w:fldChar w:fldCharType="separate"/>
      </w:r>
      <w:r>
        <w:t>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_Toc15843 </w:instrText>
      </w:r>
      <w:r>
        <w:rPr>
          <w:rFonts w:ascii="宋体" w:hAnsi="宋体" w:eastAsia="宋体" w:cs="宋体"/>
        </w:rPr>
        <w:fldChar w:fldCharType="separate"/>
      </w:r>
      <w:r>
        <w:rPr>
          <w:rFonts w:ascii="仿宋_GB2312" w:hAnsi="仿宋_GB2312" w:eastAsia="仿宋_GB2312" w:cs="仿宋_GB2312"/>
          <w:i w:val="0"/>
          <w:iCs w:val="0"/>
        </w:rPr>
        <w:t>1.1项目背景</w:t>
      </w:r>
      <w:r>
        <w:tab/>
      </w:r>
      <w:r>
        <w:fldChar w:fldCharType="begin"/>
      </w:r>
      <w:r>
        <w:instrText xml:space="preserve"> PAGEREF _Toc15843 \h </w:instrText>
      </w:r>
      <w:r>
        <w:fldChar w:fldCharType="separate"/>
      </w:r>
      <w:r>
        <w:t>4</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_Toc10147 </w:instrText>
      </w:r>
      <w:r>
        <w:rPr>
          <w:rFonts w:ascii="宋体" w:hAnsi="宋体" w:eastAsia="宋体" w:cs="宋体"/>
        </w:rPr>
        <w:fldChar w:fldCharType="separate"/>
      </w:r>
      <w:r>
        <w:rPr>
          <w:rFonts w:ascii="仿宋_GB2312" w:hAnsi="仿宋_GB2312" w:eastAsia="仿宋_GB2312" w:cs="仿宋_GB2312"/>
          <w:szCs w:val="28"/>
        </w:rPr>
        <w:t>1.1.1项目目的、意义及背景</w:t>
      </w:r>
      <w:r>
        <w:tab/>
      </w:r>
      <w:r>
        <w:fldChar w:fldCharType="begin"/>
      </w:r>
      <w:r>
        <w:instrText xml:space="preserve"> PAGEREF _Toc10147 \h </w:instrText>
      </w:r>
      <w:r>
        <w:fldChar w:fldCharType="separate"/>
      </w:r>
      <w:r>
        <w:t>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_Toc28636 </w:instrText>
      </w:r>
      <w:r>
        <w:rPr>
          <w:rFonts w:ascii="宋体" w:hAnsi="宋体" w:eastAsia="宋体" w:cs="宋体"/>
        </w:rPr>
        <w:fldChar w:fldCharType="separate"/>
      </w:r>
      <w:r>
        <w:rPr>
          <w:rFonts w:ascii="仿宋_GB2312" w:hAnsi="仿宋_GB2312" w:eastAsia="仿宋_GB2312" w:cs="仿宋_GB2312"/>
          <w:i w:val="0"/>
          <w:iCs w:val="0"/>
        </w:rPr>
        <w:t>1.2项目内容</w:t>
      </w:r>
      <w:r>
        <w:tab/>
      </w:r>
      <w:r>
        <w:fldChar w:fldCharType="begin"/>
      </w:r>
      <w:r>
        <w:instrText xml:space="preserve"> PAGEREF _Toc28636 \h </w:instrText>
      </w:r>
      <w:r>
        <w:fldChar w:fldCharType="separate"/>
      </w:r>
      <w:r>
        <w:t>4</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_Toc17009 </w:instrText>
      </w:r>
      <w:r>
        <w:rPr>
          <w:rFonts w:ascii="宋体" w:hAnsi="宋体" w:eastAsia="宋体" w:cs="宋体"/>
        </w:rPr>
        <w:fldChar w:fldCharType="separate"/>
      </w:r>
      <w:r>
        <w:rPr>
          <w:rFonts w:ascii="仿宋_GB2312" w:hAnsi="仿宋_GB2312" w:eastAsia="仿宋_GB2312" w:cs="仿宋_GB2312"/>
          <w:szCs w:val="28"/>
        </w:rPr>
        <w:t>1.2.1采购内容</w:t>
      </w:r>
      <w:r>
        <w:tab/>
      </w:r>
      <w:r>
        <w:fldChar w:fldCharType="begin"/>
      </w:r>
      <w:r>
        <w:instrText xml:space="preserve"> PAGEREF _Toc17009 \h </w:instrText>
      </w:r>
      <w:r>
        <w:fldChar w:fldCharType="separate"/>
      </w:r>
      <w:r>
        <w:t>4</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_Toc21990 </w:instrText>
      </w:r>
      <w:r>
        <w:rPr>
          <w:rFonts w:ascii="宋体" w:hAnsi="宋体" w:eastAsia="宋体" w:cs="宋体"/>
        </w:rPr>
        <w:fldChar w:fldCharType="separate"/>
      </w:r>
      <w:r>
        <w:rPr>
          <w:rFonts w:ascii="仿宋_GB2312" w:hAnsi="仿宋_GB2312" w:eastAsia="仿宋_GB2312" w:cs="仿宋_GB2312"/>
          <w:szCs w:val="28"/>
        </w:rPr>
        <w:t>1.2.2项目实施要求</w:t>
      </w:r>
      <w:r>
        <w:tab/>
      </w:r>
      <w:r>
        <w:fldChar w:fldCharType="begin"/>
      </w:r>
      <w:r>
        <w:instrText xml:space="preserve"> PAGEREF _Toc21990 \h </w:instrText>
      </w:r>
      <w:r>
        <w:fldChar w:fldCharType="separate"/>
      </w:r>
      <w:r>
        <w:t>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_Toc4890 </w:instrText>
      </w:r>
      <w:r>
        <w:rPr>
          <w:rFonts w:ascii="宋体" w:hAnsi="宋体" w:eastAsia="宋体" w:cs="宋体"/>
        </w:rPr>
        <w:fldChar w:fldCharType="separate"/>
      </w:r>
      <w:r>
        <w:rPr>
          <w:rFonts w:ascii="仿宋_GB2312" w:hAnsi="仿宋_GB2312" w:eastAsia="仿宋_GB2312" w:cs="仿宋_GB2312"/>
          <w:i w:val="0"/>
          <w:iCs w:val="0"/>
        </w:rPr>
        <w:t>1.3其他要求</w:t>
      </w:r>
      <w:r>
        <w:tab/>
      </w:r>
      <w:r>
        <w:fldChar w:fldCharType="begin"/>
      </w:r>
      <w:r>
        <w:instrText xml:space="preserve"> PAGEREF _Toc4890 \h </w:instrText>
      </w:r>
      <w:r>
        <w:fldChar w:fldCharType="separate"/>
      </w:r>
      <w:r>
        <w:t>5</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_Toc26934 </w:instrText>
      </w:r>
      <w:r>
        <w:rPr>
          <w:rFonts w:ascii="宋体" w:hAnsi="宋体" w:eastAsia="宋体" w:cs="宋体"/>
        </w:rPr>
        <w:fldChar w:fldCharType="separate"/>
      </w:r>
      <w:r>
        <w:rPr>
          <w:rFonts w:ascii="仿宋_GB2312" w:hAnsi="仿宋_GB2312" w:eastAsia="仿宋_GB2312" w:cs="仿宋_GB2312"/>
          <w:szCs w:val="28"/>
        </w:rPr>
        <w:t>1.3.1采购标的需执行的相关标准规范</w:t>
      </w:r>
      <w:r>
        <w:tab/>
      </w:r>
      <w:r>
        <w:fldChar w:fldCharType="begin"/>
      </w:r>
      <w:r>
        <w:instrText xml:space="preserve"> PAGEREF _Toc26934 \h </w:instrText>
      </w:r>
      <w:r>
        <w:fldChar w:fldCharType="separate"/>
      </w:r>
      <w:r>
        <w:t>5</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_Toc8296 </w:instrText>
      </w:r>
      <w:r>
        <w:rPr>
          <w:rFonts w:ascii="宋体" w:hAnsi="宋体" w:eastAsia="宋体" w:cs="宋体"/>
        </w:rPr>
        <w:fldChar w:fldCharType="separate"/>
      </w:r>
      <w:r>
        <w:rPr>
          <w:rFonts w:ascii="仿宋_GB2312" w:hAnsi="仿宋_GB2312" w:eastAsia="仿宋_GB2312" w:cs="仿宋_GB2312"/>
          <w:kern w:val="36"/>
        </w:rPr>
        <w:t>2投标/响应要求</w:t>
      </w:r>
      <w:r>
        <w:tab/>
      </w:r>
      <w:r>
        <w:fldChar w:fldCharType="begin"/>
      </w:r>
      <w:r>
        <w:instrText xml:space="preserve"> PAGEREF _Toc8296 \h </w:instrText>
      </w:r>
      <w:r>
        <w:fldChar w:fldCharType="separate"/>
      </w:r>
      <w:r>
        <w:t>5</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_Toc26162 </w:instrText>
      </w:r>
      <w:r>
        <w:rPr>
          <w:rFonts w:ascii="宋体" w:hAnsi="宋体" w:eastAsia="宋体" w:cs="宋体"/>
        </w:rPr>
        <w:fldChar w:fldCharType="separate"/>
      </w:r>
      <w:r>
        <w:rPr>
          <w:rFonts w:ascii="仿宋_GB2312" w:hAnsi="仿宋_GB2312" w:eastAsia="仿宋_GB2312" w:cs="仿宋_GB2312"/>
          <w:i w:val="0"/>
          <w:iCs w:val="0"/>
        </w:rPr>
        <w:t>2.1对供应商的要求</w:t>
      </w:r>
      <w:r>
        <w:tab/>
      </w:r>
      <w:r>
        <w:fldChar w:fldCharType="begin"/>
      </w:r>
      <w:r>
        <w:instrText xml:space="preserve"> PAGEREF _Toc26162 \h </w:instrText>
      </w:r>
      <w:r>
        <w:fldChar w:fldCharType="separate"/>
      </w:r>
      <w:r>
        <w:t>5</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_Toc19170 </w:instrText>
      </w:r>
      <w:r>
        <w:rPr>
          <w:rFonts w:ascii="宋体" w:hAnsi="宋体" w:eastAsia="宋体" w:cs="宋体"/>
        </w:rPr>
        <w:fldChar w:fldCharType="separate"/>
      </w:r>
      <w:r>
        <w:rPr>
          <w:rFonts w:ascii="仿宋_GB2312" w:hAnsi="仿宋_GB2312" w:eastAsia="仿宋_GB2312" w:cs="仿宋_GB2312"/>
          <w:szCs w:val="28"/>
        </w:rPr>
        <w:t>2.1.1必备资质</w:t>
      </w:r>
      <w:r>
        <w:tab/>
      </w:r>
      <w:r>
        <w:fldChar w:fldCharType="begin"/>
      </w:r>
      <w:r>
        <w:instrText xml:space="preserve"> PAGEREF _Toc19170 \h </w:instrText>
      </w:r>
      <w:r>
        <w:fldChar w:fldCharType="separate"/>
      </w:r>
      <w:r>
        <w:t>5</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_Toc21015 </w:instrText>
      </w:r>
      <w:r>
        <w:rPr>
          <w:rFonts w:ascii="宋体" w:hAnsi="宋体" w:eastAsia="宋体" w:cs="宋体"/>
        </w:rPr>
        <w:fldChar w:fldCharType="separate"/>
      </w:r>
      <w:r>
        <w:rPr>
          <w:rFonts w:ascii="仿宋_GB2312" w:hAnsi="仿宋_GB2312" w:eastAsia="仿宋_GB2312" w:cs="仿宋_GB2312"/>
          <w:szCs w:val="28"/>
        </w:rPr>
        <w:t>2.1.2优选资质/优选指标</w:t>
      </w:r>
      <w:r>
        <w:tab/>
      </w:r>
      <w:r>
        <w:fldChar w:fldCharType="begin"/>
      </w:r>
      <w:r>
        <w:instrText xml:space="preserve"> PAGEREF _Toc21015 \h </w:instrText>
      </w:r>
      <w:r>
        <w:fldChar w:fldCharType="separate"/>
      </w:r>
      <w:r>
        <w:t>5</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_Toc22112 </w:instrText>
      </w:r>
      <w:r>
        <w:rPr>
          <w:rFonts w:ascii="宋体" w:hAnsi="宋体" w:eastAsia="宋体" w:cs="宋体"/>
        </w:rPr>
        <w:fldChar w:fldCharType="separate"/>
      </w:r>
      <w:r>
        <w:rPr>
          <w:rFonts w:ascii="仿宋_GB2312" w:hAnsi="仿宋_GB2312" w:eastAsia="仿宋_GB2312" w:cs="仿宋_GB2312"/>
          <w:szCs w:val="28"/>
        </w:rPr>
        <w:t>2.1.3是否允许联合体</w:t>
      </w:r>
      <w:r>
        <w:tab/>
      </w:r>
      <w:r>
        <w:fldChar w:fldCharType="begin"/>
      </w:r>
      <w:r>
        <w:instrText xml:space="preserve"> PAGEREF _Toc22112 \h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_Toc3773 </w:instrText>
      </w:r>
      <w:r>
        <w:rPr>
          <w:rFonts w:ascii="宋体" w:hAnsi="宋体" w:eastAsia="宋体" w:cs="宋体"/>
        </w:rPr>
        <w:fldChar w:fldCharType="separate"/>
      </w:r>
      <w:r>
        <w:rPr>
          <w:rFonts w:ascii="仿宋_GB2312" w:hAnsi="仿宋_GB2312" w:eastAsia="仿宋_GB2312" w:cs="仿宋_GB2312"/>
          <w:szCs w:val="28"/>
        </w:rPr>
        <w:t>2.1.4是否专门面向中小企业</w:t>
      </w:r>
      <w:r>
        <w:tab/>
      </w:r>
      <w:r>
        <w:fldChar w:fldCharType="begin"/>
      </w:r>
      <w:r>
        <w:instrText xml:space="preserve"> PAGEREF _Toc3773 \h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_Toc7469 </w:instrText>
      </w:r>
      <w:r>
        <w:rPr>
          <w:rFonts w:ascii="宋体" w:hAnsi="宋体" w:eastAsia="宋体" w:cs="宋体"/>
        </w:rPr>
        <w:fldChar w:fldCharType="separate"/>
      </w:r>
      <w:r>
        <w:rPr>
          <w:rFonts w:ascii="仿宋_GB2312" w:hAnsi="仿宋_GB2312" w:eastAsia="仿宋_GB2312" w:cs="仿宋_GB2312"/>
          <w:szCs w:val="28"/>
        </w:rPr>
        <w:t>2.1.5其他要求</w:t>
      </w:r>
      <w:r>
        <w:tab/>
      </w:r>
      <w:r>
        <w:fldChar w:fldCharType="begin"/>
      </w:r>
      <w:r>
        <w:instrText xml:space="preserve"> PAGEREF _Toc7469 \h </w:instrText>
      </w:r>
      <w:r>
        <w:fldChar w:fldCharType="separate"/>
      </w:r>
      <w:r>
        <w:t>6</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_Toc30132 </w:instrText>
      </w:r>
      <w:r>
        <w:rPr>
          <w:rFonts w:ascii="宋体" w:hAnsi="宋体" w:eastAsia="宋体" w:cs="宋体"/>
        </w:rPr>
        <w:fldChar w:fldCharType="separate"/>
      </w:r>
      <w:r>
        <w:rPr>
          <w:rFonts w:ascii="仿宋_GB2312" w:hAnsi="仿宋_GB2312" w:eastAsia="仿宋_GB2312" w:cs="仿宋_GB2312"/>
          <w:i w:val="0"/>
          <w:iCs w:val="0"/>
        </w:rPr>
        <w:t>2.2技术部分投标/响应内容</w:t>
      </w:r>
      <w:r>
        <w:tab/>
      </w:r>
      <w:r>
        <w:fldChar w:fldCharType="begin"/>
      </w:r>
      <w:r>
        <w:instrText xml:space="preserve"> PAGEREF _Toc30132 \h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_Toc8517 </w:instrText>
      </w:r>
      <w:r>
        <w:rPr>
          <w:rFonts w:ascii="宋体" w:hAnsi="宋体" w:eastAsia="宋体" w:cs="宋体"/>
        </w:rPr>
        <w:fldChar w:fldCharType="separate"/>
      </w:r>
      <w:r>
        <w:rPr>
          <w:rFonts w:ascii="仿宋_GB2312" w:hAnsi="仿宋_GB2312" w:eastAsia="仿宋_GB2312" w:cs="仿宋_GB2312"/>
          <w:szCs w:val="28"/>
        </w:rPr>
        <w:t>2.2.1技术投标/响应总要求</w:t>
      </w:r>
      <w:r>
        <w:tab/>
      </w:r>
      <w:r>
        <w:fldChar w:fldCharType="begin"/>
      </w:r>
      <w:r>
        <w:instrText xml:space="preserve"> PAGEREF _Toc8517 \h </w:instrText>
      </w:r>
      <w:r>
        <w:fldChar w:fldCharType="separate"/>
      </w:r>
      <w:r>
        <w:t>6</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_Toc32014 </w:instrText>
      </w:r>
      <w:r>
        <w:rPr>
          <w:rFonts w:ascii="宋体" w:hAnsi="宋体" w:eastAsia="宋体" w:cs="宋体"/>
        </w:rPr>
        <w:fldChar w:fldCharType="separate"/>
      </w:r>
      <w:r>
        <w:rPr>
          <w:rFonts w:ascii="仿宋_GB2312" w:hAnsi="仿宋_GB2312" w:eastAsia="仿宋_GB2312" w:cs="仿宋_GB2312"/>
          <w:szCs w:val="28"/>
        </w:rPr>
        <w:t>2.2.2投标/响应方案要求</w:t>
      </w:r>
      <w:r>
        <w:tab/>
      </w:r>
      <w:r>
        <w:fldChar w:fldCharType="begin"/>
      </w:r>
      <w:r>
        <w:instrText xml:space="preserve"> PAGEREF _Toc32014 \h </w:instrText>
      </w:r>
      <w:r>
        <w:fldChar w:fldCharType="separate"/>
      </w:r>
      <w:r>
        <w:t>6</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_Toc5232 </w:instrText>
      </w:r>
      <w:r>
        <w:rPr>
          <w:rFonts w:ascii="宋体" w:hAnsi="宋体" w:eastAsia="宋体" w:cs="宋体"/>
        </w:rPr>
        <w:fldChar w:fldCharType="separate"/>
      </w:r>
      <w:r>
        <w:rPr>
          <w:rFonts w:ascii="仿宋_GB2312" w:hAnsi="仿宋_GB2312" w:eastAsia="仿宋_GB2312" w:cs="仿宋_GB2312"/>
          <w:kern w:val="36"/>
        </w:rPr>
        <w:t>3项目需求</w:t>
      </w:r>
      <w:r>
        <w:tab/>
      </w:r>
      <w:r>
        <w:fldChar w:fldCharType="begin"/>
      </w:r>
      <w:r>
        <w:instrText xml:space="preserve"> PAGEREF _Toc5232 \h </w:instrText>
      </w:r>
      <w:r>
        <w:fldChar w:fldCharType="separate"/>
      </w:r>
      <w:r>
        <w:t>6</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_Toc15237 </w:instrText>
      </w:r>
      <w:r>
        <w:rPr>
          <w:rFonts w:ascii="宋体" w:hAnsi="宋体" w:eastAsia="宋体" w:cs="宋体"/>
        </w:rPr>
        <w:fldChar w:fldCharType="separate"/>
      </w:r>
      <w:r>
        <w:rPr>
          <w:rFonts w:ascii="仿宋_GB2312" w:hAnsi="仿宋_GB2312" w:eastAsia="仿宋_GB2312" w:cs="仿宋_GB2312"/>
          <w:i w:val="0"/>
          <w:iCs w:val="0"/>
        </w:rPr>
        <w:t>3.1总体要求</w:t>
      </w:r>
      <w:r>
        <w:tab/>
      </w:r>
      <w:r>
        <w:fldChar w:fldCharType="begin"/>
      </w:r>
      <w:r>
        <w:instrText xml:space="preserve"> PAGEREF _Toc15237 \h </w:instrText>
      </w:r>
      <w:r>
        <w:fldChar w:fldCharType="separate"/>
      </w:r>
      <w:r>
        <w:t>6</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_Toc30280 </w:instrText>
      </w:r>
      <w:r>
        <w:rPr>
          <w:rFonts w:ascii="宋体" w:hAnsi="宋体" w:eastAsia="宋体" w:cs="宋体"/>
        </w:rPr>
        <w:fldChar w:fldCharType="separate"/>
      </w:r>
      <w:r>
        <w:rPr>
          <w:rFonts w:ascii="仿宋_GB2312" w:hAnsi="仿宋_GB2312" w:eastAsia="仿宋_GB2312" w:cs="仿宋_GB2312"/>
          <w:i w:val="0"/>
          <w:iCs w:val="0"/>
        </w:rPr>
        <w:t>3.2服务内容和要求</w:t>
      </w:r>
      <w:r>
        <w:tab/>
      </w:r>
      <w:r>
        <w:fldChar w:fldCharType="begin"/>
      </w:r>
      <w:r>
        <w:instrText xml:space="preserve"> PAGEREF _Toc30280 \h </w:instrText>
      </w:r>
      <w:r>
        <w:fldChar w:fldCharType="separate"/>
      </w:r>
      <w:r>
        <w:t>7</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_Toc3818 </w:instrText>
      </w:r>
      <w:r>
        <w:rPr>
          <w:rFonts w:ascii="宋体" w:hAnsi="宋体" w:eastAsia="宋体" w:cs="宋体"/>
        </w:rPr>
        <w:fldChar w:fldCharType="separate"/>
      </w:r>
      <w:r>
        <w:rPr>
          <w:rFonts w:ascii="仿宋_GB2312" w:hAnsi="仿宋_GB2312" w:eastAsia="仿宋_GB2312" w:cs="仿宋_GB2312"/>
          <w:szCs w:val="28"/>
        </w:rPr>
        <w:t>3.2.1技术和服务客观指标</w:t>
      </w:r>
      <w:r>
        <w:tab/>
      </w:r>
      <w:r>
        <w:fldChar w:fldCharType="begin"/>
      </w:r>
      <w:r>
        <w:instrText xml:space="preserve"> PAGEREF _Toc3818 \h </w:instrText>
      </w:r>
      <w:r>
        <w:fldChar w:fldCharType="separate"/>
      </w:r>
      <w:r>
        <w:t>7</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_Toc8050 </w:instrText>
      </w:r>
      <w:r>
        <w:rPr>
          <w:rFonts w:ascii="宋体" w:hAnsi="宋体" w:eastAsia="宋体" w:cs="宋体"/>
        </w:rPr>
        <w:fldChar w:fldCharType="separate"/>
      </w:r>
      <w:r>
        <w:rPr>
          <w:rFonts w:ascii="仿宋_GB2312" w:hAnsi="仿宋_GB2312" w:eastAsia="仿宋_GB2312" w:cs="仿宋_GB2312"/>
          <w:szCs w:val="28"/>
        </w:rPr>
        <w:t>3.2.2技术和服务其他要求</w:t>
      </w:r>
      <w:r>
        <w:tab/>
      </w:r>
      <w:r>
        <w:fldChar w:fldCharType="begin"/>
      </w:r>
      <w:r>
        <w:instrText xml:space="preserve"> PAGEREF _Toc8050 \h </w:instrText>
      </w:r>
      <w:r>
        <w:fldChar w:fldCharType="separate"/>
      </w:r>
      <w:r>
        <w:t>9</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_Toc32513 </w:instrText>
      </w:r>
      <w:r>
        <w:rPr>
          <w:rFonts w:ascii="宋体" w:hAnsi="宋体" w:eastAsia="宋体" w:cs="宋体"/>
        </w:rPr>
        <w:fldChar w:fldCharType="separate"/>
      </w:r>
      <w:r>
        <w:rPr>
          <w:rFonts w:ascii="仿宋_GB2312" w:hAnsi="仿宋_GB2312" w:eastAsia="仿宋_GB2312" w:cs="仿宋_GB2312"/>
          <w:bCs w:val="0"/>
          <w:i w:val="0"/>
          <w:iCs w:val="0"/>
          <w:szCs w:val="32"/>
        </w:rPr>
        <w:t>服务人员培训考核要求：</w:t>
      </w:r>
      <w:r>
        <w:tab/>
      </w:r>
      <w:r>
        <w:fldChar w:fldCharType="begin"/>
      </w:r>
      <w:r>
        <w:instrText xml:space="preserve"> PAGEREF _Toc32513 \h </w:instrText>
      </w:r>
      <w:r>
        <w:fldChar w:fldCharType="separate"/>
      </w:r>
      <w:r>
        <w:t>9</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_Toc2957 </w:instrText>
      </w:r>
      <w:r>
        <w:rPr>
          <w:rFonts w:ascii="宋体" w:hAnsi="宋体" w:eastAsia="宋体" w:cs="宋体"/>
        </w:rPr>
        <w:fldChar w:fldCharType="separate"/>
      </w:r>
      <w:r>
        <w:rPr>
          <w:rFonts w:ascii="仿宋_GB2312" w:hAnsi="仿宋_GB2312" w:eastAsia="仿宋_GB2312" w:cs="仿宋_GB2312"/>
          <w:kern w:val="36"/>
        </w:rPr>
        <w:t>4人员要求</w:t>
      </w:r>
      <w:r>
        <w:tab/>
      </w:r>
      <w:r>
        <w:fldChar w:fldCharType="begin"/>
      </w:r>
      <w:r>
        <w:instrText xml:space="preserve"> PAGEREF _Toc2957 \h </w:instrText>
      </w:r>
      <w:r>
        <w:fldChar w:fldCharType="separate"/>
      </w:r>
      <w:r>
        <w:t>10</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_Toc2095 </w:instrText>
      </w:r>
      <w:r>
        <w:rPr>
          <w:rFonts w:ascii="宋体" w:hAnsi="宋体" w:eastAsia="宋体" w:cs="宋体"/>
        </w:rPr>
        <w:fldChar w:fldCharType="separate"/>
      </w:r>
      <w:r>
        <w:rPr>
          <w:rFonts w:ascii="仿宋_GB2312" w:hAnsi="仿宋_GB2312" w:eastAsia="仿宋_GB2312" w:cs="仿宋_GB2312"/>
          <w:i w:val="0"/>
          <w:iCs w:val="0"/>
        </w:rPr>
        <w:t>4.1总体要求</w:t>
      </w:r>
      <w:r>
        <w:tab/>
      </w:r>
      <w:r>
        <w:fldChar w:fldCharType="begin"/>
      </w:r>
      <w:r>
        <w:instrText xml:space="preserve"> PAGEREF _Toc2095 \h </w:instrText>
      </w:r>
      <w:r>
        <w:fldChar w:fldCharType="separate"/>
      </w:r>
      <w:r>
        <w:t>10</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_Toc32676 </w:instrText>
      </w:r>
      <w:r>
        <w:rPr>
          <w:rFonts w:ascii="宋体" w:hAnsi="宋体" w:eastAsia="宋体" w:cs="宋体"/>
        </w:rPr>
        <w:fldChar w:fldCharType="separate"/>
      </w:r>
      <w:r>
        <w:rPr>
          <w:rFonts w:ascii="仿宋_GB2312" w:hAnsi="仿宋_GB2312" w:eastAsia="仿宋_GB2312" w:cs="仿宋_GB2312"/>
          <w:i w:val="0"/>
          <w:iCs w:val="0"/>
        </w:rPr>
        <w:t>4.2基本要求</w:t>
      </w:r>
      <w:r>
        <w:tab/>
      </w:r>
      <w:r>
        <w:fldChar w:fldCharType="begin"/>
      </w:r>
      <w:r>
        <w:instrText xml:space="preserve"> PAGEREF _Toc32676 \h </w:instrText>
      </w:r>
      <w:r>
        <w:fldChar w:fldCharType="separate"/>
      </w:r>
      <w:r>
        <w:t>11</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_Toc5289 </w:instrText>
      </w:r>
      <w:r>
        <w:rPr>
          <w:rFonts w:ascii="宋体" w:hAnsi="宋体" w:eastAsia="宋体" w:cs="宋体"/>
        </w:rPr>
        <w:fldChar w:fldCharType="separate"/>
      </w:r>
      <w:r>
        <w:rPr>
          <w:rFonts w:ascii="仿宋_GB2312" w:hAnsi="仿宋_GB2312" w:eastAsia="仿宋_GB2312" w:cs="仿宋_GB2312"/>
          <w:i w:val="0"/>
          <w:iCs w:val="0"/>
        </w:rPr>
        <w:t>4.3管理团队</w:t>
      </w:r>
      <w:r>
        <w:tab/>
      </w:r>
      <w:r>
        <w:fldChar w:fldCharType="begin"/>
      </w:r>
      <w:r>
        <w:instrText xml:space="preserve"> PAGEREF _Toc5289 \h </w:instrText>
      </w:r>
      <w:r>
        <w:fldChar w:fldCharType="separate"/>
      </w:r>
      <w:r>
        <w:t>12</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_Toc22820 </w:instrText>
      </w:r>
      <w:r>
        <w:rPr>
          <w:rFonts w:ascii="宋体" w:hAnsi="宋体" w:eastAsia="宋体" w:cs="宋体"/>
        </w:rPr>
        <w:fldChar w:fldCharType="separate"/>
      </w:r>
      <w:r>
        <w:rPr>
          <w:rFonts w:ascii="仿宋_GB2312" w:hAnsi="仿宋_GB2312" w:eastAsia="仿宋_GB2312" w:cs="仿宋_GB2312"/>
          <w:szCs w:val="28"/>
        </w:rPr>
        <w:t>4.3.1项目负责人</w:t>
      </w:r>
      <w:r>
        <w:tab/>
      </w:r>
      <w:r>
        <w:fldChar w:fldCharType="begin"/>
      </w:r>
      <w:r>
        <w:instrText xml:space="preserve"> PAGEREF _Toc22820 \h </w:instrText>
      </w:r>
      <w:r>
        <w:fldChar w:fldCharType="separate"/>
      </w:r>
      <w:r>
        <w:t>12</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_Toc24576 </w:instrText>
      </w:r>
      <w:r>
        <w:rPr>
          <w:rFonts w:ascii="宋体" w:hAnsi="宋体" w:eastAsia="宋体" w:cs="宋体"/>
        </w:rPr>
        <w:fldChar w:fldCharType="separate"/>
      </w:r>
      <w:r>
        <w:rPr>
          <w:rFonts w:ascii="仿宋_GB2312" w:hAnsi="仿宋_GB2312" w:eastAsia="仿宋_GB2312" w:cs="仿宋_GB2312"/>
          <w:i w:val="0"/>
          <w:iCs w:val="0"/>
        </w:rPr>
        <w:t>4.4技术团队</w:t>
      </w:r>
      <w:r>
        <w:tab/>
      </w:r>
      <w:r>
        <w:fldChar w:fldCharType="begin"/>
      </w:r>
      <w:r>
        <w:instrText xml:space="preserve"> PAGEREF _Toc24576 \h </w:instrText>
      </w:r>
      <w:r>
        <w:fldChar w:fldCharType="separate"/>
      </w:r>
      <w:r>
        <w:t>12</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_Toc29104 </w:instrText>
      </w:r>
      <w:r>
        <w:rPr>
          <w:rFonts w:ascii="宋体" w:hAnsi="宋体" w:eastAsia="宋体" w:cs="宋体"/>
        </w:rPr>
        <w:fldChar w:fldCharType="separate"/>
      </w:r>
      <w:r>
        <w:rPr>
          <w:rFonts w:ascii="仿宋_GB2312" w:hAnsi="仿宋_GB2312" w:eastAsia="仿宋_GB2312" w:cs="仿宋_GB2312"/>
          <w:i w:val="0"/>
          <w:iCs w:val="0"/>
        </w:rPr>
        <w:t>4.5优选资质/优选指标</w:t>
      </w:r>
      <w:r>
        <w:tab/>
      </w:r>
      <w:r>
        <w:fldChar w:fldCharType="begin"/>
      </w:r>
      <w:r>
        <w:instrText xml:space="preserve"> PAGEREF _Toc29104 \h </w:instrText>
      </w:r>
      <w:r>
        <w:fldChar w:fldCharType="separate"/>
      </w:r>
      <w:r>
        <w:t>12</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_Toc8263 </w:instrText>
      </w:r>
      <w:r>
        <w:rPr>
          <w:rFonts w:ascii="宋体" w:hAnsi="宋体" w:eastAsia="宋体" w:cs="宋体"/>
        </w:rPr>
        <w:fldChar w:fldCharType="separate"/>
      </w:r>
      <w:r>
        <w:rPr>
          <w:rFonts w:ascii="仿宋_GB2312" w:hAnsi="仿宋_GB2312" w:eastAsia="仿宋_GB2312" w:cs="仿宋_GB2312"/>
          <w:kern w:val="36"/>
        </w:rPr>
        <w:t>5管理实施要求</w:t>
      </w:r>
      <w:r>
        <w:tab/>
      </w:r>
      <w:r>
        <w:fldChar w:fldCharType="begin"/>
      </w:r>
      <w:r>
        <w:instrText xml:space="preserve"> PAGEREF _Toc8263 \h </w:instrText>
      </w:r>
      <w:r>
        <w:fldChar w:fldCharType="separate"/>
      </w:r>
      <w:r>
        <w:t>12</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_Toc9787 </w:instrText>
      </w:r>
      <w:r>
        <w:rPr>
          <w:rFonts w:ascii="宋体" w:hAnsi="宋体" w:eastAsia="宋体" w:cs="宋体"/>
        </w:rPr>
        <w:fldChar w:fldCharType="separate"/>
      </w:r>
      <w:r>
        <w:rPr>
          <w:rFonts w:ascii="仿宋_GB2312" w:hAnsi="仿宋_GB2312" w:eastAsia="仿宋_GB2312" w:cs="仿宋_GB2312"/>
          <w:kern w:val="36"/>
        </w:rPr>
        <w:t>6风险管控要求</w:t>
      </w:r>
      <w:r>
        <w:tab/>
      </w:r>
      <w:r>
        <w:fldChar w:fldCharType="begin"/>
      </w:r>
      <w:r>
        <w:instrText xml:space="preserve"> PAGEREF _Toc9787 \h </w:instrText>
      </w:r>
      <w:r>
        <w:fldChar w:fldCharType="separate"/>
      </w:r>
      <w:r>
        <w:t>14</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_Toc17492 </w:instrText>
      </w:r>
      <w:r>
        <w:rPr>
          <w:rFonts w:ascii="宋体" w:hAnsi="宋体" w:eastAsia="宋体" w:cs="宋体"/>
        </w:rPr>
        <w:fldChar w:fldCharType="separate"/>
      </w:r>
      <w:r>
        <w:rPr>
          <w:rFonts w:ascii="仿宋_GB2312" w:hAnsi="仿宋_GB2312" w:eastAsia="仿宋_GB2312" w:cs="仿宋_GB2312"/>
          <w:kern w:val="36"/>
        </w:rPr>
        <w:t>7履约验收要求</w:t>
      </w:r>
      <w:r>
        <w:tab/>
      </w:r>
      <w:r>
        <w:fldChar w:fldCharType="begin"/>
      </w:r>
      <w:r>
        <w:instrText xml:space="preserve"> PAGEREF _Toc17492 \h </w:instrText>
      </w:r>
      <w:r>
        <w:fldChar w:fldCharType="separate"/>
      </w:r>
      <w:r>
        <w:t>14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_Toc8312 </w:instrText>
      </w:r>
      <w:r>
        <w:rPr>
          <w:rFonts w:ascii="宋体" w:hAnsi="宋体" w:eastAsia="宋体" w:cs="宋体"/>
        </w:rPr>
        <w:fldChar w:fldCharType="separate"/>
      </w:r>
      <w:r>
        <w:rPr>
          <w:rFonts w:ascii="仿宋_GB2312" w:hAnsi="仿宋_GB2312" w:eastAsia="仿宋_GB2312" w:cs="仿宋_GB2312"/>
          <w:i w:val="0"/>
          <w:iCs w:val="0"/>
        </w:rPr>
        <w:t>7.1总体要求</w:t>
      </w:r>
      <w:r>
        <w:tab/>
      </w:r>
      <w:r>
        <w:fldChar w:fldCharType="begin"/>
      </w:r>
      <w:r>
        <w:instrText xml:space="preserve"> PAGEREF _Toc8312 \h </w:instrText>
      </w:r>
      <w:r>
        <w:fldChar w:fldCharType="separate"/>
      </w:r>
      <w:r>
        <w:t>14</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_Toc30354 </w:instrText>
      </w:r>
      <w:r>
        <w:rPr>
          <w:rFonts w:ascii="宋体" w:hAnsi="宋体" w:eastAsia="宋体" w:cs="宋体"/>
        </w:rPr>
        <w:fldChar w:fldCharType="separate"/>
      </w:r>
      <w:r>
        <w:rPr>
          <w:rFonts w:ascii="仿宋_GB2312" w:hAnsi="仿宋_GB2312" w:eastAsia="仿宋_GB2312" w:cs="仿宋_GB2312"/>
          <w:i w:val="0"/>
          <w:iCs w:val="0"/>
        </w:rPr>
        <w:t>7.2具体要求</w:t>
      </w:r>
      <w:r>
        <w:tab/>
      </w:r>
      <w:r>
        <w:fldChar w:fldCharType="begin"/>
      </w:r>
      <w:r>
        <w:instrText xml:space="preserve"> PAGEREF _Toc30354 \h </w:instrText>
      </w:r>
      <w:r>
        <w:fldChar w:fldCharType="separate"/>
      </w:r>
      <w:r>
        <w:t>15</w:t>
      </w:r>
      <w:r>
        <w:fldChar w:fldCharType="end"/>
      </w:r>
      <w:r>
        <w:rPr>
          <w:rFonts w:ascii="宋体" w:hAnsi="宋体" w:eastAsia="宋体" w:cs="宋体"/>
        </w:rPr>
        <w:fldChar w:fldCharType="end"/>
      </w:r>
    </w:p>
    <w:p>
      <w:pPr>
        <w:pStyle w:val="7"/>
        <w:tabs>
          <w:tab w:val="right" w:leader="dot" w:pos="9026"/>
        </w:tabs>
      </w:pPr>
      <w:r>
        <w:rPr>
          <w:rFonts w:ascii="宋体" w:hAnsi="宋体" w:eastAsia="宋体" w:cs="宋体"/>
        </w:rPr>
        <w:fldChar w:fldCharType="begin"/>
      </w:r>
      <w:r>
        <w:rPr>
          <w:rFonts w:ascii="宋体" w:hAnsi="宋体" w:eastAsia="宋体" w:cs="宋体"/>
        </w:rPr>
        <w:instrText xml:space="preserve"> HYPERLINK \l _Toc22950 </w:instrText>
      </w:r>
      <w:r>
        <w:rPr>
          <w:rFonts w:ascii="宋体" w:hAnsi="宋体" w:eastAsia="宋体" w:cs="宋体"/>
        </w:rPr>
        <w:fldChar w:fldCharType="separate"/>
      </w:r>
      <w:r>
        <w:rPr>
          <w:rFonts w:ascii="仿宋_GB2312" w:hAnsi="仿宋_GB2312" w:eastAsia="仿宋_GB2312" w:cs="仿宋_GB2312"/>
          <w:kern w:val="36"/>
        </w:rPr>
        <w:t>8其他要求</w:t>
      </w:r>
      <w:r>
        <w:tab/>
      </w:r>
      <w:r>
        <w:fldChar w:fldCharType="begin"/>
      </w:r>
      <w:r>
        <w:instrText xml:space="preserve"> PAGEREF _Toc22950 \h </w:instrText>
      </w:r>
      <w:r>
        <w:fldChar w:fldCharType="separate"/>
      </w:r>
      <w:r>
        <w:t>18</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_Toc20849 </w:instrText>
      </w:r>
      <w:r>
        <w:rPr>
          <w:rFonts w:ascii="宋体" w:hAnsi="宋体" w:eastAsia="宋体" w:cs="宋体"/>
        </w:rPr>
        <w:fldChar w:fldCharType="separate"/>
      </w:r>
      <w:r>
        <w:rPr>
          <w:rFonts w:ascii="仿宋_GB2312" w:hAnsi="仿宋_GB2312" w:eastAsia="仿宋_GB2312" w:cs="仿宋_GB2312"/>
          <w:i w:val="0"/>
          <w:iCs w:val="0"/>
        </w:rPr>
        <w:t>8.1履约保证金</w:t>
      </w:r>
      <w:r>
        <w:tab/>
      </w:r>
      <w:r>
        <w:fldChar w:fldCharType="begin"/>
      </w:r>
      <w:r>
        <w:instrText xml:space="preserve"> PAGEREF _Toc20849 \h </w:instrText>
      </w:r>
      <w:r>
        <w:fldChar w:fldCharType="separate"/>
      </w:r>
      <w:r>
        <w:t>18</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_Toc21352 </w:instrText>
      </w:r>
      <w:r>
        <w:rPr>
          <w:rFonts w:ascii="宋体" w:hAnsi="宋体" w:eastAsia="宋体" w:cs="宋体"/>
        </w:rPr>
        <w:fldChar w:fldCharType="separate"/>
      </w:r>
      <w:r>
        <w:rPr>
          <w:rFonts w:ascii="仿宋_GB2312" w:hAnsi="仿宋_GB2312" w:eastAsia="仿宋_GB2312" w:cs="仿宋_GB2312"/>
          <w:i w:val="0"/>
          <w:iCs w:val="0"/>
        </w:rPr>
        <w:t>8.2必备要求</w:t>
      </w:r>
      <w:r>
        <w:tab/>
      </w:r>
      <w:r>
        <w:fldChar w:fldCharType="begin"/>
      </w:r>
      <w:r>
        <w:instrText xml:space="preserve"> PAGEREF _Toc21352 \h </w:instrText>
      </w:r>
      <w:r>
        <w:fldChar w:fldCharType="separate"/>
      </w:r>
      <w:r>
        <w:t>18</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_Toc27695 </w:instrText>
      </w:r>
      <w:r>
        <w:rPr>
          <w:rFonts w:ascii="宋体" w:hAnsi="宋体" w:eastAsia="宋体" w:cs="宋体"/>
        </w:rPr>
        <w:fldChar w:fldCharType="separate"/>
      </w:r>
      <w:r>
        <w:rPr>
          <w:rFonts w:ascii="仿宋_GB2312" w:hAnsi="仿宋_GB2312" w:eastAsia="仿宋_GB2312" w:cs="仿宋_GB2312"/>
          <w:szCs w:val="28"/>
        </w:rPr>
        <w:t>8.2.1通用必备要求</w:t>
      </w:r>
      <w:r>
        <w:tab/>
      </w:r>
      <w:r>
        <w:fldChar w:fldCharType="begin"/>
      </w:r>
      <w:r>
        <w:instrText xml:space="preserve"> PAGEREF _Toc27695 \h </w:instrText>
      </w:r>
      <w:r>
        <w:fldChar w:fldCharType="separate"/>
      </w:r>
      <w:r>
        <w:t>18</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_Toc30153 </w:instrText>
      </w:r>
      <w:r>
        <w:rPr>
          <w:rFonts w:ascii="宋体" w:hAnsi="宋体" w:eastAsia="宋体" w:cs="宋体"/>
        </w:rPr>
        <w:fldChar w:fldCharType="separate"/>
      </w:r>
      <w:r>
        <w:rPr>
          <w:rFonts w:ascii="仿宋_GB2312" w:hAnsi="仿宋_GB2312" w:eastAsia="仿宋_GB2312" w:cs="仿宋_GB2312"/>
          <w:i w:val="0"/>
          <w:iCs w:val="0"/>
        </w:rPr>
        <w:t>8.3付款安排建议</w:t>
      </w:r>
      <w:r>
        <w:tab/>
      </w:r>
      <w:r>
        <w:fldChar w:fldCharType="begin"/>
      </w:r>
      <w:r>
        <w:instrText xml:space="preserve"> PAGEREF _Toc30153 \h </w:instrText>
      </w:r>
      <w:r>
        <w:fldChar w:fldCharType="separate"/>
      </w:r>
      <w:r>
        <w:t>19</w:t>
      </w:r>
      <w:r>
        <w:fldChar w:fldCharType="end"/>
      </w:r>
      <w:r>
        <w:rPr>
          <w:rFonts w:ascii="宋体" w:hAnsi="宋体" w:eastAsia="宋体" w:cs="宋体"/>
        </w:rPr>
        <w:fldChar w:fldCharType="end"/>
      </w:r>
    </w:p>
    <w:p>
      <w:pPr>
        <w:pStyle w:val="8"/>
        <w:tabs>
          <w:tab w:val="right" w:leader="dot" w:pos="9026"/>
        </w:tabs>
      </w:pPr>
      <w:r>
        <w:rPr>
          <w:rFonts w:ascii="宋体" w:hAnsi="宋体" w:eastAsia="宋体" w:cs="宋体"/>
        </w:rPr>
        <w:fldChar w:fldCharType="begin"/>
      </w:r>
      <w:r>
        <w:rPr>
          <w:rFonts w:ascii="宋体" w:hAnsi="宋体" w:eastAsia="宋体" w:cs="宋体"/>
        </w:rPr>
        <w:instrText xml:space="preserve"> HYPERLINK \l _Toc3423 </w:instrText>
      </w:r>
      <w:r>
        <w:rPr>
          <w:rFonts w:ascii="宋体" w:hAnsi="宋体" w:eastAsia="宋体" w:cs="宋体"/>
        </w:rPr>
        <w:fldChar w:fldCharType="separate"/>
      </w:r>
      <w:r>
        <w:rPr>
          <w:rFonts w:ascii="仿宋_GB2312" w:hAnsi="仿宋_GB2312" w:eastAsia="仿宋_GB2312" w:cs="仿宋_GB2312"/>
          <w:i w:val="0"/>
          <w:iCs w:val="0"/>
        </w:rPr>
        <w:t>8.4其他要求</w:t>
      </w:r>
      <w:r>
        <w:tab/>
      </w:r>
      <w:r>
        <w:fldChar w:fldCharType="begin"/>
      </w:r>
      <w:r>
        <w:instrText xml:space="preserve"> PAGEREF _Toc3423 \h </w:instrText>
      </w:r>
      <w:r>
        <w:fldChar w:fldCharType="separate"/>
      </w:r>
      <w:r>
        <w:t>22</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_Toc22749 </w:instrText>
      </w:r>
      <w:r>
        <w:rPr>
          <w:rFonts w:ascii="宋体" w:hAnsi="宋体" w:eastAsia="宋体" w:cs="宋体"/>
        </w:rPr>
        <w:fldChar w:fldCharType="separate"/>
      </w:r>
      <w:r>
        <w:rPr>
          <w:rFonts w:ascii="仿宋_GB2312" w:hAnsi="仿宋_GB2312" w:eastAsia="仿宋_GB2312" w:cs="仿宋_GB2312"/>
          <w:szCs w:val="28"/>
        </w:rPr>
        <w:t>8.4.1★保密要求</w:t>
      </w:r>
      <w:r>
        <w:tab/>
      </w:r>
      <w:r>
        <w:fldChar w:fldCharType="begin"/>
      </w:r>
      <w:r>
        <w:instrText xml:space="preserve"> PAGEREF _Toc22749 \h </w:instrText>
      </w:r>
      <w:r>
        <w:fldChar w:fldCharType="separate"/>
      </w:r>
      <w:r>
        <w:t>22</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_Toc29010 </w:instrText>
      </w:r>
      <w:r>
        <w:rPr>
          <w:rFonts w:ascii="宋体" w:hAnsi="宋体" w:eastAsia="宋体" w:cs="宋体"/>
        </w:rPr>
        <w:fldChar w:fldCharType="separate"/>
      </w:r>
      <w:r>
        <w:rPr>
          <w:rFonts w:ascii="仿宋_GB2312" w:hAnsi="仿宋_GB2312" w:eastAsia="仿宋_GB2312" w:cs="仿宋_GB2312"/>
          <w:szCs w:val="28"/>
        </w:rPr>
        <w:t>8.4.2保险要求</w:t>
      </w:r>
      <w:r>
        <w:tab/>
      </w:r>
      <w:r>
        <w:fldChar w:fldCharType="begin"/>
      </w:r>
      <w:r>
        <w:instrText xml:space="preserve"> PAGEREF _Toc29010 \h </w:instrText>
      </w:r>
      <w:r>
        <w:fldChar w:fldCharType="separate"/>
      </w:r>
      <w:r>
        <w:t>22</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_Toc25112 </w:instrText>
      </w:r>
      <w:r>
        <w:rPr>
          <w:rFonts w:ascii="宋体" w:hAnsi="宋体" w:eastAsia="宋体" w:cs="宋体"/>
        </w:rPr>
        <w:fldChar w:fldCharType="separate"/>
      </w:r>
      <w:r>
        <w:rPr>
          <w:rFonts w:ascii="仿宋_GB2312" w:hAnsi="仿宋_GB2312" w:eastAsia="仿宋_GB2312" w:cs="仿宋_GB2312"/>
          <w:szCs w:val="28"/>
        </w:rPr>
        <w:t>8.4.3★合同价款</w:t>
      </w:r>
      <w:r>
        <w:tab/>
      </w:r>
      <w:r>
        <w:fldChar w:fldCharType="begin"/>
      </w:r>
      <w:r>
        <w:instrText xml:space="preserve"> PAGEREF _Toc25112 \h </w:instrText>
      </w:r>
      <w:r>
        <w:fldChar w:fldCharType="separate"/>
      </w:r>
      <w:r>
        <w:t>23</w:t>
      </w:r>
      <w:r>
        <w:fldChar w:fldCharType="end"/>
      </w:r>
      <w:r>
        <w:rPr>
          <w:rFonts w:ascii="宋体" w:hAnsi="宋体" w:eastAsia="宋体" w:cs="宋体"/>
        </w:rPr>
        <w:fldChar w:fldCharType="end"/>
      </w:r>
    </w:p>
    <w:p>
      <w:pPr>
        <w:pStyle w:val="6"/>
        <w:tabs>
          <w:tab w:val="right" w:leader="dot" w:pos="9026"/>
        </w:tabs>
      </w:pPr>
      <w:r>
        <w:rPr>
          <w:rFonts w:ascii="宋体" w:hAnsi="宋体" w:eastAsia="宋体" w:cs="宋体"/>
        </w:rPr>
        <w:fldChar w:fldCharType="begin"/>
      </w:r>
      <w:r>
        <w:rPr>
          <w:rFonts w:ascii="宋体" w:hAnsi="宋体" w:eastAsia="宋体" w:cs="宋体"/>
        </w:rPr>
        <w:instrText xml:space="preserve"> HYPERLINK \l _Toc8324 </w:instrText>
      </w:r>
      <w:r>
        <w:rPr>
          <w:rFonts w:ascii="宋体" w:hAnsi="宋体" w:eastAsia="宋体" w:cs="宋体"/>
        </w:rPr>
        <w:fldChar w:fldCharType="separate"/>
      </w:r>
      <w:r>
        <w:rPr>
          <w:rFonts w:ascii="仿宋_GB2312" w:hAnsi="仿宋_GB2312" w:eastAsia="仿宋_GB2312" w:cs="仿宋_GB2312"/>
          <w:szCs w:val="28"/>
        </w:rPr>
        <w:t>8.4.4其他</w:t>
      </w:r>
      <w:r>
        <w:tab/>
      </w:r>
      <w:r>
        <w:fldChar w:fldCharType="begin"/>
      </w:r>
      <w:r>
        <w:instrText xml:space="preserve"> PAGEREF _Toc8324 \h </w:instrText>
      </w:r>
      <w:r>
        <w:fldChar w:fldCharType="separate"/>
      </w:r>
      <w:r>
        <w:t>23</w:t>
      </w:r>
      <w:r>
        <w:fldChar w:fldCharType="end"/>
      </w:r>
      <w:r>
        <w:rPr>
          <w:rFonts w:ascii="宋体" w:hAnsi="宋体" w:eastAsia="宋体" w:cs="宋体"/>
        </w:rPr>
        <w:fldChar w:fldCharType="end"/>
      </w:r>
    </w:p>
    <w:p>
      <w:pPr>
        <w:spacing w:before="0" w:after="0" w:line="360" w:lineRule="auto"/>
        <w:jc w:val="left"/>
      </w:pPr>
      <w:r>
        <w:rPr>
          <w:rFonts w:ascii="宋体" w:hAnsi="宋体" w:eastAsia="宋体" w:cs="宋体"/>
        </w:rPr>
        <w:fldChar w:fldCharType="end"/>
      </w:r>
      <w:r>
        <w:br w:type="page"/>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center"/>
        <w:rPr>
          <w:rFonts w:ascii="仿宋_GB2312" w:hAnsi="仿宋_GB2312" w:eastAsia="仿宋_GB2312" w:cs="仿宋_GB2312"/>
          <w:b/>
          <w:bCs/>
          <w:sz w:val="32"/>
          <w:szCs w:val="32"/>
        </w:rPr>
      </w:pPr>
      <w:bookmarkStart w:id="2" w:name="_Toc21341"/>
      <w:r>
        <w:rPr>
          <w:rFonts w:ascii="仿宋_GB2312" w:hAnsi="仿宋_GB2312" w:eastAsia="仿宋_GB2312" w:cs="仿宋_GB2312"/>
          <w:kern w:val="36"/>
          <w:sz w:val="32"/>
          <w:szCs w:val="32"/>
        </w:rPr>
        <w:t>1项目概述</w:t>
      </w:r>
      <w:bookmarkEnd w:id="2"/>
    </w:p>
    <w:p>
      <w:pPr>
        <w:pStyle w:val="3"/>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3" w:name="_Toc15843"/>
      <w:r>
        <w:rPr>
          <w:rFonts w:ascii="仿宋_GB2312" w:hAnsi="仿宋_GB2312" w:eastAsia="仿宋_GB2312" w:cs="仿宋_GB2312"/>
          <w:i w:val="0"/>
          <w:iCs w:val="0"/>
          <w:sz w:val="32"/>
          <w:szCs w:val="32"/>
        </w:rPr>
        <w:t>1.1项目背景</w:t>
      </w:r>
      <w:bookmarkEnd w:id="3"/>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4" w:name="_Toc10147"/>
      <w:r>
        <w:rPr>
          <w:rFonts w:ascii="仿宋_GB2312" w:hAnsi="仿宋_GB2312" w:eastAsia="仿宋_GB2312" w:cs="仿宋_GB2312"/>
          <w:sz w:val="32"/>
          <w:szCs w:val="32"/>
        </w:rPr>
        <w:t>1.1.1项目目的、意义及背景</w:t>
      </w:r>
      <w:bookmarkEnd w:id="4"/>
    </w:p>
    <w:p>
      <w:pPr>
        <w:pStyle w:val="12"/>
        <w:keepLines w:val="0"/>
        <w:pageBreakBefore w:val="0"/>
        <w:widowControl w:val="0"/>
        <w:kinsoku/>
        <w:wordWrap/>
        <w:overflowPunct/>
        <w:topLinePunct w:val="0"/>
        <w:autoSpaceDE/>
        <w:autoSpaceDN/>
        <w:bidi w:val="0"/>
        <w:adjustRightInd/>
        <w:snapToGrid/>
        <w:spacing w:before="0" w:after="0" w:line="360" w:lineRule="auto"/>
        <w:ind w:firstLine="640"/>
        <w:jc w:val="both"/>
        <w:textAlignment w:val="baseline"/>
        <w:rPr>
          <w:rFonts w:ascii="Times New Roman" w:hAnsi="Times New Roman" w:eastAsia="Times New Roman" w:cs="Times New Roman"/>
          <w:sz w:val="32"/>
          <w:szCs w:val="32"/>
        </w:rPr>
      </w:pPr>
      <w:r>
        <w:rPr>
          <w:rFonts w:ascii="仿宋_GB2312" w:hAnsi="仿宋_GB2312" w:eastAsia="仿宋_GB2312" w:cs="仿宋_GB2312"/>
          <w:spacing w:val="9"/>
          <w:sz w:val="32"/>
          <w:szCs w:val="32"/>
        </w:rPr>
        <w:t>为满足国家税务总局靖西市税务局税务工作需求，保障税收工作顺利开展，进一步优化税收营商环境，提高税费协同共治工作效能，为机关运行提供辅助性服务，为纳税人缴费人提供更加高效优质的纳税服务，结合采购人具体实际情况，拟采购非执法类辅助性服务。</w:t>
      </w:r>
    </w:p>
    <w:p>
      <w:pPr>
        <w:pStyle w:val="3"/>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5" w:name="_Toc28636"/>
      <w:r>
        <w:rPr>
          <w:rFonts w:ascii="仿宋_GB2312" w:hAnsi="仿宋_GB2312" w:eastAsia="仿宋_GB2312" w:cs="仿宋_GB2312"/>
          <w:i w:val="0"/>
          <w:iCs w:val="0"/>
          <w:sz w:val="32"/>
          <w:szCs w:val="32"/>
        </w:rPr>
        <w:t>1.2项目内容</w:t>
      </w:r>
      <w:bookmarkEnd w:id="5"/>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6" w:name="_Toc17009"/>
      <w:r>
        <w:rPr>
          <w:rFonts w:ascii="仿宋_GB2312" w:hAnsi="仿宋_GB2312" w:eastAsia="仿宋_GB2312" w:cs="仿宋_GB2312"/>
          <w:sz w:val="32"/>
          <w:szCs w:val="32"/>
        </w:rPr>
        <w:t>1.2.1采购内容</w:t>
      </w:r>
      <w:bookmarkEnd w:id="6"/>
    </w:p>
    <w:p>
      <w:pPr>
        <w:pStyle w:val="12"/>
        <w:keepLines w:val="0"/>
        <w:pageBreakBefore w:val="0"/>
        <w:widowControl w:val="0"/>
        <w:kinsoku/>
        <w:wordWrap/>
        <w:overflowPunct/>
        <w:topLinePunct w:val="0"/>
        <w:autoSpaceDE/>
        <w:autoSpaceDN/>
        <w:bidi w:val="0"/>
        <w:adjustRightInd/>
        <w:snapToGrid/>
        <w:spacing w:before="0" w:after="0" w:line="360" w:lineRule="auto"/>
        <w:ind w:firstLine="676"/>
        <w:jc w:val="both"/>
        <w:textAlignment w:val="baseline"/>
        <w:rPr>
          <w:rFonts w:ascii="FangSong_GB2312" w:hAnsi="FangSong_GB2312" w:eastAsia="FangSong_GB2312" w:cs="FangSong_GB2312"/>
          <w:sz w:val="32"/>
          <w:szCs w:val="32"/>
        </w:rPr>
      </w:pPr>
      <w:r>
        <w:rPr>
          <w:rFonts w:ascii="仿宋_GB2312" w:hAnsi="仿宋_GB2312" w:eastAsia="仿宋_GB2312" w:cs="仿宋_GB2312"/>
          <w:spacing w:val="9"/>
          <w:sz w:val="32"/>
          <w:szCs w:val="32"/>
        </w:rPr>
        <w:t>包括税费咨询服务、导税预审服务、自助辅导服务、税费宣传服务、社保辅导服务、司勤保障服务、机关辅助服务等其他非执法类辅助服务事项。具体采购内容为：</w:t>
      </w:r>
      <w:r>
        <w:rPr>
          <w:rFonts w:ascii="仿宋_GB2312" w:hAnsi="仿宋_GB2312" w:eastAsia="仿宋_GB2312" w:cs="仿宋_GB2312"/>
          <w:sz w:val="32"/>
          <w:szCs w:val="32"/>
        </w:rPr>
        <w:t>总服务岗位配置不低于31个。采购人根据实际需求，要求供应商派驻本项目的服务人员数量不少于31人，其中司勤保障服务岗为5个，需要服务人员5人，除司勤保障服务人员外，其他岗位服务人员数量可由采购人根据实际情况进行分配和调整。</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7" w:name="_Toc21990"/>
      <w:r>
        <w:rPr>
          <w:rFonts w:ascii="仿宋_GB2312" w:hAnsi="仿宋_GB2312" w:eastAsia="仿宋_GB2312" w:cs="仿宋_GB2312"/>
          <w:sz w:val="32"/>
          <w:szCs w:val="32"/>
        </w:rPr>
        <w:t>1.2.2项目实施要求</w:t>
      </w:r>
      <w:bookmarkEnd w:id="7"/>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1.2.2.1实施范围要求</w:t>
      </w:r>
    </w:p>
    <w:p>
      <w:pPr>
        <w:pStyle w:val="13"/>
        <w:keepLines w:val="0"/>
        <w:pageBreakBefore w:val="0"/>
        <w:widowControl w:val="0"/>
        <w:kinsoku/>
        <w:wordWrap/>
        <w:overflowPunct/>
        <w:topLinePunct w:val="0"/>
        <w:autoSpaceDE/>
        <w:autoSpaceDN/>
        <w:bidi w:val="0"/>
        <w:adjustRightInd/>
        <w:snapToGrid/>
        <w:spacing w:before="0" w:after="0" w:line="360" w:lineRule="auto"/>
        <w:ind w:firstLine="640" w:firstLineChars="200"/>
        <w:rPr>
          <w:rFonts w:ascii="Times New Roman" w:hAnsi="Times New Roman" w:eastAsia="Times New Roman" w:cs="Times New Roman"/>
          <w:sz w:val="32"/>
          <w:szCs w:val="32"/>
        </w:rPr>
      </w:pPr>
      <w:r>
        <w:rPr>
          <w:rFonts w:ascii="FangSong_GB2312" w:hAnsi="FangSong_GB2312" w:eastAsia="FangSong_GB2312" w:cs="FangSong_GB2312"/>
          <w:sz w:val="32"/>
          <w:szCs w:val="32"/>
        </w:rPr>
        <w:t>在服务期内服务场所上提供满足采购内容的服务。</w:t>
      </w:r>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1.2.2.2实施时间要求</w:t>
      </w:r>
    </w:p>
    <w:p>
      <w:pPr>
        <w:pStyle w:val="12"/>
        <w:keepNext/>
        <w:keepLines w:val="0"/>
        <w:pageBreakBefore w:val="0"/>
        <w:widowControl w:val="0"/>
        <w:kinsoku/>
        <w:wordWrap/>
        <w:overflowPunct/>
        <w:topLinePunct w:val="0"/>
        <w:autoSpaceDE/>
        <w:autoSpaceDN/>
        <w:bidi w:val="0"/>
        <w:adjustRightInd/>
        <w:snapToGrid/>
        <w:spacing w:before="0" w:after="0" w:line="360" w:lineRule="auto"/>
        <w:rPr>
          <w:rFonts w:ascii="Times New Roman" w:hAnsi="Times New Roman" w:eastAsia="Times New Roman" w:cs="Times New Roman"/>
          <w:sz w:val="32"/>
          <w:szCs w:val="32"/>
        </w:rPr>
      </w:pPr>
      <w:r>
        <w:rPr>
          <w:rFonts w:ascii="仿宋_GB2312" w:hAnsi="仿宋_GB2312" w:eastAsia="仿宋_GB2312" w:cs="仿宋_GB2312"/>
          <w:spacing w:val="8"/>
          <w:sz w:val="32"/>
          <w:szCs w:val="32"/>
        </w:rPr>
        <w:t> 服务期限内现场服务原则上与国家税务总局靖西市税务局、政务服务中心工作时间一致，司勤时间根据服务实际情况而定，如有其他变化或者临时需求，双方可协商调整。</w:t>
      </w:r>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1.2.2.3实施地点要求</w:t>
      </w:r>
    </w:p>
    <w:p>
      <w:pPr>
        <w:pStyle w:val="13"/>
        <w:keepLines w:val="0"/>
        <w:pageBreakBefore w:val="0"/>
        <w:widowControl w:val="0"/>
        <w:kinsoku/>
        <w:wordWrap/>
        <w:overflowPunct/>
        <w:topLinePunct w:val="0"/>
        <w:autoSpaceDE/>
        <w:autoSpaceDN/>
        <w:bidi w:val="0"/>
        <w:adjustRightInd/>
        <w:snapToGrid/>
        <w:spacing w:before="0" w:after="0" w:line="360" w:lineRule="auto"/>
        <w:ind w:firstLine="640"/>
        <w:jc w:val="both"/>
        <w:rPr>
          <w:rFonts w:ascii="Times New Roman" w:hAnsi="Times New Roman" w:eastAsia="Times New Roman" w:cs="Times New Roman"/>
          <w:sz w:val="32"/>
          <w:szCs w:val="32"/>
        </w:rPr>
      </w:pPr>
      <w:r>
        <w:rPr>
          <w:rFonts w:ascii="仿宋_GB2312" w:hAnsi="仿宋_GB2312" w:eastAsia="仿宋_GB2312" w:cs="仿宋_GB2312"/>
          <w:spacing w:val="8"/>
          <w:sz w:val="32"/>
          <w:szCs w:val="32"/>
        </w:rPr>
        <w:t>国家税务总局靖西市税务局城东办公区、凤凰办公区、办税服务厅及外勤所到地。</w:t>
      </w:r>
      <w:r>
        <w:rPr>
          <w:rFonts w:ascii="仿宋_GB2312" w:hAnsi="仿宋_GB2312" w:eastAsia="仿宋_GB2312" w:cs="仿宋_GB2312"/>
          <w:sz w:val="32"/>
          <w:szCs w:val="32"/>
        </w:rPr>
        <w:t>服务期内，如采购人根据工作需要变更办公地址，则本项目服务地点相应调整为采购人指定地点。</w:t>
      </w:r>
    </w:p>
    <w:p>
      <w:pPr>
        <w:pStyle w:val="3"/>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8" w:name="_Toc4890"/>
      <w:r>
        <w:rPr>
          <w:rFonts w:ascii="仿宋_GB2312" w:hAnsi="仿宋_GB2312" w:eastAsia="仿宋_GB2312" w:cs="仿宋_GB2312"/>
          <w:i w:val="0"/>
          <w:iCs w:val="0"/>
          <w:sz w:val="32"/>
          <w:szCs w:val="32"/>
        </w:rPr>
        <w:t>1.3其他要求</w:t>
      </w:r>
      <w:bookmarkEnd w:id="8"/>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9" w:name="_Toc26934"/>
      <w:r>
        <w:rPr>
          <w:rFonts w:ascii="仿宋_GB2312" w:hAnsi="仿宋_GB2312" w:eastAsia="仿宋_GB2312" w:cs="仿宋_GB2312"/>
          <w:sz w:val="32"/>
          <w:szCs w:val="32"/>
        </w:rPr>
        <w:t>1.3.1采购标的需执行的相关标准规范</w:t>
      </w:r>
      <w:bookmarkEnd w:id="9"/>
    </w:p>
    <w:p>
      <w:pPr>
        <w:keepLines w:val="0"/>
        <w:pageBreakBefore w:val="0"/>
        <w:widowControl w:val="0"/>
        <w:kinsoku/>
        <w:wordWrap/>
        <w:overflowPunct/>
        <w:topLinePunct w:val="0"/>
        <w:autoSpaceDE/>
        <w:autoSpaceDN/>
        <w:bidi w:val="0"/>
        <w:adjustRightInd/>
        <w:snapToGrid/>
        <w:spacing w:before="0"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center"/>
        <w:rPr>
          <w:rFonts w:ascii="仿宋_GB2312" w:hAnsi="仿宋_GB2312" w:eastAsia="仿宋_GB2312" w:cs="仿宋_GB2312"/>
          <w:b/>
          <w:bCs/>
          <w:sz w:val="32"/>
          <w:szCs w:val="32"/>
        </w:rPr>
      </w:pPr>
      <w:bookmarkStart w:id="10" w:name="_Toc8296"/>
      <w:r>
        <w:rPr>
          <w:rFonts w:ascii="仿宋_GB2312" w:hAnsi="仿宋_GB2312" w:eastAsia="仿宋_GB2312" w:cs="仿宋_GB2312"/>
          <w:kern w:val="36"/>
          <w:sz w:val="32"/>
          <w:szCs w:val="32"/>
        </w:rPr>
        <w:t>2投标/响应要求</w:t>
      </w:r>
      <w:bookmarkEnd w:id="10"/>
    </w:p>
    <w:p>
      <w:pPr>
        <w:pStyle w:val="3"/>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1" w:name="_Toc26162"/>
      <w:r>
        <w:rPr>
          <w:rFonts w:ascii="仿宋_GB2312" w:hAnsi="仿宋_GB2312" w:eastAsia="仿宋_GB2312" w:cs="仿宋_GB2312"/>
          <w:i w:val="0"/>
          <w:iCs w:val="0"/>
          <w:sz w:val="32"/>
          <w:szCs w:val="32"/>
        </w:rPr>
        <w:t>2.1对供应商的要求</w:t>
      </w:r>
      <w:bookmarkEnd w:id="11"/>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2" w:name="_Toc19170"/>
      <w:r>
        <w:rPr>
          <w:rFonts w:ascii="仿宋_GB2312" w:hAnsi="仿宋_GB2312" w:eastAsia="仿宋_GB2312" w:cs="仿宋_GB2312"/>
          <w:sz w:val="32"/>
          <w:szCs w:val="32"/>
        </w:rPr>
        <w:t>2.1.1必备资质</w:t>
      </w:r>
      <w:bookmarkEnd w:id="12"/>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2.1.1.1投标人应遵守有关国家法律、法规和条例,具备《中华人民共和国政府采购法》第二十二条的规定和本文件中规定的条件。</w:t>
      </w:r>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2.1.1.2本项目的特定资格要求</w:t>
      </w:r>
    </w:p>
    <w:p>
      <w:pPr>
        <w:keepLines w:val="0"/>
        <w:pageBreakBefore w:val="0"/>
        <w:widowControl w:val="0"/>
        <w:kinsoku/>
        <w:wordWrap/>
        <w:overflowPunct/>
        <w:topLinePunct w:val="0"/>
        <w:autoSpaceDE/>
        <w:autoSpaceDN/>
        <w:bidi w:val="0"/>
        <w:adjustRightInd/>
        <w:snapToGrid/>
        <w:spacing w:before="0" w:after="0" w:line="360" w:lineRule="auto"/>
        <w:ind w:firstLine="640" w:firstLineChars="200"/>
        <w:rPr>
          <w:rFonts w:ascii="FangSong_GB2312" w:hAnsi="FangSong_GB2312" w:eastAsia="FangSong_GB2312" w:cs="FangSong_GB2312"/>
          <w:sz w:val="32"/>
          <w:szCs w:val="32"/>
        </w:rPr>
      </w:pPr>
      <w:r>
        <w:rPr>
          <w:rFonts w:ascii="仿宋_GB2312" w:hAnsi="仿宋_GB2312" w:eastAsia="仿宋_GB2312" w:cs="仿宋_GB2312"/>
          <w:sz w:val="32"/>
          <w:szCs w:val="32"/>
        </w:rPr>
        <w:t>无</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3" w:name="_Toc21015"/>
      <w:r>
        <w:rPr>
          <w:rFonts w:ascii="仿宋_GB2312" w:hAnsi="仿宋_GB2312" w:eastAsia="仿宋_GB2312" w:cs="仿宋_GB2312"/>
          <w:sz w:val="32"/>
          <w:szCs w:val="32"/>
        </w:rPr>
        <w:t>2.1.2优选资质/优选指标</w:t>
      </w:r>
      <w:bookmarkEnd w:id="13"/>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2.1.2.1相关证书</w:t>
      </w:r>
    </w:p>
    <w:p>
      <w:pPr>
        <w:pStyle w:val="12"/>
        <w:keepLines w:val="0"/>
        <w:pageBreakBefore w:val="0"/>
        <w:widowControl w:val="0"/>
        <w:kinsoku/>
        <w:wordWrap/>
        <w:overflowPunct/>
        <w:topLinePunct w:val="0"/>
        <w:autoSpaceDE/>
        <w:autoSpaceDN/>
        <w:bidi w:val="0"/>
        <w:adjustRightInd/>
        <w:snapToGrid/>
        <w:spacing w:before="0" w:after="0" w:line="360" w:lineRule="auto"/>
        <w:ind w:firstLine="560"/>
        <w:jc w:val="both"/>
        <w:rPr>
          <w:rFonts w:ascii="Times New Roman" w:hAnsi="Times New Roman" w:eastAsia="Times New Roman" w:cs="Times New Roman"/>
          <w:sz w:val="32"/>
          <w:szCs w:val="32"/>
        </w:rPr>
      </w:pPr>
      <w:r>
        <w:rPr>
          <w:rFonts w:ascii="仿宋_GB2312" w:hAnsi="仿宋_GB2312" w:eastAsia="仿宋_GB2312" w:cs="仿宋_GB2312"/>
          <w:sz w:val="32"/>
          <w:szCs w:val="32"/>
        </w:rPr>
        <w:t>供应商可以根据项目情况，在投标文件中提供相关证书。</w:t>
      </w:r>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2.1.2.2成功案例</w:t>
      </w:r>
    </w:p>
    <w:p>
      <w:pPr>
        <w:pStyle w:val="12"/>
        <w:keepLines w:val="0"/>
        <w:pageBreakBefore w:val="0"/>
        <w:widowControl w:val="0"/>
        <w:kinsoku/>
        <w:wordWrap/>
        <w:overflowPunct/>
        <w:topLinePunct w:val="0"/>
        <w:autoSpaceDE/>
        <w:autoSpaceDN/>
        <w:bidi w:val="0"/>
        <w:adjustRightInd/>
        <w:snapToGrid/>
        <w:spacing w:before="0" w:after="0" w:line="360" w:lineRule="auto"/>
        <w:ind w:firstLine="560"/>
        <w:jc w:val="both"/>
        <w:rPr>
          <w:rFonts w:ascii="Times New Roman" w:hAnsi="Times New Roman" w:eastAsia="Times New Roman" w:cs="Times New Roman"/>
          <w:sz w:val="32"/>
          <w:szCs w:val="32"/>
        </w:rPr>
      </w:pPr>
      <w:r>
        <w:rPr>
          <w:rFonts w:ascii="仿宋_GB2312" w:hAnsi="仿宋_GB2312" w:eastAsia="仿宋_GB2312" w:cs="仿宋_GB2312"/>
          <w:sz w:val="32"/>
          <w:szCs w:val="32"/>
        </w:rPr>
        <w:t>供应商可以根据项目情况，在投标文件中提供承接类似项目的业绩材料。</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4" w:name="_Toc22112"/>
      <w:r>
        <w:rPr>
          <w:rFonts w:ascii="仿宋_GB2312" w:hAnsi="仿宋_GB2312" w:eastAsia="仿宋_GB2312" w:cs="仿宋_GB2312"/>
          <w:sz w:val="32"/>
          <w:szCs w:val="32"/>
        </w:rPr>
        <w:t>2.1.3是否允许联合体</w:t>
      </w:r>
      <w:bookmarkEnd w:id="14"/>
    </w:p>
    <w:p>
      <w:pPr>
        <w:keepLines w:val="0"/>
        <w:pageBreakBefore w:val="0"/>
        <w:widowControl w:val="0"/>
        <w:kinsoku/>
        <w:wordWrap/>
        <w:overflowPunct/>
        <w:topLinePunct w:val="0"/>
        <w:autoSpaceDE/>
        <w:autoSpaceDN/>
        <w:bidi w:val="0"/>
        <w:adjustRightInd/>
        <w:snapToGrid/>
        <w:spacing w:before="0" w:after="0" w:line="360" w:lineRule="auto"/>
        <w:ind w:firstLine="561"/>
        <w:rPr>
          <w:rFonts w:ascii="仿宋_GB2312" w:hAnsi="仿宋_GB2312" w:eastAsia="仿宋_GB2312" w:cs="仿宋_GB2312"/>
          <w:sz w:val="32"/>
          <w:szCs w:val="32"/>
        </w:rPr>
      </w:pPr>
      <w:r>
        <w:rPr>
          <w:rFonts w:ascii="仿宋_GB2312" w:hAnsi="仿宋_GB2312" w:eastAsia="仿宋_GB2312" w:cs="仿宋_GB2312"/>
          <w:sz w:val="32"/>
          <w:szCs w:val="32"/>
        </w:rPr>
        <w:t>否</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5" w:name="_Toc3773"/>
      <w:r>
        <w:rPr>
          <w:rFonts w:ascii="仿宋_GB2312" w:hAnsi="仿宋_GB2312" w:eastAsia="仿宋_GB2312" w:cs="仿宋_GB2312"/>
          <w:sz w:val="32"/>
          <w:szCs w:val="32"/>
        </w:rPr>
        <w:t>2.1.4是否专门面向中小企业</w:t>
      </w:r>
      <w:bookmarkEnd w:id="15"/>
    </w:p>
    <w:p>
      <w:pPr>
        <w:keepLines w:val="0"/>
        <w:pageBreakBefore w:val="0"/>
        <w:widowControl w:val="0"/>
        <w:kinsoku/>
        <w:wordWrap/>
        <w:overflowPunct/>
        <w:topLinePunct w:val="0"/>
        <w:autoSpaceDE/>
        <w:autoSpaceDN/>
        <w:bidi w:val="0"/>
        <w:adjustRightInd/>
        <w:snapToGrid/>
        <w:spacing w:before="0" w:after="0" w:line="360" w:lineRule="auto"/>
        <w:ind w:firstLine="561"/>
        <w:rPr>
          <w:rFonts w:ascii="仿宋_GB2312" w:hAnsi="仿宋_GB2312" w:eastAsia="仿宋_GB2312" w:cs="仿宋_GB2312"/>
          <w:sz w:val="32"/>
          <w:szCs w:val="32"/>
        </w:rPr>
      </w:pPr>
      <w:r>
        <w:rPr>
          <w:rFonts w:ascii="仿宋_GB2312" w:hAnsi="仿宋_GB2312" w:eastAsia="仿宋_GB2312" w:cs="仿宋_GB2312"/>
          <w:sz w:val="32"/>
          <w:szCs w:val="32"/>
        </w:rPr>
        <w:t>本项目专门面向中小企业采购项目</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6" w:name="_Toc7469"/>
      <w:r>
        <w:rPr>
          <w:rFonts w:ascii="仿宋_GB2312" w:hAnsi="仿宋_GB2312" w:eastAsia="仿宋_GB2312" w:cs="仿宋_GB2312"/>
          <w:sz w:val="32"/>
          <w:szCs w:val="32"/>
        </w:rPr>
        <w:t>2.1.5其他要求</w:t>
      </w:r>
      <w:bookmarkEnd w:id="16"/>
    </w:p>
    <w:p>
      <w:pPr>
        <w:pStyle w:val="5"/>
        <w:keepNext w:val="0"/>
        <w:keepLines w:val="0"/>
        <w:pageBreakBefore w:val="0"/>
        <w:widowControl w:val="0"/>
        <w:kinsoku/>
        <w:wordWrap/>
        <w:overflowPunct/>
        <w:topLinePunct w:val="0"/>
        <w:autoSpaceDE/>
        <w:autoSpaceDN/>
        <w:bidi w:val="0"/>
        <w:adjustRightInd/>
        <w:snapToGrid/>
        <w:spacing w:before="0" w:after="0" w:line="360" w:lineRule="auto"/>
        <w:ind w:firstLine="640"/>
        <w:jc w:val="both"/>
        <w:rPr>
          <w:rFonts w:ascii="Times New Roman" w:hAnsi="Times New Roman" w:eastAsia="Times New Roman" w:cs="Times New Roman"/>
          <w:b/>
          <w:bCs/>
          <w:sz w:val="32"/>
          <w:szCs w:val="32"/>
        </w:rPr>
      </w:pPr>
      <w:r>
        <w:rPr>
          <w:rFonts w:ascii="仿宋_GB2312" w:hAnsi="仿宋_GB2312" w:eastAsia="仿宋_GB2312" w:cs="仿宋_GB2312"/>
          <w:b w:val="0"/>
          <w:bCs w:val="0"/>
          <w:sz w:val="32"/>
          <w:szCs w:val="32"/>
        </w:rPr>
        <w:t>不得转包或分包</w:t>
      </w:r>
    </w:p>
    <w:p>
      <w:pPr>
        <w:pStyle w:val="3"/>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7" w:name="_Toc30132"/>
      <w:r>
        <w:rPr>
          <w:rFonts w:ascii="仿宋_GB2312" w:hAnsi="仿宋_GB2312" w:eastAsia="仿宋_GB2312" w:cs="仿宋_GB2312"/>
          <w:i w:val="0"/>
          <w:iCs w:val="0"/>
          <w:sz w:val="32"/>
          <w:szCs w:val="32"/>
        </w:rPr>
        <w:t>2.2技术部分投标/响应内容</w:t>
      </w:r>
      <w:bookmarkEnd w:id="17"/>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8" w:name="_Toc8517"/>
      <w:r>
        <w:rPr>
          <w:rFonts w:ascii="仿宋_GB2312" w:hAnsi="仿宋_GB2312" w:eastAsia="仿宋_GB2312" w:cs="仿宋_GB2312"/>
          <w:sz w:val="32"/>
          <w:szCs w:val="32"/>
        </w:rPr>
        <w:t>2.2.1技术投标/响应总要求</w:t>
      </w:r>
      <w:bookmarkEnd w:id="18"/>
    </w:p>
    <w:p>
      <w:pPr>
        <w:keepLines w:val="0"/>
        <w:pageBreakBefore w:val="0"/>
        <w:widowControl w:val="0"/>
        <w:kinsoku/>
        <w:wordWrap/>
        <w:overflowPunct/>
        <w:topLinePunct w:val="0"/>
        <w:autoSpaceDE/>
        <w:autoSpaceDN/>
        <w:bidi w:val="0"/>
        <w:adjustRightInd/>
        <w:snapToGrid/>
        <w:spacing w:before="0" w:after="0" w:line="360" w:lineRule="auto"/>
        <w:ind w:firstLine="640" w:firstLineChars="200"/>
        <w:rPr>
          <w:rFonts w:ascii="FangSong_GB2312" w:hAnsi="FangSong_GB2312" w:eastAsia="FangSong_GB2312" w:cs="FangSong_GB2312"/>
          <w:sz w:val="32"/>
          <w:szCs w:val="32"/>
        </w:rPr>
      </w:pPr>
      <w:r>
        <w:rPr>
          <w:rFonts w:ascii="FangSong_GB2312" w:hAnsi="FangSong_GB2312" w:eastAsia="FangSong_GB2312" w:cs="FangSong_GB2312"/>
          <w:sz w:val="32"/>
          <w:szCs w:val="32"/>
        </w:rPr>
        <w:t>满足《</w:t>
      </w:r>
      <w:r>
        <w:rPr>
          <w:rFonts w:ascii="仿宋_GB2312" w:hAnsi="仿宋_GB2312" w:eastAsia="仿宋_GB2312" w:cs="仿宋_GB2312"/>
          <w:sz w:val="32"/>
          <w:szCs w:val="32"/>
        </w:rPr>
        <w:t>中华人民共和国政府采购法》第二十二条的规定及其他相关规定，具体要求详见后续采购文件。</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19" w:name="_Toc32014"/>
      <w:r>
        <w:rPr>
          <w:rFonts w:ascii="仿宋_GB2312" w:hAnsi="仿宋_GB2312" w:eastAsia="仿宋_GB2312" w:cs="仿宋_GB2312"/>
          <w:sz w:val="32"/>
          <w:szCs w:val="32"/>
        </w:rPr>
        <w:t>2.2.2投标/响应方案要求</w:t>
      </w:r>
      <w:bookmarkEnd w:id="19"/>
    </w:p>
    <w:p>
      <w:pPr>
        <w:keepLines w:val="0"/>
        <w:pageBreakBefore w:val="0"/>
        <w:widowControl w:val="0"/>
        <w:kinsoku/>
        <w:wordWrap/>
        <w:overflowPunct/>
        <w:topLinePunct w:val="0"/>
        <w:autoSpaceDE/>
        <w:autoSpaceDN/>
        <w:bidi w:val="0"/>
        <w:adjustRightInd/>
        <w:snapToGrid/>
        <w:spacing w:before="0" w:after="0"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以下相关方案，若作为评审因素，则投标人应在满足★必备指标项要求的前提下，根据项目特点和采购需求，制定更为完整、详细、可操作性强的方案。</w:t>
      </w:r>
    </w:p>
    <w:p>
      <w:pPr>
        <w:pStyle w:val="13"/>
        <w:keepLines w:val="0"/>
        <w:pageBreakBefore w:val="0"/>
        <w:widowControl w:val="0"/>
        <w:kinsoku/>
        <w:wordWrap/>
        <w:overflowPunct/>
        <w:topLinePunct w:val="0"/>
        <w:autoSpaceDE/>
        <w:autoSpaceDN/>
        <w:bidi w:val="0"/>
        <w:adjustRightInd/>
        <w:snapToGrid/>
        <w:spacing w:before="0" w:after="0" w:line="360" w:lineRule="auto"/>
        <w:ind w:firstLine="640" w:firstLineChars="200"/>
        <w:rPr>
          <w:rFonts w:ascii="Times New Roman" w:hAnsi="Times New Roman" w:eastAsia="Times New Roman" w:cs="Times New Roman"/>
          <w:sz w:val="32"/>
          <w:szCs w:val="32"/>
        </w:rPr>
      </w:pPr>
      <w:r>
        <w:rPr>
          <w:rFonts w:ascii="仿宋_GB2312" w:hAnsi="仿宋_GB2312" w:eastAsia="仿宋_GB2312" w:cs="仿宋_GB2312"/>
          <w:sz w:val="32"/>
          <w:szCs w:val="32"/>
        </w:rPr>
        <w:t>供应商可以根据项目情况，在投标文件中提供包括但不限于：项目需求理解、服务方案、管理制度及方案、培训方案，具体要求详见后续采购文件。</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center"/>
        <w:rPr>
          <w:rFonts w:ascii="仿宋_GB2312" w:hAnsi="仿宋_GB2312" w:eastAsia="仿宋_GB2312" w:cs="仿宋_GB2312"/>
          <w:b/>
          <w:bCs/>
          <w:sz w:val="32"/>
          <w:szCs w:val="32"/>
        </w:rPr>
      </w:pPr>
      <w:bookmarkStart w:id="20" w:name="_Toc5232"/>
      <w:r>
        <w:rPr>
          <w:rFonts w:ascii="仿宋_GB2312" w:hAnsi="仿宋_GB2312" w:eastAsia="仿宋_GB2312" w:cs="仿宋_GB2312"/>
          <w:kern w:val="36"/>
          <w:sz w:val="32"/>
          <w:szCs w:val="32"/>
        </w:rPr>
        <w:t>3项目需求</w:t>
      </w:r>
      <w:bookmarkEnd w:id="20"/>
    </w:p>
    <w:p>
      <w:pPr>
        <w:pStyle w:val="3"/>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21" w:name="_Toc15237"/>
      <w:r>
        <w:rPr>
          <w:rFonts w:ascii="仿宋_GB2312" w:hAnsi="仿宋_GB2312" w:eastAsia="仿宋_GB2312" w:cs="仿宋_GB2312"/>
          <w:i w:val="0"/>
          <w:iCs w:val="0"/>
          <w:sz w:val="32"/>
          <w:szCs w:val="32"/>
        </w:rPr>
        <w:t>3.1总体要求</w:t>
      </w:r>
      <w:bookmarkEnd w:id="21"/>
    </w:p>
    <w:p>
      <w:pPr>
        <w:pStyle w:val="12"/>
        <w:keepLines w:val="0"/>
        <w:pageBreakBefore w:val="0"/>
        <w:widowControl w:val="0"/>
        <w:kinsoku/>
        <w:wordWrap/>
        <w:overflowPunct/>
        <w:topLinePunct w:val="0"/>
        <w:autoSpaceDE/>
        <w:autoSpaceDN/>
        <w:bidi w:val="0"/>
        <w:adjustRightInd/>
        <w:snapToGrid/>
        <w:spacing w:before="0" w:after="0" w:line="360" w:lineRule="auto"/>
        <w:ind w:firstLine="640" w:firstLineChars="200"/>
        <w:jc w:val="both"/>
        <w:rPr>
          <w:rFonts w:ascii="Times New Roman" w:hAnsi="Times New Roman" w:eastAsia="Times New Roman" w:cs="Times New Roman"/>
          <w:sz w:val="32"/>
          <w:szCs w:val="32"/>
        </w:rPr>
      </w:pPr>
      <w:r>
        <w:rPr>
          <w:rFonts w:ascii="仿宋_GB2312" w:hAnsi="仿宋_GB2312" w:eastAsia="仿宋_GB2312" w:cs="仿宋_GB2312"/>
          <w:sz w:val="32"/>
          <w:szCs w:val="32"/>
        </w:rPr>
        <w:t>本项目服务内容</w:t>
      </w:r>
      <w:r>
        <w:rPr>
          <w:rFonts w:ascii="仿宋_GB2312" w:hAnsi="仿宋_GB2312" w:eastAsia="仿宋_GB2312" w:cs="仿宋_GB2312"/>
          <w:spacing w:val="9"/>
          <w:sz w:val="32"/>
          <w:szCs w:val="32"/>
        </w:rPr>
        <w:t>包括税费咨询服务、导税预审服务、自助辅导服务、税费宣传服务、社保辅导服务、司勤保障服务、机关辅助服务等其他非执法类辅助服务事项。</w:t>
      </w:r>
    </w:p>
    <w:p>
      <w:pPr>
        <w:pStyle w:val="12"/>
        <w:keepLines w:val="0"/>
        <w:pageBreakBefore w:val="0"/>
        <w:widowControl w:val="0"/>
        <w:kinsoku/>
        <w:wordWrap/>
        <w:overflowPunct/>
        <w:topLinePunct w:val="0"/>
        <w:autoSpaceDE/>
        <w:autoSpaceDN/>
        <w:bidi w:val="0"/>
        <w:adjustRightInd/>
        <w:snapToGrid/>
        <w:spacing w:before="0" w:after="0" w:line="360" w:lineRule="auto"/>
        <w:ind w:firstLine="640"/>
        <w:jc w:val="both"/>
        <w:rPr>
          <w:rFonts w:ascii="Times New Roman" w:hAnsi="Times New Roman" w:eastAsia="Times New Roman" w:cs="Times New Roman"/>
          <w:sz w:val="32"/>
          <w:szCs w:val="32"/>
        </w:rPr>
      </w:pPr>
      <w:r>
        <w:rPr>
          <w:rFonts w:ascii="仿宋_GB2312" w:hAnsi="仿宋_GB2312" w:eastAsia="仿宋_GB2312" w:cs="仿宋_GB2312"/>
          <w:sz w:val="32"/>
          <w:szCs w:val="32"/>
        </w:rPr>
        <w:t>服务体量估算（按每月平均数估算）：线上线下税费咨询及宣传服务量约2400人次，导税预审约1800人次，自助辅导办税费业务约800户次，政策推送+伴随访服务回访约500户次，12366热线咨询及征纳互动咨询答复约600户次，社保辅导数量约420户次，每月外出司勤服务约150人次等。</w:t>
      </w:r>
    </w:p>
    <w:p>
      <w:pPr>
        <w:pStyle w:val="12"/>
        <w:keepLines w:val="0"/>
        <w:pageBreakBefore w:val="0"/>
        <w:widowControl w:val="0"/>
        <w:kinsoku/>
        <w:wordWrap/>
        <w:overflowPunct/>
        <w:topLinePunct w:val="0"/>
        <w:autoSpaceDE/>
        <w:autoSpaceDN/>
        <w:bidi w:val="0"/>
        <w:adjustRightInd/>
        <w:snapToGrid/>
        <w:spacing w:before="0" w:after="0" w:line="360" w:lineRule="auto"/>
        <w:ind w:firstLine="560"/>
        <w:jc w:val="both"/>
        <w:rPr>
          <w:rFonts w:ascii="Times New Roman" w:hAnsi="Times New Roman" w:eastAsia="Times New Roman" w:cs="Times New Roman"/>
          <w:sz w:val="32"/>
          <w:szCs w:val="32"/>
        </w:rPr>
      </w:pPr>
      <w:r>
        <w:rPr>
          <w:rFonts w:ascii="仿宋_GB2312" w:hAnsi="仿宋_GB2312" w:eastAsia="仿宋_GB2312" w:cs="仿宋_GB2312"/>
          <w:sz w:val="32"/>
          <w:szCs w:val="32"/>
        </w:rPr>
        <w:t> 采购人对供应商提供的服务完成的质量、数量进行确认、监督和检查，供应商负责提供采购人所需的非执法类辅助性服务，完成相关服务需求的工作目标，以及服务人员配备、日常管理、工作制度、安全生产、薪酬待遇等。</w:t>
      </w:r>
    </w:p>
    <w:p>
      <w:pPr>
        <w:pStyle w:val="3"/>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22" w:name="_Toc30280"/>
      <w:r>
        <w:rPr>
          <w:rFonts w:ascii="仿宋_GB2312" w:hAnsi="仿宋_GB2312" w:eastAsia="仿宋_GB2312" w:cs="仿宋_GB2312"/>
          <w:i w:val="0"/>
          <w:iCs w:val="0"/>
          <w:sz w:val="32"/>
          <w:szCs w:val="32"/>
        </w:rPr>
        <w:t>3.2服务内容和要求</w:t>
      </w:r>
      <w:bookmarkEnd w:id="22"/>
    </w:p>
    <w:p>
      <w:pPr>
        <w:keepLines w:val="0"/>
        <w:pageBreakBefore w:val="0"/>
        <w:widowControl w:val="0"/>
        <w:kinsoku/>
        <w:wordWrap/>
        <w:overflowPunct/>
        <w:topLinePunct w:val="0"/>
        <w:autoSpaceDE/>
        <w:autoSpaceDN/>
        <w:bidi w:val="0"/>
        <w:adjustRightInd/>
        <w:snapToGrid/>
        <w:spacing w:before="0" w:after="0" w:line="360" w:lineRule="auto"/>
        <w:ind w:firstLine="561"/>
        <w:rPr>
          <w:rFonts w:ascii="仿宋_GB2312" w:hAnsi="仿宋_GB2312" w:eastAsia="仿宋_GB2312" w:cs="仿宋_GB2312"/>
          <w:sz w:val="32"/>
          <w:szCs w:val="32"/>
        </w:rPr>
      </w:pPr>
      <w:r>
        <w:rPr>
          <w:rFonts w:ascii="仿宋_GB2312" w:hAnsi="仿宋_GB2312" w:eastAsia="仿宋_GB2312" w:cs="仿宋_GB2312"/>
          <w:sz w:val="32"/>
          <w:szCs w:val="32"/>
        </w:rPr>
        <w:t>采购文件（技术部分）中有标注★号的，为必备要求，必须满足，如未作出响应，将导致响应无效；#为重要内容、△为一般内容。</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bookmarkStart w:id="23" w:name="_Toc3818"/>
      <w:r>
        <w:rPr>
          <w:rFonts w:ascii="仿宋_GB2312" w:hAnsi="仿宋_GB2312" w:eastAsia="仿宋_GB2312" w:cs="仿宋_GB2312"/>
          <w:sz w:val="32"/>
          <w:szCs w:val="32"/>
        </w:rPr>
        <w:t>3.2.1技术和服务客观指标</w:t>
      </w:r>
      <w:bookmarkEnd w:id="23"/>
    </w:p>
    <w:p>
      <w:pPr>
        <w:pStyle w:val="5"/>
        <w:keepNext w:val="0"/>
        <w:keepLines w:val="0"/>
        <w:pageBreakBefore w:val="0"/>
        <w:widowControl w:val="0"/>
        <w:kinsoku/>
        <w:wordWrap/>
        <w:overflowPunct/>
        <w:topLinePunct w:val="0"/>
        <w:autoSpaceDE/>
        <w:autoSpaceDN/>
        <w:bidi w:val="0"/>
        <w:adjustRightInd/>
        <w:snapToGrid/>
        <w:spacing w:before="0" w:after="0" w:line="360" w:lineRule="auto"/>
        <w:rPr>
          <w:rFonts w:ascii="仿宋_GB2312" w:hAnsi="仿宋_GB2312" w:eastAsia="仿宋_GB2312" w:cs="仿宋_GB2312"/>
          <w:b/>
          <w:bCs/>
          <w:sz w:val="32"/>
          <w:szCs w:val="32"/>
        </w:rPr>
      </w:pPr>
      <w:r>
        <w:rPr>
          <w:rFonts w:ascii="仿宋_GB2312" w:hAnsi="仿宋_GB2312" w:eastAsia="仿宋_GB2312" w:cs="仿宋_GB2312"/>
          <w:sz w:val="32"/>
          <w:szCs w:val="32"/>
        </w:rPr>
        <w:t>3.2.1.1具体服务内容</w:t>
      </w:r>
    </w:p>
    <w:tbl>
      <w:tblPr>
        <w:tblStyle w:val="9"/>
        <w:tblW w:w="5000" w:type="pct"/>
        <w:tblInd w:w="30" w:type="dxa"/>
        <w:tblLayout w:type="autofit"/>
        <w:tblCellMar>
          <w:top w:w="15" w:type="dxa"/>
          <w:left w:w="15" w:type="dxa"/>
          <w:bottom w:w="15" w:type="dxa"/>
          <w:right w:w="15" w:type="dxa"/>
        </w:tblCellMar>
      </w:tblPr>
      <w:tblGrid>
        <w:gridCol w:w="902"/>
        <w:gridCol w:w="1185"/>
        <w:gridCol w:w="1557"/>
        <w:gridCol w:w="3267"/>
        <w:gridCol w:w="1004"/>
        <w:gridCol w:w="1155"/>
      </w:tblGrid>
      <w:tr>
        <w:tblPrEx>
          <w:tblCellMar>
            <w:top w:w="15" w:type="dxa"/>
            <w:left w:w="15" w:type="dxa"/>
            <w:bottom w:w="15" w:type="dxa"/>
            <w:right w:w="15" w:type="dxa"/>
          </w:tblCellMar>
        </w:tblPrEx>
        <w:tc>
          <w:tcPr>
            <w:tcW w:w="497"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rPr>
            </w:pPr>
            <w:r>
              <w:rPr>
                <w:rFonts w:ascii="仿宋_GB2312" w:hAnsi="仿宋_GB2312" w:eastAsia="仿宋_GB2312" w:cs="仿宋_GB2312"/>
                <w:b/>
                <w:bCs/>
                <w:i w:val="0"/>
                <w:iCs w:val="0"/>
                <w:smallCaps w:val="0"/>
                <w:color w:val="000000"/>
                <w:sz w:val="24"/>
                <w:szCs w:val="24"/>
              </w:rPr>
              <w:t>序号</w:t>
            </w:r>
          </w:p>
        </w:tc>
        <w:tc>
          <w:tcPr>
            <w:tcW w:w="653"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rPr>
            </w:pPr>
            <w:r>
              <w:rPr>
                <w:rFonts w:ascii="仿宋_GB2312" w:hAnsi="仿宋_GB2312" w:eastAsia="仿宋_GB2312" w:cs="仿宋_GB2312"/>
                <w:b/>
                <w:bCs/>
                <w:i w:val="0"/>
                <w:iCs w:val="0"/>
                <w:smallCaps w:val="0"/>
                <w:color w:val="000000"/>
                <w:sz w:val="24"/>
                <w:szCs w:val="24"/>
              </w:rPr>
              <w:t>指标种类</w:t>
            </w:r>
          </w:p>
        </w:tc>
        <w:tc>
          <w:tcPr>
            <w:tcW w:w="858"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rPr>
            </w:pPr>
            <w:r>
              <w:rPr>
                <w:rFonts w:ascii="仿宋_GB2312" w:hAnsi="仿宋_GB2312" w:eastAsia="仿宋_GB2312" w:cs="仿宋_GB2312"/>
                <w:b/>
                <w:bCs/>
                <w:i w:val="0"/>
                <w:iCs w:val="0"/>
                <w:smallCaps w:val="0"/>
                <w:color w:val="000000"/>
                <w:sz w:val="24"/>
                <w:szCs w:val="24"/>
              </w:rPr>
              <w:t>指标名称</w:t>
            </w:r>
          </w:p>
        </w:tc>
        <w:tc>
          <w:tcPr>
            <w:tcW w:w="18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rPr>
            </w:pPr>
            <w:r>
              <w:rPr>
                <w:rFonts w:ascii="仿宋_GB2312" w:hAnsi="仿宋_GB2312" w:eastAsia="仿宋_GB2312" w:cs="仿宋_GB2312"/>
                <w:b/>
                <w:bCs/>
                <w:i w:val="0"/>
                <w:iCs w:val="0"/>
                <w:smallCaps w:val="0"/>
                <w:color w:val="000000"/>
                <w:sz w:val="24"/>
                <w:szCs w:val="24"/>
              </w:rPr>
              <w:t>指标内容</w:t>
            </w:r>
          </w:p>
        </w:tc>
        <w:tc>
          <w:tcPr>
            <w:tcW w:w="553"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rPr>
            </w:pPr>
            <w:r>
              <w:rPr>
                <w:rFonts w:ascii="仿宋_GB2312" w:hAnsi="仿宋_GB2312" w:eastAsia="仿宋_GB2312" w:cs="仿宋_GB2312"/>
                <w:b/>
                <w:bCs/>
                <w:i w:val="0"/>
                <w:iCs w:val="0"/>
                <w:smallCaps w:val="0"/>
                <w:color w:val="000000"/>
                <w:sz w:val="24"/>
                <w:szCs w:val="24"/>
              </w:rPr>
              <w:t>重要性</w:t>
            </w:r>
          </w:p>
        </w:tc>
        <w:tc>
          <w:tcPr>
            <w:tcW w:w="63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rPr>
            </w:pPr>
            <w:r>
              <w:rPr>
                <w:rFonts w:ascii="仿宋_GB2312" w:hAnsi="仿宋_GB2312" w:eastAsia="仿宋_GB2312" w:cs="仿宋_GB2312"/>
                <w:b/>
                <w:bCs/>
                <w:i w:val="0"/>
                <w:iCs w:val="0"/>
                <w:smallCaps w:val="0"/>
                <w:color w:val="000000"/>
                <w:sz w:val="24"/>
                <w:szCs w:val="24"/>
              </w:rPr>
              <w:t>是否需要证明材料</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1</w:t>
            </w:r>
          </w:p>
        </w:tc>
        <w:tc>
          <w:tcPr>
            <w:tcW w:w="6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服务类</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税费咨询服务</w:t>
            </w:r>
          </w:p>
        </w:tc>
        <w:tc>
          <w:tcPr>
            <w:tcW w:w="18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通过对外电话、税企微信群等，线上线下为纳税人提供涉税业务办理操作的咨询服务，帮助纳税人熟悉有关税收政策，了解办税所需资料和程序，如：税收政策咨询、申报问题、税（费）政策优惠等问题的咨询答复。增进纳税人缴费人权利与义务对等观念，提高纳税人缴费人诚信纳税意识。</w:t>
            </w:r>
          </w:p>
        </w:tc>
        <w:tc>
          <w:tcPr>
            <w:tcW w:w="5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w:t>
            </w:r>
          </w:p>
        </w:tc>
        <w:tc>
          <w:tcPr>
            <w:tcW w:w="63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2</w:t>
            </w:r>
          </w:p>
        </w:tc>
        <w:tc>
          <w:tcPr>
            <w:tcW w:w="6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服务类</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导税预审服务</w:t>
            </w:r>
          </w:p>
        </w:tc>
        <w:tc>
          <w:tcPr>
            <w:tcW w:w="18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引导纳税人缴费人进行线上预约及现场取号；预审纳税人缴费人资料，辅导纳税人缴费人填写办税缴费表格，协助核对办税缴费资料和表单填写的完整性；导税分流，根据纳税人办理业务情况，对于能够掌上办和网上办的事项，引导纳税人缴费人通过手机办理或至自助办税区办理，属于窗口业务分事项引导至简事快办窗口快速办理或者至疑难杂症窗口办理；解答到厅纳税人缴费人咨询；视现场人流量情况，维护办税服务厅秩序，减少纳税人办税缴费排队等候时间。</w:t>
            </w:r>
          </w:p>
        </w:tc>
        <w:tc>
          <w:tcPr>
            <w:tcW w:w="5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w:t>
            </w:r>
          </w:p>
        </w:tc>
        <w:tc>
          <w:tcPr>
            <w:tcW w:w="63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3</w:t>
            </w:r>
          </w:p>
        </w:tc>
        <w:tc>
          <w:tcPr>
            <w:tcW w:w="6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服务类</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自助辅导服务</w:t>
            </w:r>
          </w:p>
        </w:tc>
        <w:tc>
          <w:tcPr>
            <w:tcW w:w="18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为到厅纳税人掌上办税和网上办税提供全方位辅导（包含新办纳税人套餐、一般申报、逾期申报、开具发票等）；辅导纳税人缴费人熟练操作各类系统，比如：APP代开发票、自然人个税系统、电子税务局操作系统等；发放新手培训手册，对新办纳税人进行首次辅导培训，推广税费服务微信群。</w:t>
            </w:r>
          </w:p>
        </w:tc>
        <w:tc>
          <w:tcPr>
            <w:tcW w:w="5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w:t>
            </w:r>
          </w:p>
        </w:tc>
        <w:tc>
          <w:tcPr>
            <w:tcW w:w="63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4</w:t>
            </w:r>
          </w:p>
        </w:tc>
        <w:tc>
          <w:tcPr>
            <w:tcW w:w="6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服务类</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社保辅导服务</w:t>
            </w:r>
          </w:p>
        </w:tc>
        <w:tc>
          <w:tcPr>
            <w:tcW w:w="18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辅导企业、城乡居民、灵活就业人员等社保、医保费的申报缴纳、退费、基数调整以及与社保医保部门对接补缴数据业务。</w:t>
            </w:r>
          </w:p>
        </w:tc>
        <w:tc>
          <w:tcPr>
            <w:tcW w:w="5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w:t>
            </w:r>
          </w:p>
        </w:tc>
        <w:tc>
          <w:tcPr>
            <w:tcW w:w="63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5</w:t>
            </w:r>
          </w:p>
        </w:tc>
        <w:tc>
          <w:tcPr>
            <w:tcW w:w="6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服务类</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税费宣传服务</w:t>
            </w:r>
          </w:p>
        </w:tc>
        <w:tc>
          <w:tcPr>
            <w:tcW w:w="18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协助税费管理员做好税费宣传，如辅助开展税收及非税收入、社保医保的政策宣传，有效引导有需求的纳税人在固定时间、固定场所获取相应服务；开展纳税伴随访及诉求回访服务，根据纳税人通过各种网上办税平台、办税服务厅现场办理业务开展伴随访，同时对电话反映的诉求进行记录并及时进行电话回访，电话回访内容包括涉税（费）问题答复、政策辅导、收集对纳税服务的意见建议等。</w:t>
            </w:r>
          </w:p>
        </w:tc>
        <w:tc>
          <w:tcPr>
            <w:tcW w:w="5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w:t>
            </w:r>
          </w:p>
        </w:tc>
        <w:tc>
          <w:tcPr>
            <w:tcW w:w="63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6</w:t>
            </w:r>
          </w:p>
        </w:tc>
        <w:tc>
          <w:tcPr>
            <w:tcW w:w="6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服务类</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司勤保障服务</w:t>
            </w:r>
          </w:p>
        </w:tc>
        <w:tc>
          <w:tcPr>
            <w:tcW w:w="18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提供出车服务、协助开展日常对车辆的管护、维护、保养等辅助管理。</w:t>
            </w:r>
          </w:p>
        </w:tc>
        <w:tc>
          <w:tcPr>
            <w:tcW w:w="5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w:t>
            </w:r>
          </w:p>
        </w:tc>
        <w:tc>
          <w:tcPr>
            <w:tcW w:w="63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7</w:t>
            </w:r>
          </w:p>
        </w:tc>
        <w:tc>
          <w:tcPr>
            <w:tcW w:w="6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服务类</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机关辅助服务</w:t>
            </w:r>
          </w:p>
        </w:tc>
        <w:tc>
          <w:tcPr>
            <w:tcW w:w="18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协助开展纳税人基础资料整理、电脑打印机办公设备维护，包括但不限于资料扫描、传递、归档等；采购人根据工作需要，临时调配安排的其它相关服务事项。</w:t>
            </w:r>
          </w:p>
        </w:tc>
        <w:tc>
          <w:tcPr>
            <w:tcW w:w="55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r>
              <w:rPr>
                <w:rFonts w:ascii="仿宋_GB2312" w:hAnsi="仿宋_GB2312" w:eastAsia="仿宋_GB2312" w:cs="仿宋_GB2312"/>
                <w:b w:val="0"/>
                <w:bCs w:val="0"/>
                <w:i w:val="0"/>
                <w:iCs w:val="0"/>
                <w:smallCaps w:val="0"/>
                <w:color w:val="000000"/>
                <w:sz w:val="24"/>
                <w:szCs w:val="24"/>
              </w:rPr>
              <w:t>★</w:t>
            </w:r>
          </w:p>
        </w:tc>
        <w:tc>
          <w:tcPr>
            <w:tcW w:w="63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4"/>
                <w:szCs w:val="24"/>
              </w:rPr>
            </w:pPr>
          </w:p>
        </w:tc>
      </w:tr>
    </w:tbl>
    <w:p>
      <w:pPr>
        <w:pStyle w:val="4"/>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24" w:name="_Toc8050"/>
      <w:r>
        <w:rPr>
          <w:rFonts w:ascii="仿宋_GB2312" w:hAnsi="仿宋_GB2312" w:eastAsia="仿宋_GB2312" w:cs="仿宋_GB2312"/>
          <w:sz w:val="32"/>
          <w:szCs w:val="32"/>
        </w:rPr>
        <w:t>3.2.2技术和服务其他要求</w:t>
      </w:r>
      <w:bookmarkEnd w:id="24"/>
    </w:p>
    <w:p>
      <w:pPr>
        <w:pStyle w:val="3"/>
        <w:keepNext w:val="0"/>
        <w:keepLines w:val="0"/>
        <w:pageBreakBefore w:val="0"/>
        <w:kinsoku/>
        <w:wordWrap/>
        <w:overflowPunct/>
        <w:topLinePunct w:val="0"/>
        <w:autoSpaceDE/>
        <w:autoSpaceDN/>
        <w:bidi w:val="0"/>
        <w:adjustRightInd/>
        <w:snapToGrid/>
        <w:spacing w:before="0" w:after="0" w:line="600" w:lineRule="exact"/>
        <w:ind w:firstLine="640"/>
        <w:jc w:val="both"/>
        <w:textAlignment w:val="auto"/>
        <w:rPr>
          <w:rFonts w:ascii="Times New Roman" w:hAnsi="Times New Roman" w:eastAsia="Times New Roman" w:cs="Times New Roman"/>
          <w:b/>
          <w:bCs/>
          <w:sz w:val="32"/>
          <w:szCs w:val="32"/>
        </w:rPr>
      </w:pPr>
      <w:bookmarkStart w:id="25" w:name="_Toc32513"/>
      <w:r>
        <w:rPr>
          <w:rFonts w:ascii="仿宋_GB2312" w:hAnsi="仿宋_GB2312" w:eastAsia="仿宋_GB2312" w:cs="仿宋_GB2312"/>
          <w:b w:val="0"/>
          <w:bCs w:val="0"/>
          <w:i w:val="0"/>
          <w:iCs w:val="0"/>
          <w:sz w:val="32"/>
          <w:szCs w:val="32"/>
        </w:rPr>
        <w:t>服务人员培训考核要求：</w:t>
      </w:r>
      <w:bookmarkEnd w:id="25"/>
    </w:p>
    <w:p>
      <w:pPr>
        <w:pStyle w:val="14"/>
        <w:keepNext w:val="0"/>
        <w:keepLines w:val="0"/>
        <w:pageBreakBefore w:val="0"/>
        <w:kinsoku/>
        <w:wordWrap/>
        <w:overflowPunct/>
        <w:topLinePunct w:val="0"/>
        <w:autoSpaceDE/>
        <w:autoSpaceDN/>
        <w:bidi w:val="0"/>
        <w:adjustRightInd/>
        <w:snapToGrid/>
        <w:spacing w:before="0" w:after="0" w:line="600" w:lineRule="exact"/>
        <w:ind w:firstLine="64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1.岗前培训:为了确保服务质量，人员上岗之前，供应商应按照采购人要求组织人员进行岗前培训。人员岗前培训的费用由供应商自行承担。</w:t>
      </w:r>
    </w:p>
    <w:p>
      <w:pPr>
        <w:pStyle w:val="14"/>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2.在岗培训:中标供应商应根据服务具体需求提供日常专业培训和服务培训，并对工作中发现的问题及时处理，不断创新服务举措和提升服务水平。</w:t>
      </w:r>
    </w:p>
    <w:p>
      <w:pPr>
        <w:pStyle w:val="14"/>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3.人员考核:为保障相关服务工作按时开展，供应商应当在签订政府采购合同后5个工作日内开展岗前培训工作，并在30个工作日内完成全部培训工作。供应商根据培训情况对服务人员进行考核，针对首次考核不合格的服务人员，应当在5个工作日内完成专项培训工作并进行复考。为保障采购人工作按时开展，供应商投入的服务人员经岗前培训后，未能掌握基本服务岗位要求的，视为供应商提供的服务人员不合格，需要重新组织培训，使服务人员能够胜任其所在服务岗位为止。</w:t>
      </w:r>
    </w:p>
    <w:p>
      <w:pPr>
        <w:pStyle w:val="2"/>
        <w:keepNext w:val="0"/>
        <w:keepLines w:val="0"/>
        <w:pageBreakBefore w:val="0"/>
        <w:kinsoku/>
        <w:wordWrap/>
        <w:overflowPunct/>
        <w:topLinePunct w:val="0"/>
        <w:autoSpaceDE/>
        <w:autoSpaceDN/>
        <w:bidi w:val="0"/>
        <w:adjustRightInd/>
        <w:snapToGrid/>
        <w:spacing w:before="0" w:after="0" w:line="600" w:lineRule="exact"/>
        <w:jc w:val="center"/>
        <w:textAlignment w:val="auto"/>
        <w:rPr>
          <w:rFonts w:ascii="仿宋_GB2312" w:hAnsi="仿宋_GB2312" w:eastAsia="仿宋_GB2312" w:cs="仿宋_GB2312"/>
          <w:b/>
          <w:bCs/>
          <w:sz w:val="32"/>
          <w:szCs w:val="32"/>
        </w:rPr>
      </w:pPr>
      <w:bookmarkStart w:id="26" w:name="_Toc2957"/>
      <w:r>
        <w:rPr>
          <w:rFonts w:ascii="仿宋_GB2312" w:hAnsi="仿宋_GB2312" w:eastAsia="仿宋_GB2312" w:cs="仿宋_GB2312"/>
          <w:kern w:val="36"/>
          <w:sz w:val="32"/>
          <w:szCs w:val="32"/>
        </w:rPr>
        <w:t>4人员要求</w:t>
      </w:r>
      <w:bookmarkEnd w:id="26"/>
    </w:p>
    <w:p>
      <w:pPr>
        <w:pStyle w:val="3"/>
        <w:keepNext w:val="0"/>
        <w:keepLines w:val="0"/>
        <w:pageBreakBefore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27" w:name="_Toc2095"/>
      <w:r>
        <w:rPr>
          <w:rFonts w:ascii="仿宋_GB2312" w:hAnsi="仿宋_GB2312" w:eastAsia="仿宋_GB2312" w:cs="仿宋_GB2312"/>
          <w:i w:val="0"/>
          <w:iCs w:val="0"/>
          <w:sz w:val="32"/>
          <w:szCs w:val="32"/>
        </w:rPr>
        <w:t>4.1总体要求</w:t>
      </w:r>
      <w:bookmarkEnd w:id="27"/>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FangSong_GB2312" w:hAnsi="FangSong_GB2312" w:eastAsia="FangSong_GB2312" w:cs="FangSong_GB2312"/>
          <w:sz w:val="32"/>
          <w:szCs w:val="32"/>
        </w:rPr>
      </w:pPr>
      <w:r>
        <w:rPr>
          <w:rFonts w:ascii="仿宋_GB2312" w:hAnsi="仿宋_GB2312" w:eastAsia="仿宋_GB2312" w:cs="仿宋_GB2312"/>
          <w:sz w:val="32"/>
          <w:szCs w:val="32"/>
        </w:rPr>
        <w:t>供应商应当根据采购人要求投入具备对应服务事项工作能力的服务人员，到采购人指定地点提供相关服务，根据服务工作量等因素测算，★本项目总服务岗位配置不低于31个。采购人根据实际需求，要求供应商派驻本项目的服务人员数量不少于31人，其中司勤保障服务岗为5个，需要服务人员5人，除司勤保障服务人员外，其他岗位服务人员数量可由采购人根据实际情况进行分配和调整。</w:t>
      </w:r>
      <w:r>
        <w:rPr>
          <w:rFonts w:ascii="FangSong_GB2312" w:hAnsi="FangSong_GB2312" w:eastAsia="FangSong_GB2312" w:cs="FangSong_GB2312"/>
          <w:sz w:val="32"/>
          <w:szCs w:val="32"/>
        </w:rPr>
        <w:t> </w:t>
      </w:r>
    </w:p>
    <w:p>
      <w:pPr>
        <w:pStyle w:val="3"/>
        <w:keepNext w:val="0"/>
        <w:keepLines w:val="0"/>
        <w:pageBreakBefore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28" w:name="_Toc32676"/>
      <w:r>
        <w:rPr>
          <w:rFonts w:ascii="仿宋_GB2312" w:hAnsi="仿宋_GB2312" w:eastAsia="仿宋_GB2312" w:cs="仿宋_GB2312"/>
          <w:i w:val="0"/>
          <w:iCs w:val="0"/>
          <w:sz w:val="32"/>
          <w:szCs w:val="32"/>
        </w:rPr>
        <w:t>4.2基本要求</w:t>
      </w:r>
      <w:bookmarkEnd w:id="28"/>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1.服务人员在工作中应当自觉遵守国家法律、法规和税务机关的规定，服从采购人的管理，保守国家秘密、税收工作秘密和服务对象秘密，爱岗敬业，忠于职守。</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2. 服务人员遵守采购人各项规章制度，服从管理和工作安排，不得对服务对象闹情绪、耍态度，不得与纳税人（缴费人）发生冲突。</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服务人员的年龄为18周岁以上，具有较好的表达能力、观察能力、协调能力；无违法犯罪记录；身体健康、无传染病史、无色盲、无口吃、听力正常，品行端正、遵纪守法、服务态度良好；服务人员要具有履行相应岗位职责的能力或税务大厅同类工作经验，除司勤服务人员外，其他服务人员具有中专以上文化程度，熟悉计算机操作，或财务、会计、税收、经济类、工商管理类专业或者有涉税工作经验者优先；司勤服务人员需持有C1及以上等级驾驶证，有三年以上驾龄，无重大交通违章记录。</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服务人员（在办税服务厅）按岗位要求统一着装，言行规范，注意仪容仪表、公众形象。</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5.服务人员服务时间及休假时间由采购人根据国家有关规定和实际工作需要做具体安排。</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服务人员应坚持原则，按规章制度办事，不得以职务之便谋取私利，不得以任何形式向服务对象吃、拿、卡、要，不得违规使用或泄露在工作中所知悉或获取的各类信息，不得经商办企业、在企业兼职 （任职）领取报酬，不得作出损害税务机关信誉和形象的言行，上述事项一经发现，相关服务人员将予以退回，并根据实际情况追究中标供应商及所涉人员责任。</w:t>
      </w:r>
    </w:p>
    <w:p>
      <w:pPr>
        <w:pStyle w:val="3"/>
        <w:keepNext w:val="0"/>
        <w:keepLines w:val="0"/>
        <w:pageBreakBefore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29" w:name="_Toc5289"/>
      <w:r>
        <w:rPr>
          <w:rFonts w:ascii="仿宋_GB2312" w:hAnsi="仿宋_GB2312" w:eastAsia="仿宋_GB2312" w:cs="仿宋_GB2312"/>
          <w:i w:val="0"/>
          <w:iCs w:val="0"/>
          <w:sz w:val="32"/>
          <w:szCs w:val="32"/>
        </w:rPr>
        <w:t>4.3管理团队</w:t>
      </w:r>
      <w:bookmarkEnd w:id="29"/>
    </w:p>
    <w:p>
      <w:pPr>
        <w:pStyle w:val="4"/>
        <w:keepNext w:val="0"/>
        <w:keepLines w:val="0"/>
        <w:pageBreakBefore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30" w:name="_Toc22820"/>
      <w:r>
        <w:rPr>
          <w:rFonts w:ascii="仿宋_GB2312" w:hAnsi="仿宋_GB2312" w:eastAsia="仿宋_GB2312" w:cs="仿宋_GB2312"/>
          <w:sz w:val="32"/>
          <w:szCs w:val="32"/>
        </w:rPr>
        <w:t>4.3.1项目负责人</w:t>
      </w:r>
      <w:bookmarkEnd w:id="30"/>
    </w:p>
    <w:p>
      <w:pPr>
        <w:pStyle w:val="12"/>
        <w:keepNext w:val="0"/>
        <w:keepLines w:val="0"/>
        <w:pageBreakBefore w:val="0"/>
        <w:kinsoku/>
        <w:wordWrap/>
        <w:overflowPunct/>
        <w:topLinePunct w:val="0"/>
        <w:autoSpaceDE/>
        <w:autoSpaceDN/>
        <w:bidi w:val="0"/>
        <w:adjustRightInd/>
        <w:snapToGrid/>
        <w:spacing w:before="0" w:after="0" w:line="600" w:lineRule="exact"/>
        <w:ind w:firstLine="64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供应商应确定一名项目负责人，专职负责与采购人联络对接，项目负责人如需更换的，需提前一个月报采购人同意后方可执行。</w:t>
      </w:r>
    </w:p>
    <w:p>
      <w:pPr>
        <w:pStyle w:val="3"/>
        <w:keepNext w:val="0"/>
        <w:keepLines w:val="0"/>
        <w:pageBreakBefore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31" w:name="_Toc24576"/>
      <w:r>
        <w:rPr>
          <w:rFonts w:ascii="仿宋_GB2312" w:hAnsi="仿宋_GB2312" w:eastAsia="仿宋_GB2312" w:cs="仿宋_GB2312"/>
          <w:i w:val="0"/>
          <w:iCs w:val="0"/>
          <w:sz w:val="32"/>
          <w:szCs w:val="32"/>
        </w:rPr>
        <w:t>4.4技术团队</w:t>
      </w:r>
      <w:bookmarkEnd w:id="31"/>
    </w:p>
    <w:p>
      <w:pPr>
        <w:pStyle w:val="3"/>
        <w:keepNext w:val="0"/>
        <w:keepLines w:val="0"/>
        <w:pageBreakBefore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32" w:name="_Toc29104"/>
      <w:r>
        <w:rPr>
          <w:rFonts w:ascii="仿宋_GB2312" w:hAnsi="仿宋_GB2312" w:eastAsia="仿宋_GB2312" w:cs="仿宋_GB2312"/>
          <w:i w:val="0"/>
          <w:iCs w:val="0"/>
          <w:sz w:val="32"/>
          <w:szCs w:val="32"/>
        </w:rPr>
        <w:t>4.5优选资质/优选指标</w:t>
      </w:r>
      <w:bookmarkEnd w:id="32"/>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ascii="仿宋_GB2312" w:hAnsi="仿宋_GB2312" w:eastAsia="仿宋_GB2312" w:cs="仿宋_GB2312"/>
          <w:kern w:val="36"/>
          <w:sz w:val="32"/>
          <w:szCs w:val="32"/>
        </w:rPr>
      </w:pPr>
      <w:bookmarkStart w:id="33" w:name="_Toc8263"/>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ascii="仿宋_GB2312" w:hAnsi="仿宋_GB2312" w:eastAsia="仿宋_GB2312" w:cs="仿宋_GB2312"/>
          <w:b/>
          <w:bCs/>
          <w:sz w:val="32"/>
          <w:szCs w:val="32"/>
        </w:rPr>
      </w:pPr>
      <w:r>
        <w:rPr>
          <w:rFonts w:ascii="仿宋_GB2312" w:hAnsi="仿宋_GB2312" w:eastAsia="仿宋_GB2312" w:cs="仿宋_GB2312"/>
          <w:kern w:val="36"/>
          <w:sz w:val="32"/>
          <w:szCs w:val="32"/>
        </w:rPr>
        <w:t>5管理实施要求</w:t>
      </w:r>
      <w:bookmarkEnd w:id="33"/>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1.供应商须依据《中华人民共和国民法典》及相关法律法规的规定，对提供服务人员在采购人指定地点提供相关服务的事宜与采购人签订政府采购合同。</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2.供应商须依据《中华人民共和国劳动法》《中华人民共和国劳动合同法》及相关法律法规的规定与投入本项目的服务人员签订《劳动合同》，并履行对劳动者的法定义务，不得将这些义务转嫁或变相转嫁于采购人。</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3.供应商必须为提供的服务人员购买社会保险(包括养老、医疗、失业、工伤、生育等险种)，金额不得低于国家最低标准；负责为本项目在办税服务厅提供服务的服务人员购买统一工装（费用由中标供应商负责），并承诺要求其提供服务时统一着装。</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4.供应商应建立完善的内部管理机制，内容包含但不限于：项目管理机构设置、服务人员岗位及职能介绍、内部管理制度、服务质量管控措施等。</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5.供应商应建立完善的应急预案，内容包含但不限于舆情事件应急处理、大厅纠纷应急预案、交通事故应急处理预案等。</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6.供应商所提供的服务人员应根据工作所在地的政务服务中心及采购人安排完成相应的服务量。因采购人临时性、突发性工作安排需要服务人员在法定工作时间外加班的，相关费用已包含在合同总价中，采购人不再另行支付。</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★7.若服务人员与供应商发生劳动纠纷的(含工伤事故)，所产生的所有法律责任由供应商承担，由此造成采购人损失或社会公信力遭受影响的，概由供应商承担赔偿责任及消除影响的责任。</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8.供应商对投入使用的服务人员要严格审查，确保服务人员无违法犯罪记录。</w:t>
      </w:r>
    </w:p>
    <w:p>
      <w:pPr>
        <w:pStyle w:val="1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9.供应商需安排双方合同约定的服务人员数量到采购人指定的场所提供服务工作，不得随意更换已投入服务的人员，服务人员若因故请休假、无法胜任或其他原因调离造成缺岗的，供应商需5个工作日内另行安排符合条件的人员到岗，若超过约定时间无法安排人员补充空缺的服务岗位，经双方协商可扣除相应服务费。</w:t>
      </w:r>
    </w:p>
    <w:p>
      <w:pPr>
        <w:pStyle w:val="2"/>
        <w:keepNext w:val="0"/>
        <w:keepLines w:val="0"/>
        <w:pageBreakBefore w:val="0"/>
        <w:kinsoku/>
        <w:wordWrap/>
        <w:overflowPunct/>
        <w:topLinePunct w:val="0"/>
        <w:autoSpaceDE/>
        <w:autoSpaceDN/>
        <w:bidi w:val="0"/>
        <w:adjustRightInd/>
        <w:snapToGrid/>
        <w:spacing w:before="0" w:after="0" w:line="600" w:lineRule="exact"/>
        <w:jc w:val="center"/>
        <w:textAlignment w:val="auto"/>
        <w:rPr>
          <w:rFonts w:ascii="仿宋_GB2312" w:hAnsi="仿宋_GB2312" w:eastAsia="仿宋_GB2312" w:cs="仿宋_GB2312"/>
          <w:b/>
          <w:bCs/>
          <w:sz w:val="32"/>
          <w:szCs w:val="32"/>
        </w:rPr>
      </w:pPr>
      <w:bookmarkStart w:id="34" w:name="_Toc9787"/>
      <w:r>
        <w:rPr>
          <w:rFonts w:ascii="仿宋_GB2312" w:hAnsi="仿宋_GB2312" w:eastAsia="仿宋_GB2312" w:cs="仿宋_GB2312"/>
          <w:kern w:val="36"/>
          <w:sz w:val="32"/>
          <w:szCs w:val="32"/>
        </w:rPr>
        <w:t>6风险管控要求</w:t>
      </w:r>
      <w:bookmarkEnd w:id="34"/>
    </w:p>
    <w:p>
      <w:pPr>
        <w:pStyle w:val="2"/>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b/>
          <w:bCs/>
          <w:sz w:val="32"/>
          <w:szCs w:val="32"/>
        </w:rPr>
      </w:pPr>
      <w:bookmarkStart w:id="35" w:name="_Toc256000033"/>
      <w:bookmarkStart w:id="36" w:name="_Toc26914"/>
      <w:r>
        <w:rPr>
          <w:rFonts w:ascii="仿宋_GB2312" w:hAnsi="仿宋_GB2312" w:eastAsia="仿宋_GB2312" w:cs="仿宋_GB2312"/>
          <w:b w:val="0"/>
          <w:bCs w:val="0"/>
          <w:kern w:val="36"/>
          <w:sz w:val="32"/>
          <w:szCs w:val="32"/>
        </w:rPr>
        <w:t>★供应商应妥善处理好服务人员诉求，对工资、福利、社保有调整变动需求时，必须符合国家的相关法律法规。在项目实施过程中，若因供应商自身企业风险或责任(包括但不限于拖欠工资、法律诉讼等)问题导致服务无法正常提供，或给采购人声誉造成负面影响，使采购人权益受损的，采购人有权单方解除合同，并要求供应商支付合同总金额20%的违约金，违约金不足以弥补采购人损失的，供应商应就超出部分继续承担赔偿责任。</w:t>
      </w:r>
      <w:bookmarkEnd w:id="35"/>
      <w:bookmarkEnd w:id="36"/>
    </w:p>
    <w:p>
      <w:pPr>
        <w:pStyle w:val="2"/>
        <w:keepNext w:val="0"/>
        <w:keepLines w:val="0"/>
        <w:pageBreakBefore w:val="0"/>
        <w:kinsoku/>
        <w:wordWrap/>
        <w:overflowPunct/>
        <w:topLinePunct w:val="0"/>
        <w:autoSpaceDE/>
        <w:autoSpaceDN/>
        <w:bidi w:val="0"/>
        <w:adjustRightInd/>
        <w:snapToGrid/>
        <w:spacing w:before="0" w:after="0" w:line="600" w:lineRule="exact"/>
        <w:jc w:val="center"/>
        <w:textAlignment w:val="auto"/>
        <w:rPr>
          <w:rFonts w:ascii="仿宋_GB2312" w:hAnsi="仿宋_GB2312" w:eastAsia="仿宋_GB2312" w:cs="仿宋_GB2312"/>
          <w:kern w:val="36"/>
          <w:sz w:val="32"/>
          <w:szCs w:val="32"/>
        </w:rPr>
      </w:pPr>
      <w:bookmarkStart w:id="37" w:name="_Toc17492"/>
    </w:p>
    <w:p>
      <w:pPr>
        <w:pStyle w:val="2"/>
        <w:keepNext w:val="0"/>
        <w:keepLines w:val="0"/>
        <w:pageBreakBefore w:val="0"/>
        <w:kinsoku/>
        <w:wordWrap/>
        <w:overflowPunct/>
        <w:topLinePunct w:val="0"/>
        <w:autoSpaceDE/>
        <w:autoSpaceDN/>
        <w:bidi w:val="0"/>
        <w:adjustRightInd/>
        <w:snapToGrid/>
        <w:spacing w:before="0" w:after="0" w:line="600" w:lineRule="exact"/>
        <w:jc w:val="center"/>
        <w:textAlignment w:val="auto"/>
        <w:rPr>
          <w:rFonts w:ascii="仿宋_GB2312" w:hAnsi="仿宋_GB2312" w:eastAsia="仿宋_GB2312" w:cs="仿宋_GB2312"/>
          <w:b/>
          <w:bCs/>
          <w:sz w:val="32"/>
          <w:szCs w:val="32"/>
        </w:rPr>
      </w:pPr>
      <w:r>
        <w:rPr>
          <w:rFonts w:ascii="仿宋_GB2312" w:hAnsi="仿宋_GB2312" w:eastAsia="仿宋_GB2312" w:cs="仿宋_GB2312"/>
          <w:kern w:val="36"/>
          <w:sz w:val="32"/>
          <w:szCs w:val="32"/>
        </w:rPr>
        <w:t>7履约验收要求</w:t>
      </w:r>
      <w:bookmarkEnd w:id="37"/>
    </w:p>
    <w:p>
      <w:pPr>
        <w:pStyle w:val="3"/>
        <w:keepNext w:val="0"/>
        <w:keepLines w:val="0"/>
        <w:pageBreakBefore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38" w:name="_Toc8312"/>
      <w:r>
        <w:rPr>
          <w:rFonts w:ascii="仿宋_GB2312" w:hAnsi="仿宋_GB2312" w:eastAsia="仿宋_GB2312" w:cs="仿宋_GB2312"/>
          <w:i w:val="0"/>
          <w:iCs w:val="0"/>
          <w:sz w:val="32"/>
          <w:szCs w:val="32"/>
        </w:rPr>
        <w:t>7.1总体要求</w:t>
      </w:r>
      <w:bookmarkEnd w:id="38"/>
    </w:p>
    <w:tbl>
      <w:tblPr>
        <w:tblStyle w:val="9"/>
        <w:tblW w:w="5000" w:type="pct"/>
        <w:tblInd w:w="30" w:type="dxa"/>
        <w:tblLayout w:type="autofit"/>
        <w:tblCellMar>
          <w:top w:w="15" w:type="dxa"/>
          <w:left w:w="15" w:type="dxa"/>
          <w:bottom w:w="15" w:type="dxa"/>
          <w:right w:w="15" w:type="dxa"/>
        </w:tblCellMar>
      </w:tblPr>
      <w:tblGrid>
        <w:gridCol w:w="3086"/>
        <w:gridCol w:w="5984"/>
      </w:tblGrid>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rPr>
            </w:pPr>
            <w:r>
              <w:rPr>
                <w:rFonts w:ascii="仿宋_GB2312" w:hAnsi="仿宋_GB2312" w:eastAsia="仿宋_GB2312" w:cs="仿宋_GB2312"/>
                <w:b/>
                <w:bCs/>
                <w:i w:val="0"/>
                <w:iCs w:val="0"/>
                <w:smallCaps w:val="0"/>
                <w:color w:val="000000"/>
                <w:sz w:val="28"/>
                <w:szCs w:val="28"/>
              </w:rPr>
              <w:t>验收名称</w:t>
            </w:r>
          </w:p>
        </w:tc>
        <w:tc>
          <w:tcPr>
            <w:tcW w:w="3298"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rPr>
            </w:pPr>
            <w:r>
              <w:rPr>
                <w:rFonts w:ascii="仿宋_GB2312" w:hAnsi="仿宋_GB2312" w:eastAsia="仿宋_GB2312" w:cs="仿宋_GB2312"/>
                <w:b/>
                <w:bCs/>
                <w:i w:val="0"/>
                <w:iCs w:val="0"/>
                <w:smallCaps w:val="0"/>
                <w:color w:val="000000"/>
                <w:sz w:val="28"/>
                <w:szCs w:val="28"/>
              </w:rPr>
              <w:t>验收要求</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第2次验收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第3次验收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第4次验收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第5次验收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第6次验收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第7次验收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第8次验收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第9次验收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第10次验收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第11次验收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第12次验收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w:t>
            </w:r>
          </w:p>
        </w:tc>
      </w:tr>
      <w:tr>
        <w:tblPrEx>
          <w:tblCellMar>
            <w:top w:w="15" w:type="dxa"/>
            <w:left w:w="15" w:type="dxa"/>
            <w:bottom w:w="15" w:type="dxa"/>
            <w:right w:w="15" w:type="dxa"/>
          </w:tblCellMar>
        </w:tblPrEx>
        <w:tc>
          <w:tcPr>
            <w:tcW w:w="170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第13次验收</w:t>
            </w:r>
          </w:p>
        </w:tc>
        <w:tc>
          <w:tcPr>
            <w:tcW w:w="329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采购人结合供应商提供的服务及服务人员当月服务情况每月进行考核，考核达到标准视为按要求履约，可以按合同约定支付服务费，出现考核不达标的情况，根据履约程度进行扣款。除每月考核外，可再进行年度综合验收。</w:t>
            </w:r>
          </w:p>
        </w:tc>
      </w:tr>
    </w:tbl>
    <w:p>
      <w:pPr>
        <w:pStyle w:val="3"/>
        <w:keepNext w:val="0"/>
        <w:keepLines w:val="0"/>
        <w:pageBreakBefore w:val="0"/>
        <w:widowControl/>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39" w:name="_Toc30354"/>
      <w:r>
        <w:rPr>
          <w:rFonts w:ascii="仿宋_GB2312" w:hAnsi="仿宋_GB2312" w:eastAsia="仿宋_GB2312" w:cs="仿宋_GB2312"/>
          <w:i w:val="0"/>
          <w:iCs w:val="0"/>
          <w:sz w:val="32"/>
          <w:szCs w:val="32"/>
        </w:rPr>
        <w:t>7.2具体要求</w:t>
      </w:r>
      <w:bookmarkEnd w:id="39"/>
    </w:p>
    <w:p>
      <w:pPr>
        <w:pStyle w:val="1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本项目验收由采购人组织，供应商配合进行。</w:t>
      </w:r>
    </w:p>
    <w:p>
      <w:pPr>
        <w:pStyle w:val="1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验收标准：严格按照《财政部关于进一步加强政府采购需求和履约验收管理的指导意见》(财库〔2016〕205号)要求、国家有关规定，以及采购文件的服务内容、服务要求、技术要求、培训要求、考核要求，中标供应商的投标文件及承诺与合同约定标准进行验收。</w:t>
      </w:r>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验收方法：验收分为月度考核验收，年度验收。月度考核验收时采购人需求部门在每月底前对供应商当月服务情况进行考核(结合日常监督情况)，考核为百分制。年度验收则根据各月度考核验收情况、服务人员培训考核情况、供应商整改情况(若有)、违约情况(若有)进行年度验收，年度验收合格且没有未处理的服务投诉时，视为该年度服务验收合格，双方签署《年度验收报告》。</w:t>
      </w:r>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验收时如发现所提交的成果或相关资料不符合标准及合同规定之情形者，采购人应做出详尽的现场记录，或由甲乙双方签署备忘录，此现场记录或备忘录可用作补充、缺失和整改的有效依据，由此产生的时间延误和有关费用由中标供应商承担，验收期限相应顺延。</w:t>
      </w:r>
    </w:p>
    <w:p>
      <w:pPr>
        <w:pStyle w:val="1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其他未尽事宜应严格按照《财政部关于进一步加强政府采购需求和履约验收管理的指导意见》(财库〔2016〕205号)和采购人相关要求进行验收。</w:t>
      </w:r>
    </w:p>
    <w:p>
      <w:pPr>
        <w:pStyle w:val="1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楷体_GB2312" w:hAnsi="楷体_GB2312" w:eastAsia="楷体_GB2312" w:cs="楷体_GB2312"/>
          <w:sz w:val="32"/>
          <w:szCs w:val="32"/>
        </w:rPr>
        <w:t>考核方式：</w:t>
      </w:r>
    </w:p>
    <w:p>
      <w:pPr>
        <w:pStyle w:val="12"/>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1.采购人相关部门在每月底前对供应商当月服务情况进行考核(结合日常监督情况)，考核为百分制。考核得分≥90分，全额拨付当月服务费用；90分&gt;考核得分&gt;60分，采购人当月可扣除一定服务费。供应商一年内累计3次月考核得分＜60 分的视为供应商违约,采购人有权单方面解除合同并追究供应商违约责任。</w:t>
      </w:r>
    </w:p>
    <w:p>
      <w:pPr>
        <w:pStyle w:val="1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2.考核表</w:t>
      </w:r>
    </w:p>
    <w:tbl>
      <w:tblPr>
        <w:tblStyle w:val="15"/>
        <w:tblW w:w="9564" w:type="dxa"/>
        <w:tblCellSpacing w:w="0"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5" w:type="dxa"/>
          <w:bottom w:w="15" w:type="dxa"/>
          <w:right w:w="15" w:type="dxa"/>
        </w:tblCellMar>
      </w:tblPr>
      <w:tblGrid>
        <w:gridCol w:w="1120"/>
        <w:gridCol w:w="6937"/>
        <w:gridCol w:w="704"/>
        <w:gridCol w:w="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32" w:hRule="atLeast"/>
          <w:tblCellSpacing w:w="0" w:type="dxa"/>
        </w:trPr>
        <w:tc>
          <w:tcPr>
            <w:tcW w:w="1127" w:type="dxa"/>
            <w:tcBorders>
              <w:tl2br w:val="nil"/>
              <w:tr2bl w:val="nil"/>
            </w:tcBorders>
            <w:noWrap w:val="0"/>
            <w:tcMar>
              <w:top w:w="0" w:type="dxa"/>
              <w:left w:w="0" w:type="dxa"/>
              <w:bottom w:w="0" w:type="dxa"/>
              <w:right w:w="0" w:type="dxa"/>
            </w:tcMar>
            <w:vAlign w:val="center"/>
          </w:tcPr>
          <w:p>
            <w:pPr>
              <w:pStyle w:val="12"/>
              <w:spacing w:line="520" w:lineRule="atLeast"/>
              <w:jc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考核项目</w:t>
            </w:r>
          </w:p>
        </w:tc>
        <w:tc>
          <w:tcPr>
            <w:tcW w:w="6991" w:type="dxa"/>
            <w:tcBorders>
              <w:tl2br w:val="nil"/>
              <w:tr2bl w:val="nil"/>
            </w:tcBorders>
            <w:noWrap w:val="0"/>
            <w:tcMar>
              <w:top w:w="0" w:type="dxa"/>
              <w:left w:w="0" w:type="dxa"/>
              <w:bottom w:w="0" w:type="dxa"/>
              <w:right w:w="0" w:type="dxa"/>
            </w:tcMar>
            <w:vAlign w:val="center"/>
          </w:tcPr>
          <w:p>
            <w:pPr>
              <w:pStyle w:val="12"/>
              <w:spacing w:line="520" w:lineRule="atLeast"/>
              <w:jc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评分标准</w:t>
            </w:r>
          </w:p>
        </w:tc>
        <w:tc>
          <w:tcPr>
            <w:tcW w:w="708" w:type="dxa"/>
            <w:tcBorders>
              <w:tl2br w:val="nil"/>
              <w:tr2bl w:val="nil"/>
            </w:tcBorders>
            <w:noWrap w:val="0"/>
            <w:tcMar>
              <w:top w:w="0" w:type="dxa"/>
              <w:left w:w="0" w:type="dxa"/>
              <w:bottom w:w="0" w:type="dxa"/>
              <w:right w:w="0" w:type="dxa"/>
            </w:tcMar>
            <w:vAlign w:val="center"/>
          </w:tcPr>
          <w:p>
            <w:pPr>
              <w:pStyle w:val="12"/>
              <w:spacing w:line="520" w:lineRule="atLeast"/>
              <w:jc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分值</w:t>
            </w:r>
          </w:p>
        </w:tc>
        <w:tc>
          <w:tcPr>
            <w:tcW w:w="808" w:type="dxa"/>
            <w:tcBorders>
              <w:tl2br w:val="nil"/>
              <w:tr2bl w:val="nil"/>
            </w:tcBorders>
            <w:noWrap w:val="0"/>
            <w:tcMar>
              <w:top w:w="0" w:type="dxa"/>
              <w:left w:w="0" w:type="dxa"/>
              <w:bottom w:w="0" w:type="dxa"/>
              <w:right w:w="0" w:type="dxa"/>
            </w:tcMar>
            <w:vAlign w:val="center"/>
          </w:tcPr>
          <w:p>
            <w:pPr>
              <w:pStyle w:val="12"/>
              <w:spacing w:line="520" w:lineRule="atLeast"/>
              <w:jc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得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01" w:hRule="atLeast"/>
          <w:tblCellSpacing w:w="0" w:type="dxa"/>
        </w:trPr>
        <w:tc>
          <w:tcPr>
            <w:tcW w:w="1127" w:type="dxa"/>
            <w:vMerge w:val="restart"/>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p>
            <w:pPr>
              <w:pStyle w:val="12"/>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供应商服务基础</w:t>
            </w: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ind w:firstLine="420"/>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过程中，服务人员造成轻微业务差错，受到采购人批评教育的，每次扣1分；造成较重的业务差错或较重后果的每次扣3分；属于造成重大业务差错，导致采购人被上级部门或其有权部门扣分或其他行政处罚及其他影响的，每次扣5分。</w:t>
            </w:r>
          </w:p>
        </w:tc>
        <w:tc>
          <w:tcPr>
            <w:tcW w:w="708"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p>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14</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53" w:hRule="atLeast"/>
          <w:tblCellSpacing w:w="0" w:type="dxa"/>
        </w:trPr>
        <w:tc>
          <w:tcPr>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i w:val="0"/>
                <w:iCs w:val="0"/>
                <w:smallCaps w:val="0"/>
                <w:color w:val="000000"/>
                <w:sz w:val="28"/>
                <w:szCs w:val="28"/>
              </w:rPr>
            </w:pP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ind w:firstLine="420"/>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服务过程中供应商服务人员违反廉洁规定、赌博吸毒恶习等违纪违法行为，或其行为对采购人造成恶劣影响的，视为严重违反规章制度，每次扣5分。</w:t>
            </w:r>
          </w:p>
        </w:tc>
        <w:tc>
          <w:tcPr>
            <w:tcW w:w="708"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p>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15</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53" w:hRule="atLeast"/>
          <w:tblCellSpacing w:w="0" w:type="dxa"/>
        </w:trPr>
        <w:tc>
          <w:tcPr>
            <w:tcW w:w="1127" w:type="dxa"/>
            <w:vMerge w:val="restart"/>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供应商服务质效</w:t>
            </w: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ind w:firstLine="420"/>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供应商按照采购合同约定提供服务，满足服务岗位需求的得满分，出现服务岗位空缺，且没有提前告知采购人，造成采购人损失的或已告知但未能及时补充服务人员的，该项不得分。</w:t>
            </w:r>
          </w:p>
        </w:tc>
        <w:tc>
          <w:tcPr>
            <w:tcW w:w="708" w:type="dxa"/>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11</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53" w:hRule="atLeast"/>
          <w:tblCellSpacing w:w="0" w:type="dxa"/>
        </w:trPr>
        <w:tc>
          <w:tcPr>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i w:val="0"/>
                <w:iCs w:val="0"/>
                <w:smallCaps w:val="0"/>
                <w:color w:val="000000"/>
                <w:sz w:val="28"/>
                <w:szCs w:val="28"/>
              </w:rPr>
            </w:pP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ind w:firstLine="420"/>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服务过程中出现未严格履行一次性告知制度或推诿，造成纳税人(缴费人)多次往返的情况，每次扣供应商1分，扣完为止。</w:t>
            </w:r>
          </w:p>
        </w:tc>
        <w:tc>
          <w:tcPr>
            <w:tcW w:w="708" w:type="dxa"/>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10</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53" w:hRule="atLeast"/>
          <w:tblCellSpacing w:w="0" w:type="dxa"/>
        </w:trPr>
        <w:tc>
          <w:tcPr>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i w:val="0"/>
                <w:iCs w:val="0"/>
                <w:smallCaps w:val="0"/>
                <w:color w:val="000000"/>
                <w:sz w:val="28"/>
                <w:szCs w:val="28"/>
              </w:rPr>
            </w:pP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ind w:firstLine="420"/>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服务过程中因工作态度、服务质效等原因或因言行不当与纳税人(缴费人)发生争吵，每次扣供应商2 分；不属于供应商过错，但有争吵事实或不采取措施的，每次扣供应商1分。扣完为止。不属于供应商过错，且采取措施应对得体的，不扣分。</w:t>
            </w:r>
          </w:p>
        </w:tc>
        <w:tc>
          <w:tcPr>
            <w:tcW w:w="708" w:type="dxa"/>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10</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53" w:hRule="atLeast"/>
          <w:tblCellSpacing w:w="0" w:type="dxa"/>
        </w:trPr>
        <w:tc>
          <w:tcPr>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i w:val="0"/>
                <w:iCs w:val="0"/>
                <w:smallCaps w:val="0"/>
                <w:color w:val="000000"/>
                <w:sz w:val="28"/>
                <w:szCs w:val="28"/>
              </w:rPr>
            </w:pP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ind w:firstLine="420"/>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服务过程中出现工作时间内进行与服务工作无关事项，每次扣供应商0.5分，情节严重的，每次扣供应商1分，扣完为止。</w:t>
            </w:r>
          </w:p>
        </w:tc>
        <w:tc>
          <w:tcPr>
            <w:tcW w:w="708" w:type="dxa"/>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10</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33" w:hRule="atLeast"/>
          <w:tblCellSpacing w:w="0" w:type="dxa"/>
        </w:trPr>
        <w:tc>
          <w:tcPr>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i w:val="0"/>
                <w:iCs w:val="0"/>
                <w:smallCaps w:val="0"/>
                <w:color w:val="000000"/>
                <w:sz w:val="28"/>
                <w:szCs w:val="28"/>
              </w:rPr>
            </w:pP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ind w:firstLine="420"/>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过程中出现一般投诉，凡造成纳税人缴费人向政务服务中心、采购人领导及相关科室或采购人以外领导、部门投诉工作人员服务态度差等，且查证属实的，每次扣供应商2分，扣完为止。严重投诉，造成严重影响采购人税务机关荣誉及形象的，每人每次扣供应商5 分。</w:t>
            </w:r>
          </w:p>
        </w:tc>
        <w:tc>
          <w:tcPr>
            <w:tcW w:w="708" w:type="dxa"/>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20</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098" w:hRule="atLeast"/>
          <w:tblCellSpacing w:w="0" w:type="dxa"/>
        </w:trPr>
        <w:tc>
          <w:tcPr>
            <w:tcW w:w="1127" w:type="dxa"/>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其他</w:t>
            </w:r>
          </w:p>
        </w:tc>
        <w:tc>
          <w:tcPr>
            <w:tcW w:w="6991" w:type="dxa"/>
            <w:tcBorders>
              <w:tl2br w:val="nil"/>
              <w:tr2bl w:val="nil"/>
            </w:tcBorders>
            <w:noWrap w:val="0"/>
            <w:tcMar>
              <w:top w:w="0" w:type="dxa"/>
              <w:left w:w="0" w:type="dxa"/>
              <w:bottom w:w="0" w:type="dxa"/>
              <w:right w:w="0" w:type="dxa"/>
            </w:tcMar>
            <w:vAlign w:val="top"/>
          </w:tcPr>
          <w:p>
            <w:pPr>
              <w:pStyle w:val="12"/>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服务过程中出现供应商不配合采购人管理安排或不按照采购人相关要求执行的其他情况，每次扣供应商1分。</w:t>
            </w:r>
          </w:p>
        </w:tc>
        <w:tc>
          <w:tcPr>
            <w:tcW w:w="708" w:type="dxa"/>
            <w:tcBorders>
              <w:tl2br w:val="nil"/>
              <w:tr2bl w:val="nil"/>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10</w:t>
            </w:r>
          </w:p>
        </w:tc>
        <w:tc>
          <w:tcPr>
            <w:tcW w:w="808" w:type="dxa"/>
            <w:tcBorders>
              <w:tl2br w:val="nil"/>
              <w:tr2bl w:val="nil"/>
            </w:tcBorders>
            <w:noWrap w:val="0"/>
            <w:tcMar>
              <w:top w:w="0" w:type="dxa"/>
              <w:left w:w="0" w:type="dxa"/>
              <w:bottom w:w="0" w:type="dxa"/>
              <w:right w:w="0" w:type="dxa"/>
            </w:tcMar>
            <w:vAlign w:val="top"/>
          </w:tcPr>
          <w:p>
            <w:pPr>
              <w:pStyle w:val="12"/>
              <w:spacing w:line="520" w:lineRule="atLeast"/>
              <w:jc w:val="both"/>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bl>
    <w:p>
      <w:pPr>
        <w:pStyle w:val="2"/>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0" w:name="_Toc22950"/>
      <w:r>
        <w:rPr>
          <w:rFonts w:ascii="仿宋_GB2312" w:hAnsi="仿宋_GB2312" w:eastAsia="仿宋_GB2312" w:cs="仿宋_GB2312"/>
          <w:kern w:val="36"/>
          <w:sz w:val="32"/>
          <w:szCs w:val="32"/>
        </w:rPr>
        <w:t>8其他要求</w:t>
      </w:r>
      <w:bookmarkEnd w:id="40"/>
    </w:p>
    <w:p>
      <w:pPr>
        <w:pStyle w:val="3"/>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1" w:name="_Toc20849"/>
      <w:r>
        <w:rPr>
          <w:rFonts w:ascii="仿宋_GB2312" w:hAnsi="仿宋_GB2312" w:eastAsia="仿宋_GB2312" w:cs="仿宋_GB2312"/>
          <w:i w:val="0"/>
          <w:iCs w:val="0"/>
          <w:sz w:val="32"/>
          <w:szCs w:val="32"/>
        </w:rPr>
        <w:t>8.1履约保证金</w:t>
      </w:r>
      <w:bookmarkEnd w:id="41"/>
    </w:p>
    <w:p>
      <w:pPr>
        <w:pStyle w:val="13"/>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本项目不需要履约保证金。</w:t>
      </w:r>
    </w:p>
    <w:p>
      <w:pPr>
        <w:pStyle w:val="3"/>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2" w:name="_Toc21352"/>
      <w:r>
        <w:rPr>
          <w:rFonts w:ascii="仿宋_GB2312" w:hAnsi="仿宋_GB2312" w:eastAsia="仿宋_GB2312" w:cs="仿宋_GB2312"/>
          <w:i w:val="0"/>
          <w:iCs w:val="0"/>
          <w:sz w:val="32"/>
          <w:szCs w:val="32"/>
        </w:rPr>
        <w:t>8.2必备要求</w:t>
      </w:r>
      <w:bookmarkEnd w:id="42"/>
    </w:p>
    <w:p>
      <w:pPr>
        <w:pStyle w:val="4"/>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3" w:name="_Toc27695"/>
      <w:r>
        <w:rPr>
          <w:rFonts w:ascii="仿宋_GB2312" w:hAnsi="仿宋_GB2312" w:eastAsia="仿宋_GB2312" w:cs="仿宋_GB2312"/>
          <w:sz w:val="32"/>
          <w:szCs w:val="32"/>
        </w:rPr>
        <w:t>8.2.1通用必备要求</w:t>
      </w:r>
      <w:bookmarkEnd w:id="43"/>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3.本项目中如涉及国家强制性产品认证证书（CCC 认证证书）、电信设备进网许可证、无线电发射设备核准证等市场准入类资质的，应严格执行国家相关法律法规的要求。 </w:t>
      </w:r>
    </w:p>
    <w:p>
      <w:pPr>
        <w:keepNext w:val="0"/>
        <w:keepLines w:val="0"/>
        <w:pageBreakBefore w:val="0"/>
        <w:widowControl/>
        <w:kinsoku/>
        <w:wordWrap/>
        <w:overflowPunct/>
        <w:topLinePunct w:val="0"/>
        <w:autoSpaceDE/>
        <w:autoSpaceDN/>
        <w:bidi w:val="0"/>
        <w:adjustRightInd/>
        <w:snapToGrid/>
        <w:spacing w:before="0" w:after="0" w:line="600" w:lineRule="exact"/>
        <w:ind w:firstLine="561"/>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4" w:name="_Toc30153"/>
      <w:r>
        <w:rPr>
          <w:rFonts w:ascii="仿宋_GB2312" w:hAnsi="仿宋_GB2312" w:eastAsia="仿宋_GB2312" w:cs="仿宋_GB2312"/>
          <w:i w:val="0"/>
          <w:iCs w:val="0"/>
          <w:sz w:val="32"/>
          <w:szCs w:val="32"/>
        </w:rPr>
        <w:t>8.3付款安排建议</w:t>
      </w:r>
      <w:bookmarkEnd w:id="44"/>
    </w:p>
    <w:tbl>
      <w:tblPr>
        <w:tblStyle w:val="9"/>
        <w:tblW w:w="5000" w:type="pct"/>
        <w:tblInd w:w="30" w:type="dxa"/>
        <w:tblLayout w:type="autofit"/>
        <w:tblCellMar>
          <w:top w:w="15" w:type="dxa"/>
          <w:left w:w="15" w:type="dxa"/>
          <w:bottom w:w="15" w:type="dxa"/>
          <w:right w:w="15" w:type="dxa"/>
        </w:tblCellMar>
      </w:tblPr>
      <w:tblGrid>
        <w:gridCol w:w="1591"/>
        <w:gridCol w:w="5922"/>
        <w:gridCol w:w="1557"/>
      </w:tblGrid>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rPr>
            </w:pPr>
            <w:bookmarkStart w:id="50" w:name="_GoBack" w:colFirst="0" w:colLast="2"/>
            <w:r>
              <w:rPr>
                <w:rFonts w:ascii="仿宋_GB2312" w:hAnsi="仿宋_GB2312" w:eastAsia="仿宋_GB2312" w:cs="仿宋_GB2312"/>
                <w:b/>
                <w:bCs/>
                <w:i w:val="0"/>
                <w:iCs w:val="0"/>
                <w:smallCaps w:val="0"/>
                <w:color w:val="000000"/>
                <w:sz w:val="28"/>
                <w:szCs w:val="28"/>
              </w:rPr>
              <w:t>付款名称</w:t>
            </w:r>
          </w:p>
        </w:tc>
        <w:tc>
          <w:tcPr>
            <w:tcW w:w="3264"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rPr>
            </w:pPr>
            <w:r>
              <w:rPr>
                <w:rFonts w:ascii="仿宋_GB2312" w:hAnsi="仿宋_GB2312" w:eastAsia="仿宋_GB2312" w:cs="仿宋_GB2312"/>
                <w:b/>
                <w:bCs/>
                <w:i w:val="0"/>
                <w:iCs w:val="0"/>
                <w:smallCaps w:val="0"/>
                <w:color w:val="000000"/>
                <w:sz w:val="28"/>
                <w:szCs w:val="28"/>
              </w:rPr>
              <w:t>付款要求</w:t>
            </w:r>
          </w:p>
        </w:tc>
        <w:tc>
          <w:tcPr>
            <w:tcW w:w="858"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rPr>
            </w:pPr>
            <w:r>
              <w:rPr>
                <w:rFonts w:ascii="仿宋_GB2312" w:hAnsi="仿宋_GB2312" w:eastAsia="仿宋_GB2312" w:cs="仿宋_GB2312"/>
                <w:b/>
                <w:bCs/>
                <w:i w:val="0"/>
                <w:iCs w:val="0"/>
                <w:smallCaps w:val="0"/>
                <w:color w:val="000000"/>
                <w:sz w:val="28"/>
                <w:szCs w:val="28"/>
              </w:rPr>
              <w:t>付款比例(%)</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第2次付款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第3次付款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第4次付款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第5次付款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第6次付款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第7次付款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第8次付款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第9次付款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第10次付款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第11次付款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8.33</w:t>
            </w:r>
          </w:p>
        </w:tc>
      </w:tr>
      <w:tr>
        <w:tblPrEx>
          <w:tblCellMar>
            <w:top w:w="15" w:type="dxa"/>
            <w:left w:w="15" w:type="dxa"/>
            <w:bottom w:w="15" w:type="dxa"/>
            <w:right w:w="15" w:type="dxa"/>
          </w:tblCellMar>
        </w:tblPrEx>
        <w:tc>
          <w:tcPr>
            <w:tcW w:w="87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第12次付款</w:t>
            </w:r>
          </w:p>
        </w:tc>
        <w:tc>
          <w:tcPr>
            <w:tcW w:w="326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在服务期内，且在合同约定的固定总价金额内，根据月度考核结果按月结算支付（注：即月度考核未达标的，需根据合同约定内容在固定总价基础上相应扣减合同价款）。采购人根据验收考核结果在收到供应商出具的合法有效的发票及结算有关凭证资料后，于15个工作日内进行支付，付款方式均采用公对公的银行转账，供应商接受转账的银行账户信息以采购合同载明的为准，若出现账户变更需出具说明。★供应商未按要求提供有效的发票，采购人有权暂缓支付相应款项直至供应商提供合格发票且不承担任何责任。因该项资金受到财政资金影响，如采购人因预算资金未到位暂不能按时支付的，根据预算资金到位情况及时支付，不视为违约。</w:t>
            </w:r>
          </w:p>
        </w:tc>
        <w:tc>
          <w:tcPr>
            <w:tcW w:w="85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8.37</w:t>
            </w:r>
          </w:p>
        </w:tc>
      </w:tr>
      <w:bookmarkEnd w:id="50"/>
    </w:tbl>
    <w:p>
      <w:pPr>
        <w:pStyle w:val="3"/>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32"/>
          <w:szCs w:val="32"/>
        </w:rPr>
      </w:pPr>
      <w:bookmarkStart w:id="45" w:name="_Toc3423"/>
      <w:r>
        <w:rPr>
          <w:rFonts w:ascii="仿宋_GB2312" w:hAnsi="仿宋_GB2312" w:eastAsia="仿宋_GB2312" w:cs="仿宋_GB2312"/>
          <w:i w:val="0"/>
          <w:iCs w:val="0"/>
          <w:sz w:val="32"/>
          <w:szCs w:val="32"/>
        </w:rPr>
        <w:t>8.4其他要求</w:t>
      </w:r>
      <w:bookmarkEnd w:id="45"/>
    </w:p>
    <w:p>
      <w:pPr>
        <w:pStyle w:val="4"/>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仿宋_GB2312" w:hAnsi="仿宋_GB2312" w:eastAsia="仿宋_GB2312" w:cs="仿宋_GB2312"/>
          <w:b/>
          <w:bCs/>
          <w:sz w:val="28"/>
          <w:szCs w:val="28"/>
        </w:rPr>
      </w:pPr>
      <w:bookmarkStart w:id="46" w:name="_Toc22749"/>
      <w:r>
        <w:rPr>
          <w:rFonts w:ascii="仿宋_GB2312" w:hAnsi="仿宋_GB2312" w:eastAsia="仿宋_GB2312" w:cs="仿宋_GB2312"/>
          <w:sz w:val="32"/>
          <w:szCs w:val="32"/>
        </w:rPr>
        <w:t>8.4.1★保密要求</w:t>
      </w:r>
      <w:bookmarkEnd w:id="46"/>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供应商应严格按照《中华人民共和国保守国家秘密法》等相关规定，建立保密制度，内容包含但不限于保密制度及警示案例的学习、签订保密协议、泄密处理条例等。服务期限内严格做好保密工作，管理好服务人员，严格要求投入本项目的服务人员遵守保密要求，保守服务中知悉的国家秘密、税收工作秘密和服务对象秘密等。若在服务过程中发生泄密事件，供应商须承担全部责任。</w:t>
      </w:r>
    </w:p>
    <w:p>
      <w:pPr>
        <w:pStyle w:val="1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严禁通过互联网传输相关数据资料，否则应承担相关法律责任。未经采购人允许，不得以任何形式将本项目服务过程中获取的资料、文件、数据、成果向第三方提供和泄露，服务期满时应将所有资料交给采购人，不得做任何形式的保留。</w:t>
      </w: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7" w:name="_Toc29010"/>
      <w:r>
        <w:rPr>
          <w:rFonts w:ascii="仿宋_GB2312" w:hAnsi="仿宋_GB2312" w:eastAsia="仿宋_GB2312" w:cs="仿宋_GB2312"/>
          <w:sz w:val="32"/>
          <w:szCs w:val="32"/>
        </w:rPr>
        <w:t>8.4.2保险要求</w:t>
      </w:r>
      <w:bookmarkEnd w:id="47"/>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供应商应当遵守国家有关消防、安全、生产操作、劳动保护等方面的规定，并根据自身实际情况和项目履约实际情况，购买涉及上述履约风险的对应保险，保险金额以抵消可能发生的事故及因其发生所造成的财产、人身损失，维护保险标的的安全。供应商应为本项目提供履约的所有人员按照国家规定购买相关保险。</w:t>
      </w: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8" w:name="_Toc25112"/>
      <w:r>
        <w:rPr>
          <w:rFonts w:ascii="仿宋_GB2312" w:hAnsi="仿宋_GB2312" w:eastAsia="仿宋_GB2312" w:cs="仿宋_GB2312"/>
          <w:sz w:val="32"/>
          <w:szCs w:val="32"/>
        </w:rPr>
        <w:t>8.4.3★合同价款</w:t>
      </w:r>
      <w:bookmarkEnd w:id="48"/>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合同价款是供应商响应采购项目要求的全部服务内容的单年价格体现，包含完成合同所涉及人员费用、办公管理、人员工作服装、培训、管理、利润、保险、风险、税金、招标代理服务费以及招标文件规定的一切费用。如国家或地方相关部门出台政策，对服务过程中各方面进行了调整，费用增加部分由中标供应商自行承担，采购人将不再增加或承担任何费用。</w:t>
      </w: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ascii="仿宋_GB2312" w:hAnsi="仿宋_GB2312" w:eastAsia="仿宋_GB2312" w:cs="仿宋_GB2312"/>
          <w:b/>
          <w:bCs/>
          <w:sz w:val="32"/>
          <w:szCs w:val="32"/>
        </w:rPr>
      </w:pPr>
      <w:bookmarkStart w:id="49" w:name="_Toc8324"/>
      <w:r>
        <w:rPr>
          <w:rFonts w:ascii="仿宋_GB2312" w:hAnsi="仿宋_GB2312" w:eastAsia="仿宋_GB2312" w:cs="仿宋_GB2312"/>
          <w:sz w:val="32"/>
          <w:szCs w:val="32"/>
        </w:rPr>
        <w:t>8.4.4其他</w:t>
      </w:r>
      <w:bookmarkEnd w:id="49"/>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1.采购人在项目执行过程中定期核对供应商提供完成项目所配备的服务人员数量及相关信息，对于未按照采购文件或投标文件响应情况执行或存在不合理的部分有权下达整改通知书，并要求供应商限期整改，并根据违约情况扣除相应合同价款。</w:t>
      </w:r>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2.在采购合同履约过程中发生的与合同有关的争端，供应商与采购人应通过友好协商解决，协商或调解不成的，由当事人依法维护其合法权益。</w:t>
      </w:r>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3.本项目采购过程和合同履行过程中的风险严格按照采购人的风险控制管理要求执行。</w:t>
      </w:r>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★4.若在合同履行期内，如因国家政策、上级部门工作要求变化，财政预算资金缩减等原因导致采购需求发生重大变化，采购人可以削减服务配置需求或提前终止合同，且不承担任何法律责任（含违约责任）。</w:t>
      </w:r>
    </w:p>
    <w:p>
      <w:pPr>
        <w:pStyle w:val="1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5.供应商可以根据项目情况，在投标文件中提供包括但不限于：项目需求理解、服务方案、管理制度及方案、培训方案、人</w:t>
      </w:r>
    </w:p>
    <w:p>
      <w:pPr>
        <w:pStyle w:val="1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ascii="Times New Roman" w:hAnsi="Times New Roman" w:eastAsia="Times New Roman" w:cs="Times New Roman"/>
        </w:rPr>
      </w:pPr>
      <w:r>
        <w:rPr>
          <w:rFonts w:ascii="仿宋_GB2312" w:hAnsi="仿宋_GB2312" w:eastAsia="仿宋_GB2312" w:cs="仿宋_GB2312"/>
          <w:sz w:val="32"/>
          <w:szCs w:val="32"/>
        </w:rPr>
        <w:t>员、业绩、相关证书等。</w:t>
      </w:r>
    </w:p>
    <w:p>
      <w:pPr>
        <w:spacing w:before="0" w:after="0" w:line="360" w:lineRule="auto"/>
        <w:ind w:firstLine="561"/>
        <w:rPr>
          <w:rFonts w:ascii="仿宋_GB2312" w:hAnsi="仿宋_GB2312" w:eastAsia="仿宋_GB2312" w:cs="仿宋_GB2312"/>
          <w:sz w:val="28"/>
          <w:szCs w:val="28"/>
        </w:rPr>
      </w:pPr>
    </w:p>
    <w:sectPr>
      <w:footerReference r:id="rId3" w:type="default"/>
      <w:pgSz w:w="11906" w:h="16838"/>
      <w:pgMar w:top="1440" w:right="1440" w:bottom="1440" w:left="144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2D06653B"/>
    <w:rsid w:val="3E12204A"/>
    <w:rsid w:val="6C860C01"/>
    <w:rsid w:val="73E224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15"/>
    <w:basedOn w:val="1"/>
    <w:qFormat/>
    <w:uiPriority w:val="0"/>
  </w:style>
  <w:style w:type="paragraph" w:customStyle="1" w:styleId="13">
    <w:name w:val="MsoNormal"/>
    <w:basedOn w:val="1"/>
    <w:qFormat/>
    <w:uiPriority w:val="0"/>
  </w:style>
  <w:style w:type="paragraph" w:customStyle="1" w:styleId="14">
    <w:name w:val="17"/>
    <w:basedOn w:val="1"/>
    <w:qFormat/>
    <w:uiPriority w:val="0"/>
  </w:style>
  <w:style w:type="table" w:customStyle="1" w:styleId="15">
    <w:name w:val="18"/>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18</Pages>
  <Words>0</Words>
  <Characters>0</Characters>
  <Lines>1</Lines>
  <Paragraphs>1</Paragraphs>
  <TotalTime>35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2026-03-04T00:25:00Z</dcterms:created>
  <dc:creator>1</dc:creator>
  <cp:lastModifiedBy>黄明权</cp:lastModifiedBy>
  <dcterms:modified xsi:type="dcterms:W3CDTF">2026-03-04T02:49:44Z</dcterms:modified>
  <dc:title>采 购 需 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