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outlineLvl w:val="0"/>
        <w:rPr>
          <w:rFonts w:hint="eastAsia" w:ascii="宋体" w:hAnsi="宋体" w:eastAsia="宋体"/>
          <w:b/>
          <w:spacing w:val="20"/>
          <w:sz w:val="44"/>
          <w:lang w:eastAsia="zh-CN"/>
        </w:rPr>
      </w:pPr>
      <w:bookmarkStart w:id="0" w:name="swjgmc"/>
      <w:bookmarkEnd w:id="0"/>
      <w:r>
        <w:rPr>
          <w:rFonts w:hint="eastAsia" w:ascii="宋体" w:hAnsi="宋体"/>
          <w:b/>
          <w:spacing w:val="20"/>
          <w:sz w:val="44"/>
          <w:lang w:eastAsia="zh-CN"/>
        </w:rPr>
        <w:t>国家税务总局崇左市税务局稽查局</w:t>
      </w:r>
    </w:p>
    <w:p>
      <w:pPr>
        <w:adjustRightInd w:val="0"/>
        <w:snapToGrid w:val="0"/>
        <w:spacing w:line="360" w:lineRule="auto"/>
        <w:jc w:val="center"/>
        <w:outlineLvl w:val="0"/>
        <w:rPr>
          <w:b/>
          <w:spacing w:val="20"/>
          <w:sz w:val="52"/>
        </w:rPr>
      </w:pPr>
      <w:r>
        <w:rPr>
          <w:rFonts w:hint="eastAsia"/>
          <w:b/>
          <w:spacing w:val="20"/>
          <w:sz w:val="52"/>
        </w:rPr>
        <w:t>税务行政处罚事项告知书</w:t>
      </w:r>
    </w:p>
    <w:p>
      <w:pPr>
        <w:jc w:val="center"/>
        <w:outlineLvl w:val="0"/>
        <w:rPr>
          <w:rFonts w:hint="eastAsia" w:ascii="仿宋_GB2312" w:hAnsi="仿宋" w:eastAsia="仿宋_GB2312"/>
          <w:spacing w:val="20"/>
          <w:sz w:val="32"/>
          <w:szCs w:val="32"/>
          <w:lang w:eastAsia="zh-CN"/>
        </w:rPr>
      </w:pPr>
      <w:r>
        <w:rPr>
          <w:rFonts w:hint="eastAsia" w:ascii="仿宋_GB2312" w:hAnsi="仿宋" w:eastAsia="仿宋_GB2312"/>
          <w:spacing w:val="20"/>
          <w:sz w:val="32"/>
          <w:szCs w:val="32"/>
          <w:lang w:eastAsia="zh-CN"/>
        </w:rPr>
        <w:t>崇市税稽罚告〔2026〕</w:t>
      </w:r>
      <w:r>
        <w:rPr>
          <w:rFonts w:hint="eastAsia" w:ascii="仿宋_GB2312" w:hAnsi="仿宋" w:eastAsia="仿宋_GB2312"/>
          <w:spacing w:val="20"/>
          <w:sz w:val="32"/>
          <w:szCs w:val="32"/>
          <w:lang w:val="en-US" w:eastAsia="zh-CN"/>
        </w:rPr>
        <w:t>6</w:t>
      </w:r>
      <w:r>
        <w:rPr>
          <w:rFonts w:hint="eastAsia" w:ascii="仿宋_GB2312" w:hAnsi="仿宋" w:eastAsia="仿宋_GB2312"/>
          <w:spacing w:val="20"/>
          <w:sz w:val="32"/>
          <w:szCs w:val="32"/>
          <w:lang w:eastAsia="zh-CN"/>
        </w:rPr>
        <w:t>号</w:t>
      </w:r>
    </w:p>
    <w:p>
      <w:pPr>
        <w:keepNext w:val="0"/>
        <w:keepLines w:val="0"/>
        <w:widowControl w:val="0"/>
        <w:suppressLineNumbers w:val="0"/>
        <w:adjustRightInd w:val="0"/>
        <w:snapToGrid w:val="0"/>
        <w:spacing w:before="0" w:beforeAutospacing="0" w:after="0" w:afterAutospacing="0" w:line="360" w:lineRule="auto"/>
        <w:ind w:left="0" w:right="0" w:firstLine="800"/>
        <w:jc w:val="center"/>
        <w:rPr>
          <w:rFonts w:hint="eastAsia" w:ascii="仿宋_GB2312" w:eastAsia="仿宋_GB2312" w:cs="仿宋_GB2312"/>
          <w:color w:val="000000"/>
          <w:spacing w:val="20"/>
          <w:sz w:val="32"/>
          <w:szCs w:val="22"/>
          <w:highlight w:val="none"/>
          <w:lang w:val="en-US"/>
        </w:rPr>
      </w:pPr>
      <w:bookmarkStart w:id="3" w:name="_GoBack"/>
      <w:bookmarkEnd w:id="3"/>
    </w:p>
    <w:p>
      <w:pPr>
        <w:keepNext w:val="0"/>
        <w:keepLines w:val="0"/>
        <w:pageBreakBefore w:val="0"/>
        <w:widowControl/>
        <w:kinsoku/>
        <w:overflowPunct/>
        <w:topLinePunct w:val="0"/>
        <w:autoSpaceDE/>
        <w:autoSpaceDN/>
        <w:bidi w:val="0"/>
        <w:adjustRightInd/>
        <w:snapToGrid/>
        <w:spacing w:beforeAutospacing="0" w:afterAutospacing="0" w:line="540" w:lineRule="exact"/>
        <w:textAlignment w:val="auto"/>
        <w:rPr>
          <w:rFonts w:hint="eastAsia" w:ascii="仿宋_GB2312" w:hAnsi="Times New Roman" w:eastAsia="仿宋_GB2312" w:cs="Times New Roman"/>
          <w:w w:val="95"/>
          <w:sz w:val="32"/>
          <w:szCs w:val="32"/>
          <w:highlight w:val="none"/>
        </w:rPr>
      </w:pPr>
      <w:r>
        <w:rPr>
          <w:rFonts w:hint="eastAsia" w:ascii="仿宋_GB2312" w:hAnsi="Times New Roman" w:eastAsia="仿宋_GB2312" w:cs="Times New Roman"/>
          <w:w w:val="95"/>
          <w:sz w:val="32"/>
          <w:szCs w:val="32"/>
          <w:highlight w:val="none"/>
          <w:lang w:eastAsia="zh-CN"/>
        </w:rPr>
        <w:t>广西霄苡徕科技有限公司</w:t>
      </w:r>
      <w:r>
        <w:rPr>
          <w:rFonts w:hint="eastAsia" w:ascii="仿宋_GB2312" w:hAnsi="Times New Roman" w:eastAsia="仿宋_GB2312" w:cs="Times New Roman"/>
          <w:w w:val="95"/>
          <w:sz w:val="32"/>
          <w:szCs w:val="32"/>
          <w:highlight w:val="none"/>
        </w:rPr>
        <w:t>（纳税人识别号</w:t>
      </w:r>
      <w:r>
        <w:rPr>
          <w:rFonts w:hint="eastAsia" w:ascii="仿宋_GB2312" w:hAnsi="Times New Roman" w:eastAsia="仿宋_GB2312" w:cs="Times New Roman"/>
          <w:w w:val="95"/>
          <w:sz w:val="32"/>
          <w:szCs w:val="32"/>
          <w:highlight w:val="none"/>
          <w:lang w:eastAsia="zh-CN"/>
        </w:rPr>
        <w:t>：</w:t>
      </w:r>
      <w:r>
        <w:rPr>
          <w:rFonts w:hint="eastAsia" w:ascii="仿宋_GB2312" w:hAnsi="Times New Roman" w:eastAsia="仿宋_GB2312" w:cs="Times New Roman"/>
          <w:w w:val="95"/>
          <w:sz w:val="32"/>
          <w:szCs w:val="32"/>
          <w:highlight w:val="none"/>
        </w:rPr>
        <w:t>91451481MAK7HNGM72）：</w:t>
      </w:r>
    </w:p>
    <w:p>
      <w:pPr>
        <w:ind w:firstLine="607"/>
        <w:contextualSpacing/>
        <w:rPr>
          <w:rFonts w:ascii="仿宋_GB2312" w:hAnsi="仿宋" w:eastAsia="仿宋_GB2312"/>
          <w:sz w:val="32"/>
          <w:szCs w:val="32"/>
        </w:rPr>
      </w:pPr>
      <w:bookmarkStart w:id="1" w:name="_Toc73516670"/>
      <w:r>
        <w:rPr>
          <w:rFonts w:hint="eastAsia" w:ascii="仿宋_GB2312" w:hAnsi="仿宋" w:eastAsia="仿宋_GB2312"/>
          <w:sz w:val="32"/>
          <w:szCs w:val="32"/>
        </w:rPr>
        <w:t>对你</w:t>
      </w:r>
      <w:r>
        <w:rPr>
          <w:rFonts w:hint="eastAsia" w:ascii="仿宋_GB2312" w:hAnsi="仿宋" w:eastAsia="仿宋_GB2312"/>
          <w:sz w:val="32"/>
          <w:szCs w:val="32"/>
          <w:lang w:eastAsia="zh-CN"/>
        </w:rPr>
        <w:t>公司</w:t>
      </w:r>
      <w:r>
        <w:rPr>
          <w:rFonts w:hint="eastAsia" w:ascii="仿宋_GB2312" w:hAnsi="仿宋" w:eastAsia="仿宋_GB2312"/>
          <w:sz w:val="32"/>
          <w:szCs w:val="32"/>
        </w:rPr>
        <w:t>（地址：</w:t>
      </w:r>
      <w:r>
        <w:rPr>
          <w:rFonts w:hint="eastAsia" w:ascii="仿宋_GB2312" w:hAnsi="仿宋" w:eastAsia="仿宋_GB2312"/>
          <w:sz w:val="32"/>
          <w:szCs w:val="32"/>
          <w:lang w:eastAsia="zh-CN"/>
        </w:rPr>
        <w:t>中国（广西）自由贸易试验区崇左片区凭祥市南大路365号世贸天城3幢2105号</w:t>
      </w:r>
      <w:r>
        <w:rPr>
          <w:rFonts w:hint="eastAsia" w:ascii="仿宋_GB2312" w:hAnsi="仿宋" w:eastAsia="仿宋_GB2312"/>
          <w:sz w:val="32"/>
          <w:szCs w:val="32"/>
        </w:rPr>
        <w:t>）的税收违法行为拟于</w:t>
      </w:r>
      <w:r>
        <w:rPr>
          <w:rFonts w:hint="eastAsia" w:ascii="仿宋_GB2312" w:hAnsi="仿宋" w:eastAsia="仿宋_GB2312"/>
          <w:sz w:val="32"/>
          <w:szCs w:val="32"/>
          <w:lang w:eastAsia="zh-CN"/>
        </w:rPr>
        <w:t>2026年10月15日</w:t>
      </w:r>
      <w:r>
        <w:rPr>
          <w:rFonts w:hint="eastAsia" w:ascii="仿宋_GB2312" w:hAnsi="仿宋" w:eastAsia="仿宋_GB2312"/>
          <w:sz w:val="32"/>
          <w:szCs w:val="32"/>
        </w:rPr>
        <w:t>之前作出行政处罚决定，根据《中华人民共和国税收征收管理法》第八条、《中华人民共和国行政处罚法》第四十四条、第六十三条、第六十四条规定，现将有关事项告知如下：</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80" w:lineRule="exact"/>
        <w:ind w:left="0" w:right="0" w:firstLine="607"/>
        <w:jc w:val="both"/>
        <w:textAlignment w:val="auto"/>
        <w:rPr>
          <w:rFonts w:hint="eastAsia" w:ascii="黑体" w:hAnsi="黑体" w:eastAsia="黑体" w:cs="黑体"/>
          <w:b w:val="0"/>
          <w:bCs w:val="0"/>
          <w:color w:val="000000"/>
          <w:kern w:val="2"/>
          <w:sz w:val="32"/>
          <w:szCs w:val="22"/>
          <w:lang w:val="en-US" w:eastAsia="zh-CN" w:bidi="ar"/>
        </w:rPr>
      </w:pPr>
      <w:r>
        <w:rPr>
          <w:rFonts w:hint="eastAsia" w:ascii="黑体" w:hAnsi="黑体" w:eastAsia="黑体" w:cs="黑体"/>
          <w:b w:val="0"/>
          <w:bCs w:val="0"/>
          <w:color w:val="000000"/>
          <w:kern w:val="2"/>
          <w:sz w:val="32"/>
          <w:szCs w:val="22"/>
          <w:lang w:val="en-US" w:eastAsia="zh-CN" w:bidi="ar"/>
        </w:rPr>
        <w:t>一、税务行政处罚的事实、理由、依据及拟作出的处罚决定:</w:t>
      </w:r>
      <w:bookmarkEnd w:id="1"/>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0"/>
        <w:rPr>
          <w:rFonts w:hint="eastAsia" w:ascii="楷体_GB2312" w:hAnsi="楷体_GB2312" w:eastAsia="楷体_GB2312" w:cs="楷体_GB2312"/>
          <w:color w:val="000000"/>
          <w:kern w:val="2"/>
          <w:sz w:val="32"/>
          <w:szCs w:val="22"/>
          <w:highlight w:val="none"/>
          <w:lang w:val="en-US" w:eastAsia="zh-CN" w:bidi="ar"/>
        </w:rPr>
      </w:pPr>
      <w:r>
        <w:rPr>
          <w:rFonts w:hint="eastAsia" w:ascii="楷体_GB2312" w:hAnsi="楷体_GB2312" w:eastAsia="楷体_GB2312" w:cs="楷体_GB2312"/>
          <w:color w:val="000000"/>
          <w:kern w:val="2"/>
          <w:sz w:val="32"/>
          <w:szCs w:val="22"/>
          <w:highlight w:val="none"/>
          <w:lang w:val="en-US" w:eastAsia="zh-CN" w:bidi="ar"/>
        </w:rPr>
        <w:t>（一）税务行政处罚的事实、理由及依据</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1.你公司属于走逃（失联）企业</w:t>
      </w:r>
    </w:p>
    <w:p>
      <w:pPr>
        <w:ind w:firstLine="640" w:firstLineChars="200"/>
        <w:outlineLvl w:val="0"/>
        <w:rPr>
          <w:rFonts w:hint="default" w:ascii="仿宋_GB2312" w:hAnsi="仿宋" w:eastAsia="仿宋_GB2312"/>
          <w:sz w:val="32"/>
          <w:szCs w:val="32"/>
          <w:lang w:val="en-US" w:eastAsia="zh-CN"/>
        </w:rPr>
      </w:pPr>
      <w:bookmarkStart w:id="2" w:name="jbqk"/>
      <w:bookmarkEnd w:id="2"/>
      <w:r>
        <w:rPr>
          <w:rFonts w:hint="eastAsia" w:ascii="仿宋_GB2312" w:hAnsi="仿宋" w:eastAsia="仿宋_GB2312"/>
          <w:sz w:val="32"/>
          <w:szCs w:val="32"/>
          <w:lang w:val="en-US" w:eastAsia="zh-CN"/>
        </w:rPr>
        <w:t>（1）虚假注册生产经营地址</w:t>
      </w:r>
    </w:p>
    <w:p>
      <w:pPr>
        <w:ind w:firstLine="640" w:firstLineChars="200"/>
        <w:outlineLvl w:val="0"/>
        <w:rPr>
          <w:rFonts w:hint="eastAsia" w:ascii="仿宋_GB2312" w:hAnsi="仿宋" w:eastAsia="仿宋_GB2312"/>
          <w:sz w:val="32"/>
          <w:szCs w:val="32"/>
          <w:lang w:eastAsia="zh-CN"/>
        </w:rPr>
      </w:pPr>
      <w:r>
        <w:rPr>
          <w:rFonts w:hint="eastAsia" w:ascii="仿宋_GB2312" w:hAnsi="仿宋" w:eastAsia="仿宋_GB2312"/>
          <w:sz w:val="32"/>
          <w:szCs w:val="32"/>
          <w:lang w:eastAsia="zh-CN"/>
        </w:rPr>
        <w:t>根据“金税三期税收管理系统”税务登记信息，你公司注册地址及生产经营地址为“凭祥市南大路365号世贸天城3幢2105号”。检查组经实地核实，你公司未在注册登记地址（生产经营地址），且无租用该地址进行生产经营管理的记录；经第三方单位协查核实，你公司注册登记地址（生产经营地址）凭祥市南大路365号世贸天城3幢2105号与你公司无关。</w:t>
      </w:r>
    </w:p>
    <w:p>
      <w:pPr>
        <w:ind w:firstLine="640" w:firstLineChars="200"/>
        <w:outlineLvl w:val="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（2）</w:t>
      </w:r>
      <w:r>
        <w:rPr>
          <w:rFonts w:hint="eastAsia" w:ascii="仿宋_GB2312" w:hAnsi="仿宋" w:eastAsia="仿宋_GB2312"/>
          <w:sz w:val="32"/>
          <w:szCs w:val="32"/>
          <w:lang w:eastAsia="zh-CN"/>
        </w:rPr>
        <w:t>不履行税收义务并脱离主管税务机关监管</w:t>
      </w:r>
    </w:p>
    <w:p>
      <w:pPr>
        <w:ind w:firstLine="640" w:firstLineChars="200"/>
        <w:outlineLvl w:val="0"/>
        <w:rPr>
          <w:rFonts w:hint="eastAsia" w:ascii="仿宋_GB2312" w:hAnsi="仿宋" w:eastAsia="仿宋_GB2312"/>
          <w:sz w:val="32"/>
          <w:szCs w:val="32"/>
          <w:lang w:eastAsia="zh-CN"/>
        </w:rPr>
      </w:pPr>
      <w:r>
        <w:rPr>
          <w:rFonts w:hint="eastAsia" w:ascii="仿宋_GB2312" w:hAnsi="仿宋" w:eastAsia="仿宋_GB2312"/>
          <w:sz w:val="32"/>
          <w:szCs w:val="32"/>
          <w:lang w:eastAsia="zh-CN"/>
        </w:rPr>
        <w:t>你公司自注册登记成立以来，未按税法规定向主管税务机关履行各类纳税申报义务。主管税务机关因你公司连续三个月未履行纳税申报义务，且你公司报备的法定代表人、财务负责人、办税员联系电话均处于无法联系状态，于2026年6月1日认定你公司为非正常户。检查期间，检查人员多次通过电话联系你公司在主管税务机关报备法定代表人、财务负责人、办税人员联系电话，均无法接通联系。</w:t>
      </w:r>
    </w:p>
    <w:p>
      <w:pPr>
        <w:ind w:firstLine="640" w:firstLineChars="200"/>
        <w:outlineLvl w:val="0"/>
        <w:rPr>
          <w:rFonts w:hint="eastAsia" w:ascii="仿宋_GB2312" w:hAnsi="仿宋" w:eastAsia="仿宋_GB2312"/>
          <w:sz w:val="32"/>
          <w:szCs w:val="32"/>
          <w:lang w:eastAsia="zh-CN"/>
        </w:rPr>
      </w:pPr>
      <w:r>
        <w:rPr>
          <w:rFonts w:hint="eastAsia" w:ascii="仿宋_GB2312" w:hAnsi="仿宋" w:eastAsia="仿宋_GB2312"/>
          <w:sz w:val="32"/>
          <w:szCs w:val="32"/>
          <w:lang w:eastAsia="zh-CN"/>
        </w:rPr>
        <w:t>以上事实由以下证据证明：证件失效纳税人清册（非正常户），风险纳税人信息查询，主管税务机关出具的《企业失联证明》、《广西霄苡徕科技有限公司失联情况说明》，现场笔录，广西南宁晟海物业服务有限公司凭祥分公司出具的情况说明及执法记录视频资料，用于证明你公司注册虚假生产经营地址并走逃失联情况。</w:t>
      </w:r>
    </w:p>
    <w:p>
      <w:pPr>
        <w:ind w:firstLine="640" w:firstLineChars="200"/>
        <w:outlineLvl w:val="0"/>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2.</w:t>
      </w:r>
      <w:r>
        <w:rPr>
          <w:rFonts w:hint="eastAsia" w:ascii="仿宋_GB2312" w:hAnsi="仿宋" w:eastAsia="仿宋_GB2312"/>
          <w:sz w:val="32"/>
          <w:szCs w:val="32"/>
          <w:lang w:eastAsia="zh-CN"/>
        </w:rPr>
        <w:t>虚开增值税专用发票</w:t>
      </w:r>
    </w:p>
    <w:p>
      <w:pPr>
        <w:ind w:firstLine="640" w:firstLineChars="200"/>
        <w:outlineLvl w:val="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（1）发票流检查情况</w:t>
      </w:r>
    </w:p>
    <w:p>
      <w:pPr>
        <w:ind w:firstLine="640" w:firstLineChars="200"/>
        <w:outlineLvl w:val="0"/>
        <w:rPr>
          <w:rFonts w:hint="eastAsia" w:ascii="仿宋_GB2312" w:hAnsi="仿宋" w:eastAsia="仿宋_GB2312"/>
          <w:sz w:val="32"/>
          <w:szCs w:val="32"/>
          <w:lang w:eastAsia="zh-CN"/>
        </w:rPr>
      </w:pPr>
      <w:r>
        <w:rPr>
          <w:rFonts w:hint="eastAsia" w:ascii="仿宋_GB2312" w:hAnsi="仿宋" w:eastAsia="仿宋_GB2312"/>
          <w:sz w:val="32"/>
          <w:szCs w:val="32"/>
          <w:lang w:eastAsia="zh-CN"/>
        </w:rPr>
        <w:t>①取得增值税专用发票情况</w:t>
      </w:r>
    </w:p>
    <w:p>
      <w:pPr>
        <w:ind w:firstLine="640" w:firstLineChars="200"/>
        <w:outlineLvl w:val="0"/>
        <w:rPr>
          <w:rFonts w:hint="default" w:ascii="仿宋_GB2312" w:hAnsi="仿宋" w:eastAsia="仿宋_GB2312"/>
          <w:sz w:val="32"/>
          <w:szCs w:val="32"/>
          <w:lang w:val="en-US" w:eastAsia="zh-CN"/>
        </w:rPr>
      </w:pPr>
      <w:r>
        <w:rPr>
          <w:rFonts w:hint="eastAsia" w:ascii="仿宋_GB2312" w:hAnsi="仿宋" w:eastAsia="仿宋_GB2312"/>
          <w:sz w:val="32"/>
          <w:szCs w:val="32"/>
          <w:lang w:eastAsia="zh-CN"/>
        </w:rPr>
        <w:t>检查人员通过“金税三期税收管理系统”查询，你公司</w:t>
      </w:r>
      <w:r>
        <w:rPr>
          <w:rFonts w:hint="eastAsia" w:ascii="仿宋_GB2312" w:hAnsi="仿宋" w:eastAsia="仿宋_GB2312"/>
          <w:sz w:val="32"/>
          <w:szCs w:val="32"/>
          <w:lang w:val="en-US" w:eastAsia="zh-CN"/>
        </w:rPr>
        <w:t>2026年2月</w:t>
      </w:r>
      <w:r>
        <w:rPr>
          <w:rFonts w:hint="eastAsia" w:ascii="仿宋_GB2312" w:hAnsi="仿宋" w:eastAsia="仿宋_GB2312"/>
          <w:sz w:val="32"/>
          <w:szCs w:val="32"/>
          <w:lang w:eastAsia="zh-CN"/>
        </w:rPr>
        <w:t>取得宁夏泡遵循科技有限公司</w:t>
      </w:r>
      <w:r>
        <w:rPr>
          <w:rFonts w:hint="eastAsia" w:ascii="仿宋_GB2312" w:hAnsi="仿宋" w:eastAsia="仿宋_GB2312"/>
          <w:sz w:val="32"/>
          <w:szCs w:val="32"/>
          <w:lang w:val="en-US" w:eastAsia="zh-CN"/>
        </w:rPr>
        <w:t>2026年2月10日开具发票代码为266420000000，发票号码分别为53102341、53094346、53102356、53251906，货物劳务名称为“*铁选矿*铁精粉”，数量1,450吨，金额合计1,186,946.91元，税额合计154,303.09元，价税合计1,341,250.00元的增值税专用发票（数电票）4份；取得宁夏克热荣科技有限公司2026年2月10日开具发票代码为266420000000，发票号码分别为53253256、53253391、53253241、53095621、52946716、52946701、53103871、52946821、53095726、53103841、53103721，货物劳务名称为“*铁选矿*铁精粉”，数量4,465吨，金额合计3,614,823.01元，税额合计469,926.99元，价税合计4,084,750.00元的增值税专用发票（数电票）11份。以上共取得增值税专用发票（数电票）15份，金额4,801,769.92元，税额624,230.08元，价税合计5,426,000元。</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_GB2312" w:eastAsia="仿宋_GB2312" w:cs="仿宋_GB2312"/>
          <w:color w:val="000000"/>
          <w:kern w:val="2"/>
          <w:sz w:val="32"/>
          <w:szCs w:val="22"/>
          <w:highlight w:val="none"/>
          <w:lang w:val="en-US" w:eastAsia="zh-CN" w:bidi="ar"/>
        </w:rPr>
        <w:t>②</w:t>
      </w:r>
      <w:r>
        <w:rPr>
          <w:rFonts w:hint="eastAsia" w:ascii="仿宋_GB2312" w:hAnsi="仿宋" w:eastAsia="仿宋_GB2312"/>
          <w:sz w:val="32"/>
          <w:szCs w:val="32"/>
          <w:lang w:val="en-US" w:eastAsia="zh-CN"/>
        </w:rPr>
        <w:t>开具增值税专用发票情况</w:t>
      </w:r>
    </w:p>
    <w:p>
      <w:pPr>
        <w:ind w:firstLine="640" w:firstLineChars="200"/>
        <w:outlineLvl w:val="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检查人员通过“金税三期税收管理系统”查询，你公司2026年2月10日为广西收收速贸易有限公司开具货物劳务名称为“*铁选矿*铁精粉”,金额4,799,955.71元，税额623,994.29元，价税合计5,423,950.00元的增值税专用发票（数电票）11份，发票代码为264520000002，发票号码分别为43325861、43324106、42445256、43184576、42888101、42887216、43326146、45110156、43034771、43469846、43324391、43325306、42737936、43185236、43184021、43183961、42591776。</w:t>
      </w:r>
    </w:p>
    <w:p>
      <w:pPr>
        <w:ind w:firstLine="640" w:firstLineChars="200"/>
        <w:outlineLvl w:val="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（2）资金流检查情况</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你公司自注册成立以来，未向主管税务机关报备你公司基本结算银行账户情况。检查组通过中国人民银行广西壮族自治区分行查询，未查询到你公司存在对公银行账户情况，也未查询到你公司法定代表人等相关人员的银行账户情况。</w:t>
      </w:r>
    </w:p>
    <w:p>
      <w:pPr>
        <w:ind w:firstLine="640" w:firstLineChars="200"/>
        <w:outlineLvl w:val="0"/>
        <w:rPr>
          <w:rFonts w:hint="default" w:ascii="仿宋_GB2312" w:hAnsi="仿宋" w:eastAsia="仿宋_GB2312"/>
          <w:sz w:val="32"/>
          <w:szCs w:val="32"/>
          <w:lang w:val="en-US" w:eastAsia="zh-CN"/>
        </w:rPr>
      </w:pPr>
      <w:r>
        <w:rPr>
          <w:rFonts w:hint="eastAsia" w:ascii="仿宋_GB2312" w:hAnsi="仿宋" w:eastAsia="仿宋_GB2312"/>
          <w:sz w:val="32"/>
          <w:szCs w:val="32"/>
          <w:lang w:val="en-US" w:eastAsia="zh-CN"/>
        </w:rPr>
        <w:t>（3）货物流检查情况</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_GB2312" w:eastAsia="仿宋_GB2312" w:cs="仿宋_GB2312"/>
          <w:color w:val="000000"/>
          <w:kern w:val="2"/>
          <w:sz w:val="32"/>
          <w:szCs w:val="22"/>
          <w:highlight w:val="none"/>
          <w:lang w:val="en-US" w:eastAsia="zh-CN" w:bidi="ar"/>
        </w:rPr>
        <w:t>①</w:t>
      </w:r>
      <w:r>
        <w:rPr>
          <w:rFonts w:hint="eastAsia" w:ascii="仿宋_GB2312" w:hAnsi="仿宋" w:eastAsia="仿宋_GB2312"/>
          <w:sz w:val="32"/>
          <w:szCs w:val="32"/>
          <w:lang w:val="en-US" w:eastAsia="zh-CN"/>
        </w:rPr>
        <w:t>上游企业货物流情况</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你公司2026年2月取得宁夏泡遵循科技有限公司、宁夏克热荣科技有限公司两家公司于2026年2月 10日为其开具货物劳务名称为“*铁选矿*铁精粉”数量合计5,915.00吨，金额合计4,801,769.92元，税额合计624,230.08元，价税合计5,426,000.00元的（数电票）增值税专用发票15份。检查组根据中国人民银行查询账户资金情况，你公司与宁夏泡遵循科技有限公司、宁夏克热荣科技有限公司无银行账户资金交易记录，且未发现有货物流通轨迹。</w:t>
      </w:r>
    </w:p>
    <w:p>
      <w:pPr>
        <w:ind w:firstLine="640" w:firstLineChars="200"/>
        <w:outlineLvl w:val="0"/>
        <w:rPr>
          <w:rFonts w:hint="default" w:ascii="仿宋_GB2312" w:hAnsi="仿宋" w:eastAsia="仿宋_GB2312"/>
          <w:sz w:val="32"/>
          <w:szCs w:val="32"/>
          <w:lang w:val="en-US" w:eastAsia="zh-CN"/>
        </w:rPr>
      </w:pPr>
      <w:r>
        <w:rPr>
          <w:rFonts w:hint="eastAsia" w:ascii="仿宋_GB2312" w:hAnsi="仿宋_GB2312" w:eastAsia="仿宋_GB2312" w:cs="仿宋_GB2312"/>
          <w:color w:val="000000"/>
          <w:kern w:val="2"/>
          <w:sz w:val="32"/>
          <w:szCs w:val="22"/>
          <w:highlight w:val="none"/>
          <w:lang w:val="en-US" w:eastAsia="zh-CN" w:bidi="ar"/>
        </w:rPr>
        <w:t>②</w:t>
      </w:r>
      <w:r>
        <w:rPr>
          <w:rFonts w:hint="eastAsia" w:ascii="仿宋_GB2312" w:hAnsi="仿宋" w:eastAsia="仿宋_GB2312"/>
          <w:sz w:val="32"/>
          <w:szCs w:val="32"/>
          <w:lang w:val="en-US" w:eastAsia="zh-CN"/>
        </w:rPr>
        <w:t>下游企业货物流情况</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你公司于2026年2月10日为广西收收速贸易有限公司开具货物劳务名称为“*铁选矿*铁精粉”数量合计5,912.75吨，金额4,799,955.71元，税额623,994.29元，价税合计5,423,950.00元的（数电票）增值税专用发票17份。经检查组调查核实，广西收收速贸易有限公司已将取得的上述17份增值税专用发票全部申报认证抵扣。但因广西收收速贸易有限公司纳税状态为清算状态，无法提供你公司与该公司经营交易情况相关资料。</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根据以上检查情况，你公司在2026年2月10日同一天取得上游企业为其开具增值税专用发票和为下游企业开具增值税专用发票，且发票载明的数量、单价、金额、税额、价税合计等基本一致，明显不符合正常购销货物常理，货物购销异常，认定你公司货物购销交易不真实。</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综上检查情况，你公司注册虚假生产经营地址，不履行纳税申报义务且已走逃（失联）。2026年2月，无实际货物购进，取得宁夏泡遵循科技有限公司、宁夏克热荣科技有限公司开具的增值税专用发票（数电票）共15份；无实际货物销售，为广西收收速贸易有限公司开具增值税专用发票（数电票）17份。违反了《中华人民共和国发票管理办法》（2023修订）第二十一条第二款、《中华人民共和国发票管理办法实施细则》（国家税务总局令第56号）第二十九条第一项之规定。</w:t>
      </w:r>
    </w:p>
    <w:p>
      <w:pPr>
        <w:ind w:firstLine="640" w:firstLineChars="200"/>
        <w:outlineLvl w:val="0"/>
        <w:rPr>
          <w:rFonts w:hint="eastAsia" w:ascii="仿宋_GB2312" w:hAnsi="仿宋" w:eastAsia="仿宋_GB2312"/>
          <w:sz w:val="32"/>
          <w:szCs w:val="32"/>
          <w:lang w:val="en-US" w:eastAsia="zh-CN"/>
        </w:rPr>
      </w:pPr>
      <w:r>
        <w:rPr>
          <w:rFonts w:hint="default" w:ascii="仿宋_GB2312" w:hAnsi="仿宋" w:eastAsia="仿宋_GB2312"/>
          <w:sz w:val="32"/>
          <w:szCs w:val="32"/>
          <w:lang w:val="en-US" w:eastAsia="zh-CN"/>
        </w:rPr>
        <w:t>以上事实</w:t>
      </w:r>
      <w:r>
        <w:rPr>
          <w:rFonts w:hint="eastAsia" w:ascii="仿宋_GB2312" w:hAnsi="仿宋" w:eastAsia="仿宋_GB2312"/>
          <w:sz w:val="32"/>
          <w:szCs w:val="32"/>
          <w:lang w:val="en-US" w:eastAsia="zh-CN"/>
        </w:rPr>
        <w:t>主要</w:t>
      </w:r>
      <w:r>
        <w:rPr>
          <w:rFonts w:hint="default" w:ascii="仿宋_GB2312" w:hAnsi="仿宋" w:eastAsia="仿宋_GB2312"/>
          <w:sz w:val="32"/>
          <w:szCs w:val="32"/>
          <w:lang w:val="en-US" w:eastAsia="zh-CN"/>
        </w:rPr>
        <w:t>由以下证据证明</w:t>
      </w:r>
      <w:r>
        <w:rPr>
          <w:rFonts w:hint="eastAsia" w:ascii="仿宋_GB2312" w:hAnsi="仿宋" w:eastAsia="仿宋_GB2312"/>
          <w:sz w:val="32"/>
          <w:szCs w:val="32"/>
          <w:lang w:val="en-US" w:eastAsia="zh-CN"/>
        </w:rPr>
        <w:t>：</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证据1.你公司取得发票明细表、你公司取得发票明细表及其发票打印件，反映你公司无实际货物购销取得的发票及开具的发票情况；</w:t>
      </w:r>
    </w:p>
    <w:p>
      <w:pPr>
        <w:ind w:firstLine="640" w:firstLineChars="200"/>
        <w:outlineLvl w:val="0"/>
        <w:rPr>
          <w:rFonts w:hint="eastAsia" w:ascii="仿宋_GB2312" w:hAnsi="仿宋" w:eastAsia="仿宋_GB2312"/>
          <w:sz w:val="32"/>
          <w:szCs w:val="32"/>
          <w:lang w:val="en-US" w:eastAsia="zh-CN"/>
        </w:rPr>
      </w:pPr>
      <w:r>
        <w:rPr>
          <w:rFonts w:hint="default" w:ascii="仿宋_GB2312" w:hAnsi="仿宋" w:eastAsia="仿宋_GB2312"/>
          <w:sz w:val="32"/>
          <w:szCs w:val="32"/>
          <w:lang w:val="en-US" w:eastAsia="zh-CN"/>
        </w:rPr>
        <w:t>证据</w:t>
      </w:r>
      <w:r>
        <w:rPr>
          <w:rFonts w:hint="eastAsia" w:ascii="仿宋_GB2312" w:hAnsi="仿宋" w:eastAsia="仿宋_GB2312"/>
          <w:sz w:val="32"/>
          <w:szCs w:val="32"/>
          <w:lang w:val="en-US" w:eastAsia="zh-CN"/>
        </w:rPr>
        <w:t>2</w:t>
      </w:r>
      <w:r>
        <w:rPr>
          <w:rFonts w:hint="default" w:ascii="仿宋_GB2312" w:hAnsi="仿宋" w:eastAsia="仿宋_GB2312"/>
          <w:sz w:val="32"/>
          <w:szCs w:val="32"/>
          <w:lang w:val="en-US" w:eastAsia="zh-CN"/>
        </w:rPr>
        <w:t>.</w:t>
      </w:r>
      <w:r>
        <w:rPr>
          <w:rFonts w:hint="eastAsia" w:ascii="仿宋_GB2312" w:hAnsi="仿宋" w:eastAsia="仿宋_GB2312"/>
          <w:sz w:val="32"/>
          <w:szCs w:val="32"/>
          <w:lang w:val="en-US" w:eastAsia="zh-CN"/>
        </w:rPr>
        <w:t>银行查询资料，反映你公司无对公结算账户及无银行资金往来情况；</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证据3.主管税务机关于你公司涉嫌虚开发票高风险点推送稽查的报告，反映你公司经营业务交易的真实情况；</w:t>
      </w:r>
    </w:p>
    <w:p>
      <w:pPr>
        <w:ind w:firstLine="640" w:firstLineChars="200"/>
        <w:outlineLvl w:val="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证据4.发票认证勾选抵扣清单、税务登记信息查询等协查取证资料，反映你公司开具发票的下游企业经营状态情况。</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outlineLvl w:val="0"/>
        <w:rPr>
          <w:rFonts w:hint="eastAsia" w:ascii="仿宋_GB2312" w:hAnsi="仿宋_GB2312" w:eastAsia="仿宋_GB2312" w:cs="仿宋_GB2312"/>
          <w:color w:val="000000"/>
          <w:kern w:val="2"/>
          <w:sz w:val="32"/>
          <w:szCs w:val="22"/>
          <w:highlight w:val="none"/>
          <w:lang w:val="en-US" w:eastAsia="zh-CN" w:bidi="ar"/>
        </w:rPr>
      </w:pPr>
      <w:r>
        <w:rPr>
          <w:rFonts w:hint="eastAsia" w:ascii="楷体_GB2312" w:hAnsi="楷体_GB2312" w:eastAsia="楷体_GB2312" w:cs="楷体_GB2312"/>
          <w:color w:val="000000"/>
          <w:kern w:val="2"/>
          <w:sz w:val="32"/>
          <w:szCs w:val="22"/>
          <w:highlight w:val="none"/>
          <w:lang w:val="en-US" w:eastAsia="zh-CN" w:bidi="ar"/>
        </w:rPr>
        <w:t xml:space="preserve">（二）拟做出的处罚决定   </w:t>
      </w:r>
      <w:r>
        <w:rPr>
          <w:rFonts w:hint="eastAsia" w:ascii="仿宋_GB2312" w:hAnsi="仿宋_GB2312" w:eastAsia="仿宋_GB2312" w:cs="仿宋_GB2312"/>
          <w:color w:val="000000"/>
          <w:kern w:val="2"/>
          <w:sz w:val="32"/>
          <w:szCs w:val="22"/>
          <w:highlight w:val="none"/>
          <w:lang w:val="en-US" w:eastAsia="zh-CN" w:bidi="ar"/>
        </w:rPr>
        <w:t xml:space="preserve">                                             </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kern w:val="2"/>
          <w:sz w:val="32"/>
          <w:szCs w:val="22"/>
          <w:highlight w:val="none"/>
          <w:lang w:val="en-US" w:eastAsia="zh-CN" w:bidi="ar"/>
        </w:rPr>
      </w:pPr>
      <w:r>
        <w:rPr>
          <w:rFonts w:hint="eastAsia" w:ascii="仿宋_GB2312" w:hAnsi="仿宋_GB2312" w:eastAsia="仿宋_GB2312" w:cs="仿宋_GB2312"/>
          <w:color w:val="000000"/>
          <w:kern w:val="2"/>
          <w:sz w:val="32"/>
          <w:szCs w:val="22"/>
          <w:highlight w:val="none"/>
          <w:lang w:val="en-US" w:eastAsia="zh-CN" w:bidi="ar"/>
        </w:rPr>
        <w:t>根据上述事实，拟做出如下处罚决定：</w:t>
      </w:r>
    </w:p>
    <w:p>
      <w:pPr>
        <w:ind w:firstLine="640" w:firstLineChars="200"/>
        <w:outlineLvl w:val="0"/>
        <w:rPr>
          <w:rFonts w:hint="eastAsia" w:ascii="仿宋_GB2312" w:hAnsi="仿宋" w:eastAsia="仿宋_GB2312"/>
          <w:sz w:val="32"/>
          <w:szCs w:val="32"/>
          <w:lang w:eastAsia="zh-CN"/>
        </w:rPr>
      </w:pPr>
      <w:r>
        <w:rPr>
          <w:rFonts w:hint="eastAsia" w:ascii="仿宋_GB2312" w:hAnsi="仿宋" w:eastAsia="仿宋_GB2312"/>
          <w:sz w:val="32"/>
          <w:szCs w:val="32"/>
          <w:lang w:val="en-US" w:eastAsia="zh-CN"/>
        </w:rPr>
        <w:t>1.</w:t>
      </w:r>
      <w:r>
        <w:rPr>
          <w:rFonts w:hint="eastAsia" w:ascii="仿宋_GB2312" w:hAnsi="仿宋" w:eastAsia="仿宋_GB2312"/>
          <w:sz w:val="32"/>
          <w:szCs w:val="32"/>
          <w:lang w:eastAsia="zh-CN"/>
        </w:rPr>
        <w:t>你公司在没有真实业务交易情况下，为广西收收速贸易有限公司开具金额4,799,955.71元，税额623,994.29元，价税合计5,423,950.00元的</w:t>
      </w:r>
      <w:r>
        <w:rPr>
          <w:rFonts w:hint="eastAsia" w:ascii="仿宋_GB2312" w:hAnsi="仿宋" w:eastAsia="仿宋_GB2312"/>
          <w:sz w:val="32"/>
          <w:szCs w:val="32"/>
          <w:lang w:val="en-US" w:eastAsia="zh-CN"/>
        </w:rPr>
        <w:t>17</w:t>
      </w:r>
      <w:r>
        <w:rPr>
          <w:rFonts w:hint="eastAsia" w:ascii="仿宋_GB2312" w:hAnsi="仿宋" w:eastAsia="仿宋_GB2312"/>
          <w:sz w:val="32"/>
          <w:szCs w:val="32"/>
          <w:lang w:eastAsia="zh-CN"/>
        </w:rPr>
        <w:t>增值税专用发票，根据《中华人民共和国发票管理办法》（2023修订）第二十一条第二款第一项之规定，定性为虚开增值税专用发票。</w:t>
      </w:r>
    </w:p>
    <w:p>
      <w:pPr>
        <w:ind w:firstLine="640" w:firstLineChars="200"/>
        <w:outlineLvl w:val="0"/>
        <w:rPr>
          <w:rFonts w:hint="eastAsia" w:ascii="仿宋_GB2312" w:hAnsi="仿宋_GB2312" w:eastAsia="仿宋_GB2312" w:cs="仿宋_GB2312"/>
          <w:color w:val="000000"/>
          <w:kern w:val="2"/>
          <w:sz w:val="32"/>
          <w:szCs w:val="22"/>
          <w:highlight w:val="none"/>
          <w:lang w:val="en-US" w:eastAsia="zh-CN" w:bidi="ar"/>
        </w:rPr>
      </w:pPr>
      <w:r>
        <w:rPr>
          <w:rFonts w:hint="eastAsia" w:ascii="仿宋_GB2312" w:hAnsi="仿宋" w:eastAsia="仿宋_GB2312"/>
          <w:sz w:val="32"/>
          <w:szCs w:val="32"/>
          <w:lang w:val="en-US" w:eastAsia="zh-CN"/>
        </w:rPr>
        <w:t>2.</w:t>
      </w:r>
      <w:r>
        <w:rPr>
          <w:rFonts w:hint="eastAsia" w:ascii="仿宋_GB2312" w:hAnsi="仿宋" w:eastAsia="仿宋_GB2312"/>
          <w:sz w:val="32"/>
          <w:szCs w:val="32"/>
          <w:lang w:eastAsia="zh-CN"/>
        </w:rPr>
        <w:t>根据《中华人民共和国发票管理办法》（</w:t>
      </w:r>
      <w:r>
        <w:rPr>
          <w:rFonts w:hint="eastAsia" w:ascii="仿宋_GB2312" w:hAnsi="仿宋" w:eastAsia="仿宋_GB2312"/>
          <w:sz w:val="32"/>
          <w:szCs w:val="32"/>
          <w:lang w:val="en-US" w:eastAsia="zh-CN"/>
        </w:rPr>
        <w:t>2023年</w:t>
      </w:r>
      <w:r>
        <w:rPr>
          <w:rFonts w:hint="eastAsia" w:ascii="仿宋_GB2312" w:hAnsi="仿宋" w:eastAsia="仿宋_GB2312"/>
          <w:sz w:val="32"/>
          <w:szCs w:val="32"/>
          <w:lang w:eastAsia="zh-CN"/>
        </w:rPr>
        <w:t>修订）第三十五条第一款，参照《国家税务总局广东省税务局 国家税务总局河南省税务局 国家税务总局湖北省税务局 国家税务总局湖南省税务局 国家税务总局广西壮族自治区税务局 国家税务总局海南省税务局 国家税务总局深圳市税务局关于发布&lt;中南区域税务行政处罚裁量基准&gt;的公告》（国家税务总局广东省税务局 国家税务总局河南省税务局等税务局公告2023年第5号）附件《中南区域税务行政处罚裁量基准》第45项之规定,你公司虚开增值税专用发票金额在</w:t>
      </w:r>
      <w:r>
        <w:rPr>
          <w:rFonts w:hint="eastAsia" w:ascii="仿宋_GB2312" w:hAnsi="仿宋" w:eastAsia="仿宋_GB2312"/>
          <w:sz w:val="32"/>
          <w:szCs w:val="32"/>
          <w:lang w:val="en-US" w:eastAsia="zh-CN"/>
        </w:rPr>
        <w:t>5</w:t>
      </w:r>
      <w:r>
        <w:rPr>
          <w:rFonts w:hint="eastAsia" w:ascii="仿宋_GB2312" w:hAnsi="仿宋" w:eastAsia="仿宋_GB2312"/>
          <w:sz w:val="32"/>
          <w:szCs w:val="32"/>
          <w:lang w:eastAsia="zh-CN"/>
        </w:rPr>
        <w:t>00万元以上，故对你公司虚开增值税专用发票行为处以50万元罚款。</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kern w:val="2"/>
          <w:sz w:val="32"/>
          <w:szCs w:val="22"/>
          <w:highlight w:val="none"/>
          <w:lang w:val="en-US" w:eastAsia="zh-CN" w:bidi="ar"/>
        </w:rPr>
      </w:pPr>
      <w:r>
        <w:rPr>
          <w:rFonts w:hint="eastAsia" w:ascii="仿宋_GB2312" w:hAnsi="仿宋_GB2312" w:eastAsia="仿宋_GB2312" w:cs="仿宋_GB2312"/>
          <w:color w:val="000000"/>
          <w:kern w:val="2"/>
          <w:sz w:val="32"/>
          <w:szCs w:val="22"/>
          <w:highlight w:val="none"/>
          <w:lang w:val="en-US" w:eastAsia="zh-CN" w:bidi="ar"/>
        </w:rPr>
        <w:t>二、你公司有陈述、申辩的权利。请在我局作出税务行政处罚决定之前，到我局进行陈述、申辩或自行提供陈述、申辩材料；逾期不进行陈述、申辩的，视同放弃权利。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kern w:val="2"/>
          <w:sz w:val="32"/>
          <w:szCs w:val="22"/>
          <w:highlight w:val="none"/>
          <w:lang w:val="en-US" w:eastAsia="zh-CN" w:bidi="ar"/>
        </w:rPr>
      </w:pPr>
      <w:r>
        <w:rPr>
          <w:rFonts w:hint="eastAsia" w:ascii="仿宋_GB2312" w:hAnsi="仿宋_GB2312" w:eastAsia="仿宋_GB2312" w:cs="仿宋_GB2312"/>
          <w:color w:val="000000"/>
          <w:kern w:val="2"/>
          <w:sz w:val="32"/>
          <w:szCs w:val="22"/>
          <w:highlight w:val="none"/>
          <w:lang w:val="en-US" w:eastAsia="zh-CN" w:bidi="ar"/>
        </w:rPr>
        <w:t>三、拟对你单位罚款50万元，你公司有要求听证的权利。可自收到本告知书之日起五个工作日内向我局书面提出听证申请；逾期不提出，视为放弃听证权利。</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000000"/>
          <w:kern w:val="2"/>
          <w:sz w:val="32"/>
          <w:szCs w:val="22"/>
          <w:highlight w:val="none"/>
          <w:lang w:val="en-US" w:eastAsia="zh-CN" w:bidi="ar"/>
        </w:rPr>
      </w:pPr>
    </w:p>
    <w:p>
      <w:pPr>
        <w:pStyle w:val="2"/>
        <w:rPr>
          <w:rFonts w:hint="eastAsia" w:ascii="仿宋_GB2312" w:hAnsi="仿宋_GB2312" w:eastAsia="仿宋_GB2312" w:cs="仿宋_GB2312"/>
          <w:color w:val="000000"/>
          <w:kern w:val="2"/>
          <w:sz w:val="32"/>
          <w:szCs w:val="22"/>
          <w:highlight w:val="none"/>
          <w:lang w:val="en-US" w:eastAsia="zh-CN" w:bidi="ar"/>
        </w:rPr>
      </w:pPr>
    </w:p>
    <w:p>
      <w:pPr>
        <w:rPr>
          <w:rFonts w:hint="eastAsia" w:ascii="仿宋_GB2312" w:hAnsi="仿宋_GB2312" w:eastAsia="仿宋_GB2312" w:cs="仿宋_GB2312"/>
          <w:color w:val="000000"/>
          <w:kern w:val="2"/>
          <w:sz w:val="32"/>
          <w:szCs w:val="22"/>
          <w:highlight w:val="none"/>
          <w:lang w:val="en-US" w:eastAsia="zh-CN" w:bidi="ar"/>
        </w:rPr>
      </w:pPr>
    </w:p>
    <w:p>
      <w:pPr>
        <w:pStyle w:val="2"/>
        <w:jc w:val="right"/>
        <w:rPr>
          <w:rFonts w:hint="eastAsia"/>
          <w:lang w:val="en-US" w:eastAsia="zh-CN"/>
        </w:rPr>
      </w:pP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right"/>
        <w:textAlignment w:val="auto"/>
      </w:pPr>
      <w:r>
        <w:rPr>
          <w:rFonts w:hint="eastAsia" w:ascii="仿宋_GB2312" w:hAnsi="仿宋_GB2312" w:eastAsia="仿宋_GB2312" w:cs="仿宋_GB2312"/>
          <w:color w:val="000000"/>
          <w:kern w:val="2"/>
          <w:sz w:val="32"/>
          <w:szCs w:val="22"/>
          <w:highlight w:val="none"/>
          <w:lang w:val="en-US" w:eastAsia="zh-CN" w:bidi="ar"/>
        </w:rPr>
        <w:t xml:space="preserve">二〇二六年九月七日 </w:t>
      </w:r>
      <w:r>
        <w:rPr>
          <w:rFonts w:hint="eastAsia" w:ascii="仿宋_GB2312" w:hAnsi="Times New Roman" w:eastAsia="仿宋_GB2312" w:cs="仿宋_GB2312"/>
          <w:color w:val="000000"/>
          <w:kern w:val="2"/>
          <w:sz w:val="32"/>
          <w:szCs w:val="22"/>
          <w:highlight w:val="none"/>
          <w:lang w:val="en-US" w:eastAsia="zh-CN" w:bidi="ar"/>
        </w:rPr>
        <w:t xml:space="preserve">     </w:t>
      </w:r>
    </w:p>
    <w:sectPr>
      <w:footerReference r:id="rId3" w:type="default"/>
      <w:pgSz w:w="12240" w:h="15840"/>
      <w:pgMar w:top="1440" w:right="1786" w:bottom="1440" w:left="1786" w:header="720" w:footer="72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Helvetica">
    <w:altName w:val="Arial"/>
    <w:panose1 w:val="020B0504020202030204"/>
    <w:charset w:val="00"/>
    <w:family w:val="swiss"/>
    <w:pitch w:val="default"/>
    <w:sig w:usb0="00000000" w:usb1="00000000" w:usb2="00000000" w:usb3="00000000" w:csb0="00000093"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2151B"/>
    <w:rsid w:val="00807853"/>
    <w:rsid w:val="00C564A6"/>
    <w:rsid w:val="015013FD"/>
    <w:rsid w:val="01E57997"/>
    <w:rsid w:val="020D373F"/>
    <w:rsid w:val="02152CCA"/>
    <w:rsid w:val="02C75CA6"/>
    <w:rsid w:val="037774BD"/>
    <w:rsid w:val="041B41C6"/>
    <w:rsid w:val="046C3DFA"/>
    <w:rsid w:val="047F158B"/>
    <w:rsid w:val="04813EF8"/>
    <w:rsid w:val="057848B4"/>
    <w:rsid w:val="05D56244"/>
    <w:rsid w:val="0694113A"/>
    <w:rsid w:val="07254467"/>
    <w:rsid w:val="09E95754"/>
    <w:rsid w:val="0A6D37A2"/>
    <w:rsid w:val="0B84695B"/>
    <w:rsid w:val="0BD270BB"/>
    <w:rsid w:val="0CE45F15"/>
    <w:rsid w:val="0D604E6B"/>
    <w:rsid w:val="0F3B4EB6"/>
    <w:rsid w:val="0F3C4220"/>
    <w:rsid w:val="0FC40D50"/>
    <w:rsid w:val="10416459"/>
    <w:rsid w:val="10BD53BA"/>
    <w:rsid w:val="11483367"/>
    <w:rsid w:val="11C131B5"/>
    <w:rsid w:val="12721000"/>
    <w:rsid w:val="12746DD9"/>
    <w:rsid w:val="12A13FBD"/>
    <w:rsid w:val="160E11CD"/>
    <w:rsid w:val="16801823"/>
    <w:rsid w:val="17D15FE3"/>
    <w:rsid w:val="184E14A1"/>
    <w:rsid w:val="194A3ADE"/>
    <w:rsid w:val="1A446092"/>
    <w:rsid w:val="1A743B2C"/>
    <w:rsid w:val="1A7A5C85"/>
    <w:rsid w:val="1B6E487A"/>
    <w:rsid w:val="1C915610"/>
    <w:rsid w:val="1CB36282"/>
    <w:rsid w:val="1CD734ED"/>
    <w:rsid w:val="1FDD580A"/>
    <w:rsid w:val="21D21E10"/>
    <w:rsid w:val="22C85CDA"/>
    <w:rsid w:val="244C4152"/>
    <w:rsid w:val="246910C8"/>
    <w:rsid w:val="25A50BA8"/>
    <w:rsid w:val="25CA137D"/>
    <w:rsid w:val="266565F3"/>
    <w:rsid w:val="28071F14"/>
    <w:rsid w:val="28361C4E"/>
    <w:rsid w:val="28FB5A1E"/>
    <w:rsid w:val="28FC7A65"/>
    <w:rsid w:val="294A0530"/>
    <w:rsid w:val="29DB0C44"/>
    <w:rsid w:val="2A660233"/>
    <w:rsid w:val="2B7D3F94"/>
    <w:rsid w:val="2BC75EB9"/>
    <w:rsid w:val="2C5B5EC6"/>
    <w:rsid w:val="2D232BBD"/>
    <w:rsid w:val="2E5E28EC"/>
    <w:rsid w:val="2EE60E76"/>
    <w:rsid w:val="30FA6214"/>
    <w:rsid w:val="314B2201"/>
    <w:rsid w:val="32103989"/>
    <w:rsid w:val="321B6920"/>
    <w:rsid w:val="343E4AA1"/>
    <w:rsid w:val="34A01B29"/>
    <w:rsid w:val="354A6F55"/>
    <w:rsid w:val="37405A92"/>
    <w:rsid w:val="374E471D"/>
    <w:rsid w:val="39B13E01"/>
    <w:rsid w:val="39D51C97"/>
    <w:rsid w:val="3A12125D"/>
    <w:rsid w:val="3C155113"/>
    <w:rsid w:val="3CCA2EED"/>
    <w:rsid w:val="3CFF6F25"/>
    <w:rsid w:val="3DB90F83"/>
    <w:rsid w:val="3DC836CD"/>
    <w:rsid w:val="3DC85AE3"/>
    <w:rsid w:val="3DE71F54"/>
    <w:rsid w:val="3DFF2040"/>
    <w:rsid w:val="3E204A57"/>
    <w:rsid w:val="3E6F6961"/>
    <w:rsid w:val="3FE64237"/>
    <w:rsid w:val="3FEC59A4"/>
    <w:rsid w:val="3FF62368"/>
    <w:rsid w:val="42701E37"/>
    <w:rsid w:val="42930B98"/>
    <w:rsid w:val="43462996"/>
    <w:rsid w:val="44243C52"/>
    <w:rsid w:val="44521F2F"/>
    <w:rsid w:val="45824D7A"/>
    <w:rsid w:val="45846513"/>
    <w:rsid w:val="460F5208"/>
    <w:rsid w:val="47E15940"/>
    <w:rsid w:val="4988364F"/>
    <w:rsid w:val="4A80581A"/>
    <w:rsid w:val="4AEF7E3A"/>
    <w:rsid w:val="4B1C77DF"/>
    <w:rsid w:val="4B556EEF"/>
    <w:rsid w:val="4D022611"/>
    <w:rsid w:val="4F533E80"/>
    <w:rsid w:val="4FBD1C4C"/>
    <w:rsid w:val="508D6CFB"/>
    <w:rsid w:val="51DB4DF4"/>
    <w:rsid w:val="51EF49E3"/>
    <w:rsid w:val="526607D3"/>
    <w:rsid w:val="52974A34"/>
    <w:rsid w:val="537E7727"/>
    <w:rsid w:val="53B30940"/>
    <w:rsid w:val="543657CA"/>
    <w:rsid w:val="55212C10"/>
    <w:rsid w:val="562C524A"/>
    <w:rsid w:val="56C531E5"/>
    <w:rsid w:val="56E415E2"/>
    <w:rsid w:val="57A911EA"/>
    <w:rsid w:val="57EFA9BC"/>
    <w:rsid w:val="58AB1A71"/>
    <w:rsid w:val="58B04162"/>
    <w:rsid w:val="59910435"/>
    <w:rsid w:val="5A466BF5"/>
    <w:rsid w:val="5B113784"/>
    <w:rsid w:val="5CD12185"/>
    <w:rsid w:val="5DD463BA"/>
    <w:rsid w:val="5DF26145"/>
    <w:rsid w:val="5E75333C"/>
    <w:rsid w:val="5E9F33A0"/>
    <w:rsid w:val="5EC4074E"/>
    <w:rsid w:val="5EE72EDD"/>
    <w:rsid w:val="5F3E1954"/>
    <w:rsid w:val="5F7F827B"/>
    <w:rsid w:val="5F8E322E"/>
    <w:rsid w:val="60A5497E"/>
    <w:rsid w:val="614D643E"/>
    <w:rsid w:val="61A97302"/>
    <w:rsid w:val="6264715A"/>
    <w:rsid w:val="651857A5"/>
    <w:rsid w:val="65BA4AFB"/>
    <w:rsid w:val="66240B2F"/>
    <w:rsid w:val="666C4552"/>
    <w:rsid w:val="66AD4D26"/>
    <w:rsid w:val="67A82CE7"/>
    <w:rsid w:val="6968610B"/>
    <w:rsid w:val="6BD73248"/>
    <w:rsid w:val="6DAD3EAC"/>
    <w:rsid w:val="6F701077"/>
    <w:rsid w:val="705E792F"/>
    <w:rsid w:val="70A52E52"/>
    <w:rsid w:val="713604CC"/>
    <w:rsid w:val="722F0EF5"/>
    <w:rsid w:val="723A1D59"/>
    <w:rsid w:val="73BD3C1D"/>
    <w:rsid w:val="73C41901"/>
    <w:rsid w:val="73DC09A1"/>
    <w:rsid w:val="74922B88"/>
    <w:rsid w:val="753B3D74"/>
    <w:rsid w:val="75503087"/>
    <w:rsid w:val="76204648"/>
    <w:rsid w:val="782843F2"/>
    <w:rsid w:val="78D22A54"/>
    <w:rsid w:val="79924658"/>
    <w:rsid w:val="7A706027"/>
    <w:rsid w:val="7B091934"/>
    <w:rsid w:val="7B426578"/>
    <w:rsid w:val="7B7B15A8"/>
    <w:rsid w:val="7B8B30BE"/>
    <w:rsid w:val="7BFD5163"/>
    <w:rsid w:val="7BFFFC38"/>
    <w:rsid w:val="7C7905E9"/>
    <w:rsid w:val="7CE53F8D"/>
    <w:rsid w:val="7D1323FF"/>
    <w:rsid w:val="7D993149"/>
    <w:rsid w:val="7E175BB0"/>
    <w:rsid w:val="7E4D3EAA"/>
    <w:rsid w:val="7E833AD2"/>
    <w:rsid w:val="BF1DD7F5"/>
    <w:rsid w:val="DDFF7D67"/>
    <w:rsid w:val="FBB5348C"/>
    <w:rsid w:val="FF79A1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jc w:val="center"/>
      <w:outlineLvl w:val="0"/>
    </w:pPr>
    <w:rPr>
      <w:rFonts w:ascii="Helvetica" w:hAnsi="Helvetica" w:eastAsia="华文中宋" w:cs="Helvetica"/>
      <w:b/>
      <w:bCs/>
      <w:kern w:val="44"/>
      <w:sz w:val="52"/>
      <w:szCs w:val="52"/>
      <w:lang w:val="en-GB"/>
    </w:rPr>
  </w:style>
  <w:style w:type="character" w:default="1" w:styleId="9">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customStyle="1" w:styleId="2">
    <w:name w:val="目录 21"/>
    <w:basedOn w:val="1"/>
    <w:next w:val="1"/>
    <w:qFormat/>
    <w:uiPriority w:val="0"/>
    <w:pPr>
      <w:spacing w:before="100" w:beforeAutospacing="1" w:after="100" w:afterAutospacing="1"/>
      <w:ind w:left="420" w:leftChars="200"/>
    </w:pPr>
  </w:style>
  <w:style w:type="paragraph" w:styleId="4">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Times New Roman" w:hAnsi="Times New Roman" w:eastAsia="宋体" w:cs="Times New Roman"/>
      <w:kern w:val="2"/>
      <w:sz w:val="21"/>
      <w:szCs w:val="20"/>
      <w:lang w:val="en-US" w:eastAsia="zh-CN" w:bidi="ar"/>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8">
    <w:name w:val="Table Grid"/>
    <w:basedOn w:val="7"/>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10">
    <w:name w:val="bw1"/>
    <w:basedOn w:val="1"/>
    <w:qFormat/>
    <w:uiPriority w:val="0"/>
    <w:pPr>
      <w:keepNext w:val="0"/>
      <w:keepLines w:val="0"/>
      <w:widowControl w:val="0"/>
      <w:suppressLineNumbers w:val="0"/>
      <w:adjustRightInd w:val="0"/>
      <w:spacing w:before="0" w:beforeAutospacing="0" w:after="0" w:afterAutospacing="0" w:line="360" w:lineRule="atLeast"/>
      <w:ind w:left="0" w:right="0"/>
      <w:jc w:val="left"/>
    </w:pPr>
    <w:rPr>
      <w:rFonts w:hint="eastAsia" w:ascii="宋体" w:hAnsi="Times New Roman" w:eastAsia="宋体" w:cs="Times New Roman"/>
      <w:kern w:val="0"/>
      <w:sz w:val="24"/>
      <w:szCs w:val="20"/>
      <w:lang w:val="en-US" w:eastAsia="zh-CN" w:bidi="ar"/>
    </w:rPr>
  </w:style>
  <w:style w:type="paragraph" w:customStyle="1" w:styleId="11">
    <w:name w:val="Normal Indent1"/>
    <w:basedOn w:val="1"/>
    <w:qFormat/>
    <w:uiPriority w:val="0"/>
    <w:pPr>
      <w:spacing w:line="660" w:lineRule="exact"/>
      <w:ind w:firstLine="720" w:firstLineChars="200"/>
    </w:pPr>
    <w:rPr>
      <w:rFonts w:eastAsia="楷体_GB2312"/>
      <w:sz w:val="36"/>
      <w:szCs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112</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2014-10-31T20:08:00Z</dcterms:created>
  <dc:creator>Administrator</dc:creator>
  <cp:lastModifiedBy>邓国飞</cp:lastModifiedBy>
  <cp:lastPrinted>2026-09-07T02:17:09Z</cp:lastPrinted>
  <dcterms:modified xsi:type="dcterms:W3CDTF">2026-09-07T02:24:45Z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ICV">
    <vt:lpwstr>DB2F9682F49924DC8835266AB98BB849_42</vt:lpwstr>
  </property>
</Properties>
</file>