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3092" w:firstLineChars="700"/>
        <w:jc w:val="both"/>
        <w:textAlignment w:val="auto"/>
        <w:rPr>
          <w:rFonts w:hint="eastAsia" w:ascii="仿宋" w:hAnsi="仿宋" w:eastAsia="仿宋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44"/>
          <w:szCs w:val="44"/>
          <w:highlight w:val="none"/>
          <w:u w:val="none" w:color="auto"/>
          <w:lang w:val="en-US" w:eastAsia="zh-CN"/>
        </w:rPr>
        <w:t>提供材料清单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一、限你公司在2026年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日前提供以下资料：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（一）工商营业执照复印件；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（二）法定代表人、财务负责人、办税员、业务经办人、领票人、开票人身份证复印件；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（三）基本账户银行银行开户许可证复印件、账户信息清单（含所有开户行及账号）；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（四）企业设立、变更的章程、协议、合同，以及股东（股权）、法人代表变更资料；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（五）202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月～202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月各项税费申报表复印件；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（六）202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月～202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月签订的合同、协议复印件；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（七）各类购销合同、工程合同、出入库单、磅单等资料复印件；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二、如你公司不能在2026年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日前完整提供上述资料，需在限期内书面说明原因，并对说明情况的真实性负法律责任。</w:t>
      </w:r>
    </w:p>
    <w:p>
      <w:pPr>
        <w:ind w:firstLine="640" w:firstLineChars="200"/>
      </w:pPr>
      <w:r>
        <w:rPr>
          <w:rFonts w:hint="eastAsia" w:ascii="仿宋" w:hAnsi="仿宋" w:eastAsia="仿宋"/>
          <w:color w:val="000000"/>
          <w:sz w:val="32"/>
          <w:szCs w:val="32"/>
          <w:lang w:eastAsia="zh-CN"/>
        </w:rPr>
        <w:t>三、如你公司在限期内不提供上述资料又不向税务机关提供正当理由的，或提供虚假资料，不如实反映情况，或者拒绝提供有关资料的，我局将根据《中华人民共和国税收征收管理法》第七十条、《中华人民共和国税收征收管理法实施细则》第九十六条进行处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A4A2D"/>
    <w:rsid w:val="03FF5F7C"/>
    <w:rsid w:val="22990D98"/>
    <w:rsid w:val="23797EE0"/>
    <w:rsid w:val="321A4A2D"/>
    <w:rsid w:val="3407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2026-09-04T09:51:00Z</dcterms:created>
  <dc:creator>黄剑韬</dc:creator>
  <cp:lastModifiedBy>黄剑韬</cp:lastModifiedBy>
  <cp:lastPrinted>2026-09-07T08:00:54Z</cp:lastPrinted>
  <dcterms:modified xsi:type="dcterms:W3CDTF">2026-09-07T08:06:04Z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