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月～202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月各项税费申报表复印件；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月～202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月签订的合同、协议复印件；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（七）各类购销合同、工程合同、出入库单、磅单等资料复印件；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25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映情况，或者拒绝提供有关资料的，我局将根据《中华人民共和国税收征收管理法》第七十条、《中华人民共和国税收征收管理法实施细则》第九十六条进行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A4A2D"/>
    <w:rsid w:val="03FF5F7C"/>
    <w:rsid w:val="22990D98"/>
    <w:rsid w:val="23797EE0"/>
    <w:rsid w:val="321A4A2D"/>
    <w:rsid w:val="340737AD"/>
    <w:rsid w:val="3A4F1376"/>
    <w:rsid w:val="4C9C269C"/>
    <w:rsid w:val="4E97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2026-09-04T09:51:00Z</dcterms:created>
  <dc:creator>黄剑韬</dc:creator>
  <cp:lastModifiedBy>李娟</cp:lastModifiedBy>
  <cp:lastPrinted>2026-09-07T08:00:00Z</cp:lastPrinted>
  <dcterms:modified xsi:type="dcterms:W3CDTF">2026-10-19T01:55:05Z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