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jc w:val="center"/>
      </w:pPr>
      <w:r>
        <w:rPr>
          <w:rFonts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国家税务总局崇左市税务局机关主动公开基本目录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540" w:lineRule="atLeast"/>
        <w:ind w:left="0" w:right="0" w:firstLine="420"/>
      </w:pPr>
      <w:r>
        <w:rPr>
          <w:rFonts w:hint="eastAsia" w:ascii="微软雅黑" w:hAnsi="微软雅黑" w:eastAsia="微软雅黑" w:cs="微软雅黑"/>
          <w:i w:val="0"/>
          <w:caps w:val="0"/>
          <w:color w:val="333333"/>
          <w:spacing w:val="0"/>
          <w:sz w:val="24"/>
          <w:szCs w:val="24"/>
          <w:shd w:val="clear" w:color="auto" w:fill="FFFFFF"/>
        </w:rPr>
        <w:t> </w:t>
      </w:r>
      <w:r>
        <w:rPr>
          <w:rFonts w:hint="eastAsia" w:ascii="微软雅黑" w:hAnsi="微软雅黑" w:eastAsia="微软雅黑" w:cs="微软雅黑"/>
          <w:i w:val="0"/>
          <w:caps w:val="0"/>
          <w:color w:val="333333"/>
          <w:spacing w:val="0"/>
          <w:sz w:val="24"/>
          <w:szCs w:val="24"/>
          <w:shd w:val="clear" w:color="auto" w:fill="FFFFFF"/>
          <w:lang w:val="en-US"/>
        </w:rPr>
        <w:t> </w:t>
      </w:r>
      <w:r>
        <w:rPr>
          <w:rFonts w:hint="eastAsia" w:ascii="微软雅黑" w:hAnsi="微软雅黑" w:eastAsia="微软雅黑" w:cs="微软雅黑"/>
          <w:i w:val="0"/>
          <w:caps w:val="0"/>
          <w:color w:val="333333"/>
          <w:spacing w:val="0"/>
          <w:sz w:val="24"/>
          <w:szCs w:val="24"/>
          <w:shd w:val="clear" w:color="auto" w:fill="FFFFFF"/>
        </w:rPr>
        <w:t> </w:t>
      </w:r>
    </w:p>
    <w:tbl>
      <w:tblPr>
        <w:tblStyle w:val="3"/>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024"/>
        <w:gridCol w:w="2025"/>
        <w:gridCol w:w="1588"/>
        <w:gridCol w:w="3234"/>
        <w:gridCol w:w="1425"/>
        <w:gridCol w:w="2310"/>
        <w:gridCol w:w="156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637"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黑体" w:hAnsi="宋体" w:eastAsia="黑体" w:cs="黑体"/>
                <w:color w:val="000000"/>
                <w:kern w:val="0"/>
                <w:sz w:val="24"/>
                <w:szCs w:val="24"/>
                <w:lang w:val="en-US" w:eastAsia="zh-CN" w:bidi="ar"/>
              </w:rPr>
              <w:t>公开事项</w:t>
            </w:r>
          </w:p>
        </w:tc>
        <w:tc>
          <w:tcPr>
            <w:tcW w:w="323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公开内容</w:t>
            </w:r>
          </w:p>
        </w:tc>
        <w:tc>
          <w:tcPr>
            <w:tcW w:w="142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责任主体</w:t>
            </w:r>
          </w:p>
        </w:tc>
        <w:tc>
          <w:tcPr>
            <w:tcW w:w="231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公开时限</w:t>
            </w:r>
          </w:p>
        </w:tc>
        <w:tc>
          <w:tcPr>
            <w:tcW w:w="156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公开方式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一级目录</w:t>
            </w:r>
          </w:p>
        </w:tc>
        <w:tc>
          <w:tcPr>
            <w:tcW w:w="20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二级目录</w:t>
            </w:r>
          </w:p>
        </w:tc>
        <w:tc>
          <w:tcPr>
            <w:tcW w:w="158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黑体" w:hAnsi="宋体" w:eastAsia="黑体" w:cs="黑体"/>
                <w:color w:val="000000"/>
                <w:kern w:val="0"/>
                <w:sz w:val="24"/>
                <w:szCs w:val="24"/>
                <w:lang w:val="en-US" w:eastAsia="zh-CN" w:bidi="ar"/>
              </w:rPr>
              <w:t>三级目录</w:t>
            </w:r>
          </w:p>
        </w:tc>
        <w:tc>
          <w:tcPr>
            <w:tcW w:w="323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42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仿宋_GB2312" w:hAnsi="Calibri" w:eastAsia="仿宋_GB2312" w:cs="仿宋_GB2312"/>
                <w:kern w:val="0"/>
                <w:sz w:val="24"/>
                <w:szCs w:val="24"/>
                <w:lang w:val="en-US" w:eastAsia="zh-CN" w:bidi="ar"/>
              </w:rPr>
              <w:t>全局概况</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主要职能</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机构主要职能介绍</w:t>
            </w:r>
          </w:p>
        </w:tc>
        <w:tc>
          <w:tcPr>
            <w:tcW w:w="1425"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人事教育科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机构设置</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本局内设机构设置等情况</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领导简介</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公布领导照片、姓名、性别、民族、出生年月、籍贯、参加工作时间、政治面貌、入党时间、学历、历任职务、分管工作等内容</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办公地点</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办公地址</w:t>
            </w:r>
          </w:p>
        </w:tc>
        <w:tc>
          <w:tcPr>
            <w:tcW w:w="1425"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w:t>
            </w: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联系方式</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办公电话、传真号码等</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工作动态</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税务要闻</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涉及税务系统领导重要活动、重要会议等内容的税收新闻报道</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w:t>
            </w:r>
          </w:p>
        </w:tc>
        <w:tc>
          <w:tcPr>
            <w:tcW w:w="231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持续开展</w:t>
            </w:r>
          </w:p>
        </w:tc>
        <w:tc>
          <w:tcPr>
            <w:tcW w:w="15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5" w:hRule="atLeast"/>
        </w:trPr>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通知公告</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重要事项的公告、通知、通告以及需要公众知晓的事项</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各部门</w:t>
            </w:r>
          </w:p>
        </w:tc>
        <w:tc>
          <w:tcPr>
            <w:tcW w:w="231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网站、广播、报纸等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税收政策</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政策文件</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涉及税务部门的全国、全区、全市性主动公开类法律法规以及上级部门和本部门制订的税收规范性文件；促进深化改革、经济发展、民生改善的税收政策措施；减税降费、促进创业就业、保障和改善民生等税收优惠政策</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法制科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40" w:beforeAutospacing="0" w:after="33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68"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政策解读</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相关政策文件的解读</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法制科牵头，各税种管理科配合</w:t>
            </w: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政策清理</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对失效等文件、条文的公开</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法制科牵头，各税种管理科配合</w:t>
            </w: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纳税人权利义务</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纳税人可以享受的权利和应当承担的义务</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网站、办税大厅等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49" w:hRule="atLeast"/>
        </w:trPr>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办税指南</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包括纳税申报、证明办理、税务登记、税务认定等在内的纳税服务最新规范</w:t>
            </w:r>
          </w:p>
        </w:tc>
        <w:tc>
          <w:tcPr>
            <w:tcW w:w="14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纳税服务科牵头，纳税服务中心及各税种管理科配合</w:t>
            </w:r>
          </w:p>
        </w:tc>
        <w:tc>
          <w:tcPr>
            <w:tcW w:w="2310" w:type="dxa"/>
            <w:vMerge w:val="continue"/>
            <w:tcBorders>
              <w:top w:val="nil"/>
              <w:left w:val="nil"/>
              <w:bottom w:val="single" w:color="auto" w:sz="8" w:space="0"/>
              <w:right w:val="single" w:color="auto" w:sz="8" w:space="0"/>
            </w:tcBorders>
            <w:noWrap w:val="0"/>
            <w:tcMar>
              <w:left w:w="108" w:type="dxa"/>
              <w:right w:w="108" w:type="dxa"/>
            </w:tcMar>
            <w:vAlign w:val="top"/>
          </w:tcPr>
          <w:p>
            <w:pPr>
              <w:rPr>
                <w:rFonts w:hint="eastAsia" w:ascii="宋体"/>
                <w:sz w:val="24"/>
                <w:szCs w:val="24"/>
              </w:rPr>
            </w:pPr>
          </w:p>
        </w:tc>
        <w:tc>
          <w:tcPr>
            <w:tcW w:w="156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网站、办税大厅等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办税地图</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发布各县（市、区）办税服务厅的地理位置、通讯地址、联系方式、办公时间等信息</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纳税服务中心、纳税服务科、办公室</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持续开展</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网站、新媒体、办税服务厅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行政执法</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权责清单</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本局行政监管、行政强制、行政征收、行政确认、行政给付、行政复议、行政处罚（对应每一类行政执法事项，公布相应的内容）</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法制科牵头，各税种管理科配合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行政许可公示</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本局及本局直属单位行政许可公示信息</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纳税服务中心（税收宣传中心）牵头，各相关单位配合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作出行政决定起</w:t>
            </w:r>
            <w:r>
              <w:rPr>
                <w:rFonts w:ascii="Calibri" w:hAnsi="Calibri" w:eastAsia="宋体" w:cs="Times New Roman"/>
                <w:kern w:val="0"/>
                <w:sz w:val="24"/>
                <w:szCs w:val="24"/>
                <w:lang w:val="en-US" w:eastAsia="zh-CN" w:bidi="ar"/>
              </w:rPr>
              <w:t>7</w:t>
            </w:r>
            <w:r>
              <w:rPr>
                <w:rFonts w:hint="eastAsia" w:ascii="宋体" w:hAnsi="宋体" w:eastAsia="宋体" w:cs="宋体"/>
                <w:kern w:val="0"/>
                <w:sz w:val="24"/>
                <w:szCs w:val="24"/>
                <w:lang w:val="en-US" w:eastAsia="zh-CN" w:bidi="ar"/>
              </w:rPr>
              <w:t>个工作日内在门户网站公示；</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个工作日内归集到“信用广西”网站进行公示。</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行政处罚公示</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本局及本局直属单位行政处罚公示信息</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纳税服务中心（税收宣传中心）牵头，各相关单位配合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作出行政决定起</w:t>
            </w:r>
            <w:r>
              <w:rPr>
                <w:rFonts w:ascii="Calibri" w:hAnsi="Calibri" w:eastAsia="宋体" w:cs="Times New Roman"/>
                <w:kern w:val="0"/>
                <w:sz w:val="24"/>
                <w:szCs w:val="24"/>
                <w:lang w:val="en-US" w:eastAsia="zh-CN" w:bidi="ar"/>
              </w:rPr>
              <w:t>7</w:t>
            </w:r>
            <w:r>
              <w:rPr>
                <w:rFonts w:hint="eastAsia" w:ascii="宋体" w:hAnsi="宋体" w:eastAsia="宋体" w:cs="宋体"/>
                <w:kern w:val="0"/>
                <w:sz w:val="24"/>
                <w:szCs w:val="24"/>
                <w:lang w:val="en-US" w:eastAsia="zh-CN" w:bidi="ar"/>
              </w:rPr>
              <w:t>个工作日内在门户网站公示；</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个工作日内归集到“信用广西”网站进行公示。</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重大税收违法案件</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t>按照国家税务总局、有关要求，向社会公布重大税收违法案件信息</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稽查局</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重大税收违法案件信息自公布之日起满</w:t>
            </w:r>
            <w:r>
              <w:rPr>
                <w:rFonts w:ascii="Calibri" w:hAnsi="Calibri"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年的，停止公布并从公告栏中撤出</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监督检查</w:t>
            </w:r>
          </w:p>
        </w:tc>
        <w:tc>
          <w:tcPr>
            <w:tcW w:w="158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曝光欠税企业等与税务部门职能相关的各类检查通报情况</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稽查局、收入核算科、各税种管理科</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“双随机、一公开”</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国家税务总局、国家税务总局广西壮族自治区税务局要求“双随机</w:t>
            </w:r>
            <w:r>
              <w:rPr>
                <w:rFonts w:ascii="Calibri" w:hAnsi="Calibri"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一公开”工作中应当向社会公开的相关信息</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稽查局</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税收统计</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年度、季度税收收入统计</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国家税务总局、国家税务总局广西壮族自治区税务局要求应当主动公开的年度、季度税收收入统计数据</w:t>
            </w:r>
          </w:p>
        </w:tc>
        <w:tc>
          <w:tcPr>
            <w:tcW w:w="14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收入核算科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定期发布</w:t>
            </w:r>
          </w:p>
        </w:tc>
        <w:tc>
          <w:tcPr>
            <w:tcW w:w="156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8" w:hRule="atLeast"/>
        </w:trPr>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分税种税收收入</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国家税务总局、国家税务总局广西壮族自治区税务局要求应当主动公开的各税种税收收入统计数据</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07" w:hRule="atLeast"/>
        </w:trPr>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分行业税收收入</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国家税务总局、国家税务总局广西壮族自治区税务局要求应当主动公开的行业税收收入统计数据</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25" w:hRule="atLeast"/>
        </w:trPr>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政府采购</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招标公告</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国家税务总局、国家税务总局广西壮族自治区税务局要求应当主动公开的政府采购招标公告信息</w:t>
            </w:r>
          </w:p>
        </w:tc>
        <w:tc>
          <w:tcPr>
            <w:tcW w:w="14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财务管理科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个工作日内，持续开展</w:t>
            </w:r>
          </w:p>
        </w:tc>
        <w:tc>
          <w:tcPr>
            <w:tcW w:w="156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中标公告</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国家税务总局、国家税务总局广西壮族自治区税务局要求应当主动公开的政府采购中标公告信息</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其他公告</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国家税务总局、国家税务总局广西壮族自治区税务局要求应当主动公开的除招标和中标公告之外的政府采购公告信息</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人事信息</w:t>
            </w:r>
          </w:p>
        </w:tc>
        <w:tc>
          <w:tcPr>
            <w:tcW w:w="20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任前公示</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副科以上（包括副科）领导干部任前公示</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人事教育科</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公告栏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人事任免</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副科以上（包括副科）领导干部人事任免情况</w:t>
            </w:r>
          </w:p>
        </w:tc>
        <w:tc>
          <w:tcPr>
            <w:tcW w:w="1425"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人事教育科</w:t>
            </w:r>
          </w:p>
        </w:tc>
        <w:tc>
          <w:tcPr>
            <w:tcW w:w="231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0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考录招聘</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公务员考录信息；事业单位等招聘信息</w:t>
            </w:r>
          </w:p>
        </w:tc>
        <w:tc>
          <w:tcPr>
            <w:tcW w:w="14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31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1568"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规划计划</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年度工作总结、要点；重点工作开展情况；重大项目实施情况等</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办公室牵头</w:t>
            </w:r>
            <w:r>
              <w:rPr>
                <w:rFonts w:ascii="Calibri" w:hAnsi="Calibri" w:eastAsia="宋体" w:cs="Times New Roman"/>
                <w:kern w:val="0"/>
                <w:sz w:val="24"/>
                <w:szCs w:val="24"/>
                <w:lang w:val="en-US" w:eastAsia="zh-CN" w:bidi="ar"/>
              </w:rPr>
              <w:t>,</w:t>
            </w:r>
            <w:r>
              <w:rPr>
                <w:rFonts w:hint="eastAsia" w:ascii="宋体" w:hAnsi="宋体" w:eastAsia="宋体" w:cs="宋体"/>
                <w:kern w:val="0"/>
                <w:sz w:val="24"/>
                <w:szCs w:val="24"/>
                <w:lang w:val="en-US" w:eastAsia="zh-CN" w:bidi="ar"/>
              </w:rPr>
              <w:t>各部门配合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持续开展</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财政信息</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财政预算、决算报告及相关说明</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财务管理科</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按国家税务总局要求发布</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应急管理</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本局制订的、需要纳税人或其他社会公众知晓的应急预案、应急动态情况</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持续开展</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个案批复</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pPr>
            <w:r>
              <w:t>国家税务总局、国家税务总局广西壮族自治区税务局明确应当主动公开的税收个案批复类文件</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办公室牵头，</w:t>
            </w:r>
            <w:r>
              <w:rPr>
                <w:rFonts w:ascii="Calibri" w:hAnsi="Calibri"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各部门配合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30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建议提案</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t>涉及公共利益、公众利益、社会关切的人大建议和政协提案办理情况</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办公室牵头，各部门配合</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网站、新媒体、广播电视报纸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政府信息公开指南</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本局政府信息公开指南</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纳税服务中心（税收宣传中心）</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信息形成或变更后</w:t>
            </w:r>
            <w:r>
              <w:rPr>
                <w:rFonts w:ascii="Calibri" w:hAnsi="Calibri" w:eastAsia="宋体" w:cs="Times New Roman"/>
                <w:kern w:val="0"/>
                <w:sz w:val="24"/>
                <w:szCs w:val="24"/>
                <w:lang w:val="en-US" w:eastAsia="zh-CN" w:bidi="ar"/>
              </w:rPr>
              <w:t>20</w:t>
            </w:r>
            <w:r>
              <w:rPr>
                <w:rFonts w:hint="eastAsia" w:ascii="宋体" w:hAnsi="宋体" w:eastAsia="宋体" w:cs="宋体"/>
                <w:kern w:val="0"/>
                <w:sz w:val="24"/>
                <w:szCs w:val="24"/>
                <w:lang w:val="en-US" w:eastAsia="zh-CN" w:bidi="ar"/>
              </w:rPr>
              <w:t>个工作日内</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02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政府信息公开工作年度报告</w:t>
            </w:r>
          </w:p>
        </w:tc>
        <w:tc>
          <w:tcPr>
            <w:tcW w:w="202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1588"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ascii="Calibri" w:hAnsi="Calibri" w:eastAsia="宋体" w:cs="Times New Roman"/>
                <w:kern w:val="0"/>
                <w:sz w:val="24"/>
                <w:szCs w:val="24"/>
                <w:lang w:val="en-US" w:eastAsia="zh-CN" w:bidi="ar"/>
              </w:rPr>
              <w:t> </w:t>
            </w:r>
          </w:p>
        </w:tc>
        <w:tc>
          <w:tcPr>
            <w:tcW w:w="32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left"/>
            </w:pPr>
            <w:r>
              <w:rPr>
                <w:rFonts w:hint="eastAsia" w:ascii="宋体" w:hAnsi="宋体" w:eastAsia="宋体" w:cs="宋体"/>
                <w:kern w:val="0"/>
                <w:sz w:val="24"/>
                <w:szCs w:val="24"/>
                <w:lang w:val="en-US" w:eastAsia="zh-CN" w:bidi="ar"/>
              </w:rPr>
              <w:t>本局政府信息公开工作年度报告</w:t>
            </w:r>
          </w:p>
        </w:tc>
        <w:tc>
          <w:tcPr>
            <w:tcW w:w="14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纳税服务中心（税收宣传中心）</w:t>
            </w:r>
          </w:p>
        </w:tc>
        <w:tc>
          <w:tcPr>
            <w:tcW w:w="23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05"/>
              <w:jc w:val="left"/>
            </w:pPr>
            <w:r>
              <w:rPr>
                <w:rFonts w:hint="eastAsia" w:ascii="宋体" w:hAnsi="宋体" w:eastAsia="宋体" w:cs="宋体"/>
                <w:kern w:val="0"/>
                <w:sz w:val="24"/>
                <w:szCs w:val="24"/>
                <w:lang w:val="en-US" w:eastAsia="zh-CN" w:bidi="ar"/>
              </w:rPr>
              <w:t>次年</w:t>
            </w:r>
            <w:r>
              <w:rPr>
                <w:rFonts w:ascii="Calibri" w:hAnsi="Calibri"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月</w:t>
            </w:r>
            <w:r>
              <w:rPr>
                <w:rFonts w:ascii="Calibri" w:hAnsi="Calibri" w:eastAsia="宋体" w:cs="Times New Roman"/>
                <w:kern w:val="0"/>
                <w:sz w:val="24"/>
                <w:szCs w:val="24"/>
                <w:lang w:val="en-US" w:eastAsia="zh-CN" w:bidi="ar"/>
              </w:rPr>
              <w:t>31</w:t>
            </w:r>
            <w:r>
              <w:rPr>
                <w:rFonts w:hint="eastAsia" w:ascii="宋体" w:hAnsi="宋体" w:eastAsia="宋体" w:cs="宋体"/>
                <w:kern w:val="0"/>
                <w:sz w:val="24"/>
                <w:szCs w:val="24"/>
                <w:lang w:val="en-US" w:eastAsia="zh-CN" w:bidi="ar"/>
              </w:rPr>
              <w:t>日前</w:t>
            </w:r>
          </w:p>
        </w:tc>
        <w:tc>
          <w:tcPr>
            <w:tcW w:w="156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center"/>
            </w:pPr>
            <w:r>
              <w:rPr>
                <w:rFonts w:hint="eastAsia" w:ascii="宋体" w:hAnsi="宋体" w:eastAsia="宋体" w:cs="宋体"/>
                <w:kern w:val="0"/>
                <w:sz w:val="24"/>
                <w:szCs w:val="24"/>
                <w:lang w:val="en-US" w:eastAsia="zh-CN" w:bidi="ar"/>
              </w:rPr>
              <w:t>网站</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center"/>
      </w:pP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t> </w:t>
      </w: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F3D51"/>
    <w:rsid w:val="012B15E2"/>
    <w:rsid w:val="038D5480"/>
    <w:rsid w:val="07B41586"/>
    <w:rsid w:val="0BF616A1"/>
    <w:rsid w:val="0FD609BF"/>
    <w:rsid w:val="11080585"/>
    <w:rsid w:val="1AAC16DA"/>
    <w:rsid w:val="1D1F2657"/>
    <w:rsid w:val="1DFF3D51"/>
    <w:rsid w:val="283533B6"/>
    <w:rsid w:val="2B540278"/>
    <w:rsid w:val="2D9B7F51"/>
    <w:rsid w:val="35FD1A15"/>
    <w:rsid w:val="36AC670A"/>
    <w:rsid w:val="38CC002E"/>
    <w:rsid w:val="3CEE6DE7"/>
    <w:rsid w:val="3DB0193F"/>
    <w:rsid w:val="3EE62D76"/>
    <w:rsid w:val="41AD023B"/>
    <w:rsid w:val="45FC3116"/>
    <w:rsid w:val="56223C62"/>
    <w:rsid w:val="587C153C"/>
    <w:rsid w:val="5D303B58"/>
    <w:rsid w:val="66B1383A"/>
    <w:rsid w:val="6AEE5DE7"/>
    <w:rsid w:val="78C63D3D"/>
    <w:rsid w:val="7A7C31B7"/>
    <w:rsid w:val="7B044CCF"/>
    <w:rsid w:val="7B36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曾莉</dc:creator>
  <cp:lastModifiedBy>曾莉</cp:lastModifiedBy>
  <dcterms:modified xsi:type="dcterms:W3CDTF">2022-01-28T02:42:20Z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