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highlight w:val="none"/>
        </w:rPr>
      </w:pPr>
    </w:p>
    <w:p>
      <w:pPr>
        <w:pStyle w:val="8"/>
        <w:rPr>
          <w:rFonts w:hint="eastAsia"/>
          <w:color w:val="auto"/>
          <w:highlight w:val="none"/>
        </w:rPr>
      </w:pPr>
    </w:p>
    <w:p>
      <w:pPr>
        <w:topLinePunct/>
        <w:autoSpaceDE w:val="0"/>
        <w:autoSpaceDN w:val="0"/>
        <w:spacing w:line="360" w:lineRule="auto"/>
        <w:jc w:val="center"/>
        <w:rPr>
          <w:rFonts w:hint="eastAsia" w:ascii="黑体" w:hAnsi="黑体" w:eastAsia="黑体" w:cs="黑体"/>
          <w:b/>
          <w:bCs w:val="0"/>
          <w:color w:val="auto"/>
          <w:sz w:val="72"/>
          <w:szCs w:val="72"/>
          <w:highlight w:val="none"/>
        </w:rPr>
      </w:pPr>
      <w:r>
        <w:rPr>
          <w:rFonts w:hint="eastAsia" w:ascii="黑体" w:hAnsi="黑体" w:eastAsia="黑体" w:cs="黑体"/>
          <w:b/>
          <w:bCs w:val="0"/>
          <w:color w:val="auto"/>
          <w:sz w:val="72"/>
          <w:szCs w:val="72"/>
          <w:highlight w:val="none"/>
        </w:rPr>
        <w:t>招 标 文 件</w:t>
      </w:r>
    </w:p>
    <w:p>
      <w:pPr>
        <w:topLinePunct/>
        <w:autoSpaceDE w:val="0"/>
        <w:autoSpaceDN w:val="0"/>
        <w:spacing w:line="360" w:lineRule="auto"/>
        <w:jc w:val="center"/>
        <w:rPr>
          <w:rFonts w:hint="eastAsia" w:ascii="宋体" w:hAnsi="宋体" w:eastAsia="宋体" w:cs="宋体"/>
          <w:b/>
          <w:bCs w:val="0"/>
          <w:color w:val="auto"/>
          <w:sz w:val="72"/>
          <w:szCs w:val="72"/>
          <w:highlight w:val="none"/>
        </w:rPr>
      </w:pPr>
    </w:p>
    <w:p>
      <w:pPr>
        <w:topLinePunct/>
        <w:autoSpaceDE w:val="0"/>
        <w:autoSpaceDN w:val="0"/>
        <w:snapToGrid w:val="0"/>
        <w:spacing w:line="360" w:lineRule="auto"/>
        <w:jc w:val="center"/>
        <w:rPr>
          <w:rFonts w:hint="eastAsia" w:ascii="黑体" w:hAnsi="黑体" w:eastAsia="黑体" w:cs="黑体"/>
          <w:b/>
          <w:bCs w:val="0"/>
          <w:color w:val="auto"/>
          <w:sz w:val="72"/>
          <w:szCs w:val="72"/>
          <w:highlight w:val="none"/>
        </w:rPr>
      </w:pPr>
      <w:r>
        <w:rPr>
          <w:rFonts w:hint="eastAsia" w:ascii="黑体" w:hAnsi="黑体" w:eastAsia="黑体" w:cs="黑体"/>
          <w:b/>
          <w:bCs w:val="0"/>
          <w:color w:val="auto"/>
          <w:sz w:val="72"/>
          <w:szCs w:val="72"/>
          <w:highlight w:val="none"/>
        </w:rPr>
        <w:t>（商务部分）</w:t>
      </w:r>
    </w:p>
    <w:p>
      <w:pPr>
        <w:pStyle w:val="8"/>
        <w:rPr>
          <w:rFonts w:hint="eastAsia" w:ascii="宋体" w:hAnsi="宋体" w:eastAsia="宋体" w:cs="宋体"/>
          <w:color w:val="auto"/>
          <w:highlight w:val="none"/>
        </w:rPr>
      </w:pPr>
    </w:p>
    <w:p>
      <w:pPr>
        <w:topLinePunct/>
        <w:autoSpaceDE w:val="0"/>
        <w:autoSpaceDN w:val="0"/>
        <w:snapToGrid w:val="0"/>
        <w:rPr>
          <w:rFonts w:hint="eastAsia" w:ascii="宋体" w:hAnsi="宋体" w:eastAsia="宋体" w:cs="宋体"/>
          <w:bCs/>
          <w:color w:val="auto"/>
          <w:sz w:val="32"/>
          <w:szCs w:val="32"/>
          <w:highlight w:val="none"/>
        </w:rPr>
      </w:pPr>
    </w:p>
    <w:p>
      <w:pPr>
        <w:jc w:val="center"/>
        <w:rPr>
          <w:rFonts w:hint="eastAsia" w:ascii="宋体" w:hAnsi="宋体" w:eastAsia="宋体" w:cs="宋体"/>
          <w:color w:val="auto"/>
          <w:sz w:val="24"/>
          <w:szCs w:val="24"/>
          <w:highlight w:val="none"/>
        </w:rPr>
      </w:pPr>
    </w:p>
    <w:p>
      <w:pPr>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bCs/>
          <w:color w:val="auto"/>
          <w:sz w:val="30"/>
          <w:szCs w:val="30"/>
          <w:highlight w:val="none"/>
        </w:rPr>
      </w:pPr>
    </w:p>
    <w:p>
      <w:pPr>
        <w:spacing w:line="360" w:lineRule="auto"/>
        <w:ind w:left="1606" w:hanging="1606" w:hangingChars="500"/>
        <w:jc w:val="both"/>
        <w:outlineLvl w:val="0"/>
        <w:rPr>
          <w:rFonts w:hint="eastAsia" w:ascii="宋体" w:hAnsi="宋体" w:eastAsia="宋体" w:cs="宋体"/>
          <w:b/>
          <w:bCs/>
          <w:color w:val="auto"/>
          <w:sz w:val="32"/>
          <w:szCs w:val="32"/>
          <w:highlight w:val="none"/>
          <w:lang w:eastAsia="zh-CN"/>
        </w:rPr>
      </w:pPr>
      <w:bookmarkStart w:id="0" w:name="_Toc452"/>
      <w:bookmarkStart w:id="1" w:name="_Toc22378"/>
      <w:bookmarkStart w:id="2" w:name="_Toc2610"/>
      <w:bookmarkStart w:id="3" w:name="_Toc8968"/>
      <w:r>
        <w:rPr>
          <w:rFonts w:hint="eastAsia" w:ascii="宋体" w:hAnsi="宋体" w:eastAsia="宋体" w:cs="宋体"/>
          <w:b/>
          <w:bCs/>
          <w:color w:val="auto"/>
          <w:sz w:val="32"/>
          <w:szCs w:val="32"/>
          <w:highlight w:val="none"/>
        </w:rPr>
        <w:t>项目名称：</w:t>
      </w:r>
      <w:bookmarkEnd w:id="0"/>
      <w:bookmarkEnd w:id="1"/>
      <w:bookmarkEnd w:id="2"/>
      <w:bookmarkEnd w:id="3"/>
      <w:r>
        <w:rPr>
          <w:rFonts w:hint="eastAsia" w:ascii="宋体" w:hAnsi="宋体" w:eastAsia="宋体" w:cs="宋体"/>
          <w:b/>
          <w:bCs/>
          <w:color w:val="auto"/>
          <w:sz w:val="32"/>
          <w:szCs w:val="32"/>
          <w:highlight w:val="none"/>
          <w:lang w:eastAsia="zh-CN"/>
        </w:rPr>
        <w:t>国家税务总局贵港市税务局2025年物业管理服务项目</w:t>
      </w:r>
    </w:p>
    <w:p>
      <w:pPr>
        <w:spacing w:line="360" w:lineRule="auto"/>
        <w:ind w:firstLine="321" w:firstLineChars="100"/>
        <w:rPr>
          <w:rFonts w:hint="eastAsia" w:ascii="宋体" w:hAnsi="宋体" w:eastAsia="宋体" w:cs="宋体"/>
          <w:b/>
          <w:bCs/>
          <w:color w:val="auto"/>
          <w:sz w:val="32"/>
          <w:szCs w:val="32"/>
          <w:highlight w:val="none"/>
        </w:rPr>
      </w:pPr>
    </w:p>
    <w:p>
      <w:pPr>
        <w:spacing w:line="360" w:lineRule="auto"/>
        <w:jc w:val="both"/>
        <w:outlineLvl w:val="0"/>
        <w:rPr>
          <w:rFonts w:hint="eastAsia" w:ascii="宋体" w:hAnsi="宋体" w:eastAsia="宋体" w:cs="宋体"/>
          <w:b/>
          <w:color w:val="auto"/>
          <w:sz w:val="32"/>
          <w:szCs w:val="32"/>
          <w:highlight w:val="none"/>
          <w:lang w:val="en-US" w:eastAsia="zh-CN"/>
        </w:rPr>
      </w:pPr>
      <w:bookmarkStart w:id="4" w:name="_Toc22996"/>
      <w:bookmarkStart w:id="5" w:name="_Toc30033"/>
      <w:bookmarkStart w:id="6" w:name="_Toc13600"/>
      <w:bookmarkStart w:id="7" w:name="_Toc1906"/>
      <w:r>
        <w:rPr>
          <w:rFonts w:hint="eastAsia" w:ascii="宋体" w:hAnsi="宋体" w:eastAsia="宋体" w:cs="宋体"/>
          <w:b/>
          <w:bCs/>
          <w:color w:val="auto"/>
          <w:sz w:val="32"/>
          <w:szCs w:val="32"/>
          <w:highlight w:val="none"/>
        </w:rPr>
        <w:t>项目编号：</w:t>
      </w:r>
      <w:bookmarkEnd w:id="4"/>
      <w:bookmarkEnd w:id="5"/>
      <w:bookmarkEnd w:id="6"/>
      <w:r>
        <w:rPr>
          <w:rFonts w:hint="eastAsia" w:ascii="宋体" w:hAnsi="宋体" w:eastAsia="宋体" w:cs="宋体"/>
          <w:b/>
          <w:color w:val="auto"/>
          <w:sz w:val="32"/>
          <w:szCs w:val="32"/>
          <w:highlight w:val="none"/>
          <w:lang w:eastAsia="zh-CN"/>
        </w:rPr>
        <w:t>GX2024-ZXGK-C0090-B00</w:t>
      </w:r>
      <w:bookmarkEnd w:id="7"/>
    </w:p>
    <w:p>
      <w:pPr>
        <w:spacing w:line="360" w:lineRule="auto"/>
        <w:ind w:firstLine="321" w:firstLineChars="100"/>
        <w:rPr>
          <w:rFonts w:hint="eastAsia" w:ascii="宋体" w:hAnsi="宋体" w:eastAsia="宋体" w:cs="宋体"/>
          <w:b/>
          <w:bCs/>
          <w:color w:val="auto"/>
          <w:sz w:val="32"/>
          <w:szCs w:val="32"/>
          <w:highlight w:val="none"/>
          <w:lang w:val="en-US" w:eastAsia="zh-CN"/>
        </w:rPr>
      </w:pPr>
    </w:p>
    <w:p>
      <w:pPr>
        <w:spacing w:line="360" w:lineRule="auto"/>
        <w:jc w:val="both"/>
        <w:outlineLvl w:val="0"/>
        <w:rPr>
          <w:rFonts w:hint="eastAsia" w:ascii="宋体" w:hAnsi="宋体" w:eastAsia="宋体" w:cs="宋体"/>
          <w:b/>
          <w:bCs/>
          <w:color w:val="auto"/>
          <w:sz w:val="32"/>
          <w:szCs w:val="32"/>
          <w:highlight w:val="none"/>
          <w:lang w:eastAsia="zh-CN"/>
        </w:rPr>
      </w:pPr>
      <w:bookmarkStart w:id="8" w:name="_Toc6769"/>
      <w:bookmarkStart w:id="9" w:name="_Toc29427"/>
      <w:bookmarkStart w:id="10" w:name="_Toc25284"/>
      <w:bookmarkStart w:id="11" w:name="_Toc7915"/>
      <w:r>
        <w:rPr>
          <w:rFonts w:hint="eastAsia" w:ascii="宋体" w:hAnsi="宋体" w:eastAsia="宋体" w:cs="宋体"/>
          <w:b/>
          <w:bCs/>
          <w:color w:val="auto"/>
          <w:sz w:val="32"/>
          <w:szCs w:val="32"/>
          <w:highlight w:val="none"/>
        </w:rPr>
        <w:t>采 购 人：</w:t>
      </w:r>
      <w:bookmarkEnd w:id="8"/>
      <w:bookmarkEnd w:id="9"/>
      <w:bookmarkEnd w:id="10"/>
      <w:bookmarkEnd w:id="11"/>
      <w:r>
        <w:rPr>
          <w:rFonts w:hint="eastAsia" w:ascii="宋体" w:hAnsi="宋体" w:eastAsia="宋体" w:cs="宋体"/>
          <w:b/>
          <w:bCs/>
          <w:color w:val="auto"/>
          <w:sz w:val="32"/>
          <w:szCs w:val="32"/>
          <w:highlight w:val="none"/>
          <w:lang w:eastAsia="zh-CN"/>
        </w:rPr>
        <w:t>国家税务总局贵港市税务局</w:t>
      </w:r>
    </w:p>
    <w:p>
      <w:pPr>
        <w:spacing w:line="360" w:lineRule="auto"/>
        <w:ind w:firstLine="321" w:firstLineChars="100"/>
        <w:rPr>
          <w:rFonts w:hint="eastAsia" w:ascii="宋体" w:hAnsi="宋体" w:eastAsia="宋体" w:cs="宋体"/>
          <w:b/>
          <w:bCs/>
          <w:color w:val="auto"/>
          <w:sz w:val="32"/>
          <w:szCs w:val="32"/>
          <w:highlight w:val="none"/>
        </w:rPr>
      </w:pPr>
    </w:p>
    <w:p>
      <w:pPr>
        <w:topLinePunct/>
        <w:autoSpaceDE w:val="0"/>
        <w:autoSpaceDN w:val="0"/>
        <w:spacing w:line="460" w:lineRule="exact"/>
        <w:rPr>
          <w:rFonts w:hint="eastAsia" w:ascii="宋体" w:hAnsi="宋体" w:eastAsia="宋体" w:cs="宋体"/>
          <w:b/>
          <w:bCs/>
          <w:color w:val="auto"/>
          <w:sz w:val="32"/>
          <w:szCs w:val="32"/>
          <w:highlight w:val="none"/>
        </w:rPr>
      </w:pPr>
    </w:p>
    <w:p>
      <w:pPr>
        <w:topLinePunct/>
        <w:autoSpaceDE w:val="0"/>
        <w:autoSpaceDN w:val="0"/>
        <w:spacing w:line="460" w:lineRule="exact"/>
        <w:jc w:val="center"/>
        <w:rPr>
          <w:rFonts w:hint="eastAsia" w:ascii="宋体" w:hAnsi="宋体" w:eastAsia="宋体" w:cs="宋体"/>
          <w:b/>
          <w:bCs/>
          <w:color w:val="auto"/>
          <w:sz w:val="32"/>
          <w:szCs w:val="32"/>
          <w:highlight w:val="none"/>
        </w:rPr>
      </w:pPr>
    </w:p>
    <w:p>
      <w:pPr>
        <w:topLinePunct/>
        <w:autoSpaceDE w:val="0"/>
        <w:autoSpaceDN w:val="0"/>
        <w:spacing w:line="460" w:lineRule="exact"/>
        <w:jc w:val="center"/>
        <w:outlineLvl w:val="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国家税务总局贵港市税务局</w:t>
      </w:r>
    </w:p>
    <w:p>
      <w:pPr>
        <w:topLinePunct/>
        <w:autoSpaceDE w:val="0"/>
        <w:autoSpaceDN w:val="0"/>
        <w:spacing w:line="160" w:lineRule="exact"/>
        <w:jc w:val="center"/>
        <w:rPr>
          <w:rFonts w:hint="eastAsia" w:ascii="宋体" w:hAnsi="宋体" w:eastAsia="宋体" w:cs="宋体"/>
          <w:b/>
          <w:bCs/>
          <w:color w:val="auto"/>
          <w:sz w:val="32"/>
          <w:szCs w:val="32"/>
          <w:highlight w:val="none"/>
        </w:rPr>
      </w:pP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2024年</w:t>
      </w:r>
      <w:r>
        <w:rPr>
          <w:rFonts w:hint="eastAsia" w:ascii="宋体" w:hAnsi="宋体" w:eastAsia="宋体" w:cs="宋体"/>
          <w:b/>
          <w:bCs/>
          <w:color w:val="auto"/>
          <w:sz w:val="32"/>
          <w:szCs w:val="32"/>
          <w:highlight w:val="none"/>
          <w:lang w:val="en-US" w:eastAsia="zh-CN"/>
        </w:rPr>
        <w:t>10</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lang w:val="en-US" w:eastAsia="zh-CN"/>
        </w:rPr>
        <w:t>2</w:t>
      </w:r>
      <w:ins w:id="0" w:author="郭露菲菲 [2]" w:date="2024-10-21T19:00:17Z">
        <w:r>
          <w:rPr>
            <w:rFonts w:hint="eastAsia" w:ascii="宋体" w:hAnsi="宋体" w:eastAsia="宋体" w:cs="宋体"/>
            <w:b/>
            <w:bCs/>
            <w:color w:val="auto"/>
            <w:sz w:val="32"/>
            <w:szCs w:val="32"/>
            <w:highlight w:val="none"/>
            <w:lang w:val="en-US" w:eastAsia="zh-CN"/>
          </w:rPr>
          <w:t>1</w:t>
        </w:r>
      </w:ins>
      <w:r>
        <w:rPr>
          <w:rFonts w:hint="eastAsia" w:ascii="宋体" w:hAnsi="宋体" w:eastAsia="宋体" w:cs="宋体"/>
          <w:b/>
          <w:bCs/>
          <w:color w:val="auto"/>
          <w:sz w:val="32"/>
          <w:szCs w:val="32"/>
          <w:highlight w:val="none"/>
        </w:rPr>
        <w:t>日</w:t>
      </w:r>
    </w:p>
    <w:p>
      <w:pPr>
        <w:jc w:val="center"/>
        <w:rPr>
          <w:rFonts w:hint="eastAsia" w:ascii="宋体" w:hAnsi="宋体" w:eastAsia="宋体" w:cs="宋体"/>
          <w:color w:val="auto"/>
          <w:sz w:val="44"/>
          <w:szCs w:val="44"/>
          <w:highlight w:val="none"/>
          <w:lang w:val="zh-CN"/>
        </w:rPr>
      </w:pPr>
      <w:bookmarkStart w:id="12" w:name="_Toc132880271"/>
    </w:p>
    <w:p>
      <w:pPr>
        <w:jc w:val="center"/>
        <w:rPr>
          <w:rFonts w:hint="eastAsia" w:ascii="宋体" w:hAnsi="宋体" w:eastAsia="宋体" w:cs="宋体"/>
          <w:color w:val="auto"/>
          <w:sz w:val="44"/>
          <w:szCs w:val="44"/>
          <w:highlight w:val="none"/>
          <w:lang w:val="zh-CN"/>
        </w:rPr>
      </w:pPr>
    </w:p>
    <w:p>
      <w:pPr>
        <w:jc w:val="center"/>
        <w:rPr>
          <w:rFonts w:hint="eastAsia" w:ascii="宋体" w:hAnsi="宋体" w:eastAsia="宋体" w:cs="宋体"/>
          <w:color w:val="auto"/>
          <w:sz w:val="44"/>
          <w:szCs w:val="44"/>
          <w:highlight w:val="none"/>
          <w:lang w:val="zh-CN"/>
        </w:rPr>
      </w:pPr>
    </w:p>
    <w:p>
      <w:pPr>
        <w:pStyle w:val="8"/>
        <w:rPr>
          <w:rFonts w:hint="eastAsia" w:ascii="宋体" w:hAnsi="宋体" w:eastAsia="宋体" w:cs="宋体"/>
          <w:color w:val="auto"/>
          <w:highlight w:val="none"/>
          <w:lang w:val="zh-CN"/>
        </w:rPr>
      </w:pPr>
    </w:p>
    <w:p>
      <w:pPr>
        <w:jc w:val="center"/>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lang w:val="zh-CN"/>
        </w:rPr>
        <w:t>目  录</w:t>
      </w:r>
    </w:p>
    <w:sdt>
      <w:sdtPr>
        <w:rPr>
          <w:rFonts w:hint="eastAsia" w:ascii="宋体" w:hAnsi="宋体" w:eastAsia="宋体" w:cs="宋体"/>
          <w:color w:val="auto"/>
          <w:highlight w:val="none"/>
        </w:rPr>
        <w:id w:val="147459934"/>
        <w:docPartObj>
          <w:docPartGallery w:val="Table of Contents"/>
          <w:docPartUnique/>
        </w:docPartObj>
      </w:sdtPr>
      <w:sdtEndPr>
        <w:rPr>
          <w:rFonts w:hint="eastAsia" w:ascii="宋体" w:hAnsi="宋体" w:eastAsia="宋体" w:cs="宋体"/>
          <w:color w:val="auto"/>
          <w:highlight w:val="none"/>
        </w:rPr>
      </w:sdtEndPr>
      <w:sdtContent>
        <w:p>
          <w:pPr>
            <w:spacing w:line="600" w:lineRule="exact"/>
            <w:rPr>
              <w:rFonts w:hint="eastAsia" w:ascii="宋体" w:hAnsi="宋体" w:eastAsia="宋体" w:cs="宋体"/>
              <w:bCs/>
              <w:color w:val="auto"/>
              <w:sz w:val="24"/>
              <w:szCs w:val="24"/>
              <w:highlight w:val="none"/>
              <w:lang w:val="en-US" w:eastAsia="zh-CN" w:bidi="ar-SA"/>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"1-3" \h \u </w:instrText>
          </w:r>
          <w:r>
            <w:rPr>
              <w:rFonts w:hint="eastAsia" w:ascii="宋体" w:hAnsi="宋体" w:eastAsia="宋体" w:cs="宋体"/>
              <w:b/>
              <w:color w:val="auto"/>
              <w:sz w:val="24"/>
              <w:szCs w:val="24"/>
              <w:highlight w:val="none"/>
            </w:rPr>
            <w:fldChar w:fldCharType="separate"/>
          </w:r>
        </w:p>
        <w:p>
          <w:pPr>
            <w:pStyle w:val="12"/>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_Toc3001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第一章 投标邀请</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_Toc3001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3</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pStyle w:val="13"/>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_Toc7195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一、总则</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_Toc7195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16</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pStyle w:val="13"/>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_Toc22040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二、招标文件</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_Toc22040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17</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pStyle w:val="13"/>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_Toc27688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三、投标文件</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_Toc27688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18</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pStyle w:val="13"/>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_Toc3470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四、投标文件递交</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_Toc3470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20</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pStyle w:val="13"/>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_Toc12167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五、开标与评标</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_Toc12167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20</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pStyle w:val="13"/>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_Toc25679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六、中标和合同</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_Toc25679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24</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pStyle w:val="13"/>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_Toc11852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七、询问和质疑</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_Toc11852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25</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pStyle w:val="13"/>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_Toc11780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八、其他</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_Toc11780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25</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pStyle w:val="12"/>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_Toc4545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第三章  评标方法及标准</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_Toc4545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27</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pStyle w:val="12"/>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_Toc2570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第四章  政府采购合同文本</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_Toc2570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33</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pStyle w:val="12"/>
            <w:keepNext w:val="0"/>
            <w:keepLines w:val="0"/>
            <w:pageBreakBefore w:val="0"/>
            <w:widowControl/>
            <w:tabs>
              <w:tab w:val="right" w:leader="dot" w:pos="8402"/>
            </w:tabs>
            <w:kinsoku/>
            <w:wordWrap/>
            <w:overflowPunct w:val="0"/>
            <w:topLinePunct w:val="0"/>
            <w:autoSpaceDE w:val="0"/>
            <w:autoSpaceDN w:val="0"/>
            <w:bidi w:val="0"/>
            <w:adjustRightInd w:val="0"/>
            <w:snapToGrid/>
            <w:spacing w:line="480" w:lineRule="exact"/>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HYPERLINK \l _Toc4641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第五章　投标文件格式</w:t>
          </w:r>
          <w:r>
            <w:rPr>
              <w:rFonts w:hint="eastAsia" w:ascii="宋体" w:hAnsi="宋体" w:eastAsia="宋体" w:cs="宋体"/>
              <w:b/>
              <w:bCs w:val="0"/>
              <w:color w:val="auto"/>
              <w:sz w:val="24"/>
              <w:szCs w:val="24"/>
              <w:highlight w:val="none"/>
            </w:rPr>
            <w:tab/>
          </w: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 PAGEREF _Toc4641 \h </w:instrText>
          </w:r>
          <w:r>
            <w:rPr>
              <w:rFonts w:hint="eastAsia" w:ascii="宋体" w:hAnsi="宋体" w:eastAsia="宋体" w:cs="宋体"/>
              <w:b/>
              <w:bCs w:val="0"/>
              <w:color w:val="auto"/>
              <w:sz w:val="24"/>
              <w:szCs w:val="24"/>
              <w:highlight w:val="none"/>
            </w:rPr>
            <w:fldChar w:fldCharType="separate"/>
          </w:r>
          <w:r>
            <w:rPr>
              <w:rFonts w:hint="eastAsia" w:ascii="宋体" w:hAnsi="宋体" w:eastAsia="宋体" w:cs="宋体"/>
              <w:b/>
              <w:bCs w:val="0"/>
              <w:color w:val="auto"/>
              <w:sz w:val="24"/>
              <w:szCs w:val="24"/>
              <w:highlight w:val="none"/>
            </w:rPr>
            <w:t>49</w:t>
          </w:r>
          <w:r>
            <w:rPr>
              <w:rFonts w:hint="eastAsia" w:ascii="宋体" w:hAnsi="宋体" w:eastAsia="宋体" w:cs="宋体"/>
              <w:b/>
              <w:bCs w:val="0"/>
              <w:color w:val="auto"/>
              <w:sz w:val="24"/>
              <w:szCs w:val="24"/>
              <w:highlight w:val="none"/>
            </w:rPr>
            <w:fldChar w:fldCharType="end"/>
          </w:r>
          <w:r>
            <w:rPr>
              <w:rFonts w:hint="eastAsia" w:ascii="宋体" w:hAnsi="宋体" w:eastAsia="宋体" w:cs="宋体"/>
              <w:b/>
              <w:bCs w:val="0"/>
              <w:color w:val="auto"/>
              <w:sz w:val="24"/>
              <w:szCs w:val="24"/>
              <w:highlight w:val="none"/>
            </w:rPr>
            <w:fldChar w:fldCharType="end"/>
          </w:r>
        </w:p>
        <w:p>
          <w:pPr>
            <w:spacing w:line="600" w:lineRule="exact"/>
            <w:jc w:val="center"/>
            <w:rPr>
              <w:rFonts w:hint="eastAsia" w:ascii="宋体" w:hAnsi="宋体" w:eastAsia="宋体" w:cs="宋体"/>
              <w:b/>
              <w:color w:val="auto"/>
              <w:sz w:val="24"/>
              <w:szCs w:val="24"/>
              <w:highlight w:val="none"/>
            </w:rPr>
          </w:pPr>
          <w:bookmarkStart w:id="132" w:name="_GoBack"/>
          <w:bookmarkEnd w:id="132"/>
          <w:r>
            <w:rPr>
              <w:rFonts w:hint="eastAsia" w:ascii="宋体" w:hAnsi="宋体" w:eastAsia="宋体" w:cs="宋体"/>
              <w:color w:val="auto"/>
              <w:sz w:val="24"/>
              <w:szCs w:val="24"/>
              <w:highlight w:val="none"/>
            </w:rPr>
            <w:fldChar w:fldCharType="end"/>
          </w:r>
        </w:p>
      </w:sdtContent>
    </w:sdt>
    <w:p>
      <w:pPr>
        <w:rPr>
          <w:rFonts w:hint="eastAsia" w:ascii="宋体" w:hAnsi="宋体" w:eastAsia="宋体" w:cs="宋体"/>
          <w:color w:val="auto"/>
          <w:highlight w:val="none"/>
        </w:rPr>
      </w:pPr>
    </w:p>
    <w:p>
      <w:pPr>
        <w:rPr>
          <w:rFonts w:hint="eastAsia" w:ascii="宋体" w:hAnsi="宋体" w:eastAsia="宋体" w:cs="宋体"/>
          <w:color w:val="auto"/>
          <w:highlight w:val="none"/>
        </w:rPr>
        <w:sectPr>
          <w:footerReference r:id="rId8" w:type="first"/>
          <w:footerReference r:id="rId6" w:type="default"/>
          <w:headerReference r:id="rId5" w:type="even"/>
          <w:footerReference r:id="rId7" w:type="even"/>
          <w:pgSz w:w="11906" w:h="16838"/>
          <w:pgMar w:top="1440" w:right="1412" w:bottom="1440" w:left="1412" w:header="851" w:footer="992" w:gutter="0"/>
          <w:cols w:space="720" w:num="1"/>
          <w:titlePg/>
          <w:docGrid w:type="lines" w:linePitch="312" w:charSpace="0"/>
        </w:sectPr>
      </w:pPr>
    </w:p>
    <w:p>
      <w:pPr>
        <w:pStyle w:val="4"/>
        <w:numPr>
          <w:ilvl w:val="0"/>
          <w:numId w:val="2"/>
        </w:numP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13" w:name="_Toc3001"/>
      <w:r>
        <w:rPr>
          <w:rFonts w:hint="eastAsia" w:ascii="宋体" w:hAnsi="宋体" w:eastAsia="宋体" w:cs="宋体"/>
          <w:color w:val="auto"/>
          <w:highlight w:val="none"/>
        </w:rPr>
        <w:t>投标邀请</w:t>
      </w:r>
      <w:bookmarkEnd w:id="12"/>
      <w:bookmarkEnd w:id="13"/>
    </w:p>
    <w:p>
      <w:pPr>
        <w:ind w:firstLine="558" w:firstLineChars="200"/>
        <w:jc w:val="center"/>
        <w:rPr>
          <w:rFonts w:hint="eastAsia" w:ascii="宋体" w:hAnsi="宋体" w:eastAsia="宋体" w:cs="宋体"/>
          <w:b/>
          <w:bCs w:val="0"/>
          <w:color w:val="auto"/>
          <w:spacing w:val="-11"/>
          <w:sz w:val="30"/>
          <w:szCs w:val="30"/>
          <w:highlight w:val="none"/>
          <w:lang w:eastAsia="zh-CN"/>
        </w:rPr>
      </w:pPr>
      <w:r>
        <w:rPr>
          <w:rFonts w:hint="eastAsia" w:ascii="宋体" w:hAnsi="宋体" w:eastAsia="宋体" w:cs="宋体"/>
          <w:b/>
          <w:bCs w:val="0"/>
          <w:color w:val="auto"/>
          <w:spacing w:val="-11"/>
          <w:sz w:val="30"/>
          <w:szCs w:val="30"/>
          <w:highlight w:val="none"/>
          <w:lang w:eastAsia="zh-CN"/>
        </w:rPr>
        <w:t>国家税务总局贵港市税务局2025年物业管理服务项目</w:t>
      </w:r>
    </w:p>
    <w:p>
      <w:pPr>
        <w:ind w:firstLine="558" w:firstLineChars="200"/>
        <w:jc w:val="center"/>
        <w:rPr>
          <w:rFonts w:hint="eastAsia" w:ascii="宋体" w:hAnsi="宋体" w:eastAsia="宋体" w:cs="宋体"/>
          <w:b/>
          <w:bCs w:val="0"/>
          <w:color w:val="auto"/>
          <w:spacing w:val="-11"/>
          <w:sz w:val="30"/>
          <w:szCs w:val="30"/>
          <w:highlight w:val="none"/>
          <w:lang w:eastAsia="zh-CN"/>
        </w:rPr>
      </w:pPr>
      <w:r>
        <w:rPr>
          <w:rFonts w:hint="eastAsia" w:ascii="宋体" w:hAnsi="宋体" w:eastAsia="宋体" w:cs="宋体"/>
          <w:b/>
          <w:bCs w:val="0"/>
          <w:color w:val="auto"/>
          <w:spacing w:val="-11"/>
          <w:sz w:val="30"/>
          <w:szCs w:val="30"/>
          <w:highlight w:val="none"/>
          <w:lang w:eastAsia="zh-CN"/>
        </w:rPr>
        <w:t>（</w:t>
      </w:r>
      <w:r>
        <w:rPr>
          <w:rFonts w:hint="eastAsia" w:ascii="宋体" w:hAnsi="宋体" w:eastAsia="宋体" w:cs="宋体"/>
          <w:b/>
          <w:bCs w:val="0"/>
          <w:color w:val="auto"/>
          <w:spacing w:val="-11"/>
          <w:sz w:val="30"/>
          <w:szCs w:val="30"/>
          <w:highlight w:val="none"/>
        </w:rPr>
        <w:t>项目编号：</w:t>
      </w:r>
      <w:r>
        <w:rPr>
          <w:rFonts w:hint="eastAsia" w:ascii="宋体" w:hAnsi="宋体" w:eastAsia="宋体" w:cs="宋体"/>
          <w:b/>
          <w:bCs w:val="0"/>
          <w:color w:val="auto"/>
          <w:spacing w:val="-11"/>
          <w:sz w:val="30"/>
          <w:szCs w:val="30"/>
          <w:highlight w:val="none"/>
          <w:lang w:eastAsia="zh-CN"/>
        </w:rPr>
        <w:t>GX2024-ZXGK-C0090-B00）</w:t>
      </w:r>
    </w:p>
    <w:p>
      <w:pPr>
        <w:ind w:firstLine="558" w:firstLineChars="200"/>
        <w:jc w:val="center"/>
        <w:rPr>
          <w:rFonts w:hint="eastAsia" w:ascii="宋体" w:hAnsi="宋体" w:eastAsia="宋体" w:cs="宋体"/>
          <w:b/>
          <w:bCs w:val="0"/>
          <w:color w:val="auto"/>
          <w:spacing w:val="-11"/>
          <w:sz w:val="30"/>
          <w:szCs w:val="30"/>
          <w:highlight w:val="none"/>
          <w:lang w:eastAsia="zh-CN"/>
        </w:rPr>
      </w:pPr>
      <w:r>
        <w:rPr>
          <w:rFonts w:hint="eastAsia" w:ascii="宋体" w:hAnsi="宋体" w:eastAsia="宋体" w:cs="宋体"/>
          <w:b/>
          <w:bCs w:val="0"/>
          <w:color w:val="auto"/>
          <w:spacing w:val="-11"/>
          <w:sz w:val="30"/>
          <w:szCs w:val="30"/>
          <w:highlight w:val="none"/>
          <w:lang w:eastAsia="zh-CN"/>
        </w:rPr>
        <w:t>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jc w:val="both"/>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项目概况</w:t>
      </w:r>
      <w:r>
        <w:rPr>
          <w:rFonts w:hint="eastAsia" w:ascii="宋体" w:hAnsi="宋体" w:eastAsia="宋体" w:cs="宋体"/>
          <w:color w:val="auto"/>
          <w:szCs w:val="21"/>
          <w:highlight w:val="none"/>
          <w:lang w:eastAsia="zh-CN"/>
        </w:rPr>
        <w:t>：</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国家税务总局贵港市税务局2025年物业管理服务项目</w:t>
      </w:r>
      <w:r>
        <w:rPr>
          <w:rFonts w:hint="eastAsia" w:ascii="宋体" w:hAnsi="宋体" w:eastAsia="宋体" w:cs="宋体"/>
          <w:color w:val="auto"/>
          <w:szCs w:val="21"/>
          <w:highlight w:val="none"/>
        </w:rPr>
        <w:t>招标项目的潜在投标人应</w:t>
      </w:r>
      <w:r>
        <w:rPr>
          <w:rFonts w:hint="eastAsia" w:ascii="宋体" w:hAnsi="宋体" w:eastAsia="宋体" w:cs="宋体"/>
          <w:color w:val="auto"/>
          <w:szCs w:val="21"/>
          <w:highlight w:val="none"/>
          <w:lang w:eastAsia="zh-CN"/>
        </w:rPr>
        <w:t>通过</w:t>
      </w:r>
      <w:r>
        <w:rPr>
          <w:rFonts w:hint="eastAsia" w:ascii="宋体" w:hAnsi="宋体" w:eastAsia="宋体" w:cs="宋体"/>
          <w:color w:val="auto"/>
          <w:highlight w:val="none"/>
          <w:u w:val="single"/>
          <w:lang w:eastAsia="zh-CN"/>
        </w:rPr>
        <w:t>在线</w:t>
      </w:r>
      <w:r>
        <w:rPr>
          <w:rFonts w:hint="eastAsia" w:ascii="宋体" w:hAnsi="宋体" w:eastAsia="宋体" w:cs="宋体"/>
          <w:color w:val="auto"/>
          <w:highlight w:val="none"/>
          <w:u w:val="single"/>
          <w:lang w:val="en-US" w:eastAsia="zh-CN"/>
        </w:rPr>
        <w:t>下</w:t>
      </w:r>
      <w:r>
        <w:rPr>
          <w:rFonts w:hint="eastAsia" w:ascii="宋体" w:hAnsi="宋体" w:eastAsia="宋体" w:cs="宋体"/>
          <w:color w:val="auto"/>
          <w:highlight w:val="none"/>
          <w:u w:val="single"/>
          <w:lang w:eastAsia="zh-CN"/>
        </w:rPr>
        <w:t>载方式</w:t>
      </w:r>
      <w:r>
        <w:rPr>
          <w:rFonts w:hint="eastAsia" w:ascii="宋体" w:hAnsi="宋体" w:eastAsia="宋体" w:cs="宋体"/>
          <w:color w:val="auto"/>
          <w:szCs w:val="21"/>
          <w:highlight w:val="none"/>
        </w:rPr>
        <w:t>获取招标文件，并于</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bCs/>
          <w:color w:val="auto"/>
          <w:szCs w:val="21"/>
          <w:highlight w:val="none"/>
          <w:u w:val="single"/>
        </w:rPr>
        <w:t>年</w:t>
      </w:r>
      <w:r>
        <w:rPr>
          <w:rFonts w:hint="eastAsia" w:ascii="宋体" w:hAnsi="宋体" w:eastAsia="宋体" w:cs="宋体"/>
          <w:bCs/>
          <w:color w:val="auto"/>
          <w:szCs w:val="21"/>
          <w:highlight w:val="none"/>
          <w:u w:val="single"/>
          <w:lang w:val="en-US" w:eastAsia="zh-CN"/>
        </w:rPr>
        <w:t>11</w:t>
      </w:r>
      <w:r>
        <w:rPr>
          <w:rFonts w:hint="eastAsia"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lang w:val="en-US" w:eastAsia="zh-CN"/>
        </w:rPr>
        <w:t>12</w:t>
      </w:r>
      <w:r>
        <w:rPr>
          <w:rFonts w:hint="eastAsia" w:ascii="宋体" w:hAnsi="宋体" w:eastAsia="宋体" w:cs="宋体"/>
          <w:bCs/>
          <w:color w:val="auto"/>
          <w:szCs w:val="21"/>
          <w:highlight w:val="none"/>
          <w:u w:val="single"/>
        </w:rPr>
        <w:t>日</w:t>
      </w:r>
      <w:r>
        <w:rPr>
          <w:rFonts w:hint="eastAsia" w:ascii="宋体" w:hAnsi="宋体" w:eastAsia="宋体" w:cs="宋体"/>
          <w:bCs/>
          <w:color w:val="auto"/>
          <w:szCs w:val="21"/>
          <w:highlight w:val="none"/>
          <w:u w:val="single"/>
          <w:lang w:val="en-US" w:eastAsia="zh-CN"/>
        </w:rPr>
        <w:t>9</w:t>
      </w:r>
      <w:r>
        <w:rPr>
          <w:rFonts w:hint="eastAsia" w:ascii="宋体" w:hAnsi="宋体" w:eastAsia="宋体" w:cs="宋体"/>
          <w:bCs/>
          <w:color w:val="auto"/>
          <w:szCs w:val="21"/>
          <w:highlight w:val="none"/>
          <w:u w:val="single"/>
        </w:rPr>
        <w:t>点</w:t>
      </w:r>
      <w:r>
        <w:rPr>
          <w:rFonts w:hint="eastAsia" w:ascii="宋体" w:hAnsi="宋体" w:eastAsia="宋体" w:cs="宋体"/>
          <w:bCs/>
          <w:color w:val="auto"/>
          <w:szCs w:val="21"/>
          <w:highlight w:val="none"/>
          <w:u w:val="single"/>
          <w:lang w:val="en-US" w:eastAsia="zh-CN"/>
        </w:rPr>
        <w:t>30</w:t>
      </w:r>
      <w:r>
        <w:rPr>
          <w:rFonts w:hint="eastAsia" w:ascii="宋体" w:hAnsi="宋体" w:eastAsia="宋体" w:cs="宋体"/>
          <w:bCs/>
          <w:color w:val="auto"/>
          <w:szCs w:val="21"/>
          <w:highlight w:val="none"/>
          <w:u w:val="single"/>
        </w:rPr>
        <w:t>分（</w:t>
      </w:r>
      <w:r>
        <w:rPr>
          <w:rFonts w:hint="eastAsia" w:ascii="宋体" w:hAnsi="宋体" w:eastAsia="宋体" w:cs="宋体"/>
          <w:bCs/>
          <w:color w:val="auto"/>
          <w:szCs w:val="21"/>
          <w:highlight w:val="none"/>
        </w:rPr>
        <w:t>北京时间）前递交投标文件</w:t>
      </w:r>
      <w:r>
        <w:rPr>
          <w:rFonts w:hint="eastAsia" w:ascii="宋体" w:hAnsi="宋体" w:eastAsia="宋体" w:cs="宋体"/>
          <w:color w:val="auto"/>
          <w:szCs w:val="21"/>
          <w:highlight w:val="none"/>
        </w:rPr>
        <w:t>。</w:t>
      </w:r>
    </w:p>
    <w:p>
      <w:pPr>
        <w:rPr>
          <w:rFonts w:hint="eastAsia" w:ascii="宋体" w:hAnsi="宋体" w:eastAsia="宋体" w:cs="宋体"/>
          <w:color w:val="auto"/>
          <w:highlight w:val="none"/>
        </w:rPr>
      </w:pPr>
    </w:p>
    <w:p>
      <w:pPr>
        <w:jc w:val="left"/>
        <w:rPr>
          <w:rFonts w:hint="eastAsia" w:ascii="宋体" w:hAnsi="宋体" w:eastAsia="宋体" w:cs="宋体"/>
          <w:color w:val="auto"/>
          <w:highlight w:val="none"/>
        </w:rPr>
      </w:pPr>
      <w:bookmarkStart w:id="14" w:name="_Toc13344"/>
      <w:bookmarkStart w:id="15" w:name="_Toc14301"/>
      <w:bookmarkStart w:id="16" w:name="_Toc18241"/>
      <w:r>
        <w:rPr>
          <w:rFonts w:hint="eastAsia" w:ascii="宋体" w:hAnsi="宋体" w:eastAsia="宋体" w:cs="宋体"/>
          <w:color w:val="auto"/>
          <w:highlight w:val="none"/>
        </w:rPr>
        <w:t>一、项目基本情况</w:t>
      </w:r>
      <w:bookmarkEnd w:id="14"/>
      <w:bookmarkEnd w:id="15"/>
      <w:bookmarkEnd w:id="16"/>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b w:val="0"/>
          <w:color w:val="auto"/>
          <w:sz w:val="21"/>
          <w:szCs w:val="21"/>
          <w:highlight w:val="none"/>
          <w:lang w:eastAsia="zh-CN"/>
        </w:rPr>
        <w:t>GX2024-ZXGK-C0090-B00</w:t>
      </w:r>
    </w:p>
    <w:p>
      <w:pPr>
        <w:ind w:firstLine="420" w:firstLineChars="200"/>
        <w:jc w:val="left"/>
        <w:rPr>
          <w:rFonts w:hint="eastAsia" w:ascii="宋体" w:hAnsi="宋体" w:eastAsia="宋体" w:cs="宋体"/>
          <w:bCs/>
          <w:color w:val="auto"/>
          <w:spacing w:val="-6"/>
          <w:sz w:val="21"/>
          <w:highlight w:val="none"/>
          <w:lang w:eastAsia="zh-CN"/>
        </w:rPr>
      </w:pPr>
      <w:r>
        <w:rPr>
          <w:rFonts w:hint="eastAsia" w:ascii="宋体" w:hAnsi="宋体" w:eastAsia="宋体" w:cs="宋体"/>
          <w:color w:val="auto"/>
          <w:highlight w:val="none"/>
        </w:rPr>
        <w:t>项目名称：</w:t>
      </w:r>
      <w:r>
        <w:rPr>
          <w:rFonts w:hint="eastAsia" w:ascii="宋体" w:hAnsi="宋体" w:eastAsia="宋体" w:cs="宋体"/>
          <w:bCs/>
          <w:color w:val="auto"/>
          <w:spacing w:val="-6"/>
          <w:sz w:val="21"/>
          <w:highlight w:val="none"/>
          <w:lang w:eastAsia="zh-CN"/>
        </w:rPr>
        <w:t>国家税务总局贵港市税务局2025年物业管理服务项目</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预算金额：人民币（大写）</w:t>
      </w:r>
      <w:r>
        <w:rPr>
          <w:rFonts w:hint="eastAsia" w:ascii="宋体" w:hAnsi="宋体" w:eastAsia="宋体" w:cs="宋体"/>
          <w:color w:val="auto"/>
          <w:highlight w:val="none"/>
          <w:lang w:val="en-US" w:eastAsia="zh-CN"/>
        </w:rPr>
        <w:t>壹佰贰拾陆万陆仟元整</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1,266,000.00</w:t>
      </w:r>
      <w:r>
        <w:rPr>
          <w:rFonts w:hint="eastAsia" w:ascii="宋体" w:hAnsi="宋体" w:eastAsia="宋体" w:cs="宋体"/>
          <w:color w:val="auto"/>
          <w:highlight w:val="none"/>
        </w:rPr>
        <w:t>元）</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最高限价：人民币（大写）</w:t>
      </w:r>
      <w:r>
        <w:rPr>
          <w:rFonts w:hint="eastAsia" w:ascii="宋体" w:hAnsi="宋体" w:eastAsia="宋体" w:cs="宋体"/>
          <w:color w:val="auto"/>
          <w:highlight w:val="none"/>
          <w:lang w:val="en-US" w:eastAsia="zh-CN"/>
        </w:rPr>
        <w:t>壹佰贰拾陆万陆仟元整</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1,266,000.00</w:t>
      </w:r>
      <w:r>
        <w:rPr>
          <w:rFonts w:hint="eastAsia" w:ascii="宋体" w:hAnsi="宋体" w:eastAsia="宋体" w:cs="宋体"/>
          <w:color w:val="auto"/>
          <w:highlight w:val="none"/>
        </w:rPr>
        <w:t>元）</w:t>
      </w:r>
    </w:p>
    <w:p>
      <w:pPr>
        <w:keepNext w:val="0"/>
        <w:keepLines w:val="0"/>
        <w:widowControl/>
        <w:suppressLineNumbers w:val="0"/>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采购需求：</w:t>
      </w:r>
      <w:r>
        <w:rPr>
          <w:rFonts w:hint="eastAsia" w:ascii="宋体" w:hAnsi="宋体" w:eastAsia="宋体" w:cs="宋体"/>
          <w:bCs/>
          <w:color w:val="auto"/>
          <w:spacing w:val="-6"/>
          <w:sz w:val="21"/>
          <w:highlight w:val="none"/>
          <w:lang w:eastAsia="zh-CN"/>
        </w:rPr>
        <w:t>国家税务总局贵港市税务局2025年物业管理服务项目</w:t>
      </w:r>
      <w:r>
        <w:rPr>
          <w:rFonts w:hint="eastAsia" w:ascii="宋体" w:hAnsi="宋体" w:eastAsia="宋体" w:cs="宋体"/>
          <w:color w:val="auto"/>
          <w:highlight w:val="none"/>
          <w:lang w:val="en-US" w:eastAsia="zh-CN"/>
        </w:rPr>
        <w:t>包括</w:t>
      </w:r>
      <w:r>
        <w:rPr>
          <w:rFonts w:hint="eastAsia" w:ascii="宋体" w:hAnsi="宋体" w:eastAsia="宋体" w:cs="宋体"/>
          <w:color w:val="auto"/>
          <w:highlight w:val="none"/>
          <w:lang w:eastAsia="zh-CN"/>
        </w:rPr>
        <w:t>荷城办公区、金港办公区、东森小区办公楼的综合服务、给排水系统维护、保洁服务、绿化服务、秩序维护服务、应急管理等</w:t>
      </w:r>
      <w:r>
        <w:rPr>
          <w:rFonts w:hint="eastAsia" w:ascii="宋体" w:hAnsi="宋体" w:eastAsia="宋体" w:cs="宋体"/>
          <w:color w:val="auto"/>
          <w:highlight w:val="none"/>
          <w:lang w:val="en-US" w:eastAsia="zh-CN"/>
        </w:rPr>
        <w:t>各项工作</w:t>
      </w:r>
      <w:r>
        <w:rPr>
          <w:rFonts w:hint="eastAsia" w:ascii="宋体" w:hAnsi="宋体" w:eastAsia="宋体" w:cs="宋体"/>
          <w:color w:val="auto"/>
          <w:highlight w:val="none"/>
        </w:rPr>
        <w:t>。具体要求详见本项目招标文件。</w:t>
      </w:r>
    </w:p>
    <w:p>
      <w:pPr>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合同履行期限：自202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日至202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日止，合同期限为</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年。</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lang w:eastAsia="zh-CN"/>
        </w:rPr>
        <w:t>不</w:t>
      </w:r>
      <w:r>
        <w:rPr>
          <w:rFonts w:hint="eastAsia" w:ascii="宋体" w:hAnsi="宋体" w:eastAsia="宋体" w:cs="宋体"/>
          <w:color w:val="auto"/>
          <w:highlight w:val="none"/>
        </w:rPr>
        <w:t>接受联合体投标。</w:t>
      </w:r>
    </w:p>
    <w:p>
      <w:pPr>
        <w:jc w:val="left"/>
        <w:rPr>
          <w:rFonts w:hint="eastAsia" w:ascii="宋体" w:hAnsi="宋体" w:eastAsia="宋体" w:cs="宋体"/>
          <w:color w:val="auto"/>
          <w:highlight w:val="none"/>
        </w:rPr>
      </w:pPr>
      <w:bookmarkStart w:id="17" w:name="_Toc10172"/>
      <w:bookmarkStart w:id="18" w:name="_Toc9341"/>
      <w:bookmarkStart w:id="19" w:name="_Toc21893"/>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申请人的资格要求</w:t>
      </w:r>
      <w:bookmarkEnd w:id="17"/>
      <w:bookmarkEnd w:id="18"/>
      <w:bookmarkEnd w:id="19"/>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1.符合国家有关法律规定，在中国境内（指关境内）注册。</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2.满足《中华人民共和国政府采购法》第二十二条规定。</w:t>
      </w:r>
    </w:p>
    <w:p>
      <w:pPr>
        <w:pStyle w:val="8"/>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3.落实政府采购政策需满足的资格要求：</w:t>
      </w:r>
      <w:r>
        <w:rPr>
          <w:rFonts w:hint="eastAsia" w:ascii="宋体" w:hAnsi="宋体" w:eastAsia="宋体" w:cs="宋体"/>
          <w:color w:val="auto"/>
          <w:szCs w:val="21"/>
          <w:highlight w:val="none"/>
        </w:rPr>
        <w:t>本项目属</w:t>
      </w:r>
      <w:r>
        <w:rPr>
          <w:rFonts w:hint="eastAsia" w:ascii="宋体" w:hAnsi="宋体" w:eastAsia="宋体" w:cs="宋体"/>
          <w:color w:val="auto"/>
          <w:highlight w:val="none"/>
        </w:rPr>
        <w:t>于专门面向中小企业采购的项目</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供应商应</w:t>
      </w:r>
      <w:r>
        <w:rPr>
          <w:rFonts w:hint="eastAsia" w:ascii="宋体" w:hAnsi="宋体" w:eastAsia="宋体" w:cs="宋体"/>
          <w:color w:val="auto"/>
          <w:highlight w:val="none"/>
          <w:lang w:eastAsia="zh-CN"/>
        </w:rPr>
        <w:t>为</w:t>
      </w:r>
      <w:r>
        <w:rPr>
          <w:rFonts w:hint="eastAsia" w:ascii="宋体" w:hAnsi="宋体" w:eastAsia="宋体" w:cs="宋体"/>
          <w:color w:val="auto"/>
          <w:highlight w:val="none"/>
        </w:rPr>
        <w:t>中小微企业</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监狱企业</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残疾人福利性单位。</w:t>
      </w:r>
    </w:p>
    <w:p>
      <w:pPr>
        <w:ind w:firstLine="420" w:firstLineChars="200"/>
        <w:jc w:val="left"/>
        <w:rPr>
          <w:rFonts w:hint="eastAsia" w:ascii="宋体" w:hAnsi="宋体" w:eastAsia="宋体" w:cs="宋体"/>
          <w:i/>
          <w:iCs/>
          <w:color w:val="auto"/>
          <w:highlight w:val="none"/>
          <w:u w:val="single"/>
        </w:rPr>
      </w:pPr>
      <w:r>
        <w:rPr>
          <w:rFonts w:hint="eastAsia" w:ascii="宋体" w:hAnsi="宋体" w:eastAsia="宋体" w:cs="宋体"/>
          <w:color w:val="auto"/>
          <w:highlight w:val="none"/>
        </w:rPr>
        <w:t>4.本项目的特定资格要求：</w:t>
      </w:r>
      <w:r>
        <w:rPr>
          <w:rFonts w:hint="eastAsia" w:ascii="宋体" w:hAnsi="宋体" w:eastAsia="宋体" w:cs="宋体"/>
          <w:color w:val="auto"/>
          <w:highlight w:val="none"/>
          <w:lang w:val="en-US" w:eastAsia="zh-CN"/>
        </w:rPr>
        <w:t>无</w:t>
      </w:r>
      <w:r>
        <w:rPr>
          <w:rFonts w:hint="eastAsia" w:ascii="宋体" w:hAnsi="宋体" w:eastAsia="宋体" w:cs="宋体"/>
          <w:color w:val="auto"/>
          <w:highlight w:val="none"/>
        </w:rPr>
        <w:t>。</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6.单位负责人为同一人或者存在直接控股、管理关系的不同供应商，不得参加同一合同项下的政府采购活动。</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7.为本项目提供整体设计、规范编制或者项目管理、监理、检测等服务的供应商，不得再参加本次政府采购活动。</w:t>
      </w:r>
    </w:p>
    <w:p>
      <w:pPr>
        <w:jc w:val="left"/>
        <w:rPr>
          <w:rFonts w:hint="eastAsia" w:ascii="宋体" w:hAnsi="宋体" w:eastAsia="宋体" w:cs="宋体"/>
          <w:b/>
          <w:bCs w:val="0"/>
          <w:color w:val="auto"/>
          <w:highlight w:val="none"/>
        </w:rPr>
      </w:pPr>
      <w:bookmarkStart w:id="20" w:name="_Toc3961"/>
      <w:bookmarkStart w:id="21" w:name="_Toc2710"/>
      <w:bookmarkStart w:id="22" w:name="_Toc1928"/>
      <w:r>
        <w:rPr>
          <w:rFonts w:hint="eastAsia" w:ascii="宋体" w:hAnsi="宋体" w:eastAsia="宋体" w:cs="宋体"/>
          <w:b/>
          <w:bCs w:val="0"/>
          <w:color w:val="auto"/>
          <w:highlight w:val="none"/>
        </w:rPr>
        <w:t>三、获取招标文件</w:t>
      </w:r>
      <w:bookmarkEnd w:id="20"/>
      <w:bookmarkEnd w:id="21"/>
      <w:bookmarkEnd w:id="22"/>
    </w:p>
    <w:p>
      <w:pPr>
        <w:ind w:firstLine="420" w:firstLineChars="200"/>
        <w:jc w:val="left"/>
        <w:rPr>
          <w:rFonts w:hint="eastAsia" w:ascii="宋体" w:hAnsi="宋体" w:eastAsia="宋体" w:cs="宋体"/>
          <w:color w:val="auto"/>
          <w:highlight w:val="none"/>
        </w:rPr>
      </w:pPr>
      <w:bookmarkStart w:id="23" w:name="_Toc9830"/>
      <w:bookmarkStart w:id="24" w:name="_Toc18825"/>
      <w:bookmarkStart w:id="25" w:name="_Toc7704"/>
      <w:r>
        <w:rPr>
          <w:rFonts w:hint="eastAsia" w:ascii="宋体" w:hAnsi="宋体" w:eastAsia="宋体" w:cs="宋体"/>
          <w:color w:val="auto"/>
          <w:highlight w:val="none"/>
        </w:rPr>
        <w:t>时间：2024年</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22</w:t>
      </w:r>
      <w:r>
        <w:rPr>
          <w:rFonts w:hint="eastAsia" w:ascii="宋体" w:hAnsi="宋体" w:eastAsia="宋体" w:cs="宋体"/>
          <w:color w:val="auto"/>
          <w:highlight w:val="none"/>
        </w:rPr>
        <w:t>日至2024年</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29</w:t>
      </w:r>
      <w:r>
        <w:rPr>
          <w:rFonts w:hint="eastAsia" w:ascii="宋体" w:hAnsi="宋体" w:eastAsia="宋体" w:cs="宋体"/>
          <w:color w:val="auto"/>
          <w:highlight w:val="none"/>
        </w:rPr>
        <w:t>日（提供期限自本公告发布之日起不得少于5个工作日），每天上午0</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：00至12：00，下午12：00至23：59（北京时间，法定节假日除外）</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地点：国家税务总局集中采购中心网站（https://swcg.chinatax.gov.cn）</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方式：在线下载。</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售价：招标文件工本费每本 0 元人民币。</w:t>
      </w:r>
    </w:p>
    <w:p>
      <w:pPr>
        <w:jc w:val="left"/>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四、提交投标文件截止时间、开标时间和地点</w:t>
      </w:r>
      <w:bookmarkEnd w:id="23"/>
      <w:bookmarkEnd w:id="24"/>
      <w:bookmarkEnd w:id="25"/>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1.投标文件递交截止时间及开标时间：2024年</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日9时30分（北京时间）。</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2.地点：本项目采用国家税务总局政府采购评审管理系统进行网上投标、开标。</w:t>
      </w:r>
    </w:p>
    <w:p>
      <w:pPr>
        <w:jc w:val="left"/>
        <w:rPr>
          <w:rFonts w:hint="eastAsia" w:ascii="宋体" w:hAnsi="宋体" w:eastAsia="宋体" w:cs="宋体"/>
          <w:b/>
          <w:bCs w:val="0"/>
          <w:color w:val="auto"/>
          <w:highlight w:val="none"/>
        </w:rPr>
      </w:pPr>
      <w:bookmarkStart w:id="26" w:name="_Toc18187"/>
      <w:bookmarkStart w:id="27" w:name="_Toc31266"/>
      <w:bookmarkStart w:id="28" w:name="_Toc6506"/>
      <w:r>
        <w:rPr>
          <w:rFonts w:hint="eastAsia" w:ascii="宋体" w:hAnsi="宋体" w:eastAsia="宋体" w:cs="宋体"/>
          <w:b/>
          <w:bCs w:val="0"/>
          <w:color w:val="auto"/>
          <w:highlight w:val="none"/>
        </w:rPr>
        <w:t>五、公告期限</w:t>
      </w:r>
      <w:bookmarkEnd w:id="26"/>
      <w:bookmarkEnd w:id="27"/>
      <w:bookmarkEnd w:id="28"/>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自本公告发布之日起5个工作日。</w:t>
      </w:r>
    </w:p>
    <w:p>
      <w:pPr>
        <w:jc w:val="left"/>
        <w:rPr>
          <w:rFonts w:hint="eastAsia" w:ascii="宋体" w:hAnsi="宋体" w:eastAsia="宋体" w:cs="宋体"/>
          <w:b/>
          <w:bCs w:val="0"/>
          <w:color w:val="auto"/>
          <w:highlight w:val="none"/>
        </w:rPr>
      </w:pPr>
      <w:bookmarkStart w:id="29" w:name="_Toc28413"/>
      <w:bookmarkStart w:id="30" w:name="_Toc27794"/>
      <w:bookmarkStart w:id="31" w:name="_Toc8781"/>
      <w:r>
        <w:rPr>
          <w:rFonts w:hint="eastAsia" w:ascii="宋体" w:hAnsi="宋体" w:eastAsia="宋体" w:cs="宋体"/>
          <w:b/>
          <w:bCs w:val="0"/>
          <w:color w:val="auto"/>
          <w:highlight w:val="none"/>
        </w:rPr>
        <w:t>六、其他补充事宜</w:t>
      </w:r>
      <w:bookmarkEnd w:id="29"/>
      <w:bookmarkEnd w:id="30"/>
      <w:bookmarkEnd w:id="31"/>
    </w:p>
    <w:p>
      <w:pPr>
        <w:ind w:firstLine="420" w:firstLineChars="200"/>
        <w:jc w:val="left"/>
        <w:rPr>
          <w:rFonts w:hint="eastAsia" w:ascii="宋体" w:hAnsi="宋体" w:eastAsia="宋体" w:cs="宋体"/>
          <w:color w:val="auto"/>
          <w:highlight w:val="none"/>
        </w:rPr>
      </w:pPr>
      <w:bookmarkStart w:id="32" w:name="_Toc507"/>
      <w:bookmarkStart w:id="33" w:name="_Toc26311"/>
      <w:bookmarkStart w:id="34" w:name="_Toc5309"/>
      <w:r>
        <w:rPr>
          <w:rFonts w:hint="eastAsia" w:ascii="宋体" w:hAnsi="宋体" w:eastAsia="宋体" w:cs="宋体"/>
          <w:color w:val="auto"/>
          <w:highlight w:val="none"/>
        </w:rPr>
        <w:t>1.本项目采用国家税务总局政府采购评审管理系统进行招投标，供应商请在投标前详细阅读国家税务总局集中采购中心网站（https://swcg.chinatax.gov.cn）《供应商操作手册》。</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2.供应商在国家税务总局集中采购中心网站，点击“供应商登录”，完成注册，登录国家税务总局政府采购评审管理系统，报名并免费下载采购文件电子版。没有报名的供应商，不能参加本项目采购活动。</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3.供应商制作投标文件前须提前办理数字证书和电子签章，办理方式和注意事项详见网站《供应商操作手册》。</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4.供应商在国家税务总局集中采购中心网站 “下载中心”下载并安装“供应商投标工具”，使用投标工具编制投标文件，并在提交投标文件截止时间前加密上传。除上述方式之外，不接受以纸质文件以及其他任何方式提交的投标文件。</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5.本项目通过国家税务总局政府采购评审管理系统进行开标，投标人应在开标前登录系统点击“开标大厅”，参加开标过程并确认开标结果，投标人未参加开标的视同认同开标结果。</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6.供应商在投标过程中涉及系统操作的技术问题，可致电系统服务热线：15195887725。</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7.公告媒体：本招标公告在中国政府采购网（http://www.ccgp.gov.cn）、国家税务总局集中采购中心网站（https://swcg.chinatax.gov.cn）、</w:t>
      </w:r>
      <w:r>
        <w:rPr>
          <w:rFonts w:hint="eastAsia" w:ascii="宋体" w:hAnsi="宋体" w:eastAsia="宋体" w:cs="宋体"/>
          <w:color w:val="auto"/>
          <w:highlight w:val="none"/>
          <w:lang w:eastAsia="zh-CN"/>
        </w:rPr>
        <w:t>国家税务总局广西壮族自治区税务局</w:t>
      </w:r>
      <w:r>
        <w:rPr>
          <w:rFonts w:hint="eastAsia" w:ascii="宋体" w:hAnsi="宋体" w:eastAsia="宋体" w:cs="宋体"/>
          <w:color w:val="auto"/>
          <w:highlight w:val="none"/>
        </w:rPr>
        <w:t>网</w:t>
      </w:r>
      <w:r>
        <w:rPr>
          <w:rFonts w:hint="eastAsia" w:ascii="宋体" w:hAnsi="宋体" w:eastAsia="宋体" w:cs="宋体"/>
          <w:color w:val="auto"/>
          <w:highlight w:val="none"/>
          <w:lang w:eastAsia="zh-CN"/>
        </w:rPr>
        <w:t>贵港频道</w:t>
      </w:r>
      <w:r>
        <w:rPr>
          <w:rFonts w:hint="eastAsia" w:ascii="宋体" w:hAnsi="宋体" w:eastAsia="宋体" w:cs="宋体"/>
          <w:color w:val="auto"/>
          <w:highlight w:val="none"/>
        </w:rPr>
        <w:t>（https://guangxi.chinatax.gov.cn/guigang/）上发布。</w:t>
      </w:r>
    </w:p>
    <w:p>
      <w:pPr>
        <w:numPr>
          <w:ilvl w:val="0"/>
          <w:numId w:val="0"/>
        </w:num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本项目需要落实的政府采购支持中小企业、监狱企业、残疾人福利性单位等政策：</w:t>
      </w:r>
    </w:p>
    <w:p>
      <w:pPr>
        <w:numPr>
          <w:ilvl w:val="0"/>
          <w:numId w:val="0"/>
        </w:num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（1）政府采购促进中小企业发展。</w:t>
      </w:r>
    </w:p>
    <w:p>
      <w:pPr>
        <w:numPr>
          <w:ilvl w:val="0"/>
          <w:numId w:val="0"/>
        </w:num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（2）政府采购促进残疾人就业政策。</w:t>
      </w:r>
    </w:p>
    <w:p>
      <w:pPr>
        <w:numPr>
          <w:ilvl w:val="0"/>
          <w:numId w:val="0"/>
        </w:num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（3）政府采购支持监狱企业发展。</w:t>
      </w:r>
    </w:p>
    <w:p>
      <w:pPr>
        <w:numPr>
          <w:ilvl w:val="0"/>
          <w:numId w:val="0"/>
        </w:numPr>
        <w:jc w:val="left"/>
        <w:rPr>
          <w:rFonts w:hint="eastAsia" w:ascii="宋体" w:hAnsi="宋体" w:eastAsia="宋体" w:cs="宋体"/>
          <w:b/>
          <w:bCs w:val="0"/>
          <w:color w:val="auto"/>
          <w:highlight w:val="none"/>
        </w:rPr>
      </w:pPr>
      <w:r>
        <w:rPr>
          <w:rFonts w:hint="eastAsia" w:ascii="宋体" w:hAnsi="宋体" w:eastAsia="宋体" w:cs="宋体"/>
          <w:b/>
          <w:bCs w:val="0"/>
          <w:color w:val="auto"/>
          <w:highlight w:val="none"/>
        </w:rPr>
        <w:t>七、对本次招标提出询问，请按以下方式联系。</w:t>
      </w:r>
      <w:bookmarkEnd w:id="32"/>
      <w:bookmarkEnd w:id="33"/>
      <w:bookmarkEnd w:id="34"/>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1.采购人信息</w:t>
      </w:r>
    </w:p>
    <w:p>
      <w:pPr>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名称：国家税务总局贵港市税务局</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贵港市港北区荷城路</w:t>
      </w:r>
      <w:r>
        <w:rPr>
          <w:rFonts w:hint="eastAsia" w:ascii="宋体" w:hAnsi="宋体" w:eastAsia="宋体" w:cs="宋体"/>
          <w:color w:val="auto"/>
          <w:highlight w:val="none"/>
          <w:lang w:val="en-US" w:eastAsia="zh-CN"/>
        </w:rPr>
        <w:t>1130</w:t>
      </w:r>
      <w:r>
        <w:rPr>
          <w:rFonts w:hint="eastAsia" w:ascii="宋体" w:hAnsi="宋体" w:eastAsia="宋体" w:cs="宋体"/>
          <w:color w:val="auto"/>
          <w:highlight w:val="none"/>
          <w:lang w:eastAsia="zh-CN"/>
        </w:rPr>
        <w:t>号</w:t>
      </w:r>
      <w:r>
        <w:rPr>
          <w:rFonts w:hint="eastAsia" w:ascii="宋体" w:hAnsi="宋体" w:eastAsia="宋体" w:cs="宋体"/>
          <w:color w:val="auto"/>
          <w:highlight w:val="none"/>
        </w:rPr>
        <w:t>　　</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联系方式：</w:t>
      </w:r>
      <w:r>
        <w:rPr>
          <w:rFonts w:hint="eastAsia" w:ascii="宋体" w:hAnsi="宋体" w:eastAsia="宋体" w:cs="宋体"/>
          <w:color w:val="auto"/>
          <w:highlight w:val="none"/>
          <w:lang w:eastAsia="zh-CN"/>
        </w:rPr>
        <w:t>梁峰瑜</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0771-5562132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覃燕倩</w:t>
      </w:r>
      <w:r>
        <w:rPr>
          <w:rFonts w:hint="eastAsia" w:ascii="宋体" w:hAnsi="宋体" w:eastAsia="宋体" w:cs="宋体"/>
          <w:color w:val="auto"/>
          <w:highlight w:val="none"/>
          <w:lang w:val="en-US" w:eastAsia="zh-CN"/>
        </w:rPr>
        <w:t xml:space="preserve"> 0771-5651320</w:t>
      </w:r>
      <w:r>
        <w:rPr>
          <w:rFonts w:hint="eastAsia" w:ascii="宋体" w:hAnsi="宋体" w:eastAsia="宋体" w:cs="宋体"/>
          <w:color w:val="auto"/>
          <w:highlight w:val="none"/>
        </w:rPr>
        <w:t>　　</w:t>
      </w:r>
    </w:p>
    <w:p>
      <w:pPr>
        <w:widowControl/>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2.采购代理机构信息</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lang w:eastAsia="zh-CN"/>
        </w:rPr>
        <w:t>无</w:t>
      </w:r>
    </w:p>
    <w:p>
      <w:pPr>
        <w:widowControl/>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3.项目联系方式</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w:t>
      </w:r>
      <w:r>
        <w:rPr>
          <w:rFonts w:hint="eastAsia" w:ascii="宋体" w:hAnsi="宋体" w:eastAsia="宋体" w:cs="宋体"/>
          <w:color w:val="auto"/>
          <w:sz w:val="21"/>
          <w:szCs w:val="21"/>
          <w:highlight w:val="none"/>
          <w:u w:val="none"/>
        </w:rPr>
        <w:t>梁峰瑜</w:t>
      </w:r>
      <w:r>
        <w:rPr>
          <w:rFonts w:hint="eastAsia" w:ascii="宋体" w:hAnsi="宋体" w:eastAsia="宋体" w:cs="宋体"/>
          <w:color w:val="auto"/>
          <w:highlight w:val="none"/>
          <w:lang w:eastAsia="zh-CN"/>
        </w:rPr>
        <w:t>、覃燕倩</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 w:val="21"/>
          <w:szCs w:val="21"/>
          <w:highlight w:val="none"/>
          <w:u w:val="none"/>
        </w:rPr>
        <w:t>0771-5562132</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highlight w:val="none"/>
          <w:lang w:val="en-US" w:eastAsia="zh-CN"/>
        </w:rPr>
        <w:t xml:space="preserve"> 0771-5651320</w:t>
      </w:r>
      <w:r>
        <w:rPr>
          <w:rFonts w:hint="eastAsia" w:ascii="宋体" w:hAnsi="宋体" w:eastAsia="宋体" w:cs="宋体"/>
          <w:color w:val="auto"/>
          <w:szCs w:val="21"/>
          <w:highlight w:val="none"/>
          <w:u w:val="none"/>
        </w:rPr>
        <w:t>　</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p>
    <w:p>
      <w:pPr>
        <w:rPr>
          <w:rFonts w:hint="eastAsia" w:ascii="宋体" w:hAnsi="宋体" w:eastAsia="宋体" w:cs="宋体"/>
          <w:b/>
          <w:bCs w:val="0"/>
          <w:color w:val="auto"/>
          <w:sz w:val="44"/>
          <w:szCs w:val="44"/>
          <w:highlight w:val="none"/>
          <w:lang w:val="en-US" w:eastAsia="zh-CN"/>
        </w:rPr>
      </w:pPr>
      <w:bookmarkStart w:id="35" w:name="_Toc132880272"/>
      <w:r>
        <w:rPr>
          <w:rFonts w:hint="eastAsia" w:ascii="宋体" w:hAnsi="宋体" w:eastAsia="宋体" w:cs="宋体"/>
          <w:b/>
          <w:bCs w:val="0"/>
          <w:color w:val="auto"/>
          <w:sz w:val="44"/>
          <w:szCs w:val="44"/>
          <w:highlight w:val="none"/>
          <w:lang w:val="en-US" w:eastAsia="zh-CN"/>
        </w:rPr>
        <w:br w:type="page"/>
      </w:r>
    </w:p>
    <w:p>
      <w:pPr>
        <w:bidi w:val="0"/>
        <w:spacing w:line="360" w:lineRule="auto"/>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lang w:val="en-US" w:eastAsia="zh-CN"/>
        </w:rPr>
        <w:t xml:space="preserve">第二章 </w:t>
      </w:r>
      <w:r>
        <w:rPr>
          <w:rFonts w:hint="eastAsia" w:ascii="宋体" w:hAnsi="宋体" w:eastAsia="宋体" w:cs="宋体"/>
          <w:b/>
          <w:bCs w:val="0"/>
          <w:color w:val="auto"/>
          <w:sz w:val="44"/>
          <w:szCs w:val="44"/>
          <w:highlight w:val="none"/>
        </w:rPr>
        <w:t>投标人须知</w:t>
      </w:r>
      <w:bookmarkEnd w:id="35"/>
    </w:p>
    <w:p>
      <w:pPr>
        <w:spacing w:line="360" w:lineRule="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投标人须知前附表</w:t>
      </w:r>
    </w:p>
    <w:tbl>
      <w:tblPr>
        <w:tblStyle w:val="17"/>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984"/>
        <w:gridCol w:w="851"/>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bookmarkStart w:id="36" w:name="_Toc132880273"/>
            <w:r>
              <w:rPr>
                <w:rFonts w:hint="eastAsia" w:ascii="宋体" w:hAnsi="宋体" w:eastAsia="宋体" w:cs="宋体"/>
                <w:color w:val="auto"/>
                <w:highlight w:val="none"/>
              </w:rPr>
              <w:t>序 号</w:t>
            </w:r>
          </w:p>
        </w:tc>
        <w:tc>
          <w:tcPr>
            <w:tcW w:w="198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类  别</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35" w:type="dxa"/>
            <w:vMerge w:val="restart"/>
            <w:tcBorders>
              <w:top w:val="single" w:color="auto" w:sz="4" w:space="0"/>
              <w:left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84" w:type="dxa"/>
            <w:vMerge w:val="restart"/>
            <w:tcBorders>
              <w:top w:val="single" w:color="auto" w:sz="4" w:space="0"/>
              <w:left w:val="single" w:color="auto" w:sz="4" w:space="0"/>
              <w:right w:val="single" w:color="auto" w:sz="4" w:space="0"/>
            </w:tcBorders>
            <w:noWrap/>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项目名称、编号、预算及最高限价</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b/>
                <w:color w:val="auto"/>
                <w:highlight w:val="none"/>
                <w:lang w:eastAsia="zh-CN"/>
              </w:rPr>
            </w:pPr>
            <w:r>
              <w:rPr>
                <w:rFonts w:hint="eastAsia" w:ascii="宋体" w:hAnsi="宋体" w:eastAsia="宋体" w:cs="宋体"/>
                <w:color w:val="auto"/>
                <w:highlight w:val="none"/>
              </w:rPr>
              <w:t>项目名称：</w:t>
            </w:r>
            <w:r>
              <w:rPr>
                <w:rFonts w:hint="eastAsia" w:ascii="宋体" w:hAnsi="宋体" w:eastAsia="宋体" w:cs="宋体"/>
                <w:color w:val="auto"/>
                <w:highlight w:val="none"/>
                <w:lang w:eastAsia="zh-CN"/>
              </w:rPr>
              <w:t>国家税务总局贵港市税务局2025年物业管理服务项目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35" w:type="dxa"/>
            <w:vMerge w:val="continue"/>
            <w:tcBorders>
              <w:left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84" w:type="dxa"/>
            <w:vMerge w:val="continue"/>
            <w:tcBorders>
              <w:left w:val="single" w:color="auto" w:sz="4" w:space="0"/>
              <w:right w:val="single" w:color="auto" w:sz="4" w:space="0"/>
            </w:tcBorders>
            <w:noWrap/>
            <w:vAlign w:val="center"/>
          </w:tcPr>
          <w:p>
            <w:pPr>
              <w:rPr>
                <w:rFonts w:hint="eastAsia" w:ascii="宋体" w:hAnsi="宋体" w:eastAsia="宋体" w:cs="宋体"/>
                <w:color w:val="auto"/>
                <w:highlight w:val="none"/>
              </w:rPr>
            </w:pP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项目编号：GX2024-ZXGK-C0090-B00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tcBorders>
              <w:left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84" w:type="dxa"/>
            <w:vMerge w:val="continue"/>
            <w:tcBorders>
              <w:left w:val="single" w:color="auto" w:sz="4" w:space="0"/>
              <w:right w:val="single" w:color="auto" w:sz="4" w:space="0"/>
            </w:tcBorders>
            <w:noWrap/>
            <w:vAlign w:val="center"/>
          </w:tcPr>
          <w:p>
            <w:pPr>
              <w:rPr>
                <w:rFonts w:hint="eastAsia" w:ascii="宋体" w:hAnsi="宋体" w:eastAsia="宋体" w:cs="宋体"/>
                <w:color w:val="auto"/>
                <w:highlight w:val="none"/>
              </w:rPr>
            </w:pP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项目预算：</w:t>
            </w:r>
            <w:r>
              <w:rPr>
                <w:rFonts w:hint="eastAsia" w:ascii="宋体" w:hAnsi="宋体" w:eastAsia="宋体" w:cs="宋体"/>
                <w:color w:val="auto"/>
                <w:highlight w:val="none"/>
                <w:lang w:val="en-US" w:eastAsia="zh-CN"/>
              </w:rPr>
              <w:t>壹佰贰拾陆万陆仟元整</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1,266,000.00</w:t>
            </w:r>
            <w:r>
              <w:rPr>
                <w:rFonts w:hint="eastAsia" w:ascii="宋体" w:hAnsi="宋体" w:eastAsia="宋体" w:cs="宋体"/>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84"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最高限价：</w:t>
            </w:r>
            <w:r>
              <w:rPr>
                <w:rFonts w:hint="eastAsia" w:ascii="宋体" w:hAnsi="宋体" w:eastAsia="宋体" w:cs="宋体"/>
                <w:color w:val="auto"/>
                <w:highlight w:val="none"/>
                <w:lang w:val="en-US" w:eastAsia="zh-CN"/>
              </w:rPr>
              <w:t>壹佰贰拾陆万陆仟元整</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1,266,000.00</w:t>
            </w:r>
            <w:r>
              <w:rPr>
                <w:rFonts w:hint="eastAsia" w:ascii="宋体" w:hAnsi="宋体" w:eastAsia="宋体" w:cs="宋体"/>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98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采购需求</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详见《招标文件（技术部分）》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98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项目属性、类别等</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项目属性：</w:t>
            </w:r>
            <w:r>
              <w:rPr>
                <w:rFonts w:hint="eastAsia" w:ascii="宋体" w:hAnsi="宋体" w:eastAsia="宋体" w:cs="宋体"/>
                <w:color w:val="auto"/>
                <w:highlight w:val="none"/>
              </w:rPr>
              <w:sym w:font="Wingdings 2" w:char="F0A3"/>
            </w:r>
            <w:r>
              <w:rPr>
                <w:rFonts w:hint="eastAsia" w:ascii="宋体" w:hAnsi="宋体" w:eastAsia="宋体" w:cs="宋体"/>
                <w:color w:val="auto"/>
                <w:highlight w:val="none"/>
              </w:rPr>
              <w:t xml:space="preserve">货物           </w:t>
            </w: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服务</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项目类别：</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信息化项目     </w:t>
            </w: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非信息化项目</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线上采购项目：</w:t>
            </w: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98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国家税务总局贵港市税务局</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lang w:eastAsia="zh-CN"/>
              </w:rPr>
              <w:t>贵港市港北区荷城路</w:t>
            </w:r>
            <w:r>
              <w:rPr>
                <w:rFonts w:hint="eastAsia" w:ascii="宋体" w:hAnsi="宋体" w:eastAsia="宋体" w:cs="宋体"/>
                <w:color w:val="auto"/>
                <w:highlight w:val="none"/>
                <w:lang w:val="en-US" w:eastAsia="zh-CN"/>
              </w:rPr>
              <w:t>1130</w:t>
            </w:r>
            <w:r>
              <w:rPr>
                <w:rFonts w:hint="eastAsia" w:ascii="宋体" w:hAnsi="宋体" w:eastAsia="宋体" w:cs="宋体"/>
                <w:color w:val="auto"/>
                <w:highlight w:val="none"/>
                <w:lang w:eastAsia="zh-CN"/>
              </w:rPr>
              <w:t>号</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梁峰瑜、覃燕倩</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p>
          <w:p>
            <w:pPr>
              <w:jc w:val="left"/>
              <w:rPr>
                <w:rFonts w:hint="eastAsia" w:ascii="宋体" w:hAnsi="宋体" w:eastAsia="宋体" w:cs="宋体"/>
                <w:color w:val="auto"/>
                <w:highlight w:val="none"/>
                <w:lang w:val="zh-CN"/>
              </w:rPr>
            </w:pPr>
            <w:r>
              <w:rPr>
                <w:rFonts w:hint="eastAsia" w:ascii="宋体" w:hAnsi="宋体" w:eastAsia="宋体" w:cs="宋体"/>
                <w:color w:val="auto"/>
                <w:highlight w:val="none"/>
              </w:rPr>
              <w:t>联系方式：</w:t>
            </w:r>
            <w:r>
              <w:rPr>
                <w:rFonts w:hint="eastAsia" w:ascii="宋体" w:hAnsi="宋体" w:eastAsia="宋体" w:cs="宋体"/>
                <w:color w:val="auto"/>
                <w:highlight w:val="none"/>
                <w:lang w:eastAsia="zh-CN"/>
              </w:rPr>
              <w:t>0771-5562132、</w:t>
            </w:r>
            <w:r>
              <w:rPr>
                <w:rFonts w:hint="eastAsia" w:ascii="宋体" w:hAnsi="宋体" w:eastAsia="宋体" w:cs="宋体"/>
                <w:color w:val="auto"/>
                <w:highlight w:val="none"/>
                <w:lang w:val="en-US" w:eastAsia="zh-CN"/>
              </w:rPr>
              <w:t>0771-5651320</w:t>
            </w:r>
            <w:r>
              <w:rPr>
                <w:rFonts w:hint="eastAsia" w:ascii="宋体" w:hAnsi="宋体" w:eastAsia="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98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采购代理机构</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98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投标人资格要求</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1.符合国家有关法律规定，在中国境内（指关境内）注册。</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2.满足《中华人民共和国政府采购法》第二十二条规定。</w:t>
            </w:r>
          </w:p>
          <w:p>
            <w:pPr>
              <w:pStyle w:val="8"/>
              <w:jc w:val="left"/>
              <w:rPr>
                <w:rFonts w:hint="eastAsia" w:ascii="宋体" w:hAnsi="宋体" w:eastAsia="宋体" w:cs="宋体"/>
                <w:color w:val="auto"/>
                <w:highlight w:val="none"/>
              </w:rPr>
            </w:pPr>
            <w:r>
              <w:rPr>
                <w:rFonts w:hint="eastAsia" w:ascii="宋体" w:hAnsi="宋体" w:eastAsia="宋体" w:cs="宋体"/>
                <w:color w:val="auto"/>
                <w:highlight w:val="none"/>
              </w:rPr>
              <w:t>3.落实政府采购政策需满足的资格要求：</w:t>
            </w:r>
            <w:r>
              <w:rPr>
                <w:rFonts w:hint="eastAsia" w:ascii="宋体" w:hAnsi="宋体" w:eastAsia="宋体" w:cs="宋体"/>
                <w:color w:val="auto"/>
                <w:szCs w:val="21"/>
                <w:highlight w:val="none"/>
              </w:rPr>
              <w:t>本项目属</w:t>
            </w:r>
            <w:r>
              <w:rPr>
                <w:rFonts w:hint="eastAsia" w:ascii="宋体" w:hAnsi="宋体" w:eastAsia="宋体" w:cs="宋体"/>
                <w:color w:val="auto"/>
                <w:highlight w:val="none"/>
              </w:rPr>
              <w:t>于专门面向中小企业采购的项目,供应商应</w:t>
            </w:r>
            <w:r>
              <w:rPr>
                <w:rFonts w:hint="eastAsia" w:ascii="宋体" w:hAnsi="宋体" w:eastAsia="宋体" w:cs="宋体"/>
                <w:color w:val="auto"/>
                <w:highlight w:val="none"/>
                <w:lang w:eastAsia="zh-CN"/>
              </w:rPr>
              <w:t>为</w:t>
            </w:r>
            <w:r>
              <w:rPr>
                <w:rFonts w:hint="eastAsia" w:ascii="宋体" w:hAnsi="宋体" w:eastAsia="宋体" w:cs="宋体"/>
                <w:color w:val="auto"/>
                <w:highlight w:val="none"/>
              </w:rPr>
              <w:t>中小微企业</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监狱企业</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残疾人福利性单位。</w:t>
            </w:r>
          </w:p>
          <w:p>
            <w:pPr>
              <w:numPr>
                <w:ilvl w:val="0"/>
                <w:numId w:val="0"/>
              </w:num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本项目的特定资格要求：</w:t>
            </w:r>
            <w:r>
              <w:rPr>
                <w:rFonts w:hint="eastAsia" w:ascii="宋体" w:hAnsi="宋体" w:eastAsia="宋体" w:cs="宋体"/>
                <w:color w:val="auto"/>
                <w:highlight w:val="none"/>
                <w:lang w:val="en-US" w:eastAsia="zh-CN"/>
              </w:rPr>
              <w:t>无。</w:t>
            </w:r>
          </w:p>
          <w:p>
            <w:pPr>
              <w:numPr>
                <w:ilvl w:val="0"/>
                <w:numId w:val="0"/>
              </w:numPr>
              <w:jc w:val="left"/>
              <w:rPr>
                <w:rFonts w:hint="eastAsia" w:ascii="宋体" w:hAnsi="宋体" w:eastAsia="宋体" w:cs="宋体"/>
                <w:color w:val="auto"/>
                <w:highlight w:val="none"/>
              </w:rPr>
            </w:pPr>
            <w:r>
              <w:rPr>
                <w:rFonts w:hint="eastAsia" w:ascii="宋体" w:hAnsi="宋体" w:eastAsia="宋体" w:cs="宋体"/>
                <w:color w:val="auto"/>
                <w:highlight w:val="none"/>
              </w:rPr>
              <w:t>5.对在“信用中国”网站〈www.creditchina.gov.cn&gt;、中国政府采购网〈www.ccgp.gov.cn〉等渠道被列入失信被执行人、重大税收违法失信主体、政府采购严重违法失信行为记录名单及其他不符合《中华人民共和国政府采购法》第二十二条规定条件的供应商，不得参与政府采购活动。</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6.单位负责人为同一人或者存在直接控股、管理关系的不同供应商，不得参加同一合同项下的政府采购活动。</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7.为本项目提供整体设计、规范编制或者项目管理、监理、检测等服务的供应商，不得再参加本次政府采购活动。</w:t>
            </w:r>
          </w:p>
          <w:p>
            <w:pPr>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98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不接受</w:t>
            </w:r>
          </w:p>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接受（接受联合体投标且投标人为联合体的，投标人应提供联合体协议；否则无须提供。）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98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采购标的对应的中小企业划分标准所属行业</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pStyle w:val="7"/>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98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非主体、非关键性工作分包</w:t>
            </w:r>
          </w:p>
        </w:tc>
        <w:tc>
          <w:tcPr>
            <w:tcW w:w="6058" w:type="dxa"/>
            <w:gridSpan w:val="2"/>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是否允许中标人将本项目的非主体、非关键性工作进行分包：</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采购包1：</w:t>
            </w:r>
          </w:p>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不允许</w:t>
            </w:r>
          </w:p>
          <w:p>
            <w:pPr>
              <w:jc w:val="left"/>
              <w:rPr>
                <w:rFonts w:hint="eastAsia" w:ascii="宋体" w:hAnsi="宋体" w:eastAsia="宋体" w:cs="宋体"/>
                <w:i/>
                <w:color w:val="auto"/>
                <w:highlight w:val="none"/>
                <w:u w:val="single"/>
              </w:rPr>
            </w:pPr>
            <w:r>
              <w:rPr>
                <w:rFonts w:hint="eastAsia" w:ascii="宋体" w:hAnsi="宋体" w:eastAsia="宋体" w:cs="宋体"/>
                <w:color w:val="auto"/>
                <w:highlight w:val="none"/>
              </w:rPr>
              <w:t>□允许，（写明可以分包履行的具体内容、金额或者比例）</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采购包2：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核心产品</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货物类项目填写此栏</w:t>
            </w:r>
          </w:p>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无</w:t>
            </w:r>
          </w:p>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F0A3"/>
            </w:r>
            <w:r>
              <w:rPr>
                <w:rFonts w:hint="eastAsia" w:ascii="宋体" w:hAnsi="宋体" w:eastAsia="宋体" w:cs="宋体"/>
                <w:color w:val="auto"/>
                <w:highlight w:val="none"/>
              </w:rPr>
              <w:t>有</w:t>
            </w:r>
          </w:p>
          <w:p>
            <w:pPr>
              <w:jc w:val="left"/>
              <w:rPr>
                <w:rFonts w:hint="eastAsia" w:ascii="宋体" w:hAnsi="宋体" w:eastAsia="宋体" w:cs="宋体"/>
                <w:color w:val="auto"/>
                <w:highlight w:val="none"/>
                <w:u w:val="single"/>
              </w:rPr>
            </w:pPr>
            <w:r>
              <w:rPr>
                <w:rFonts w:hint="eastAsia" w:ascii="宋体" w:hAnsi="宋体" w:eastAsia="宋体" w:cs="宋体"/>
                <w:color w:val="auto"/>
                <w:highlight w:val="none"/>
              </w:rPr>
              <w:t>产品名称：/</w:t>
            </w:r>
          </w:p>
          <w:p>
            <w:pPr>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的方式确定一个参加评标的投标人，招标文件未规定的采取随机抽取方式确定，其他投标无效。</w:t>
            </w:r>
          </w:p>
          <w:p>
            <w:pPr>
              <w:jc w:val="left"/>
              <w:rPr>
                <w:rFonts w:hint="eastAsia" w:ascii="宋体" w:hAnsi="宋体" w:eastAsia="宋体" w:cs="宋体"/>
                <w:color w:val="auto"/>
                <w:highlight w:val="none"/>
                <w:u w:val="single"/>
              </w:rPr>
            </w:pPr>
            <w:r>
              <w:rPr>
                <w:rFonts w:hint="eastAsia" w:ascii="宋体" w:hAnsi="宋体" w:eastAsia="宋体" w:cs="宋体"/>
                <w:color w:val="auto"/>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hint="eastAsia" w:ascii="宋体" w:hAnsi="宋体" w:eastAsia="宋体" w:cs="宋体"/>
                <w:color w:val="auto"/>
                <w:highlight w:val="none"/>
              </w:rPr>
              <w:t>评审得分相同的，由采购人或者采购人委托评标委员会按照的方式确定一个投标人获得中标人推荐资格，招标文件未规定的采取随机抽取方式确定</w:t>
            </w:r>
            <w:r>
              <w:rPr>
                <w:rFonts w:hint="eastAsia" w:ascii="宋体" w:hAnsi="宋体" w:eastAsia="宋体" w:cs="宋体"/>
                <w:color w:val="auto"/>
                <w:highlight w:val="none"/>
                <w:lang w:val="zh-CN"/>
              </w:rPr>
              <w:t>），其他同品牌投标人不作为中标候选人。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采购进口产品</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F0A3"/>
            </w:r>
            <w:r>
              <w:rPr>
                <w:rFonts w:hint="eastAsia" w:ascii="宋体" w:hAnsi="宋体" w:eastAsia="宋体" w:cs="宋体"/>
                <w:color w:val="auto"/>
                <w:highlight w:val="none"/>
              </w:rPr>
              <w:t>本采购项目拒绝进口产品参加投标</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□本采购项目已经财政部审核同意购买进口产品</w:t>
            </w:r>
          </w:p>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其他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984" w:type="dxa"/>
            <w:noWrap/>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信息发布媒体</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（1）中国政府采购网（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www.ccgp.gov.cn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（2）国家税务总局集中采购中心网站（https://swcg.chinatax.gov.cn）</w:t>
            </w:r>
          </w:p>
          <w:p>
            <w:pPr>
              <w:pStyle w:val="24"/>
              <w:spacing w:line="440" w:lineRule="exact"/>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bidi="ar-SA"/>
              </w:rPr>
              <w:t>（3）</w:t>
            </w:r>
            <w:r>
              <w:rPr>
                <w:rFonts w:hint="eastAsia" w:ascii="宋体" w:hAnsi="宋体" w:eastAsia="宋体" w:cs="宋体"/>
                <w:bCs/>
                <w:color w:val="auto"/>
                <w:sz w:val="21"/>
                <w:szCs w:val="21"/>
                <w:highlight w:val="none"/>
                <w:lang w:eastAsia="zh-CN"/>
              </w:rPr>
              <w:t>国家税务总局广西壮族自治区税务局</w:t>
            </w:r>
            <w:r>
              <w:rPr>
                <w:rFonts w:hint="eastAsia" w:ascii="宋体" w:hAnsi="宋体" w:eastAsia="宋体" w:cs="宋体"/>
                <w:bCs/>
                <w:color w:val="auto"/>
                <w:sz w:val="21"/>
                <w:szCs w:val="21"/>
                <w:highlight w:val="none"/>
              </w:rPr>
              <w:t>网</w:t>
            </w:r>
            <w:r>
              <w:rPr>
                <w:rFonts w:hint="eastAsia" w:ascii="宋体" w:hAnsi="宋体" w:eastAsia="宋体" w:cs="宋体"/>
                <w:bCs/>
                <w:color w:val="auto"/>
                <w:sz w:val="21"/>
                <w:szCs w:val="21"/>
                <w:highlight w:val="none"/>
                <w:lang w:eastAsia="zh-CN"/>
              </w:rPr>
              <w:t>贵港频道</w:t>
            </w:r>
            <w:r>
              <w:rPr>
                <w:rFonts w:hint="eastAsia" w:ascii="宋体" w:hAnsi="宋体" w:eastAsia="宋体" w:cs="宋体"/>
                <w:bCs/>
                <w:color w:val="auto"/>
                <w:sz w:val="21"/>
                <w:szCs w:val="21"/>
                <w:highlight w:val="none"/>
              </w:rPr>
              <w:t>（https://guangxi.chinatax.gov.cn/guigang/）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获取招标文件</w:t>
            </w:r>
          </w:p>
          <w:p>
            <w:pPr>
              <w:rPr>
                <w:rFonts w:hint="eastAsia" w:ascii="宋体" w:hAnsi="宋体" w:eastAsia="宋体" w:cs="宋体"/>
                <w:color w:val="auto"/>
                <w:highlight w:val="none"/>
              </w:rPr>
            </w:pPr>
            <w:r>
              <w:rPr>
                <w:rFonts w:hint="eastAsia" w:ascii="宋体" w:hAnsi="宋体" w:eastAsia="宋体" w:cs="宋体"/>
                <w:color w:val="auto"/>
                <w:highlight w:val="none"/>
              </w:rPr>
              <w:t>时间、地点和</w:t>
            </w:r>
          </w:p>
          <w:p>
            <w:pPr>
              <w:rPr>
                <w:rFonts w:hint="eastAsia" w:ascii="宋体" w:hAnsi="宋体" w:eastAsia="宋体" w:cs="宋体"/>
                <w:color w:val="auto"/>
                <w:highlight w:val="none"/>
              </w:rPr>
            </w:pPr>
            <w:r>
              <w:rPr>
                <w:rFonts w:hint="eastAsia" w:ascii="宋体" w:hAnsi="宋体" w:eastAsia="宋体" w:cs="宋体"/>
                <w:color w:val="auto"/>
                <w:highlight w:val="none"/>
              </w:rPr>
              <w:t>方式等</w:t>
            </w:r>
          </w:p>
        </w:tc>
        <w:tc>
          <w:tcPr>
            <w:tcW w:w="6058" w:type="dxa"/>
            <w:gridSpan w:val="2"/>
            <w:noWrap/>
            <w:vAlign w:val="center"/>
          </w:tcPr>
          <w:p>
            <w:pPr>
              <w:pStyle w:val="24"/>
              <w:spacing w:line="440" w:lineRule="exact"/>
              <w:jc w:val="left"/>
              <w:rPr>
                <w:rFonts w:hint="eastAsia" w:ascii="宋体" w:hAnsi="宋体" w:eastAsia="宋体" w:cs="宋体"/>
                <w:color w:val="auto"/>
                <w:sz w:val="21"/>
                <w:szCs w:val="21"/>
                <w:highlight w:val="none"/>
              </w:rPr>
            </w:pPr>
            <w:r>
              <w:rPr>
                <w:rFonts w:hint="eastAsia" w:hAnsi="宋体"/>
                <w:color w:val="auto"/>
                <w:sz w:val="21"/>
                <w:szCs w:val="21"/>
                <w:highlight w:val="none"/>
              </w:rPr>
              <w:t>2024年10月</w:t>
            </w:r>
            <w:r>
              <w:rPr>
                <w:rFonts w:hint="eastAsia" w:hAnsi="宋体"/>
                <w:color w:val="auto"/>
                <w:sz w:val="21"/>
                <w:szCs w:val="21"/>
                <w:highlight w:val="none"/>
                <w:lang w:eastAsia="zh-CN"/>
              </w:rPr>
              <w:t>22日</w:t>
            </w:r>
            <w:r>
              <w:rPr>
                <w:rFonts w:hint="eastAsia" w:hAnsi="宋体"/>
                <w:color w:val="auto"/>
                <w:sz w:val="21"/>
                <w:szCs w:val="21"/>
                <w:highlight w:val="none"/>
              </w:rPr>
              <w:t>至2024年10月2</w:t>
            </w:r>
            <w:ins w:id="1" w:author="郭露菲菲 [2]" w:date="2024-10-21T18:00:11Z">
              <w:r>
                <w:rPr>
                  <w:rFonts w:hint="eastAsia" w:hAnsi="宋体"/>
                  <w:color w:val="auto"/>
                  <w:sz w:val="21"/>
                  <w:szCs w:val="21"/>
                  <w:highlight w:val="none"/>
                  <w:lang w:val="en-US" w:eastAsia="zh-CN"/>
                </w:rPr>
                <w:t>9</w:t>
              </w:r>
            </w:ins>
            <w:r>
              <w:rPr>
                <w:rFonts w:hint="eastAsia" w:hAnsi="宋体"/>
                <w:color w:val="auto"/>
                <w:sz w:val="21"/>
                <w:szCs w:val="21"/>
                <w:highlight w:val="none"/>
              </w:rPr>
              <w:t>日</w:t>
            </w:r>
            <w:r>
              <w:rPr>
                <w:rFonts w:hint="eastAsia" w:ascii="宋体" w:hAnsi="宋体" w:eastAsia="宋体" w:cs="宋体"/>
                <w:color w:val="auto"/>
                <w:sz w:val="21"/>
                <w:szCs w:val="21"/>
                <w:highlight w:val="none"/>
              </w:rPr>
              <w:t>，每天上午0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：00至12：00，下午12：00至23：59（北京时间，法定节假日除外）</w:t>
            </w:r>
          </w:p>
          <w:p>
            <w:pPr>
              <w:pStyle w:val="24"/>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地点：国家税务总局集中采购中心网站（https://swcg.chinatax.gov.cn）</w:t>
            </w:r>
          </w:p>
          <w:p>
            <w:pPr>
              <w:pStyle w:val="24"/>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供应商在国家税务总局集中采购中心网站（https://swcg.chinatax.gov.cn），点击“供应商登录”，完成注册，登录国家税务总局政府采购评审管理系统，报名并免费下载招标文件电子版。没有报名的供应商，不能参加本项目采购活动。</w:t>
            </w:r>
          </w:p>
          <w:p>
            <w:pPr>
              <w:pStyle w:val="24"/>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售价：招标文件工本费每本 0 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现场考察</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不组织现场考察</w:t>
            </w:r>
          </w:p>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F0A3"/>
            </w:r>
            <w:r>
              <w:rPr>
                <w:rFonts w:hint="eastAsia" w:ascii="宋体" w:hAnsi="宋体" w:eastAsia="宋体" w:cs="宋体"/>
                <w:color w:val="auto"/>
                <w:highlight w:val="none"/>
              </w:rPr>
              <w:t>组织现场考察：</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时间：年月日</w:t>
            </w:r>
            <w:r>
              <w:rPr>
                <w:rFonts w:hint="eastAsia" w:ascii="宋体" w:hAnsi="宋体" w:eastAsia="宋体" w:cs="宋体"/>
                <w:color w:val="auto"/>
                <w:highlight w:val="none"/>
                <w:lang w:val="en-US" w:eastAsia="zh-CN"/>
              </w:rPr>
              <w:t>时分</w:t>
            </w:r>
            <w:r>
              <w:rPr>
                <w:rFonts w:hint="eastAsia" w:ascii="宋体" w:hAnsi="宋体" w:eastAsia="宋体" w:cs="宋体"/>
                <w:color w:val="auto"/>
                <w:highlight w:val="none"/>
              </w:rPr>
              <w:t>（北京时间）</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地点：</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联系人：</w:t>
            </w:r>
          </w:p>
          <w:p>
            <w:pPr>
              <w:jc w:val="left"/>
              <w:rPr>
                <w:rFonts w:hint="eastAsia" w:ascii="宋体" w:hAnsi="宋体" w:eastAsia="宋体" w:cs="宋体"/>
                <w:color w:val="auto"/>
                <w:highlight w:val="none"/>
                <w:u w:val="single"/>
              </w:rPr>
            </w:pPr>
            <w:r>
              <w:rPr>
                <w:rFonts w:hint="eastAsia" w:ascii="宋体" w:hAnsi="宋体" w:eastAsia="宋体" w:cs="宋体"/>
                <w:color w:val="auto"/>
                <w:highlight w:val="none"/>
              </w:rPr>
              <w:t>联系电话：</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样品</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不要求提供</w:t>
            </w:r>
          </w:p>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F0A3"/>
            </w:r>
            <w:r>
              <w:rPr>
                <w:rFonts w:hint="eastAsia" w:ascii="宋体" w:hAnsi="宋体" w:eastAsia="宋体" w:cs="宋体"/>
                <w:color w:val="auto"/>
                <w:highlight w:val="none"/>
              </w:rPr>
              <w:t>要求提供：</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1.样品制作的标准和要求：____________________</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2.样品检测报告：(□否；□是，检测机构的要求、检测内容详见第六章项目采购需求)</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3.样品的评审方法及评审标准：内容详见第三章评标办法及标准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restart"/>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984" w:type="dxa"/>
            <w:vMerge w:val="restart"/>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投标文件组成</w:t>
            </w:r>
          </w:p>
        </w:tc>
        <w:tc>
          <w:tcPr>
            <w:tcW w:w="851" w:type="dxa"/>
            <w:vMerge w:val="restart"/>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商务部分</w:t>
            </w:r>
          </w:p>
        </w:tc>
        <w:tc>
          <w:tcPr>
            <w:tcW w:w="5207" w:type="dxa"/>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一、资格证明文件：</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1.★投标人基本情况（附法人或者其他组织的营业执照等证明文件复印件；投标人如为自然人，提供自然人的身份证明复印件）（线上采购项目提供扫描件，下同）；</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2.★财务状况报告：上一年度的经会计师事务所审计的财务报告（须</w:t>
            </w:r>
            <w:r>
              <w:rPr>
                <w:rFonts w:hint="eastAsia" w:ascii="宋体" w:hAnsi="宋体" w:eastAsia="宋体" w:cs="宋体"/>
                <w:color w:val="auto"/>
                <w:highlight w:val="none"/>
                <w:lang w:val="en-US" w:eastAsia="zh-CN"/>
              </w:rPr>
              <w:t>上传加</w:t>
            </w:r>
            <w:r>
              <w:rPr>
                <w:rFonts w:hint="eastAsia" w:ascii="宋体" w:hAnsi="宋体" w:eastAsia="宋体" w:cs="宋体"/>
                <w:color w:val="auto"/>
                <w:highlight w:val="none"/>
              </w:rPr>
              <w:t>盖会计师事务所公章及注册会计师签章的</w:t>
            </w:r>
            <w:r>
              <w:rPr>
                <w:rFonts w:hint="eastAsia" w:ascii="宋体" w:hAnsi="宋体" w:eastAsia="宋体" w:cs="宋体"/>
                <w:color w:val="auto"/>
                <w:sz w:val="21"/>
                <w:szCs w:val="21"/>
                <w:highlight w:val="none"/>
              </w:rPr>
              <w:t>扫描</w:t>
            </w:r>
            <w:r>
              <w:rPr>
                <w:rFonts w:hint="eastAsia" w:ascii="宋体" w:hAnsi="宋体" w:eastAsia="宋体" w:cs="宋体"/>
                <w:color w:val="auto"/>
                <w:highlight w:val="none"/>
              </w:rPr>
              <w:t>件）；没有经审计的财务报告的，可以提供基本开户银行出具的资信证明复印件；如供应商为投标当年新成立公司的，应提供于公司成立之日后的财务状况报告。其中，上述财务状况报告包括：投标人执行《企业会计准则》的，提供资产负债表、利润表、现金流量表、所有者权益变动表及其附注（以下称“四表一注”）；投标人执行《小企业会计准则》的，提供资产负债表、利润表、现金流量表及其附注（以下称“三表一注”）；投标人执行《政府会计制度》的，提供资产负债表、收入费用表和净资产变动表及其附注。</w:t>
            </w:r>
          </w:p>
          <w:p>
            <w:pPr>
              <w:pStyle w:val="9"/>
              <w:jc w:val="left"/>
              <w:rPr>
                <w:rFonts w:hint="eastAsia" w:ascii="宋体" w:hAnsi="宋体" w:eastAsia="宋体" w:cs="宋体"/>
                <w:color w:val="auto"/>
                <w:highlight w:val="none"/>
              </w:rPr>
            </w:pPr>
            <w:r>
              <w:rPr>
                <w:rFonts w:hint="eastAsia" w:ascii="宋体" w:hAnsi="宋体" w:eastAsia="宋体" w:cs="宋体"/>
                <w:color w:val="auto"/>
                <w:highlight w:val="none"/>
              </w:rPr>
              <w:t>3.★依法缴纳税收：投标截止之日前半年内投标人连续三个月的依法缴纳税收（不包括个人所得税）的相关材料，如依法免税或不需要纳税的，应提供相应证明材料复印件；投标人无纳税记录或为新成立公司，应提供由投标人所在地主管税务部门出具的《依法纳税或依法免税证明》（复印件）。</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4.★社会保障资金：投标截止之日前半年内投标人连续三个月的依法缴纳社会保障资金的相关材料，如依法不需要缴纳社会保障资金的，则应提供相应证明材料复印件；投标人无缴费记录或为新成立公司，应提供由投标人所在地社保部门出具的《依法缴纳或依法免缴社保费证明》（复印件）。</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5.具备履行合同所必需的设备和专业技术能力的证明材料。</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6.★参加政府采购活动前3年内在经营活动中没有重大违法记录的书面声明。</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7.具备法律、行政法规规定的其他条件的证明材料。</w:t>
            </w:r>
          </w:p>
          <w:p>
            <w:pPr>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8.</w:t>
            </w:r>
            <w:r>
              <w:rPr>
                <w:rFonts w:hint="eastAsia" w:ascii="宋体" w:hAnsi="宋体" w:eastAsia="宋体" w:cs="宋体"/>
                <w:color w:val="auto"/>
                <w:sz w:val="21"/>
                <w:szCs w:val="21"/>
                <w:highlight w:val="none"/>
              </w:rPr>
              <w:t>★中小企业声明函（中小企业投标的，应按照《政府采购促进中小企业发展管理办法》（财库﹝2020﹞46 号印发）《关于印发中小企业划型标准规定的通知》 （工信部联企业〔2011〕300号）如实填写并提交此函）；监狱企业证明文件[监狱企业投标的，应提交省级以上监狱管理局、戒毒管理局（含新疆生产建设兵团）出具的证明文件]；残疾人福利性单位声明函（残疾人福利性单位投标的，应提交此函）</w:t>
            </w:r>
            <w:r>
              <w:rPr>
                <w:rFonts w:hint="eastAsia" w:ascii="宋体" w:hAnsi="宋体" w:eastAsia="宋体" w:cs="宋体"/>
                <w:color w:val="auto"/>
                <w:highlight w:val="none"/>
                <w:lang w:eastAsia="zh-CN"/>
              </w:rPr>
              <w:t>。</w:t>
            </w:r>
          </w:p>
          <w:p>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投标人认为需提供的其他资格证明资料。</w:t>
            </w:r>
          </w:p>
          <w:p>
            <w:pPr>
              <w:pStyle w:val="2"/>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pPr>
              <w:rPr>
                <w:rFonts w:hint="eastAsia" w:ascii="宋体" w:hAnsi="宋体" w:eastAsia="宋体" w:cs="宋体"/>
                <w:color w:val="auto"/>
                <w:highlight w:val="none"/>
              </w:rPr>
            </w:pPr>
          </w:p>
        </w:tc>
        <w:tc>
          <w:tcPr>
            <w:tcW w:w="1984" w:type="dxa"/>
            <w:vMerge w:val="continue"/>
            <w:noWrap/>
            <w:vAlign w:val="center"/>
          </w:tcPr>
          <w:p>
            <w:pPr>
              <w:rPr>
                <w:rFonts w:hint="eastAsia" w:ascii="宋体" w:hAnsi="宋体" w:eastAsia="宋体" w:cs="宋体"/>
                <w:color w:val="auto"/>
                <w:highlight w:val="none"/>
              </w:rPr>
            </w:pPr>
          </w:p>
        </w:tc>
        <w:tc>
          <w:tcPr>
            <w:tcW w:w="851" w:type="dxa"/>
            <w:vMerge w:val="continue"/>
            <w:noWrap/>
            <w:vAlign w:val="center"/>
          </w:tcPr>
          <w:p>
            <w:pPr>
              <w:jc w:val="left"/>
              <w:rPr>
                <w:rFonts w:hint="eastAsia" w:ascii="宋体" w:hAnsi="宋体" w:eastAsia="宋体" w:cs="宋体"/>
                <w:color w:val="auto"/>
                <w:highlight w:val="none"/>
              </w:rPr>
            </w:pPr>
          </w:p>
        </w:tc>
        <w:tc>
          <w:tcPr>
            <w:tcW w:w="5207" w:type="dxa"/>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二、开标一览表：</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1.★投标报价表（线上采购项目，投标人应按照投标工具的流程和提示编制并上传）；</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2.★分项价格表。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pPr>
              <w:rPr>
                <w:rFonts w:hint="eastAsia" w:ascii="宋体" w:hAnsi="宋体" w:eastAsia="宋体" w:cs="宋体"/>
                <w:color w:val="auto"/>
                <w:highlight w:val="none"/>
              </w:rPr>
            </w:pPr>
          </w:p>
        </w:tc>
        <w:tc>
          <w:tcPr>
            <w:tcW w:w="1984" w:type="dxa"/>
            <w:vMerge w:val="continue"/>
            <w:noWrap/>
            <w:vAlign w:val="center"/>
          </w:tcPr>
          <w:p>
            <w:pPr>
              <w:rPr>
                <w:rFonts w:hint="eastAsia" w:ascii="宋体" w:hAnsi="宋体" w:eastAsia="宋体" w:cs="宋体"/>
                <w:color w:val="auto"/>
                <w:highlight w:val="none"/>
              </w:rPr>
            </w:pPr>
          </w:p>
        </w:tc>
        <w:tc>
          <w:tcPr>
            <w:tcW w:w="851" w:type="dxa"/>
            <w:vMerge w:val="continue"/>
            <w:noWrap/>
            <w:vAlign w:val="center"/>
          </w:tcPr>
          <w:p>
            <w:pPr>
              <w:jc w:val="left"/>
              <w:rPr>
                <w:rFonts w:hint="eastAsia" w:ascii="宋体" w:hAnsi="宋体" w:eastAsia="宋体" w:cs="宋体"/>
                <w:color w:val="auto"/>
                <w:highlight w:val="none"/>
              </w:rPr>
            </w:pPr>
          </w:p>
        </w:tc>
        <w:tc>
          <w:tcPr>
            <w:tcW w:w="5207" w:type="dxa"/>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三、其他文件及资料：</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1.★授权委托书；</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2.★投标函；</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3.★商务条款偏离表；</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4.投标人认为需要提供的其它说明和资料。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pPr>
              <w:rPr>
                <w:rFonts w:hint="eastAsia" w:ascii="宋体" w:hAnsi="宋体" w:eastAsia="宋体" w:cs="宋体"/>
                <w:color w:val="auto"/>
                <w:highlight w:val="none"/>
              </w:rPr>
            </w:pPr>
          </w:p>
        </w:tc>
        <w:tc>
          <w:tcPr>
            <w:tcW w:w="1984" w:type="dxa"/>
            <w:vMerge w:val="continue"/>
            <w:noWrap/>
            <w:vAlign w:val="center"/>
          </w:tcPr>
          <w:p>
            <w:pPr>
              <w:rPr>
                <w:rFonts w:hint="eastAsia" w:ascii="宋体" w:hAnsi="宋体" w:eastAsia="宋体" w:cs="宋体"/>
                <w:color w:val="auto"/>
                <w:highlight w:val="none"/>
              </w:rPr>
            </w:pPr>
          </w:p>
        </w:tc>
        <w:tc>
          <w:tcPr>
            <w:tcW w:w="851" w:type="dxa"/>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技术部分</w:t>
            </w:r>
          </w:p>
        </w:tc>
        <w:tc>
          <w:tcPr>
            <w:tcW w:w="5207" w:type="dxa"/>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1.★技术条款偏离表；</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2.服务方案；</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color w:val="auto"/>
                <w:highlight w:val="none"/>
              </w:rPr>
              <w:t>★</w:t>
            </w:r>
            <w:r>
              <w:rPr>
                <w:rFonts w:hint="eastAsia" w:ascii="宋体" w:hAnsi="宋体" w:eastAsia="宋体" w:cs="宋体"/>
                <w:color w:val="auto"/>
                <w:highlight w:val="none"/>
              </w:rPr>
              <w:t>拟投入项目技术力量一览表；</w:t>
            </w:r>
          </w:p>
          <w:p>
            <w:pPr>
              <w:pStyle w:val="8"/>
              <w:jc w:val="left"/>
              <w:rPr>
                <w:rFonts w:hint="eastAsia" w:ascii="宋体" w:hAnsi="宋体" w:eastAsia="宋体" w:cs="宋体"/>
                <w:color w:val="auto"/>
                <w:highlight w:val="none"/>
              </w:rPr>
            </w:pPr>
            <w:r>
              <w:rPr>
                <w:rFonts w:hint="eastAsia" w:ascii="宋体" w:hAnsi="宋体" w:eastAsia="宋体" w:cs="宋体"/>
                <w:b w:val="0"/>
                <w:bCs w:val="0"/>
                <w:color w:val="auto"/>
                <w:highlight w:val="none"/>
              </w:rPr>
              <w:t>4.</w:t>
            </w:r>
            <w:r>
              <w:rPr>
                <w:rFonts w:hint="eastAsia" w:ascii="宋体" w:hAnsi="宋体" w:eastAsia="宋体" w:cs="宋体"/>
                <w:color w:val="auto"/>
                <w:highlight w:val="none"/>
              </w:rPr>
              <w:t>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pPr>
              <w:rPr>
                <w:rFonts w:hint="eastAsia" w:ascii="宋体" w:hAnsi="宋体" w:eastAsia="宋体" w:cs="宋体"/>
                <w:color w:val="auto"/>
                <w:highlight w:val="none"/>
              </w:rPr>
            </w:pPr>
          </w:p>
        </w:tc>
        <w:tc>
          <w:tcPr>
            <w:tcW w:w="1984" w:type="dxa"/>
            <w:vMerge w:val="continue"/>
            <w:noWrap/>
            <w:vAlign w:val="center"/>
          </w:tcPr>
          <w:p>
            <w:pPr>
              <w:rPr>
                <w:rFonts w:hint="eastAsia" w:ascii="宋体" w:hAnsi="宋体" w:eastAsia="宋体" w:cs="宋体"/>
                <w:color w:val="auto"/>
                <w:highlight w:val="none"/>
              </w:rPr>
            </w:pPr>
          </w:p>
        </w:tc>
        <w:tc>
          <w:tcPr>
            <w:tcW w:w="6058" w:type="dxa"/>
            <w:gridSpan w:val="2"/>
            <w:noWrap/>
            <w:vAlign w:val="center"/>
          </w:tcPr>
          <w:p>
            <w:pPr>
              <w:pStyle w:val="7"/>
              <w:rPr>
                <w:rFonts w:hint="eastAsia" w:ascii="宋体" w:hAnsi="宋体" w:eastAsia="宋体" w:cs="宋体"/>
                <w:color w:val="auto"/>
                <w:highlight w:val="none"/>
              </w:rPr>
            </w:pPr>
            <w:r>
              <w:rPr>
                <w:rFonts w:hint="eastAsia" w:ascii="宋体" w:hAnsi="宋体" w:eastAsia="宋体" w:cs="宋体"/>
                <w:color w:val="auto"/>
                <w:highlight w:val="none"/>
              </w:rPr>
              <w:t>1.以上带★的文件及资料未提供或提供的无效，则投标无效。</w:t>
            </w:r>
          </w:p>
          <w:p>
            <w:pPr>
              <w:pStyle w:val="7"/>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以上带★的文件，必须加盖投标人公章，否则按无效投标处理。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从提交投标文件的截止之日起计算</w:t>
            </w:r>
            <w:r>
              <w:rPr>
                <w:rFonts w:hint="eastAsia" w:ascii="宋体" w:hAnsi="宋体" w:eastAsia="宋体" w:cs="宋体"/>
                <w:color w:val="auto"/>
                <w:highlight w:val="none"/>
                <w:u w:val="single"/>
              </w:rPr>
              <w:t>90</w:t>
            </w:r>
            <w:r>
              <w:rPr>
                <w:rFonts w:hint="eastAsia" w:ascii="宋体" w:hAnsi="宋体" w:eastAsia="宋体" w:cs="宋体"/>
                <w:color w:val="auto"/>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提交投标文件方式、截止时间、开标时间、地点</w:t>
            </w:r>
          </w:p>
        </w:tc>
        <w:tc>
          <w:tcPr>
            <w:tcW w:w="6058" w:type="dxa"/>
            <w:gridSpan w:val="2"/>
            <w:noWrap/>
            <w:vAlign w:val="center"/>
          </w:tcPr>
          <w:p>
            <w:pPr>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截止</w:t>
            </w:r>
            <w:r>
              <w:rPr>
                <w:rFonts w:hint="eastAsia" w:ascii="宋体" w:hAnsi="宋体" w:eastAsia="宋体" w:cs="宋体"/>
                <w:b w:val="0"/>
                <w:bCs w:val="0"/>
                <w:color w:val="auto"/>
                <w:highlight w:val="none"/>
              </w:rPr>
              <w:t>时间</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开标时间</w:t>
            </w:r>
            <w:r>
              <w:rPr>
                <w:rFonts w:hint="eastAsia" w:ascii="宋体" w:hAnsi="宋体" w:eastAsia="宋体" w:cs="宋体"/>
                <w:b w:val="0"/>
                <w:bCs w:val="0"/>
                <w:color w:val="auto"/>
                <w:highlight w:val="none"/>
              </w:rPr>
              <w:t>：</w:t>
            </w:r>
            <w:r>
              <w:rPr>
                <w:rFonts w:hint="eastAsia" w:ascii="宋体" w:hAnsi="宋体" w:eastAsia="宋体" w:cs="宋体"/>
                <w:bCs w:val="0"/>
                <w:color w:val="auto"/>
                <w:highlight w:val="none"/>
              </w:rPr>
              <w:t>2024年10月2</w:t>
            </w:r>
            <w:r>
              <w:rPr>
                <w:rFonts w:hint="eastAsia" w:ascii="宋体" w:hAnsi="宋体" w:eastAsia="宋体" w:cs="宋体"/>
                <w:bCs w:val="0"/>
                <w:color w:val="auto"/>
                <w:highlight w:val="none"/>
                <w:lang w:val="en-US" w:eastAsia="zh-CN"/>
              </w:rPr>
              <w:t>2</w:t>
            </w:r>
            <w:r>
              <w:rPr>
                <w:rFonts w:hint="eastAsia" w:ascii="宋体" w:hAnsi="宋体" w:eastAsia="宋体" w:cs="宋体"/>
                <w:bCs w:val="0"/>
                <w:color w:val="auto"/>
                <w:highlight w:val="none"/>
              </w:rPr>
              <w:t>日至2024年1</w:t>
            </w:r>
            <w:r>
              <w:rPr>
                <w:rFonts w:hint="eastAsia" w:ascii="宋体" w:hAnsi="宋体" w:eastAsia="宋体" w:cs="宋体"/>
                <w:bCs w:val="0"/>
                <w:color w:val="auto"/>
                <w:highlight w:val="none"/>
                <w:lang w:eastAsia="zh-CN"/>
              </w:rPr>
              <w:t>1</w:t>
            </w:r>
            <w:r>
              <w:rPr>
                <w:rFonts w:hint="eastAsia" w:ascii="宋体" w:hAnsi="宋体" w:eastAsia="宋体" w:cs="宋体"/>
                <w:bCs w:val="0"/>
                <w:color w:val="auto"/>
                <w:highlight w:val="none"/>
              </w:rPr>
              <w:t>月</w:t>
            </w:r>
            <w:r>
              <w:rPr>
                <w:rFonts w:hint="eastAsia" w:ascii="宋体" w:hAnsi="宋体" w:eastAsia="宋体" w:cs="宋体"/>
                <w:bCs w:val="0"/>
                <w:color w:val="auto"/>
                <w:highlight w:val="none"/>
                <w:lang w:eastAsia="zh-CN"/>
              </w:rPr>
              <w:t>1</w:t>
            </w:r>
            <w:r>
              <w:rPr>
                <w:rFonts w:hint="eastAsia" w:ascii="宋体" w:hAnsi="宋体" w:eastAsia="宋体" w:cs="宋体"/>
                <w:bCs w:val="0"/>
                <w:color w:val="auto"/>
                <w:highlight w:val="none"/>
                <w:lang w:val="en-US" w:eastAsia="zh-CN"/>
              </w:rPr>
              <w:t>2</w:t>
            </w:r>
            <w:r>
              <w:rPr>
                <w:rFonts w:hint="eastAsia" w:ascii="宋体" w:hAnsi="宋体" w:eastAsia="宋体" w:cs="宋体"/>
                <w:bCs w:val="0"/>
                <w:color w:val="auto"/>
                <w:highlight w:val="none"/>
              </w:rPr>
              <w:t>日</w:t>
            </w:r>
            <w:r>
              <w:rPr>
                <w:rFonts w:hint="eastAsia" w:ascii="宋体" w:hAnsi="宋体" w:eastAsia="宋体" w:cs="宋体"/>
                <w:b w:val="0"/>
                <w:bCs w:val="0"/>
                <w:color w:val="auto"/>
                <w:highlight w:val="none"/>
              </w:rPr>
              <w:t>每天上午0：00至12：00，下午12：00至23：59（北京时间，法定节假日除外）</w:t>
            </w:r>
          </w:p>
          <w:p>
            <w:pPr>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开标</w:t>
            </w:r>
            <w:r>
              <w:rPr>
                <w:rFonts w:hint="eastAsia" w:ascii="宋体" w:hAnsi="宋体" w:eastAsia="宋体" w:cs="宋体"/>
                <w:b w:val="0"/>
                <w:bCs w:val="0"/>
                <w:color w:val="auto"/>
                <w:highlight w:val="none"/>
              </w:rPr>
              <w:t>地点：国家税务总局集中采购中心网站（https://swcg.chinatax.gov.cn）</w:t>
            </w:r>
          </w:p>
          <w:p>
            <w:pPr>
              <w:jc w:val="lef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提交方式：供应商在国家税务总局集中采购中心网站（https://swcg.chinatax.gov.cn），点击“供应商登录”，完成注册，登录国家税务总局政府采购评审管理系统，报名并免费下载招标文件电子版。没有报名的供应商，不能参加本项目采购活动。</w:t>
            </w:r>
          </w:p>
          <w:p>
            <w:pPr>
              <w:jc w:val="left"/>
              <w:rPr>
                <w:rFonts w:hint="eastAsia" w:ascii="宋体" w:hAnsi="宋体" w:eastAsia="宋体" w:cs="宋体"/>
                <w:b/>
                <w:color w:val="auto"/>
                <w:highlight w:val="none"/>
              </w:rPr>
            </w:pPr>
            <w:r>
              <w:rPr>
                <w:rFonts w:hint="eastAsia" w:ascii="宋体" w:hAnsi="宋体" w:eastAsia="宋体" w:cs="宋体"/>
                <w:b w:val="0"/>
                <w:bCs w:val="0"/>
                <w:color w:val="auto"/>
                <w:highlight w:val="none"/>
              </w:rPr>
              <w:t>售价：招标文件工本费每本 0 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1984" w:type="dxa"/>
            <w:noWrap/>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投标保证金</w:t>
            </w:r>
          </w:p>
        </w:tc>
        <w:tc>
          <w:tcPr>
            <w:tcW w:w="6058" w:type="dxa"/>
            <w:gridSpan w:val="2"/>
            <w:noWrap/>
            <w:vAlign w:val="center"/>
          </w:tcPr>
          <w:p>
            <w:pPr>
              <w:jc w:val="left"/>
              <w:rPr>
                <w:rFonts w:hint="eastAsia" w:ascii="宋体" w:hAnsi="宋体" w:eastAsia="宋体" w:cs="宋体"/>
                <w:snapToGrid w:val="0"/>
                <w:color w:val="auto"/>
                <w:highlight w:val="none"/>
                <w:lang w:val="zh-CN"/>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不要求提供</w:t>
            </w:r>
          </w:p>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要求提供：</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（1）金额：</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采购包1：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提交方式：银行转账、支票、汇票、本票或者金融、担保机构出具的保函，禁止采用现钞方式。采用银行转账方式的，在投标截止时间前交至采购人或采购代理机构指定账户并且到账；采用支票、汇票、本票或者保函等方式的，在投标截止时间前，投标人必须递交单独密封的支票、汇票、本票或者保函原件。否则视为无效投标保证金。</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收款人户名：</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开户银行：</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银行账号：</w:t>
            </w:r>
          </w:p>
          <w:p>
            <w:pPr>
              <w:jc w:val="left"/>
              <w:rPr>
                <w:rFonts w:hint="eastAsia" w:ascii="宋体" w:hAnsi="宋体" w:eastAsia="宋体" w:cs="宋体"/>
                <w:b/>
                <w:color w:val="auto"/>
                <w:highlight w:val="none"/>
              </w:rPr>
            </w:pPr>
            <w:r>
              <w:rPr>
                <w:rFonts w:hint="eastAsia" w:ascii="宋体" w:hAnsi="宋体" w:eastAsia="宋体" w:cs="宋体"/>
                <w:color w:val="auto"/>
                <w:highlight w:val="none"/>
              </w:rPr>
              <w:t>注：以电汇方式递交投标保证金须在电汇凭据附言栏中写明采购编号、包号（如有）及用途（投标保证金）。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restart"/>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1984" w:type="dxa"/>
            <w:vMerge w:val="restart"/>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不予退还投标保证金的情形</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有下列情形之一的，投标保证金将不予退还：</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（1）投标人串通投标或有视为串通投标情形之一的；</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（2）投标人提供虚假材料；</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（3）投标人采取不正当手段诋毁、排挤其他投标人；</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（4）投标截止时间后，投标人在投标有效期内撤销投标文件；</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（5）中标人有下列情形之一的：</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a.除不可抗力外，因中标人自身原因未在中标通知书要求的期限内与采购人签订政府采购合同；</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b.未按照招标文件、投标文件的约定签订政府采购合同或提交履约保证金。</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注：若上述投标保证金不予退还情形给采购人（采购代理机构）造成损失，则投标人还要承担相应的赔偿责任。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pPr>
              <w:rPr>
                <w:rFonts w:hint="eastAsia" w:ascii="宋体" w:hAnsi="宋体" w:eastAsia="宋体" w:cs="宋体"/>
                <w:color w:val="auto"/>
                <w:highlight w:val="none"/>
              </w:rPr>
            </w:pPr>
          </w:p>
        </w:tc>
        <w:tc>
          <w:tcPr>
            <w:tcW w:w="1984" w:type="dxa"/>
            <w:vMerge w:val="continue"/>
            <w:noWrap/>
            <w:vAlign w:val="center"/>
          </w:tcPr>
          <w:p>
            <w:pPr>
              <w:rPr>
                <w:rFonts w:hint="eastAsia" w:ascii="宋体" w:hAnsi="宋体" w:eastAsia="宋体" w:cs="宋体"/>
                <w:color w:val="auto"/>
                <w:highlight w:val="none"/>
              </w:rPr>
            </w:pP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其他不予退还投标保证金的情形：无。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984" w:type="dxa"/>
            <w:noWrap/>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信用记录审查</w:t>
            </w:r>
          </w:p>
        </w:tc>
        <w:tc>
          <w:tcPr>
            <w:tcW w:w="6058" w:type="dxa"/>
            <w:gridSpan w:val="2"/>
            <w:noWrap/>
            <w:vAlign w:val="center"/>
          </w:tcPr>
          <w:p>
            <w:pPr>
              <w:jc w:val="left"/>
              <w:rPr>
                <w:rFonts w:hint="eastAsia" w:ascii="宋体" w:hAnsi="宋体" w:eastAsia="宋体" w:cs="宋体"/>
                <w:snapToGrid w:val="0"/>
                <w:color w:val="auto"/>
                <w:highlight w:val="none"/>
              </w:rPr>
            </w:pPr>
            <w:r>
              <w:rPr>
                <w:rFonts w:hint="eastAsia" w:ascii="宋体" w:hAnsi="宋体" w:eastAsia="宋体" w:cs="宋体"/>
                <w:color w:val="auto"/>
                <w:highlight w:val="none"/>
              </w:rPr>
              <w:t>根据《财政部关于在政府采购活动中查询及使用信用记录有关问题的通知》（财库〔2016〕125号）规定，开标结束后，采购人、采购代理机构将通过“信用中国”网站（www.creditchina.gov.cn）、中国政府采购网（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www.ccgp.gov.cn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对投标人截止到投标截止时间的信用记录进行审查，对列入失信被执行人、重大税收违法失信主体、政府采购严重违法失信行为记录名单及其他不符合《中华人民共和国政府采购法》第二十二条规定条件的投标人，其投标将被拒绝。</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本次查询的信用记录仅限于本项目使用，查询结果将留存在采购档案中。</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在上述指定网站不能查询信用信息的投标人，应提供相关证明材料（原件加盖公章）。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22</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支持中小型</w:t>
            </w:r>
          </w:p>
          <w:p>
            <w:pPr>
              <w:rPr>
                <w:rFonts w:hint="eastAsia" w:ascii="宋体" w:hAnsi="宋体" w:eastAsia="宋体" w:cs="宋体"/>
                <w:b/>
                <w:color w:val="auto"/>
                <w:highlight w:val="none"/>
              </w:rPr>
            </w:pPr>
            <w:r>
              <w:rPr>
                <w:rFonts w:hint="eastAsia" w:ascii="宋体" w:hAnsi="宋体" w:eastAsia="宋体" w:cs="宋体"/>
                <w:color w:val="auto"/>
                <w:highlight w:val="none"/>
              </w:rPr>
              <w:t>企业发展</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根据《政府采购促进中小型企业发展管理办法》（财库〔2020〕46号），鼓励中小企业参加本项目采购活动。</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在货物采购项目中，满足所有标的均由中小企业制造，即所有标的均由中小企业生产且使用该中小企业商号或者注册商标的，可享受中小企业扶持政策。</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在服务采购项目中，满足服务由中小企业承接，即提供服务的人员为中小企业依照《中华人民共和国劳动合同法》订立劳动合同的从业人员的，可享受中小企业扶持政策。</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本项目：</w:t>
            </w:r>
          </w:p>
          <w:p>
            <w:pPr>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专门面向中小企业采购项目。</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□预留份额面向中小企业采购项目（说明：）。</w:t>
            </w:r>
          </w:p>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非专门面向中小企业采购项目。对小型和微型企业的投标价格给予15%的扣除，用扣除后的价格参与评审。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23</w:t>
            </w:r>
          </w:p>
        </w:tc>
        <w:tc>
          <w:tcPr>
            <w:tcW w:w="1984" w:type="dxa"/>
            <w:noWrap/>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支持监狱企业发展</w:t>
            </w:r>
          </w:p>
        </w:tc>
        <w:tc>
          <w:tcPr>
            <w:tcW w:w="6058" w:type="dxa"/>
            <w:gridSpan w:val="2"/>
            <w:noWrap/>
            <w:vAlign w:val="center"/>
          </w:tcPr>
          <w:p>
            <w:pPr>
              <w:jc w:val="left"/>
              <w:rPr>
                <w:rFonts w:hint="eastAsia" w:ascii="宋体" w:hAnsi="宋体" w:eastAsia="宋体" w:cs="宋体"/>
                <w:b/>
                <w:color w:val="auto"/>
                <w:highlight w:val="none"/>
              </w:rPr>
            </w:pPr>
            <w:r>
              <w:rPr>
                <w:rFonts w:hint="eastAsia" w:ascii="宋体" w:hAnsi="宋体" w:eastAsia="宋体" w:cs="宋体"/>
                <w:color w:val="auto"/>
                <w:highlight w:val="none"/>
              </w:rPr>
              <w:t>根据《关于政府采购支持监狱企业发展有关问题的通知》（财库〔2014〕68号），监狱企业视同小型、微型企业，按照</w:t>
            </w:r>
            <w:r>
              <w:rPr>
                <w:rFonts w:hint="eastAsia" w:ascii="宋体" w:hAnsi="宋体" w:eastAsia="宋体" w:cs="宋体"/>
                <w:b/>
                <w:color w:val="auto"/>
                <w:highlight w:val="none"/>
              </w:rPr>
              <w:t>投标人须知前附表第22项</w:t>
            </w:r>
            <w:r>
              <w:rPr>
                <w:rFonts w:hint="eastAsia" w:ascii="宋体" w:hAnsi="宋体" w:eastAsia="宋体" w:cs="宋体"/>
                <w:color w:val="auto"/>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24</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促进残疾人</w:t>
            </w:r>
          </w:p>
          <w:p>
            <w:pPr>
              <w:rPr>
                <w:rFonts w:hint="eastAsia" w:ascii="宋体" w:hAnsi="宋体" w:eastAsia="宋体" w:cs="宋体"/>
                <w:color w:val="auto"/>
                <w:highlight w:val="none"/>
              </w:rPr>
            </w:pPr>
            <w:r>
              <w:rPr>
                <w:rFonts w:hint="eastAsia" w:ascii="宋体" w:hAnsi="宋体" w:eastAsia="宋体" w:cs="宋体"/>
                <w:color w:val="auto"/>
                <w:highlight w:val="none"/>
              </w:rPr>
              <w:t>就业</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根据《关于促进残疾人就业政府采购政策的通知》（财库〔2017〕141号），残疾人福利性单位视同小型、微型企业，按照</w:t>
            </w:r>
            <w:r>
              <w:rPr>
                <w:rFonts w:hint="eastAsia" w:ascii="宋体" w:hAnsi="宋体" w:eastAsia="宋体" w:cs="宋体"/>
                <w:b/>
                <w:color w:val="auto"/>
                <w:highlight w:val="none"/>
              </w:rPr>
              <w:t>投标人须知前附表第22项</w:t>
            </w:r>
            <w:r>
              <w:rPr>
                <w:rFonts w:hint="eastAsia" w:ascii="宋体" w:hAnsi="宋体" w:eastAsia="宋体" w:cs="宋体"/>
                <w:color w:val="auto"/>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restart"/>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25</w:t>
            </w:r>
          </w:p>
        </w:tc>
        <w:tc>
          <w:tcPr>
            <w:tcW w:w="1984" w:type="dxa"/>
            <w:vMerge w:val="restart"/>
            <w:noWrap/>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其他法律法规强制性规定或扶持政策</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本项目中强制采购节能产品的货物名称：</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采购包1：</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pPr>
              <w:jc w:val="left"/>
              <w:rPr>
                <w:rFonts w:hint="eastAsia" w:ascii="宋体" w:hAnsi="宋体" w:eastAsia="宋体" w:cs="宋体"/>
                <w:b/>
                <w:color w:val="auto"/>
                <w:highlight w:val="none"/>
              </w:rPr>
            </w:pPr>
            <w:r>
              <w:rPr>
                <w:rFonts w:hint="eastAsia" w:ascii="宋体" w:hAnsi="宋体" w:eastAsia="宋体" w:cs="宋体"/>
                <w:color w:val="auto"/>
                <w:highlight w:val="none"/>
              </w:rPr>
              <w:t>注：投标人所投上述产品必须具有节能产品认证证书，并提供依据国家确定的认证机构出具的、处于有效期之内的节能产品认证证书复印件，否则投标无效。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pPr>
              <w:rPr>
                <w:rFonts w:hint="eastAsia" w:ascii="宋体" w:hAnsi="宋体" w:eastAsia="宋体" w:cs="宋体"/>
                <w:color w:val="auto"/>
                <w:highlight w:val="none"/>
              </w:rPr>
            </w:pPr>
          </w:p>
        </w:tc>
        <w:tc>
          <w:tcPr>
            <w:tcW w:w="1984" w:type="dxa"/>
            <w:vMerge w:val="continue"/>
            <w:noWrap/>
            <w:vAlign w:val="center"/>
          </w:tcPr>
          <w:p>
            <w:pPr>
              <w:rPr>
                <w:rFonts w:hint="eastAsia" w:ascii="宋体" w:hAnsi="宋体" w:eastAsia="宋体" w:cs="宋体"/>
                <w:color w:val="auto"/>
                <w:highlight w:val="none"/>
              </w:rPr>
            </w:pP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本项目中采购信息安全认证或安全检测的货物名称：/</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采购包1：/。</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注：依据《中华人民共和国网络安全法》、《关于调整网络安全专用产品安全管理有关事项的公告》（2023年第1号）、《关于调整&lt;网络关键设备和网络安全专用产品目录&gt;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应当按照《信息安全技术网络安全专用产品安全技术要求》等相关国家标准的强制性要求，对网络安全专用产品进行安全认证或安全检测，投标人必须在投标文件中提供由具备资格的机构出具的安全认证合格证书或者安全检测合格证书（加盖投标人公章）；已获得《计算机信息系统安全专用产品销售许可证》的产品，在有效期内可继续销售或者提供。如属于《网络关键设备和网络安全专用产品目录》中“二、网络安全专用产品”内“产品类别”中的所描述的产品，但不属于所列“产品描述”情形的，应提供相应的说明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Merge w:val="continue"/>
            <w:noWrap/>
            <w:vAlign w:val="center"/>
          </w:tcPr>
          <w:p>
            <w:pPr>
              <w:rPr>
                <w:rFonts w:hint="eastAsia" w:ascii="宋体" w:hAnsi="宋体" w:eastAsia="宋体" w:cs="宋体"/>
                <w:color w:val="auto"/>
                <w:highlight w:val="none"/>
              </w:rPr>
            </w:pPr>
          </w:p>
        </w:tc>
        <w:tc>
          <w:tcPr>
            <w:tcW w:w="1984" w:type="dxa"/>
            <w:vMerge w:val="continue"/>
            <w:noWrap/>
            <w:vAlign w:val="center"/>
          </w:tcPr>
          <w:p>
            <w:pPr>
              <w:rPr>
                <w:rFonts w:hint="eastAsia" w:ascii="宋体" w:hAnsi="宋体" w:eastAsia="宋体" w:cs="宋体"/>
                <w:color w:val="auto"/>
                <w:highlight w:val="none"/>
              </w:rPr>
            </w:pP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其他法律法规强制性规定或扶持政策：</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采购包1：</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26</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评标方法</w:t>
            </w:r>
          </w:p>
          <w:p>
            <w:pPr>
              <w:rPr>
                <w:rFonts w:hint="eastAsia" w:ascii="宋体" w:hAnsi="宋体" w:eastAsia="宋体" w:cs="宋体"/>
                <w:b/>
                <w:color w:val="auto"/>
                <w:highlight w:val="none"/>
              </w:rPr>
            </w:pPr>
            <w:r>
              <w:rPr>
                <w:rFonts w:hint="eastAsia" w:ascii="宋体" w:hAnsi="宋体" w:eastAsia="宋体" w:cs="宋体"/>
                <w:color w:val="auto"/>
                <w:highlight w:val="none"/>
              </w:rPr>
              <w:t>及分值</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F0A3"/>
            </w:r>
            <w:r>
              <w:rPr>
                <w:rFonts w:hint="eastAsia" w:ascii="宋体" w:hAnsi="宋体" w:eastAsia="宋体" w:cs="宋体"/>
                <w:color w:val="auto"/>
                <w:highlight w:val="none"/>
              </w:rPr>
              <w:t>本项目采用最低评标价法，详见招标文件商务部分第三章。</w:t>
            </w:r>
          </w:p>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本项目采用综合评分法，其中价格分值为</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分，其他因素分值为</w:t>
            </w:r>
            <w:r>
              <w:rPr>
                <w:rFonts w:hint="eastAsia" w:ascii="宋体" w:hAnsi="宋体" w:eastAsia="宋体" w:cs="宋体"/>
                <w:color w:val="auto"/>
                <w:highlight w:val="none"/>
                <w:lang w:val="en-US" w:eastAsia="zh-CN"/>
              </w:rPr>
              <w:t>85</w:t>
            </w:r>
            <w:r>
              <w:rPr>
                <w:rFonts w:hint="eastAsia" w:ascii="宋体" w:hAnsi="宋体" w:eastAsia="宋体" w:cs="宋体"/>
                <w:color w:val="auto"/>
                <w:highlight w:val="none"/>
              </w:rPr>
              <w:t>分，详见招标文件（商务部分）第三章。（注：定标原则：</w:t>
            </w:r>
            <w:r>
              <w:rPr>
                <w:rFonts w:hint="eastAsia" w:ascii="宋体" w:hAnsi="宋体" w:eastAsia="宋体" w:cs="宋体"/>
                <w:color w:val="auto"/>
                <w:highlight w:val="none"/>
                <w:u w:val="single"/>
              </w:rPr>
              <w:t>得分相同时，以投标报价由低到高顺序排列；得分相同且投标报价相同的，按技术指标优劣顺序排列）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27</w:t>
            </w:r>
          </w:p>
        </w:tc>
        <w:tc>
          <w:tcPr>
            <w:tcW w:w="1984" w:type="dxa"/>
            <w:noWrap/>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履约保证金</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52"/>
            </w:r>
            <w:r>
              <w:rPr>
                <w:rFonts w:hint="eastAsia" w:ascii="宋体" w:hAnsi="宋体" w:eastAsia="宋体" w:cs="宋体"/>
                <w:color w:val="auto"/>
                <w:highlight w:val="none"/>
              </w:rPr>
              <w:t>不要求提供</w:t>
            </w:r>
          </w:p>
          <w:p>
            <w:pPr>
              <w:pStyle w:val="9"/>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要求提供，履约保证金的数额不得超过采购合同总金额的10%，本项目履约保证金为合同总金额的/%（取整到元），提交方式为支票、汇票、本票或者金融机构、担保机构出具的保函等非现金形式，中标人在签订合同前应提交履约保证金，否则，不予签订合同。采用转账、电汇方式的，由中标人在签订合同前按规定的金额从中标人银行账户直接缴入采购人账户。</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项目验收合格的，采购人在收到中标人提出申请的30日内无息返还履约保证金；采购人如逾期退还履约保证金，每逾期一天，可按应退款项的</w:t>
            </w:r>
            <w:r>
              <w:rPr>
                <w:rFonts w:hint="eastAsia" w:ascii="宋体" w:hAnsi="宋体" w:eastAsia="宋体" w:cs="宋体"/>
                <w:color w:val="auto"/>
                <w:highlight w:val="none"/>
                <w:shd w:val="clear" w:color="auto" w:fill="FFFFFF"/>
              </w:rPr>
              <w:t>银行同期存款利息</w:t>
            </w:r>
            <w:r>
              <w:rPr>
                <w:rFonts w:hint="eastAsia" w:ascii="宋体" w:hAnsi="宋体" w:eastAsia="宋体" w:cs="宋体"/>
                <w:color w:val="auto"/>
                <w:highlight w:val="none"/>
              </w:rPr>
              <w:t>计算违约金；项目验收不合格的，履约保证金不予退还。</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收款人户名：</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开户银行：</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银行账号：</w:t>
            </w:r>
          </w:p>
          <w:p>
            <w:pPr>
              <w:pStyle w:val="8"/>
              <w:jc w:val="left"/>
              <w:rPr>
                <w:rFonts w:hint="eastAsia" w:ascii="宋体" w:hAnsi="宋体" w:eastAsia="宋体" w:cs="宋体"/>
                <w:color w:val="auto"/>
                <w:highlight w:val="none"/>
              </w:rPr>
            </w:pPr>
            <w:r>
              <w:rPr>
                <w:rFonts w:hint="eastAsia" w:ascii="宋体" w:hAnsi="宋体" w:eastAsia="宋体" w:cs="宋体"/>
                <w:color w:val="auto"/>
                <w:highlight w:val="none"/>
              </w:rPr>
              <w:t>注：以电汇方式递交履约保证金须在电汇凭据附言栏中写明采购编号、包号及用途(履约保证金)。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28</w:t>
            </w:r>
          </w:p>
        </w:tc>
        <w:tc>
          <w:tcPr>
            <w:tcW w:w="1984" w:type="dxa"/>
            <w:noWrap/>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接收质疑的方式、部门、电话和通讯地址</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质疑联系方式：</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（1）接收质疑函的方式：纸质方式</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（2）联系部门：</w:t>
            </w:r>
            <w:r>
              <w:rPr>
                <w:rFonts w:hint="eastAsia" w:ascii="宋体" w:hAnsi="宋体" w:eastAsia="宋体" w:cs="宋体"/>
                <w:color w:val="auto"/>
                <w:highlight w:val="none"/>
                <w:lang w:eastAsia="zh-CN"/>
              </w:rPr>
              <w:t>国家税务总局广西壮族自治区税务局</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（3）联系电话：梁峰瑜</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0771-5562132 </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（4）通讯地址：</w:t>
            </w:r>
            <w:r>
              <w:rPr>
                <w:rFonts w:hint="eastAsia" w:ascii="宋体" w:hAnsi="宋体" w:eastAsia="宋体" w:cs="宋体"/>
                <w:color w:val="auto"/>
                <w:highlight w:val="none"/>
                <w:lang w:eastAsia="zh-CN"/>
              </w:rPr>
              <w:t>南宁市青秀区民族大道105号</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（5）电子邮箱：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29</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需提交的投标文件份数</w:t>
            </w:r>
          </w:p>
        </w:tc>
        <w:tc>
          <w:tcPr>
            <w:tcW w:w="6058" w:type="dxa"/>
            <w:gridSpan w:val="2"/>
            <w:noWrap/>
            <w:vAlign w:val="center"/>
          </w:tcPr>
          <w:p>
            <w:pPr>
              <w:pStyle w:val="2"/>
              <w:jc w:val="left"/>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30</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代理费用</w:t>
            </w:r>
          </w:p>
        </w:tc>
        <w:tc>
          <w:tcPr>
            <w:tcW w:w="6058" w:type="dxa"/>
            <w:gridSpan w:val="2"/>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代理费用：</w:t>
            </w:r>
            <w:r>
              <w:rPr>
                <w:rFonts w:hint="eastAsia" w:ascii="宋体" w:hAnsi="宋体" w:eastAsia="宋体" w:cs="宋体"/>
                <w:color w:val="auto"/>
                <w:szCs w:val="21"/>
                <w:highlight w:val="none"/>
                <w:lang w:eastAsia="zh-CN"/>
              </w:rPr>
              <w:t>本项目不收取代理费用。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31</w:t>
            </w:r>
          </w:p>
        </w:tc>
        <w:tc>
          <w:tcPr>
            <w:tcW w:w="19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其他补充事项</w:t>
            </w:r>
          </w:p>
        </w:tc>
        <w:tc>
          <w:tcPr>
            <w:tcW w:w="6058" w:type="dxa"/>
            <w:gridSpan w:val="2"/>
            <w:noWrap/>
            <w:vAlign w:val="center"/>
          </w:tcPr>
          <w:p>
            <w:pPr>
              <w:pStyle w:val="9"/>
              <w:keepNext w:val="0"/>
              <w:keepLines w:val="0"/>
              <w:pageBreakBefore w:val="0"/>
              <w:widowControl/>
              <w:kinsoku/>
              <w:wordWrap/>
              <w:overflowPunct w:val="0"/>
              <w:topLinePunct w:val="0"/>
              <w:autoSpaceDE w:val="0"/>
              <w:autoSpaceDN w:val="0"/>
              <w:bidi w:val="0"/>
              <w:adjustRightInd w:val="0"/>
              <w:snapToGrid/>
              <w:spacing w:line="40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pStyle w:val="9"/>
              <w:keepNext w:val="0"/>
              <w:keepLines w:val="0"/>
              <w:pageBreakBefore w:val="0"/>
              <w:widowControl/>
              <w:kinsoku/>
              <w:wordWrap/>
              <w:overflowPunct w:val="0"/>
              <w:topLinePunct w:val="0"/>
              <w:autoSpaceDE w:val="0"/>
              <w:autoSpaceDN w:val="0"/>
              <w:bidi w:val="0"/>
              <w:adjustRightInd w:val="0"/>
              <w:snapToGrid/>
              <w:spacing w:line="40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本招标文件中描述投标人的“签字”是指投标人的法定代表人（负责人）或被授权人亲自在招标文件规定签署处亲笔写上个人的名字的行为，私章、签字章、印鉴、影印等其它形式均不能代替亲笔签字。</w:t>
            </w:r>
          </w:p>
          <w:p>
            <w:pPr>
              <w:keepNext w:val="0"/>
              <w:keepLines w:val="0"/>
              <w:pageBreakBefore w:val="0"/>
              <w:widowControl/>
              <w:kinsoku/>
              <w:wordWrap/>
              <w:overflowPunct w:val="0"/>
              <w:topLinePunct w:val="0"/>
              <w:autoSpaceDE w:val="0"/>
              <w:autoSpaceDN w:val="0"/>
              <w:bidi w:val="0"/>
              <w:adjustRightInd w:val="0"/>
              <w:snapToGrid/>
              <w:spacing w:line="400" w:lineRule="exac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中标供应商享受中小企业扶持政策的，采购人、采购代理机构应当随中标结果公开中标供应商的《中小企业声明函》。</w:t>
            </w:r>
          </w:p>
          <w:p>
            <w:pPr>
              <w:keepNext w:val="0"/>
              <w:keepLines w:val="0"/>
              <w:pageBreakBefore w:val="0"/>
              <w:widowControl/>
              <w:kinsoku/>
              <w:wordWrap/>
              <w:overflowPunct w:val="0"/>
              <w:topLinePunct w:val="0"/>
              <w:autoSpaceDE w:val="0"/>
              <w:autoSpaceDN w:val="0"/>
              <w:bidi w:val="0"/>
              <w:adjustRightInd w:val="0"/>
              <w:snapToGrid/>
              <w:spacing w:line="400" w:lineRule="exact"/>
              <w:jc w:val="left"/>
              <w:textAlignment w:val="baseline"/>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中标供应商为残疾人福利性单位的，采购人或者其委托的采购代理机构应当随中标结果同时公告其《残疾人福利性单位声明函》，接受社会监督。</w:t>
            </w:r>
          </w:p>
        </w:tc>
      </w:tr>
      <w:bookmarkEnd w:id="36"/>
    </w:tbl>
    <w:p>
      <w:pPr>
        <w:pStyle w:val="5"/>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sectPr>
          <w:footerReference r:id="rId10" w:type="first"/>
          <w:footerReference r:id="rId9" w:type="default"/>
          <w:pgSz w:w="11906" w:h="16838"/>
          <w:pgMar w:top="1417" w:right="1417" w:bottom="1417" w:left="1417" w:header="851" w:footer="992" w:gutter="0"/>
          <w:cols w:space="720" w:num="1"/>
          <w:titlePg/>
          <w:docGrid w:type="lines" w:linePitch="312" w:charSpace="0"/>
        </w:sectPr>
      </w:pPr>
    </w:p>
    <w:p>
      <w:pPr>
        <w:pStyle w:val="5"/>
        <w:ind w:left="0" w:leftChars="0" w:firstLine="0" w:firstLineChars="0"/>
        <w:jc w:val="center"/>
        <w:rPr>
          <w:rFonts w:hint="eastAsia" w:ascii="宋体" w:hAnsi="宋体" w:eastAsia="宋体" w:cs="宋体"/>
          <w:color w:val="auto"/>
          <w:szCs w:val="21"/>
          <w:highlight w:val="none"/>
        </w:rPr>
      </w:pPr>
      <w:bookmarkStart w:id="37" w:name="_Toc132880274"/>
      <w:bookmarkStart w:id="38" w:name="_Toc7195"/>
      <w:r>
        <w:rPr>
          <w:rFonts w:hint="eastAsia" w:ascii="宋体" w:hAnsi="宋体" w:eastAsia="宋体" w:cs="宋体"/>
          <w:color w:val="auto"/>
          <w:highlight w:val="none"/>
        </w:rPr>
        <w:t>一、总则</w:t>
      </w:r>
      <w:bookmarkEnd w:id="37"/>
      <w:bookmarkEnd w:id="38"/>
    </w:p>
    <w:p>
      <w:pPr>
        <w:jc w:val="left"/>
        <w:rPr>
          <w:rFonts w:hint="eastAsia" w:ascii="宋体" w:hAnsi="宋体" w:eastAsia="宋体" w:cs="宋体"/>
          <w:color w:val="auto"/>
          <w:highlight w:val="none"/>
        </w:rPr>
      </w:pPr>
      <w:r>
        <w:rPr>
          <w:rFonts w:hint="eastAsia" w:ascii="宋体" w:hAnsi="宋体" w:eastAsia="宋体" w:cs="宋体"/>
          <w:color w:val="auto"/>
          <w:highlight w:val="none"/>
        </w:rPr>
        <w:t>1.预算资金及来源</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 本项目已经</w:t>
      </w:r>
      <w:r>
        <w:rPr>
          <w:rFonts w:hint="eastAsia" w:ascii="宋体" w:hAnsi="宋体" w:eastAsia="宋体" w:cs="宋体"/>
          <w:color w:val="auto"/>
          <w:highlight w:val="none"/>
          <w:lang w:eastAsia="zh-CN"/>
        </w:rPr>
        <w:t>国家税务总局贵港市税务局</w:t>
      </w:r>
      <w:r>
        <w:rPr>
          <w:rFonts w:hint="eastAsia" w:ascii="宋体" w:hAnsi="宋体" w:eastAsia="宋体" w:cs="宋体"/>
          <w:color w:val="auto"/>
          <w:highlight w:val="none"/>
        </w:rPr>
        <w:t>批准立项。</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 本项目预算资金见投标人须知前附表，已列入</w:t>
      </w:r>
      <w:r>
        <w:rPr>
          <w:rFonts w:hint="eastAsia" w:ascii="宋体" w:hAnsi="宋体" w:eastAsia="宋体" w:cs="宋体"/>
          <w:color w:val="auto"/>
          <w:highlight w:val="none"/>
          <w:lang w:eastAsia="zh-CN"/>
        </w:rPr>
        <w:t>国家税务总局贵港市税务局</w:t>
      </w:r>
      <w:r>
        <w:rPr>
          <w:rFonts w:hint="eastAsia" w:ascii="宋体" w:hAnsi="宋体" w:eastAsia="宋体" w:cs="宋体"/>
          <w:color w:val="auto"/>
          <w:highlight w:val="none"/>
        </w:rPr>
        <w:t>预算。</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2.合格的产品和服务</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2.1 本项目所涉及的所有产品和服务均应来自中国境内（指关境内），合同总金额的支付也仅限于这些产品和服务。</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2.2 合格的产品和服务即采购需求见招标文件（技术部分）。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2.3 投标人应保证所提供的产品及服务免受第三方提出侵犯其知识产权（专利权、商标权、工业设计权及使用权）的请求及起诉。</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3.合格的投标人</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3.1一般规定</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3.1.1投标人应遵守《政府采购法》及其实施条例、《政府采购货物和服务招标投标管理办法》、《政府采购质疑和投诉办法》及有关政府采购的规定，同时还应遵守有关法律、法规和规章的强制性规定。</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3.1.2投标人的资格要求及本项目的特定资格要求见</w:t>
      </w:r>
      <w:r>
        <w:rPr>
          <w:rFonts w:hint="eastAsia" w:ascii="宋体" w:hAnsi="宋体" w:eastAsia="宋体" w:cs="宋体"/>
          <w:b/>
          <w:color w:val="auto"/>
          <w:sz w:val="21"/>
          <w:szCs w:val="21"/>
          <w:highlight w:val="none"/>
        </w:rPr>
        <w:t>投标人须知前附表</w:t>
      </w:r>
      <w:r>
        <w:rPr>
          <w:rFonts w:hint="eastAsia" w:ascii="宋体" w:hAnsi="宋体" w:eastAsia="宋体" w:cs="宋体"/>
          <w:color w:val="auto"/>
          <w:sz w:val="21"/>
          <w:szCs w:val="21"/>
          <w:highlight w:val="none"/>
        </w:rPr>
        <w:t>。</w:t>
      </w:r>
    </w:p>
    <w:p>
      <w:pPr>
        <w:pStyle w:val="25"/>
        <w:widowControl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3.1.3资格条件中所称“重大违法记录”，是指投标人因违法经营受到刑事处罚或者责令停产停业、吊销许可证或者执照、较大数额罚款等行政处罚。</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投标人在参加政府采购活动前3年内因违法经营被禁止在一定期限内参加政府采购活动，期限届满的，可以参加政府采购活动。</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“较大数额罚款”认定为200万元以上的罚款，法律、行政法规以及国务院有关部门明确规定相关领域“较大数额罚款”标准高于200万元的，从其规定。</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3.1.4信用记录要求</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应当通过“信用中国”网站（www.creditchina.gov.cn）、中国政府采购网（www.ccgp.gov.cn）等渠道查询投标人的信用记录，并对投标人信用记录进行甄别，对列入失信被执行人、重大税收违法失信主体、政府采购严重违法失信行为记录名单及其他不符合《中华人民共和国政府采购法》第二十二条规定条件的投标人，应当拒绝其参与政府采购活动。</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3.2联合体</w:t>
      </w:r>
    </w:p>
    <w:p>
      <w:pPr>
        <w:pStyle w:val="25"/>
        <w:widowControl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3.2.1若本项目接受联合体投标，则两个以上的自然人、法人或者其他组织可以组成一个联合体，以一个投标人的身份共同参加政府采购。</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3.2.2以联合体形式参加投标的，联合体各方应按第二章要求提供资格条件材料。</w:t>
      </w:r>
    </w:p>
    <w:p>
      <w:pPr>
        <w:pStyle w:val="25"/>
        <w:widowControl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3.2.3联合体中有同类资质的投标人按照联合体分工承担相同工作的，应当按照资质等级较低的投标人确定资质等级。</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3.2.4联合体应当提交联合协议，载明联合体各方承担的工作和义务。</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3.2.5联合体各方应当共同与采购人签订采购合同，就采购合同约定的事项对采购人承担连带责任。</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3.2.6以联合体形式参加政府采购活动的，联合体各方不得再单独参加或者与其他投标人另外组成联合体参加同一合同项下的政府采购活动。</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3.3禁止规定</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3.3.1单位负责人为同一人或者存在直接控股、管理关系的不同投标人，不得参加同一采购包的政府采购活动。</w:t>
      </w:r>
      <w:r>
        <w:rPr>
          <w:rFonts w:hint="eastAsia" w:ascii="宋体" w:hAnsi="宋体" w:eastAsia="宋体" w:cs="宋体"/>
          <w:b/>
          <w:bCs/>
          <w:color w:val="auto"/>
          <w:sz w:val="21"/>
          <w:szCs w:val="21"/>
          <w:highlight w:val="none"/>
        </w:rPr>
        <w:t>否则投标均无效。</w:t>
      </w:r>
    </w:p>
    <w:p>
      <w:pPr>
        <w:pStyle w:val="25"/>
        <w:widowControl w:val="0"/>
        <w:spacing w:line="440" w:lineRule="exact"/>
        <w:ind w:firstLine="421"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3.3.2除单一来源采购项目外，为采购项目提供整体设计、规范编制或者项目管理、监理、检测等服务的供应商，不得再参加该采购项目的其他采购活动。否则投标无效。</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4.投标费用</w:t>
      </w:r>
    </w:p>
    <w:p>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4.1 投标人应承担所有与编写、提交投标文件有关的费用，不论招标的结果如何，采购人在任何情况下均无义务和责任承担这些费用。</w:t>
      </w:r>
    </w:p>
    <w:p>
      <w:pPr>
        <w:pStyle w:val="5"/>
        <w:ind w:left="0" w:leftChars="0" w:firstLine="0" w:firstLineChars="0"/>
        <w:jc w:val="center"/>
        <w:rPr>
          <w:rFonts w:hint="eastAsia" w:ascii="宋体" w:hAnsi="宋体" w:eastAsia="宋体" w:cs="宋体"/>
          <w:color w:val="auto"/>
          <w:highlight w:val="none"/>
        </w:rPr>
      </w:pPr>
      <w:bookmarkStart w:id="39" w:name="_Toc22040"/>
      <w:bookmarkStart w:id="40" w:name="_Toc132880275"/>
      <w:r>
        <w:rPr>
          <w:rFonts w:hint="eastAsia" w:ascii="宋体" w:hAnsi="宋体" w:eastAsia="宋体" w:cs="宋体"/>
          <w:color w:val="auto"/>
          <w:highlight w:val="none"/>
        </w:rPr>
        <w:t>二、招标文件</w:t>
      </w:r>
      <w:bookmarkEnd w:id="39"/>
      <w:bookmarkEnd w:id="40"/>
    </w:p>
    <w:p>
      <w:pPr>
        <w:jc w:val="left"/>
        <w:rPr>
          <w:rFonts w:hint="eastAsia" w:ascii="宋体" w:hAnsi="宋体" w:eastAsia="宋体" w:cs="宋体"/>
          <w:color w:val="auto"/>
          <w:highlight w:val="none"/>
        </w:rPr>
      </w:pPr>
      <w:r>
        <w:rPr>
          <w:rFonts w:hint="eastAsia" w:ascii="宋体" w:hAnsi="宋体" w:eastAsia="宋体" w:cs="宋体"/>
          <w:color w:val="auto"/>
          <w:highlight w:val="none"/>
        </w:rPr>
        <w:t>5.招标文件构成</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第一部分 商务部分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（1）投标邀请</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（2）投标人须知</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（3）评标方法及标准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（4）政府采购合同文本</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（5）投标文件格式</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第二部分 技术部分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（6）项目采购需求</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6.招标文件询问、澄清或修改</w:t>
      </w:r>
    </w:p>
    <w:p>
      <w:pPr>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rPr>
        <w:t>6.1 投标人对招标文件如有疑问的，可以向采购人或者采购代理机构提出询问，采购人或者采购代理机构应当在3个工作日内作出答复，但答复的内容不得涉及商业秘密。如有必要，采购人或者采购代理机构可对招标文件进行澄清或者修改。</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6.2 采购人或者采购代理机构可主动对招标文件进行必要的澄清或者修改，但不得改变采购标的和资格条件。</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6.3 澄清或者修改应当在原公告发布媒体上发布澄清公告，线上采购项目还应通过国家税务总局政府采购评审管理系统（以下简称“评审管理系统”）通知所有获取招标文件的潜在投标人。</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6.4 澄清或者修改的内容可能影响投标文件编制的，采购人或者采购代理机构应当在投标截止时间至少15日前，以书面形式或通过评审管理系统（适用于线上采购，下同）通知所有获取招标文件的潜在投标人；不足15日的，采购人或者采购代理机构应当顺延提交投标文件的截止时间。</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6.5 澄清或者修改的内容为招标文件的组成部分。</w:t>
      </w:r>
    </w:p>
    <w:p>
      <w:pPr>
        <w:pStyle w:val="5"/>
        <w:ind w:left="0" w:leftChars="0" w:firstLine="0" w:firstLineChars="0"/>
        <w:jc w:val="center"/>
        <w:rPr>
          <w:rFonts w:hint="eastAsia" w:ascii="宋体" w:hAnsi="宋体" w:eastAsia="宋体" w:cs="宋体"/>
          <w:color w:val="auto"/>
          <w:highlight w:val="none"/>
        </w:rPr>
      </w:pPr>
      <w:bookmarkStart w:id="41" w:name="_Toc27688"/>
      <w:bookmarkStart w:id="42" w:name="_Toc132880276"/>
      <w:r>
        <w:rPr>
          <w:rFonts w:hint="eastAsia" w:ascii="宋体" w:hAnsi="宋体" w:eastAsia="宋体" w:cs="宋体"/>
          <w:color w:val="auto"/>
          <w:highlight w:val="none"/>
        </w:rPr>
        <w:t>三、投标文件</w:t>
      </w:r>
      <w:bookmarkEnd w:id="41"/>
      <w:bookmarkEnd w:id="42"/>
    </w:p>
    <w:p>
      <w:pPr>
        <w:jc w:val="left"/>
        <w:rPr>
          <w:rFonts w:hint="eastAsia" w:ascii="宋体" w:hAnsi="宋体" w:eastAsia="宋体" w:cs="宋体"/>
          <w:color w:val="auto"/>
          <w:highlight w:val="none"/>
        </w:rPr>
      </w:pPr>
      <w:r>
        <w:rPr>
          <w:rFonts w:hint="eastAsia" w:ascii="宋体" w:hAnsi="宋体" w:eastAsia="宋体" w:cs="宋体"/>
          <w:color w:val="auto"/>
          <w:highlight w:val="none"/>
        </w:rPr>
        <w:t>7．投标文件编制</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7.1投标文件的编制</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7.1.1投标人应先仔细阅读招标文件的全部内容后，再进行投标文件的编制。</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7.1.2投标文件应满足招标文件提出的实质性要求和条件，并保证其所提交的全部资料是不可割离且真实、有效、准确、完整和不具有任何误导性的，否则造成不利后果由投标人承担责任。</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7.2投标文件的语言</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7.2.1除招标文件另有规定外，投标文件应使用中文文本并使用中文简化字，若有不同文本，以中文简化字文本为准。</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7.2.2投标文件提供的全部资料中，若属于非中文描述的，应同时提供中文简化字译本。</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7.2.3除在招标文件的要求中另有规定外，投标文件计量单位应使用中华人民共和国法定计量单位。</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7.3投标人制作投标文件前须提前办理数字证书和电子签章，办理方式和注意事项详见网站《供应商操作手册》。供应商在国家税务总局集中采购中心网站（https://swcg.chinatax.gov.cn） “下载中心”下载并安装“供应商投标工具”，使用投标工具编制投标文件。（线上采购项目适用）</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8.投标文件的组成</w:t>
      </w:r>
    </w:p>
    <w:p>
      <w:pPr>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8.1 投标文件包括商务部分和技术部分。</w:t>
      </w:r>
    </w:p>
    <w:p>
      <w:pPr>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8.2 投标文件</w:t>
      </w:r>
      <w:r>
        <w:rPr>
          <w:rFonts w:hint="eastAsia" w:ascii="宋体" w:hAnsi="宋体" w:eastAsia="宋体" w:cs="宋体"/>
          <w:b/>
          <w:color w:val="auto"/>
          <w:highlight w:val="none"/>
        </w:rPr>
        <w:t>商务部分</w:t>
      </w:r>
      <w:r>
        <w:rPr>
          <w:rFonts w:hint="eastAsia" w:ascii="宋体" w:hAnsi="宋体" w:eastAsia="宋体" w:cs="宋体"/>
          <w:color w:val="auto"/>
          <w:highlight w:val="none"/>
        </w:rPr>
        <w:t>主要包括的文件和资料：</w:t>
      </w:r>
    </w:p>
    <w:p>
      <w:pPr>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8.2.1 资格证明文件，见</w:t>
      </w:r>
      <w:r>
        <w:rPr>
          <w:rFonts w:hint="eastAsia" w:ascii="宋体" w:hAnsi="宋体" w:eastAsia="宋体" w:cs="宋体"/>
          <w:b/>
          <w:color w:val="auto"/>
          <w:highlight w:val="none"/>
        </w:rPr>
        <w:t>投标人须知前附表。</w:t>
      </w:r>
    </w:p>
    <w:p>
      <w:pPr>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8.2.2 其他文件及资料，见</w:t>
      </w:r>
      <w:r>
        <w:rPr>
          <w:rFonts w:hint="eastAsia" w:ascii="宋体" w:hAnsi="宋体" w:eastAsia="宋体" w:cs="宋体"/>
          <w:b/>
          <w:color w:val="auto"/>
          <w:highlight w:val="none"/>
        </w:rPr>
        <w:t>投标人须知前附表。</w:t>
      </w:r>
    </w:p>
    <w:p>
      <w:pPr>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8.3 投标文件</w:t>
      </w:r>
      <w:r>
        <w:rPr>
          <w:rFonts w:hint="eastAsia" w:ascii="宋体" w:hAnsi="宋体" w:eastAsia="宋体" w:cs="宋体"/>
          <w:b/>
          <w:color w:val="auto"/>
          <w:highlight w:val="none"/>
        </w:rPr>
        <w:t>技术部分</w:t>
      </w:r>
      <w:r>
        <w:rPr>
          <w:rFonts w:hint="eastAsia" w:ascii="宋体" w:hAnsi="宋体" w:eastAsia="宋体" w:cs="宋体"/>
          <w:color w:val="auto"/>
          <w:highlight w:val="none"/>
        </w:rPr>
        <w:t>主要包括的文件及资料，见</w:t>
      </w:r>
      <w:r>
        <w:rPr>
          <w:rFonts w:hint="eastAsia" w:ascii="宋体" w:hAnsi="宋体" w:eastAsia="宋体" w:cs="宋体"/>
          <w:b/>
          <w:color w:val="auto"/>
          <w:highlight w:val="none"/>
        </w:rPr>
        <w:t>投标人须知前附表。</w:t>
      </w:r>
    </w:p>
    <w:p>
      <w:pPr>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8.4 证明资料如标明有效期的，必须在有效期内。</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9.报价要求</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9.1 除招标文件另有规定外，投标应以人民币报价，线上采购项目还须按照投标工具的流程和提示编制并上传投标报价表。</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9.2 本项目不接受任何形式的赠送、“零”报价和折扣报价。</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9.3 本项目以投标报价为依据计算价格分。投标报价应包括招标文件中要求投标人承担所有工作内容的全部费用。</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9.5 最低报价不能作为中标的保证。</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10.投标文件的书写、密封、签署、盖章</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10.1书写</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10.1.1投标文件应使用不能擦去的墨料或墨水打印、书写。</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10.1.2投标文件内容应没有涂改或行间插字。若有前述改动，在改动处应由单位负责人（投标人代表）签字确认或加盖投标人的单位公章。</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10.2密封</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10.2.1投标文件应胶装或装订成册，避免材料散装、脱落。</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10.2.2投标文件（包括电子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10.3签署、盖章</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10.3.1投标文件中要求签字处应由投标人的单位负责人（投标人代表）签字。</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10.3.2投标文件必须按照招标文件给出文件格式的签署要求进行签署。</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10.3.3投标人在</w:t>
      </w:r>
      <w:r>
        <w:rPr>
          <w:rFonts w:hint="eastAsia" w:ascii="宋体" w:hAnsi="宋体" w:eastAsia="宋体" w:cs="宋体"/>
          <w:b/>
          <w:color w:val="auto"/>
          <w:highlight w:val="none"/>
        </w:rPr>
        <w:t>“投标函”“法定代表人授权委托书”</w:t>
      </w:r>
      <w:r>
        <w:rPr>
          <w:rFonts w:hint="eastAsia" w:ascii="宋体" w:hAnsi="宋体" w:eastAsia="宋体" w:cs="宋体"/>
          <w:color w:val="auto"/>
          <w:highlight w:val="none"/>
        </w:rPr>
        <w:t>上应当按格式要求加盖与投标人名称全称一致的标准公章，并按照招标文件第五章投标文件格式中的相应格式文件要求签署全名。</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10.3.4投标文件中的“盖章”指加盖投标人的“公章”，而非“合同专用章”、“投标专用章”等其他非公章。</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10.3.5线上采购项目可以使用电子签章。</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11．投标有效期</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11.1 投标有效期见</w:t>
      </w:r>
      <w:r>
        <w:rPr>
          <w:rFonts w:hint="eastAsia" w:ascii="宋体" w:hAnsi="宋体" w:eastAsia="宋体" w:cs="宋体"/>
          <w:b/>
          <w:color w:val="auto"/>
          <w:highlight w:val="none"/>
        </w:rPr>
        <w:t>投标人须知前附表</w:t>
      </w:r>
      <w:r>
        <w:rPr>
          <w:rFonts w:hint="eastAsia" w:ascii="宋体" w:hAnsi="宋体" w:eastAsia="宋体" w:cs="宋体"/>
          <w:color w:val="auto"/>
          <w:highlight w:val="none"/>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11.2 特殊情况下，在原投标有效期期满之前，采购人或者采购代理机构可征得投标人同意延长投标有效期。</w:t>
      </w:r>
    </w:p>
    <w:p>
      <w:pPr>
        <w:pStyle w:val="5"/>
        <w:ind w:left="0" w:leftChars="0" w:firstLine="0" w:firstLineChars="0"/>
        <w:jc w:val="center"/>
        <w:rPr>
          <w:rFonts w:hint="eastAsia" w:ascii="宋体" w:hAnsi="宋体" w:eastAsia="宋体" w:cs="宋体"/>
          <w:color w:val="auto"/>
          <w:highlight w:val="none"/>
        </w:rPr>
      </w:pPr>
      <w:bookmarkStart w:id="43" w:name="_Toc3470"/>
      <w:bookmarkStart w:id="44" w:name="_Toc132880277"/>
      <w:r>
        <w:rPr>
          <w:rFonts w:hint="eastAsia" w:ascii="宋体" w:hAnsi="宋体" w:eastAsia="宋体" w:cs="宋体"/>
          <w:color w:val="auto"/>
          <w:highlight w:val="none"/>
        </w:rPr>
        <w:t>四、投标文件递交</w:t>
      </w:r>
      <w:bookmarkEnd w:id="43"/>
      <w:bookmarkEnd w:id="44"/>
    </w:p>
    <w:p>
      <w:pPr>
        <w:jc w:val="both"/>
        <w:rPr>
          <w:rFonts w:hint="eastAsia" w:ascii="宋体" w:hAnsi="宋体" w:eastAsia="宋体" w:cs="宋体"/>
          <w:color w:val="auto"/>
          <w:highlight w:val="none"/>
        </w:rPr>
      </w:pPr>
      <w:r>
        <w:rPr>
          <w:rFonts w:hint="eastAsia" w:ascii="宋体" w:hAnsi="宋体" w:eastAsia="宋体" w:cs="宋体"/>
          <w:color w:val="auto"/>
          <w:highlight w:val="none"/>
        </w:rPr>
        <w:t>12．投标文件递交</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12.1 投标人应当在</w:t>
      </w:r>
      <w:r>
        <w:rPr>
          <w:rFonts w:hint="eastAsia" w:ascii="宋体" w:hAnsi="宋体" w:eastAsia="宋体" w:cs="宋体"/>
          <w:b/>
          <w:color w:val="auto"/>
          <w:highlight w:val="none"/>
        </w:rPr>
        <w:t>投标人须知前附表</w:t>
      </w:r>
      <w:r>
        <w:rPr>
          <w:rFonts w:hint="eastAsia" w:ascii="宋体" w:hAnsi="宋体" w:eastAsia="宋体" w:cs="宋体"/>
          <w:color w:val="auto"/>
          <w:highlight w:val="none"/>
        </w:rPr>
        <w:t>要求提交投标文件截止时间前，根据《投标人须知前附表》载明方式提交投标文件。逾期送达或者未按照招标文件要求密封的投标文件将被拒绝。</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 线上采购项目应登录评审管理系统并使用投标工具加密上传投标文件。除上述方式之外，不接受投标人以纸质文件以及其他任何方式提交的投标文件。投标人应充分考虑网络传输时间等因素，合理安排上传时间。提交投标文件截止时间后，评审管理系统不提供投标文件上传功能。投标人未完成投标文件上传的，投标将被拒绝。</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13．投标文件补充、修改或撤回</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13.1 投标人在投标截止时间前，可以对所递交的投标文件进行补充、修改或者撤回，并书面通知采购人或者采购代理机构。补充、修改的内容应当按照招标文件要求签署、盖章、密封后，作为投标文件的组成部分。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 线上采购项目，投标人在投标截止时间前，可以登录评审管理系统对所提交的投标文件进行撤回、补充、修改、重新提交。补充、修改的内容应当按照招标文件要求签署、盖章。</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13.3 提交投标文件截止时间后，不得对已提交的投标文件作任何补充、修改或者撤回。</w:t>
      </w:r>
    </w:p>
    <w:p>
      <w:pPr>
        <w:pStyle w:val="5"/>
        <w:ind w:left="0" w:leftChars="0" w:firstLine="0" w:firstLineChars="0"/>
        <w:jc w:val="center"/>
        <w:rPr>
          <w:rFonts w:hint="eastAsia" w:ascii="宋体" w:hAnsi="宋体" w:eastAsia="宋体" w:cs="宋体"/>
          <w:color w:val="auto"/>
          <w:szCs w:val="21"/>
          <w:highlight w:val="none"/>
        </w:rPr>
      </w:pPr>
      <w:bookmarkStart w:id="45" w:name="_Toc132880278"/>
      <w:bookmarkStart w:id="46" w:name="_Toc12167"/>
      <w:r>
        <w:rPr>
          <w:rFonts w:hint="eastAsia" w:ascii="宋体" w:hAnsi="宋体" w:eastAsia="宋体" w:cs="宋体"/>
          <w:color w:val="auto"/>
          <w:highlight w:val="none"/>
        </w:rPr>
        <w:t>五、开标与评标</w:t>
      </w:r>
      <w:bookmarkEnd w:id="45"/>
      <w:bookmarkEnd w:id="46"/>
    </w:p>
    <w:p>
      <w:pPr>
        <w:jc w:val="left"/>
        <w:rPr>
          <w:rFonts w:hint="eastAsia" w:ascii="宋体" w:hAnsi="宋体" w:eastAsia="宋体" w:cs="宋体"/>
          <w:color w:val="auto"/>
          <w:highlight w:val="none"/>
        </w:rPr>
      </w:pPr>
      <w:r>
        <w:rPr>
          <w:rFonts w:hint="eastAsia" w:ascii="宋体" w:hAnsi="宋体" w:eastAsia="宋体" w:cs="宋体"/>
          <w:color w:val="auto"/>
          <w:highlight w:val="none"/>
        </w:rPr>
        <w:t>14．开标</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14.1 开标在招标文件确定的提交投标文件截止时间的同一时间进行。开标地点详见</w:t>
      </w:r>
      <w:r>
        <w:rPr>
          <w:rFonts w:hint="eastAsia" w:ascii="宋体" w:hAnsi="宋体" w:eastAsia="宋体" w:cs="宋体"/>
          <w:b/>
          <w:color w:val="auto"/>
          <w:highlight w:val="none"/>
        </w:rPr>
        <w:t>投标人须知前附表</w:t>
      </w:r>
      <w:r>
        <w:rPr>
          <w:rFonts w:hint="eastAsia" w:ascii="宋体" w:hAnsi="宋体" w:eastAsia="宋体" w:cs="宋体"/>
          <w:color w:val="auto"/>
          <w:highlight w:val="none"/>
        </w:rPr>
        <w:t>。</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开标由采购人或者采购代理机构主持，邀请投标人参加。评标委员会成员不得参加开标活动。</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开标时，由投标人或者其推选的代表检查投标文件的密封情况；经确认无误后，由采购人或者采购代理机构工作人员当众拆封，宣布投标人名称、投标价格和招标文件规定的需要宣布的其他内容。</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开标过程由采购人或者采购代理机构负责记录，由参加开标的各投标人代表和相关工作人员签字确认后随采购文件一并存档。投标人未参加开标的，视同认可开标结果。</w:t>
      </w:r>
    </w:p>
    <w:p>
      <w:pPr>
        <w:pStyle w:val="25"/>
        <w:widowControl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5"/>
        <w:widowControl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14.6 在政府采购活动中，采购人员及相关人员与投标人有下列利害关系之一的，应当回避：</w:t>
      </w:r>
    </w:p>
    <w:p>
      <w:pPr>
        <w:pStyle w:val="25"/>
        <w:widowControl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（1）参加采购活动前3年内与投标人存在劳动关系；</w:t>
      </w:r>
    </w:p>
    <w:p>
      <w:pPr>
        <w:pStyle w:val="25"/>
        <w:widowControl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（2）参加采购活动前3年内担任投标人的董事、监事；</w:t>
      </w:r>
    </w:p>
    <w:p>
      <w:pPr>
        <w:pStyle w:val="25"/>
        <w:widowControl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（3）参加采购活动前3年内是投标人的控股股东或者实际控制人；</w:t>
      </w:r>
    </w:p>
    <w:p>
      <w:pPr>
        <w:pStyle w:val="25"/>
        <w:widowControl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（4）与投标人的法定代表人或者负责人有夫妻、直系血亲、三代以内旁系血亲或者近姻亲关系；</w:t>
      </w:r>
    </w:p>
    <w:p>
      <w:pPr>
        <w:pStyle w:val="25"/>
        <w:widowControl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（5）与投标人有其他可能影响政府采购活动公平、公正进行的关系。</w:t>
      </w:r>
    </w:p>
    <w:p>
      <w:pPr>
        <w:pStyle w:val="25"/>
        <w:widowControl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14.7 对线上采购项目，采购人或者采购代理机构将在</w:t>
      </w:r>
      <w:r>
        <w:rPr>
          <w:rFonts w:hint="eastAsia" w:ascii="宋体" w:hAnsi="宋体" w:eastAsia="宋体" w:cs="宋体"/>
          <w:b/>
          <w:color w:val="auto"/>
          <w:highlight w:val="none"/>
        </w:rPr>
        <w:t>投标人须知前附表</w:t>
      </w:r>
      <w:r>
        <w:rPr>
          <w:rFonts w:hint="eastAsia" w:ascii="宋体" w:hAnsi="宋体" w:eastAsia="宋体" w:cs="宋体"/>
          <w:color w:val="auto"/>
          <w:highlight w:val="none"/>
        </w:rPr>
        <w:t>规定的时间进行电子开标，采购人或者采购代理机构将对开标、评标现场活动进行全程录音录像，音像资料作为采购文件一并存档。开标由采购人或者采购代理机构主持，投标人通过登录评审管理系统进入开标大厅远程参加。</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15．投标资格审查</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15.1 公开招标采购项目开标结束后，由采购人或者采购代理机构依法对投标人的资格进行审查，以确定投标人是否具备投标资格。</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15.1.1 审查投标人按照8.2.1提交的</w:t>
      </w:r>
      <w:r>
        <w:rPr>
          <w:rFonts w:hint="eastAsia" w:ascii="宋体" w:hAnsi="宋体" w:eastAsia="宋体" w:cs="宋体"/>
          <w:b/>
          <w:color w:val="auto"/>
          <w:highlight w:val="none"/>
        </w:rPr>
        <w:t>“资格证明文件”</w:t>
      </w:r>
      <w:r>
        <w:rPr>
          <w:rFonts w:hint="eastAsia" w:ascii="宋体" w:hAnsi="宋体" w:eastAsia="宋体" w:cs="宋体"/>
          <w:color w:val="auto"/>
          <w:highlight w:val="none"/>
        </w:rPr>
        <w:t>。</w:t>
      </w:r>
    </w:p>
    <w:p>
      <w:pPr>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rPr>
        <w:t>15.1.2 信用记录审查。</w:t>
      </w:r>
      <w:r>
        <w:rPr>
          <w:rFonts w:hint="eastAsia" w:ascii="宋体" w:hAnsi="宋体" w:eastAsia="宋体" w:cs="宋体"/>
          <w:b/>
          <w:color w:val="auto"/>
          <w:highlight w:val="none"/>
        </w:rPr>
        <w:t>见投标人须知前附表。</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15.2 未通过资格审查的投标人，其投标无效。</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15.3 合格投标人不足3家的，不得评标。</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16．评标委员会的组成</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 采购人或者采购代理机构根据有关法律法规规定组建评标委员会，评标委员会由采购人代表和评审专家组成。</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17．投标符合性审查</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17.1 评标委员会对符合资格的投标人的投标文件进行符合性审查，以确定其是否符合招标文件的商务、技术等实质性要求。</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17.2 未通过符合性审查的投标人，其投标无效。</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17.3 通过符合性审查的投标人不足3家的，应予以废标。</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18．投标文件的澄清</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18.1对于投标文件中含义不明确、同类问题表述不一致或者有明显文字和计算错误的内容，评标委员会应当以书面形式要求投标人作出必要的澄清、说明或者补正。</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18.3关于投标描述（即投标文件中描述的内容）</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（1）投标描述前后不一致且不涉及证明材料的：按照本节第18.1条规定执行。</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（2）投标描述与证明材料不一致或多份证明材料之间不一致的：</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①评标委员会将要求投标人进行书面澄清，无法澄清的将按照不利于投标人的内容进行评标。</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18.4 除评标委员会要求投标人做出的澄清、说明或者补正以外，评标委员会不接受投标人的任何询问、说明、更改及文件。</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18.5 投标人的澄清必须在规定的时间内提交。</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19．核价原则</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19.1 投标文件报价出现前后不一致的，除招标文件另有规定外，按照下列规定修正：</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（1）投标文件中开标一览表（总报价表）内容与投标文件中相应内容不一致的，以开标一览表（总报价表）为准；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（5）同时出现两种以上不一致的，按照前款规定的顺序修正。修正后的报价按照18.2条的规定经投标人确认后产生约束力，投标人不确认的，其投标无效。</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20．投标无效</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20.1 投标人及投标文件有下列情况之一的，应当在资格审查时按照投标无效处理：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不具备招标文件中规定的资格要求的；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投标文件组成中“资格证明文件”未提供或无效的；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未通过信用记录审查或未提供相关证明材料的。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20.2 投标人及投标文件有下列情况之一的，应当在符合性审查时按照投标无效处理：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投标文件组成中除“资格证明文件”外，★条款相关文件及资料未提供或提供无效的；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投标文件未按招标文件要求签署、盖章的；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投标报价超过招标文件中规定的预算金额或者最高限价的；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 投标有效期不足的；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 投标文件含有采购人不能接受的附加条件的；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20.3 除20.1及20.2情形外，投标人及投标文件有下列情况之一的，应当按照投标无效处理：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提供虚假投标文件材料的；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投标人串通投标的；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投标报价明显低于其他通过符合性审查投标人的报价，且不能证明其报价合理性的。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 法律、法规和招标文件规定的其他无效情形。</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21．比较与评价</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21.1 评标委员会按照招标文件中规定的评标方法和标准，对符合性审查合格的投标文件进行商务和技术评估，综合比较与评价。</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21.2 价格分应当采用低价优先法计算。小型、微型企业和监狱企业、残疾人福利性单位的投标报价按照</w:t>
      </w:r>
      <w:r>
        <w:rPr>
          <w:rFonts w:hint="eastAsia" w:ascii="宋体" w:hAnsi="宋体" w:eastAsia="宋体" w:cs="宋体"/>
          <w:b/>
          <w:color w:val="auto"/>
          <w:highlight w:val="none"/>
        </w:rPr>
        <w:t>投标人须知前附表</w:t>
      </w:r>
      <w:r>
        <w:rPr>
          <w:rFonts w:hint="eastAsia" w:ascii="宋体" w:hAnsi="宋体" w:eastAsia="宋体" w:cs="宋体"/>
          <w:color w:val="auto"/>
          <w:highlight w:val="none"/>
        </w:rPr>
        <w:t>规定，分别给予扣除，并以扣除后的报价计算价格分。未提供《中小型企业声明函》、《监狱企业证明文件》、《残疾人福利性单位声明函》的，价格不予扣除。同一投标人不得重复享受价格扣除政策。</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21.3 评标委员会各成员独立对每个投标人的投标文件进行评价，并汇总得出每个投标人的评审得分。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21.4 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21.5 评标方法及标准详见招标文件商务部分第三章。</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22．废标</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22.1 在招标采购中，出现下列情形之一的，应予废标：</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（1）符合专业条件的供应商或者对招标文件作实质响应的供应商不足三家的；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（3）投标人的报价均超过了采购预算，采购人不能支付的；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22.2 废标后，采购人或者采购代理机构将废标理由通知所有投标人。</w:t>
      </w:r>
    </w:p>
    <w:p>
      <w:pPr>
        <w:pStyle w:val="5"/>
        <w:rPr>
          <w:rFonts w:hint="eastAsia" w:ascii="宋体" w:hAnsi="宋体" w:eastAsia="宋体" w:cs="宋体"/>
          <w:color w:val="auto"/>
          <w:szCs w:val="21"/>
          <w:highlight w:val="none"/>
        </w:rPr>
      </w:pPr>
      <w:bookmarkStart w:id="47" w:name="_Toc25679"/>
      <w:bookmarkStart w:id="48" w:name="_Toc132880279"/>
      <w:r>
        <w:rPr>
          <w:rFonts w:hint="eastAsia" w:ascii="宋体" w:hAnsi="宋体" w:eastAsia="宋体" w:cs="宋体"/>
          <w:color w:val="auto"/>
          <w:highlight w:val="none"/>
        </w:rPr>
        <w:t>六、中标和合同</w:t>
      </w:r>
      <w:bookmarkEnd w:id="47"/>
      <w:bookmarkEnd w:id="48"/>
    </w:p>
    <w:p>
      <w:pPr>
        <w:jc w:val="left"/>
        <w:rPr>
          <w:rFonts w:hint="eastAsia" w:ascii="宋体" w:hAnsi="宋体" w:eastAsia="宋体" w:cs="宋体"/>
          <w:color w:val="auto"/>
          <w:highlight w:val="none"/>
        </w:rPr>
      </w:pPr>
      <w:r>
        <w:rPr>
          <w:rFonts w:hint="eastAsia" w:ascii="宋体" w:hAnsi="宋体" w:eastAsia="宋体" w:cs="宋体"/>
          <w:color w:val="auto"/>
          <w:highlight w:val="none"/>
        </w:rPr>
        <w:t>23．中标</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23.1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采购人自行组织招标的，采购人应当在评标结束后5个工作日内，按评标报告推荐的中标候选人顺序确定中标人。</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23.2 采购人或者采购代理机构应当自中标人确定之日起2个工作日内，在</w:t>
      </w:r>
      <w:r>
        <w:rPr>
          <w:rFonts w:hint="eastAsia" w:ascii="宋体" w:hAnsi="宋体" w:eastAsia="宋体" w:cs="宋体"/>
          <w:b/>
          <w:color w:val="auto"/>
          <w:highlight w:val="none"/>
        </w:rPr>
        <w:t>投标人须知前附表</w:t>
      </w:r>
      <w:r>
        <w:rPr>
          <w:rFonts w:hint="eastAsia" w:ascii="宋体" w:hAnsi="宋体" w:eastAsia="宋体" w:cs="宋体"/>
          <w:color w:val="auto"/>
          <w:highlight w:val="none"/>
        </w:rPr>
        <w:t>规定的媒体上公告中标结果，招标文件应随中标结果同时公告。中标公告期限为1个工作日。</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23.3 在公告中标结果的同时，采购人或者采购代理机构应当向中标人发出中标通知书（对线上采购项目，通过评审管理系统发出中标通知书）；对未通过资格审查的投标人，告知其未通过的原因；采用综合评分法评审的，同时告知未中标人本人的评审得分与排序。</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23.4 中标通知书发出后，采购人或者采购代理机构不得违法改变中标结果，中标人无正当理由不得放弃中标。</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23.5 中标通知书对采购人和中标人具有同等法律效力。</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24．签订合同</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24.1 采购人应当自中标通知书发出之日起30日内，按照招标文件和中标人投标文件的规定，与中标人签订合同。</w:t>
      </w:r>
      <w:r>
        <w:rPr>
          <w:rFonts w:hint="eastAsia" w:ascii="宋体" w:hAnsi="宋体" w:eastAsia="宋体" w:cs="宋体"/>
          <w:color w:val="auto"/>
          <w:highlight w:val="none"/>
          <w:u w:val="single"/>
        </w:rPr>
        <w:t>线上采购项目可通过评审管理系统签订合同</w:t>
      </w:r>
      <w:r>
        <w:rPr>
          <w:rFonts w:hint="eastAsia" w:ascii="宋体" w:hAnsi="宋体" w:eastAsia="宋体" w:cs="宋体"/>
          <w:color w:val="auto"/>
          <w:highlight w:val="none"/>
        </w:rPr>
        <w:t>。</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24.2 所签订的合同不得对招标文件确定的事项和中标人投标文件作实质性修改。</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24.3 采购人不得向中标人提出任何不合理的要求作为签订合同的条件。</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24.4 中标人拒绝与采购人签订合同的，采购人可以按照评审报告推荐的中标候选人名单排序，确定下一候选人为中标人，也可以重新开展政府采购活动。</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25．履约保证金</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25.1 需提交履约保证金的项目，中标人应按照</w:t>
      </w:r>
      <w:r>
        <w:rPr>
          <w:rFonts w:hint="eastAsia" w:ascii="宋体" w:hAnsi="宋体" w:eastAsia="宋体" w:cs="宋体"/>
          <w:b/>
          <w:color w:val="auto"/>
          <w:highlight w:val="none"/>
        </w:rPr>
        <w:t>投标人须知前附表</w:t>
      </w:r>
      <w:r>
        <w:rPr>
          <w:rFonts w:hint="eastAsia" w:ascii="宋体" w:hAnsi="宋体" w:eastAsia="宋体" w:cs="宋体"/>
          <w:color w:val="auto"/>
          <w:highlight w:val="none"/>
        </w:rPr>
        <w:t>的规定，向采购人提交履约保证金。</w:t>
      </w:r>
    </w:p>
    <w:p>
      <w:pPr>
        <w:pStyle w:val="5"/>
        <w:ind w:left="0" w:leftChars="0" w:firstLine="0" w:firstLineChars="0"/>
        <w:jc w:val="center"/>
        <w:rPr>
          <w:rFonts w:hint="eastAsia" w:ascii="宋体" w:hAnsi="宋体" w:eastAsia="宋体" w:cs="宋体"/>
          <w:color w:val="auto"/>
          <w:szCs w:val="21"/>
          <w:highlight w:val="none"/>
        </w:rPr>
      </w:pPr>
      <w:bookmarkStart w:id="49" w:name="_Toc11852"/>
      <w:bookmarkStart w:id="50" w:name="_Toc132880280"/>
      <w:r>
        <w:rPr>
          <w:rFonts w:hint="eastAsia" w:ascii="宋体" w:hAnsi="宋体" w:eastAsia="宋体" w:cs="宋体"/>
          <w:color w:val="auto"/>
          <w:highlight w:val="none"/>
        </w:rPr>
        <w:t>七、询问和质疑</w:t>
      </w:r>
      <w:bookmarkEnd w:id="49"/>
      <w:bookmarkEnd w:id="50"/>
    </w:p>
    <w:p>
      <w:pPr>
        <w:jc w:val="left"/>
        <w:rPr>
          <w:rFonts w:hint="eastAsia" w:ascii="宋体" w:hAnsi="宋体" w:eastAsia="宋体" w:cs="宋体"/>
          <w:color w:val="auto"/>
          <w:highlight w:val="none"/>
        </w:rPr>
      </w:pPr>
      <w:r>
        <w:rPr>
          <w:rFonts w:hint="eastAsia" w:ascii="宋体" w:hAnsi="宋体" w:eastAsia="宋体" w:cs="宋体"/>
          <w:color w:val="auto"/>
          <w:highlight w:val="none"/>
        </w:rPr>
        <w:t>26. 询问</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26.1潜在投标人、投标人对政府采购活动事项有疑问的，可以向采购人或者采购代理机构提出询问，采购人或者采购代理机构应当在3个工作日内对依法提出的询问作出答复，但答复的内容不得涉及商业秘密。</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27．质疑</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27.1潜在投标人、投标人（统称质疑人）认为招标文件、招标过程和中标结果使自己的权益受到损害的，可以在知道或者应知其权益受到损害之日起7个工作日内以书面形式向采购人或者采购代理机构提出质疑（线上采购项目可以通过评审管理系统提交）。联系部门、联系电话、通讯地址、电子邮箱</w:t>
      </w:r>
      <w:r>
        <w:rPr>
          <w:rFonts w:hint="eastAsia" w:ascii="宋体" w:hAnsi="宋体" w:eastAsia="宋体" w:cs="宋体"/>
          <w:b/>
          <w:color w:val="auto"/>
          <w:highlight w:val="none"/>
        </w:rPr>
        <w:t>见投标人须知前附表</w:t>
      </w:r>
      <w:r>
        <w:rPr>
          <w:rFonts w:hint="eastAsia" w:ascii="宋体" w:hAnsi="宋体" w:eastAsia="宋体" w:cs="宋体"/>
          <w:color w:val="auto"/>
          <w:highlight w:val="none"/>
        </w:rPr>
        <w:t>。</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27.2在法定质疑期内，针对同一采购程序环节的质疑应一次性提出。</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27.3质疑人应知其权益受到损害之日，是指： </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（1）对可以质疑的采购文件提出质疑的，为收到采购文件之日或者采购文件公告期限届满之日；</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（3）对中标结果提出质疑的，为中标结果公告期限届满之日。</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27.4质疑应当有明确的请求和必要的证明材料。供应商为自然人的，应当由本人签字；供应商为法人或者其他组织的，应当由法定代表人、主要负责人，或者其授权代表签字，并加盖公章。</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27.5 采购人或者代理机构应当在收到供应商的质疑函后7个工作日内，对质疑内容作出答复，书面形式通知质疑供应商和其他有关供应商，但答复内容不得涉及商业秘密。</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27.6质疑人对采购人、采购代理机构的答复不满意或者采购人、采购代理机构未在规定的时间内作出答复的，可以在答复期满后15个工作日内向同级人民政府财政部门投诉。</w:t>
      </w:r>
    </w:p>
    <w:p>
      <w:pPr>
        <w:pStyle w:val="25"/>
        <w:widowControl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27.7投诉应当有明确的请求和必要的证明材料。投诉的事项不得超出已质疑事项的范围。</w:t>
      </w:r>
    </w:p>
    <w:p>
      <w:pPr>
        <w:pStyle w:val="5"/>
        <w:ind w:left="0" w:leftChars="0" w:firstLine="0" w:firstLineChars="0"/>
        <w:jc w:val="center"/>
        <w:rPr>
          <w:rFonts w:hint="eastAsia" w:ascii="宋体" w:hAnsi="宋体" w:eastAsia="宋体" w:cs="宋体"/>
          <w:color w:val="auto"/>
          <w:highlight w:val="none"/>
        </w:rPr>
      </w:pPr>
      <w:bookmarkStart w:id="51" w:name="_Toc132880281"/>
      <w:bookmarkStart w:id="52" w:name="_Toc11780"/>
      <w:r>
        <w:rPr>
          <w:rFonts w:hint="eastAsia" w:ascii="宋体" w:hAnsi="宋体" w:eastAsia="宋体" w:cs="宋体"/>
          <w:color w:val="auto"/>
          <w:highlight w:val="none"/>
        </w:rPr>
        <w:t>八、其他</w:t>
      </w:r>
      <w:bookmarkEnd w:id="51"/>
      <w:bookmarkEnd w:id="52"/>
    </w:p>
    <w:p>
      <w:pPr>
        <w:jc w:val="left"/>
        <w:rPr>
          <w:rFonts w:hint="eastAsia" w:ascii="宋体" w:hAnsi="宋体" w:eastAsia="宋体" w:cs="宋体"/>
          <w:color w:val="auto"/>
          <w:highlight w:val="none"/>
        </w:rPr>
      </w:pPr>
      <w:bookmarkStart w:id="53" w:name="_Toc262111390"/>
      <w:bookmarkStart w:id="54" w:name="_Toc233181902"/>
      <w:bookmarkStart w:id="55" w:name="_Toc217989361"/>
      <w:bookmarkStart w:id="56" w:name="_Toc319519285"/>
      <w:r>
        <w:rPr>
          <w:rFonts w:hint="eastAsia" w:ascii="宋体" w:hAnsi="宋体" w:eastAsia="宋体" w:cs="宋体"/>
          <w:color w:val="auto"/>
          <w:highlight w:val="none"/>
        </w:rPr>
        <w:t>28．保密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28.1采购人、采购代理机构应当采取必要措施，保证评标在严格保密的情况下进行。除采购人代表、评标现场组织人员外，采购人的其他工作人员以及与评标工作无关的人员不得进入评标现场。</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28.2 评标委员会成员和参与评标工作的有关人员对评标情况以及在评标过程中获悉的国家秘密、商业秘密负有保密责任。</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29. 知识产权与规避专利、版权纠纷</w:t>
      </w:r>
      <w:bookmarkEnd w:id="53"/>
      <w:bookmarkEnd w:id="54"/>
      <w:bookmarkEnd w:id="55"/>
      <w:bookmarkEnd w:id="56"/>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29.1 知识产权</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29.1.1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29.2 规避专利、版权纠纷</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29.2.1 投标人应保证其投标方案中的有关软件、文件、图纸等没有违反有关专利和版权等知识产权的规定。</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29.2.2 中标人应保证采购人在中华人民共和国使用本项目成果任何一部分、或接受乙方服务时，免受第三方提出的侵犯其专利权、商标权或工业设计权等知识产权的索赔或起诉。</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29.2.3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29.2.4 如果采购人发现任何第三方在采购人未被许可的范围内非法使用采购人获得的知识产权，采购人应通知中标人。中标人应在收到采购人通知后14天内采取行动制止非法使用行为，否则由中标人承担相应的责任。</w:t>
      </w:r>
    </w:p>
    <w:p>
      <w:pPr>
        <w:jc w:val="left"/>
        <w:rPr>
          <w:rFonts w:hint="eastAsia" w:ascii="宋体" w:hAnsi="宋体" w:eastAsia="宋体" w:cs="宋体"/>
          <w:color w:val="auto"/>
          <w:highlight w:val="none"/>
        </w:rPr>
        <w:sectPr>
          <w:pgSz w:w="11906" w:h="16838"/>
          <w:pgMar w:top="1417" w:right="1417" w:bottom="1417" w:left="1417" w:header="851" w:footer="992" w:gutter="0"/>
          <w:cols w:space="720" w:num="1"/>
          <w:titlePg/>
          <w:docGrid w:type="lines" w:linePitch="312" w:charSpace="0"/>
        </w:sectPr>
      </w:pPr>
    </w:p>
    <w:p>
      <w:pPr>
        <w:pStyle w:val="4"/>
        <w:rPr>
          <w:rFonts w:hint="eastAsia" w:ascii="宋体" w:hAnsi="宋体" w:eastAsia="宋体" w:cs="宋体"/>
          <w:color w:val="auto"/>
          <w:szCs w:val="32"/>
          <w:highlight w:val="none"/>
        </w:rPr>
      </w:pPr>
      <w:bookmarkStart w:id="57" w:name="_Toc525052846"/>
      <w:bookmarkStart w:id="58" w:name="_Toc1168671576"/>
      <w:bookmarkStart w:id="59" w:name="_Toc1481241717"/>
      <w:bookmarkStart w:id="60" w:name="_Toc1762322514"/>
      <w:bookmarkStart w:id="61" w:name="_Toc132880282"/>
      <w:bookmarkStart w:id="62" w:name="_Toc937455070"/>
      <w:bookmarkStart w:id="63" w:name="_Toc38030149"/>
      <w:bookmarkStart w:id="64" w:name="_Toc1380332034"/>
      <w:bookmarkStart w:id="65" w:name="_Toc1298913388"/>
      <w:bookmarkStart w:id="66" w:name="_Toc4545"/>
      <w:r>
        <w:rPr>
          <w:rFonts w:hint="eastAsia" w:ascii="宋体" w:hAnsi="宋体" w:eastAsia="宋体" w:cs="宋体"/>
          <w:color w:val="auto"/>
          <w:highlight w:val="none"/>
        </w:rPr>
        <w:t>第三章  评标方法及标准</w:t>
      </w:r>
      <w:bookmarkEnd w:id="57"/>
      <w:bookmarkEnd w:id="58"/>
      <w:bookmarkEnd w:id="59"/>
      <w:bookmarkEnd w:id="60"/>
      <w:bookmarkEnd w:id="61"/>
      <w:bookmarkEnd w:id="62"/>
      <w:bookmarkEnd w:id="63"/>
      <w:bookmarkEnd w:id="64"/>
      <w:bookmarkEnd w:id="65"/>
      <w:bookmarkEnd w:id="66"/>
    </w:p>
    <w:p>
      <w:pPr>
        <w:keepNext w:val="0"/>
        <w:keepLines w:val="0"/>
        <w:pageBreakBefore w:val="0"/>
        <w:widowControl w:val="0"/>
        <w:kinsoku/>
        <w:wordWrap/>
        <w:overflowPunct/>
        <w:topLinePunct w:val="0"/>
        <w:autoSpaceDE/>
        <w:autoSpaceDN/>
        <w:bidi w:val="0"/>
        <w:adjustRightInd/>
        <w:snapToGrid/>
        <w:spacing w:line="320" w:lineRule="exact"/>
        <w:ind w:firstLine="421" w:firstLineChars="20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1.评标方法</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本项目评标方法：</w:t>
      </w:r>
      <w:r>
        <w:rPr>
          <w:rFonts w:hint="eastAsia" w:ascii="宋体" w:hAnsi="宋体" w:eastAsia="宋体" w:cs="宋体"/>
          <w:b/>
          <w:color w:val="auto"/>
          <w:sz w:val="21"/>
          <w:szCs w:val="21"/>
          <w:highlight w:val="none"/>
          <w:u w:val="single"/>
        </w:rPr>
        <w:t>采用综合评分法</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20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2.评标标准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本项目</w:t>
      </w:r>
      <w:r>
        <w:rPr>
          <w:rFonts w:hint="eastAsia" w:ascii="宋体" w:hAnsi="宋体" w:eastAsia="宋体" w:cs="宋体"/>
          <w:b/>
          <w:color w:val="auto"/>
          <w:sz w:val="21"/>
          <w:szCs w:val="21"/>
          <w:highlight w:val="none"/>
          <w:u w:val="single"/>
        </w:rPr>
        <w:t>采用百分制综合评分法</w:t>
      </w:r>
      <w:r>
        <w:rPr>
          <w:rFonts w:hint="eastAsia" w:ascii="宋体" w:hAnsi="宋体" w:eastAsia="宋体" w:cs="宋体"/>
          <w:color w:val="auto"/>
          <w:sz w:val="21"/>
          <w:szCs w:val="21"/>
          <w:highlight w:val="none"/>
        </w:rPr>
        <w:t>进行评标，综合评分法是指投标文件满足招标文件全部实质性要求，且按照评审因素的量化指标评审得分最高的投标人为中标候选人的评标方法。评审因素主要内容如下表。</w:t>
      </w:r>
    </w:p>
    <w:p>
      <w:pPr>
        <w:pStyle w:val="9"/>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本项目价格分值为</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分，其余评审因素分值为</w:t>
      </w:r>
      <w:r>
        <w:rPr>
          <w:rFonts w:hint="eastAsia" w:ascii="宋体" w:hAnsi="宋体" w:eastAsia="宋体" w:cs="宋体"/>
          <w:color w:val="auto"/>
          <w:sz w:val="21"/>
          <w:szCs w:val="21"/>
          <w:highlight w:val="none"/>
          <w:u w:val="single"/>
          <w:lang w:val="en-US" w:eastAsia="zh-CN"/>
        </w:rPr>
        <w:t>85</w:t>
      </w:r>
      <w:r>
        <w:rPr>
          <w:rFonts w:hint="eastAsia" w:ascii="宋体" w:hAnsi="宋体" w:eastAsia="宋体" w:cs="宋体"/>
          <w:color w:val="auto"/>
          <w:sz w:val="21"/>
          <w:szCs w:val="21"/>
          <w:highlight w:val="none"/>
        </w:rPr>
        <w:t>分，按四舍五入取至百分位。</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200"/>
        <w:jc w:val="lef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3.评委构成：</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本项目评标委员会由采购人代表和评审专家组成，成员人数为</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人单数，其中评审专家不得少于成员总数的三分之二。</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本办法所称的“以上”“以下”“内”“以内”，包括本数；所称的“不足”，不包括本数。</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评审标准如下表：</w:t>
      </w:r>
    </w:p>
    <w:tbl>
      <w:tblPr>
        <w:tblStyle w:val="17"/>
        <w:tblpPr w:leftFromText="180" w:rightFromText="180" w:vertAnchor="text" w:horzAnchor="page" w:tblpX="1488" w:tblpY="322"/>
        <w:tblOverlap w:val="never"/>
        <w:tblW w:w="9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108"/>
        <w:gridCol w:w="1108"/>
        <w:gridCol w:w="5869"/>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467" w:type="dxa"/>
            <w:noWrap/>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序号</w:t>
            </w:r>
          </w:p>
        </w:tc>
        <w:tc>
          <w:tcPr>
            <w:tcW w:w="110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评审</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因素</w:t>
            </w:r>
          </w:p>
        </w:tc>
        <w:tc>
          <w:tcPr>
            <w:tcW w:w="110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主要</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内容</w:t>
            </w:r>
          </w:p>
        </w:tc>
        <w:tc>
          <w:tcPr>
            <w:tcW w:w="5869" w:type="dxa"/>
            <w:noWrap/>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指标要求</w:t>
            </w:r>
          </w:p>
        </w:tc>
        <w:tc>
          <w:tcPr>
            <w:tcW w:w="870" w:type="dxa"/>
            <w:noWrap/>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细项</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467"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110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投标</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报价</w:t>
            </w:r>
          </w:p>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分</w:t>
            </w:r>
            <w:r>
              <w:rPr>
                <w:rFonts w:hint="eastAsia" w:ascii="仿宋_GB2312" w:hAnsi="仿宋_GB2312" w:eastAsia="仿宋_GB2312" w:cs="仿宋_GB2312"/>
                <w:color w:val="auto"/>
                <w:sz w:val="28"/>
                <w:szCs w:val="28"/>
                <w:highlight w:val="none"/>
                <w:lang w:val="en-US" w:eastAsia="zh-CN"/>
              </w:rPr>
              <w:t>)</w:t>
            </w:r>
          </w:p>
        </w:tc>
        <w:tc>
          <w:tcPr>
            <w:tcW w:w="110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价 格</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eastAsia="zh-CN"/>
              </w:rPr>
              <w:t>(15分)</w:t>
            </w:r>
          </w:p>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p>
        </w:tc>
        <w:tc>
          <w:tcPr>
            <w:tcW w:w="5869" w:type="dxa"/>
            <w:noWrap/>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投标报价得分=（评标基准价／投标报价）× 满分值</w:t>
            </w:r>
          </w:p>
          <w:p>
            <w:pPr>
              <w:pStyle w:val="25"/>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（1）评标基准价是指满足招标文件要求且投标价格最低的投标报价。</w:t>
            </w:r>
          </w:p>
          <w:p>
            <w:pPr>
              <w:pStyle w:val="25"/>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（2）因落实政府采购政策进行价格调整的，以调整后的价格计算评标基准价和投标报价。</w:t>
            </w:r>
          </w:p>
          <w:p>
            <w:pPr>
              <w:pStyle w:val="25"/>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（3）调整后的价格只是作为评标时使用，最终中标人的中标金额＝投标报价。</w:t>
            </w:r>
          </w:p>
        </w:tc>
        <w:tc>
          <w:tcPr>
            <w:tcW w:w="870" w:type="dxa"/>
            <w:noWrap/>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p>
        </w:tc>
        <w:tc>
          <w:tcPr>
            <w:tcW w:w="1108" w:type="dxa"/>
            <w:vMerge w:val="restart"/>
            <w:noWrap/>
            <w:vAlign w:val="center"/>
          </w:tcPr>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技术</w:t>
            </w:r>
          </w:p>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因素</w:t>
            </w:r>
          </w:p>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(30分)</w:t>
            </w:r>
          </w:p>
        </w:tc>
        <w:tc>
          <w:tcPr>
            <w:tcW w:w="110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Cs/>
                <w:color w:val="auto"/>
                <w:kern w:val="0"/>
                <w:sz w:val="28"/>
                <w:szCs w:val="28"/>
                <w:highlight w:val="none"/>
                <w:lang w:val="en-US" w:eastAsia="zh-CN" w:bidi="ar"/>
              </w:rPr>
            </w:pPr>
            <w:r>
              <w:rPr>
                <w:rFonts w:hint="eastAsia" w:ascii="仿宋_GB2312" w:hAnsi="仿宋_GB2312" w:eastAsia="仿宋_GB2312" w:cs="仿宋_GB2312"/>
                <w:bCs/>
                <w:color w:val="auto"/>
                <w:kern w:val="0"/>
                <w:sz w:val="28"/>
                <w:szCs w:val="28"/>
                <w:highlight w:val="none"/>
                <w:lang w:val="en-US" w:eastAsia="zh-CN" w:bidi="ar"/>
              </w:rPr>
              <w:t>综合</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Cs/>
                <w:color w:val="auto"/>
                <w:kern w:val="0"/>
                <w:sz w:val="28"/>
                <w:szCs w:val="28"/>
                <w:highlight w:val="none"/>
                <w:lang w:val="en-US" w:eastAsia="zh-CN" w:bidi="ar"/>
              </w:rPr>
            </w:pPr>
            <w:r>
              <w:rPr>
                <w:rFonts w:hint="eastAsia" w:ascii="仿宋_GB2312" w:hAnsi="仿宋_GB2312" w:eastAsia="仿宋_GB2312" w:cs="仿宋_GB2312"/>
                <w:bCs/>
                <w:color w:val="auto"/>
                <w:kern w:val="0"/>
                <w:sz w:val="28"/>
                <w:szCs w:val="28"/>
                <w:highlight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Cs/>
                <w:color w:val="auto"/>
                <w:kern w:val="0"/>
                <w:sz w:val="28"/>
                <w:szCs w:val="28"/>
                <w:highlight w:val="none"/>
                <w:lang w:val="en-US" w:eastAsia="zh-CN" w:bidi="ar"/>
              </w:rPr>
            </w:pPr>
            <w:r>
              <w:rPr>
                <w:rFonts w:hint="eastAsia" w:ascii="仿宋_GB2312" w:hAnsi="仿宋_GB2312" w:eastAsia="仿宋_GB2312" w:cs="仿宋_GB2312"/>
                <w:bCs/>
                <w:color w:val="auto"/>
                <w:kern w:val="0"/>
                <w:sz w:val="28"/>
                <w:szCs w:val="28"/>
                <w:highlight w:val="none"/>
                <w:lang w:val="en-US" w:eastAsia="zh-CN" w:bidi="ar"/>
              </w:rPr>
              <w:t>方案</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bCs/>
                <w:color w:val="auto"/>
                <w:kern w:val="0"/>
                <w:sz w:val="28"/>
                <w:szCs w:val="28"/>
                <w:highlight w:val="none"/>
                <w:lang w:val="en-US" w:eastAsia="zh-CN" w:bidi="ar"/>
              </w:rPr>
              <w:t>(6分)</w:t>
            </w:r>
          </w:p>
        </w:tc>
        <w:tc>
          <w:tcPr>
            <w:tcW w:w="5869"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由评标委员会对供应商提供的综合服务方案内容进行评价。以下各项不重复计分：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①供应商的综合服务方案能完全响应项目采购需求的综合服务内容要求前提下，根据服务要求制订具体的综合服务措施，得2分；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②在本项①项的基础上，能根据项目采购需求的综合服务要求制订有针对性的、具体的服务流程、服务计划，得4分；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③在本项②项的基础上，针对综合服务要求制订有内部管理架构；综合服务相关的管理制度齐全；岗位责任和岗位培训方案完善，得6分。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注：未提供综合服务方案或综合服务方案未达到①标准要求的，得0分。</w:t>
            </w:r>
          </w:p>
        </w:tc>
        <w:tc>
          <w:tcPr>
            <w:tcW w:w="870" w:type="dxa"/>
            <w:noWrap/>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467"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p>
        </w:tc>
        <w:tc>
          <w:tcPr>
            <w:tcW w:w="1108" w:type="dxa"/>
            <w:vMerge w:val="continue"/>
            <w:noWrap/>
            <w:vAlign w:val="center"/>
          </w:tcPr>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p>
        </w:tc>
        <w:tc>
          <w:tcPr>
            <w:tcW w:w="110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房屋及公共</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设备</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设施</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维护</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服务</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方案</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eastAsia="zh-CN"/>
              </w:rPr>
              <w:t>(6分)</w:t>
            </w:r>
          </w:p>
        </w:tc>
        <w:tc>
          <w:tcPr>
            <w:tcW w:w="5869" w:type="dxa"/>
            <w:noWrap/>
            <w:vAlign w:val="center"/>
          </w:tcPr>
          <w:p>
            <w:pPr>
              <w:keepNext w:val="0"/>
              <w:keepLines w:val="0"/>
              <w:pageBreakBefore w:val="0"/>
              <w:widowControl w:val="0"/>
              <w:kinsoku/>
              <w:wordWrap/>
              <w:overflowPunct/>
              <w:topLinePunct w:val="0"/>
              <w:autoSpaceDE/>
              <w:autoSpaceDN/>
              <w:bidi w:val="0"/>
              <w:adjustRightInd/>
              <w:snapToGrid/>
              <w:spacing w:line="366" w:lineRule="exact"/>
              <w:ind w:firstLine="562"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由评标委员会对供应商提供的房屋及公共设备设施（包括供电设备、给排水系统、中央空调系统、消防系统、电梯系统）维护服务方案内容进行评价。以下各项不重复计分：</w:t>
            </w: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6"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①供应商的房屋及公共设备设施房屋及公共设备设施（包括供电设备、给排水系统、中央空调系统、消防系统、电梯系统）维护服务方案能完全响应项目采购需求的房屋及公共设备设施维护服务内容要求前提下，根据服务要求制订具体的服务措施，得2分； </w:t>
            </w:r>
          </w:p>
          <w:p>
            <w:pPr>
              <w:keepNext w:val="0"/>
              <w:keepLines w:val="0"/>
              <w:pageBreakBefore w:val="0"/>
              <w:widowControl w:val="0"/>
              <w:kinsoku/>
              <w:wordWrap/>
              <w:overflowPunct/>
              <w:topLinePunct w:val="0"/>
              <w:autoSpaceDE/>
              <w:autoSpaceDN/>
              <w:bidi w:val="0"/>
              <w:adjustRightInd/>
              <w:snapToGrid/>
              <w:spacing w:line="366"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②在本项①项的基础上，制订有具体的巡检、维护、维修计划、服务流程；房屋及公共设备设施的巡检、维护、维修记录台账（表单）齐全；设备设施维护、消防等培训计划及培训方案完善，得4分； </w:t>
            </w:r>
          </w:p>
          <w:p>
            <w:pPr>
              <w:keepNext w:val="0"/>
              <w:keepLines w:val="0"/>
              <w:pageBreakBefore w:val="0"/>
              <w:widowControl w:val="0"/>
              <w:kinsoku/>
              <w:wordWrap/>
              <w:overflowPunct/>
              <w:topLinePunct w:val="0"/>
              <w:autoSpaceDE/>
              <w:autoSpaceDN/>
              <w:bidi w:val="0"/>
              <w:adjustRightInd/>
              <w:snapToGrid/>
              <w:spacing w:line="366"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③在本项②项的基础上，针对房屋及公共设备设施维护服务内容提出服务的重点难点，并能提供解决措施；具有节能节水节电的管理经验，能针对采购人主要耗能对象提出有建设性、切实可行的节能节水节电方案建议，得6分。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注：未提供房屋及公共设备设施维护服务方案或房屋及公共设备设施维护服务方案未达到①标准要求的， 得0分。</w:t>
            </w:r>
          </w:p>
        </w:tc>
        <w:tc>
          <w:tcPr>
            <w:tcW w:w="870" w:type="dxa"/>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467"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p>
        </w:tc>
        <w:tc>
          <w:tcPr>
            <w:tcW w:w="1108" w:type="dxa"/>
            <w:vMerge w:val="continue"/>
            <w:noWrap/>
            <w:vAlign w:val="center"/>
          </w:tcPr>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p>
        </w:tc>
        <w:tc>
          <w:tcPr>
            <w:tcW w:w="110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保洁</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绿化</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服务</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方案</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(6分)</w:t>
            </w:r>
          </w:p>
        </w:tc>
        <w:tc>
          <w:tcPr>
            <w:tcW w:w="5869" w:type="dxa"/>
            <w:noWrap/>
            <w:vAlign w:val="top"/>
          </w:tcPr>
          <w:p>
            <w:pPr>
              <w:pStyle w:val="7"/>
              <w:keepNext w:val="0"/>
              <w:keepLines w:val="0"/>
              <w:pageBreakBefore w:val="0"/>
              <w:widowControl w:val="0"/>
              <w:kinsoku/>
              <w:wordWrap/>
              <w:overflowPunct/>
              <w:topLinePunct w:val="0"/>
              <w:autoSpaceDE/>
              <w:autoSpaceDN/>
              <w:bidi w:val="0"/>
              <w:adjustRightInd/>
              <w:snapToGrid/>
              <w:spacing w:line="370" w:lineRule="exact"/>
              <w:ind w:firstLine="562" w:firstLineChars="200"/>
              <w:jc w:val="both"/>
              <w:textAlignment w:val="auto"/>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由评标委员会对供应商提供的保洁、绿化服务方案内容进行评价。以下各项不重复计分：</w:t>
            </w:r>
          </w:p>
          <w:p>
            <w:pPr>
              <w:pStyle w:val="7"/>
              <w:keepNext w:val="0"/>
              <w:keepLines w:val="0"/>
              <w:pageBreakBefore w:val="0"/>
              <w:widowControl w:val="0"/>
              <w:kinsoku/>
              <w:wordWrap/>
              <w:overflowPunct/>
              <w:topLinePunct w:val="0"/>
              <w:autoSpaceDE/>
              <w:autoSpaceDN/>
              <w:bidi w:val="0"/>
              <w:adjustRightInd/>
              <w:snapToGrid/>
              <w:spacing w:line="37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①供应商的保洁、绿化服务方案能完全响应项目采购需求的保洁、绿化服务内容要求前提下，根据服务要求制订具体的服务措施，得2分； </w:t>
            </w:r>
          </w:p>
          <w:p>
            <w:pPr>
              <w:pStyle w:val="7"/>
              <w:keepNext w:val="0"/>
              <w:keepLines w:val="0"/>
              <w:pageBreakBefore w:val="0"/>
              <w:widowControl w:val="0"/>
              <w:kinsoku/>
              <w:wordWrap/>
              <w:overflowPunct/>
              <w:topLinePunct w:val="0"/>
              <w:autoSpaceDE/>
              <w:autoSpaceDN/>
              <w:bidi w:val="0"/>
              <w:adjustRightInd/>
              <w:snapToGrid/>
              <w:spacing w:line="37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②在本项①项的基础上，能制订具体的日常保洁、绿化养护服务计划及服务流程；承诺每日至少进行2次清扫、擦拭等保洁工作外还可根据实际情况安排机动保洁，每天不少于3次对保洁区域进行巡视检查，巡回保洁；保洁、绿化日常工作检查的记录表单齐全；制订有针对保洁、绿化服务内容的相应管理制度、考核制度；得4分； </w:t>
            </w:r>
          </w:p>
          <w:p>
            <w:pPr>
              <w:pStyle w:val="7"/>
              <w:keepNext w:val="0"/>
              <w:keepLines w:val="0"/>
              <w:pageBreakBefore w:val="0"/>
              <w:widowControl w:val="0"/>
              <w:kinsoku/>
              <w:wordWrap/>
              <w:overflowPunct/>
              <w:topLinePunct w:val="0"/>
              <w:autoSpaceDE/>
              <w:autoSpaceDN/>
              <w:bidi w:val="0"/>
              <w:adjustRightInd/>
              <w:snapToGrid/>
              <w:spacing w:line="37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③在本项第②项的基础上，针对保洁、绿化服务内容提出服务的重点难点，并能提供解决措施；针对垃圾分类管理工作提出切实可行的宣传策划、实施方案及落实保障措施，得6分。 </w:t>
            </w:r>
          </w:p>
          <w:p>
            <w:pPr>
              <w:pStyle w:val="7"/>
              <w:keepNext w:val="0"/>
              <w:keepLines w:val="0"/>
              <w:pageBreakBefore w:val="0"/>
              <w:widowControl w:val="0"/>
              <w:kinsoku/>
              <w:wordWrap/>
              <w:overflowPunct/>
              <w:topLinePunct w:val="0"/>
              <w:autoSpaceDE/>
              <w:autoSpaceDN/>
              <w:bidi w:val="0"/>
              <w:adjustRightInd/>
              <w:snapToGrid/>
              <w:spacing w:line="370" w:lineRule="exact"/>
              <w:ind w:firstLine="562" w:firstLineChars="200"/>
              <w:jc w:val="both"/>
              <w:textAlignment w:val="auto"/>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val="en-US" w:eastAsia="zh-CN"/>
              </w:rPr>
              <w:t>注：未提供保洁、绿化服务方案或保洁、绿化服务方案未达到①标准要求的，得0分。</w:t>
            </w:r>
          </w:p>
        </w:tc>
        <w:tc>
          <w:tcPr>
            <w:tcW w:w="870" w:type="dxa"/>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p>
        </w:tc>
        <w:tc>
          <w:tcPr>
            <w:tcW w:w="1108" w:type="dxa"/>
            <w:vMerge w:val="continue"/>
            <w:noWrap/>
            <w:vAlign w:val="center"/>
          </w:tcPr>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p>
        </w:tc>
        <w:tc>
          <w:tcPr>
            <w:tcW w:w="110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秩序</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维护</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服务</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方案</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eastAsia="zh-CN"/>
              </w:rPr>
              <w:t>(6分)</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p>
        </w:tc>
        <w:tc>
          <w:tcPr>
            <w:tcW w:w="5869" w:type="dxa"/>
            <w:noWrap/>
            <w:vAlign w:val="top"/>
          </w:tcPr>
          <w:p>
            <w:pPr>
              <w:pStyle w:val="7"/>
              <w:keepNext w:val="0"/>
              <w:keepLines w:val="0"/>
              <w:pageBreakBefore w:val="0"/>
              <w:widowControl w:val="0"/>
              <w:kinsoku/>
              <w:wordWrap/>
              <w:overflowPunct/>
              <w:topLinePunct w:val="0"/>
              <w:autoSpaceDE/>
              <w:autoSpaceDN/>
              <w:bidi w:val="0"/>
              <w:adjustRightInd/>
              <w:snapToGrid/>
              <w:spacing w:line="376" w:lineRule="exact"/>
              <w:ind w:firstLine="562" w:firstLineChars="200"/>
              <w:jc w:val="both"/>
              <w:textAlignment w:val="auto"/>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 xml:space="preserve">由评标委员会对供应商提供的秩序维护服务方案内容进行评价。以下各项不重复计分： </w:t>
            </w:r>
          </w:p>
          <w:p>
            <w:pPr>
              <w:pStyle w:val="7"/>
              <w:keepNext w:val="0"/>
              <w:keepLines w:val="0"/>
              <w:pageBreakBefore w:val="0"/>
              <w:widowControl w:val="0"/>
              <w:kinsoku/>
              <w:wordWrap/>
              <w:overflowPunct/>
              <w:topLinePunct w:val="0"/>
              <w:autoSpaceDE/>
              <w:autoSpaceDN/>
              <w:bidi w:val="0"/>
              <w:adjustRightInd/>
              <w:snapToGrid/>
              <w:spacing w:line="376"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①供应商的秩序维护服务方案能完全响应项目采购需求的秩序维护服务内容要求前提下，能根据服务要求制订具体的秩序维护服务措施，得2分； </w:t>
            </w:r>
          </w:p>
          <w:p>
            <w:pPr>
              <w:pStyle w:val="7"/>
              <w:keepNext w:val="0"/>
              <w:keepLines w:val="0"/>
              <w:pageBreakBefore w:val="0"/>
              <w:widowControl w:val="0"/>
              <w:kinsoku/>
              <w:wordWrap/>
              <w:overflowPunct/>
              <w:topLinePunct w:val="0"/>
              <w:autoSpaceDE/>
              <w:autoSpaceDN/>
              <w:bidi w:val="0"/>
              <w:adjustRightInd/>
              <w:snapToGrid/>
              <w:spacing w:line="376"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②在本项①项的基础上，建立明确的秩序维护服务工作职责，工作流程；针对本项目制定相对固定的巡视路线，对重要区域、部位、节假日、夜间制订重点巡查方案；建立有完善的进出管理制度、交接制度、车辆管理制度等，秩序维护服务措施得力，得4分； </w:t>
            </w:r>
          </w:p>
          <w:p>
            <w:pPr>
              <w:pStyle w:val="7"/>
              <w:keepNext w:val="0"/>
              <w:keepLines w:val="0"/>
              <w:pageBreakBefore w:val="0"/>
              <w:widowControl w:val="0"/>
              <w:kinsoku/>
              <w:wordWrap/>
              <w:overflowPunct/>
              <w:topLinePunct w:val="0"/>
              <w:autoSpaceDE/>
              <w:autoSpaceDN/>
              <w:bidi w:val="0"/>
              <w:adjustRightInd/>
              <w:snapToGrid/>
              <w:spacing w:line="376"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③在本项第②项的基础上，制订有齐全的日常安全巡检的记录台账（表单）；制订有明确的秩序维护人员录用、培训、考核、日常安全演练等管理方案；针对秩序维护服务内容提出服务的重点难点，并能提供解决措施，得6分。 </w:t>
            </w:r>
          </w:p>
          <w:p>
            <w:pPr>
              <w:pStyle w:val="7"/>
              <w:keepNext w:val="0"/>
              <w:keepLines w:val="0"/>
              <w:pageBreakBefore w:val="0"/>
              <w:widowControl w:val="0"/>
              <w:kinsoku/>
              <w:wordWrap/>
              <w:overflowPunct/>
              <w:topLinePunct w:val="0"/>
              <w:autoSpaceDE/>
              <w:autoSpaceDN/>
              <w:bidi w:val="0"/>
              <w:adjustRightInd/>
              <w:snapToGrid/>
              <w:spacing w:line="376" w:lineRule="exact"/>
              <w:ind w:firstLine="562" w:firstLineChars="200"/>
              <w:jc w:val="both"/>
              <w:textAlignment w:val="auto"/>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val="en-US" w:eastAsia="zh-CN"/>
              </w:rPr>
              <w:t>注：不提供秩序维护服务方案或秩序维护服务方案未达到①标准要求的，得0分。</w:t>
            </w:r>
          </w:p>
        </w:tc>
        <w:tc>
          <w:tcPr>
            <w:tcW w:w="870" w:type="dxa"/>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67"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p>
        </w:tc>
        <w:tc>
          <w:tcPr>
            <w:tcW w:w="1108" w:type="dxa"/>
            <w:vMerge w:val="continue"/>
            <w:noWrap/>
            <w:vAlign w:val="center"/>
          </w:tcPr>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p>
        </w:tc>
        <w:tc>
          <w:tcPr>
            <w:tcW w:w="110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突发</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事件</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应急</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预案</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eastAsia="zh-CN"/>
              </w:rPr>
              <w:t>(6分)</w:t>
            </w:r>
          </w:p>
        </w:tc>
        <w:tc>
          <w:tcPr>
            <w:tcW w:w="5869" w:type="dxa"/>
            <w:noWrap/>
            <w:vAlign w:val="top"/>
          </w:tcPr>
          <w:p>
            <w:pPr>
              <w:pStyle w:val="7"/>
              <w:keepNext w:val="0"/>
              <w:keepLines w:val="0"/>
              <w:pageBreakBefore w:val="0"/>
              <w:widowControl w:val="0"/>
              <w:kinsoku/>
              <w:wordWrap/>
              <w:overflowPunct/>
              <w:topLinePunct w:val="0"/>
              <w:autoSpaceDE/>
              <w:autoSpaceDN/>
              <w:bidi w:val="0"/>
              <w:adjustRightInd/>
              <w:snapToGrid/>
              <w:spacing w:line="370" w:lineRule="exact"/>
              <w:ind w:firstLine="562" w:firstLineChars="200"/>
              <w:jc w:val="both"/>
              <w:textAlignment w:val="auto"/>
              <w:rPr>
                <w:rFonts w:hint="eastAsia" w:ascii="仿宋_GB2312" w:hAnsi="仿宋_GB2312" w:eastAsia="仿宋_GB2312" w:cs="仿宋_GB2312"/>
                <w:b/>
                <w:bCs w:val="0"/>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 xml:space="preserve">由评标委员会根据供应商提供的突发事件应急方案（包括各类突发事件应急预案、人员及物资、处置方案、处理响应时间等）进行评价。以下各项不重复计分： </w:t>
            </w:r>
          </w:p>
          <w:p>
            <w:pPr>
              <w:pStyle w:val="7"/>
              <w:keepNext w:val="0"/>
              <w:keepLines w:val="0"/>
              <w:pageBreakBefore w:val="0"/>
              <w:widowControl w:val="0"/>
              <w:kinsoku/>
              <w:wordWrap/>
              <w:overflowPunct/>
              <w:topLinePunct w:val="0"/>
              <w:autoSpaceDE/>
              <w:autoSpaceDN/>
              <w:bidi w:val="0"/>
              <w:adjustRightInd/>
              <w:snapToGrid/>
              <w:spacing w:line="37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①供应商的突发事件应急预案能完全响应本项目应急服务需求的前提下，能针对应急服务需求制订应急措施，得2分； </w:t>
            </w:r>
          </w:p>
          <w:p>
            <w:pPr>
              <w:pStyle w:val="7"/>
              <w:keepNext w:val="0"/>
              <w:keepLines w:val="0"/>
              <w:pageBreakBefore w:val="0"/>
              <w:widowControl w:val="0"/>
              <w:kinsoku/>
              <w:wordWrap/>
              <w:overflowPunct/>
              <w:topLinePunct w:val="0"/>
              <w:autoSpaceDE/>
              <w:autoSpaceDN/>
              <w:bidi w:val="0"/>
              <w:adjustRightInd/>
              <w:snapToGrid/>
              <w:spacing w:line="35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②在本项①的基础上，成立有专门的应急部门，应急人员配备到位、责任明确；应急物资配备齐全；制订有完善的处置流程图，能较快速地启动应急处理措施；承诺出现各类突发事件时，到达现场处置时间≤10分钟，得4分； </w:t>
            </w:r>
          </w:p>
          <w:p>
            <w:pPr>
              <w:pStyle w:val="7"/>
              <w:keepNext w:val="0"/>
              <w:keepLines w:val="0"/>
              <w:pageBreakBefore w:val="0"/>
              <w:widowControl w:val="0"/>
              <w:kinsoku/>
              <w:wordWrap/>
              <w:overflowPunct/>
              <w:topLinePunct w:val="0"/>
              <w:autoSpaceDE/>
              <w:autoSpaceDN/>
              <w:bidi w:val="0"/>
              <w:adjustRightInd/>
              <w:snapToGrid/>
              <w:spacing w:line="35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③在本项②的基础上，针对各类突发事件（包括但不限于出现灾害性天气、突发火灾、停电、供水管道爆裂、燃气管道泄漏、突发治安或刑事事件等）制订合理、有预见性、有针对性的处置措施；制订有针对不同突发事件的应急演练计划及应急演练方案，提高服务人员快速处置应急能力，得6分。 </w:t>
            </w:r>
          </w:p>
          <w:p>
            <w:pPr>
              <w:pStyle w:val="7"/>
              <w:keepNext w:val="0"/>
              <w:keepLines w:val="0"/>
              <w:pageBreakBefore w:val="0"/>
              <w:widowControl w:val="0"/>
              <w:kinsoku/>
              <w:wordWrap/>
              <w:overflowPunct/>
              <w:topLinePunct w:val="0"/>
              <w:autoSpaceDE/>
              <w:autoSpaceDN/>
              <w:bidi w:val="0"/>
              <w:adjustRightInd/>
              <w:snapToGrid/>
              <w:spacing w:line="350" w:lineRule="exact"/>
              <w:ind w:firstLine="562"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 xml:space="preserve">注：不提供突发事件应急预案或突发事件应急预案未达到①标准要求的，得0分。 </w:t>
            </w:r>
          </w:p>
        </w:tc>
        <w:tc>
          <w:tcPr>
            <w:tcW w:w="870" w:type="dxa"/>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467" w:type="dxa"/>
            <w:vMerge w:val="restart"/>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p>
        </w:tc>
        <w:tc>
          <w:tcPr>
            <w:tcW w:w="1108" w:type="dxa"/>
            <w:vMerge w:val="restart"/>
            <w:noWrap/>
            <w:vAlign w:val="center"/>
          </w:tcPr>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商务</w:t>
            </w:r>
          </w:p>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因素</w:t>
            </w:r>
          </w:p>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(55分)</w:t>
            </w:r>
          </w:p>
        </w:tc>
        <w:tc>
          <w:tcPr>
            <w:tcW w:w="110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企业</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认证</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证书</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(8分)</w:t>
            </w:r>
          </w:p>
        </w:tc>
        <w:tc>
          <w:tcPr>
            <w:tcW w:w="5869" w:type="dxa"/>
            <w:noWrap/>
            <w:vAlign w:val="top"/>
          </w:tcPr>
          <w:p>
            <w:pPr>
              <w:keepNext w:val="0"/>
              <w:keepLines w:val="0"/>
              <w:pageBreakBefore w:val="0"/>
              <w:widowControl/>
              <w:kinsoku/>
              <w:wordWrap/>
              <w:overflowPunct/>
              <w:topLinePunct w:val="0"/>
              <w:autoSpaceDE/>
              <w:autoSpaceDN/>
              <w:bidi w:val="0"/>
              <w:adjustRightInd/>
              <w:snapToGrid/>
              <w:spacing w:line="340" w:lineRule="exact"/>
              <w:ind w:firstLine="560" w:firstLineChars="200"/>
              <w:jc w:val="both"/>
              <w:textAlignment w:val="auto"/>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eastAsia="zh-CN"/>
              </w:rPr>
              <w:t>企业认证证书分（8分）：供应商拥有有效的质量管理体系认证 (ISO9001或GB/T19001）、环境管理体系认证（ISO14001或GB/T24001）、职业健康安全管理体系认证（ISO45001或OHSAS18001或GB/T45001）、社会责任管理体系认证（SA8000或GB/T39604），每个得2分，满分8分。（投标文件中提供证书扫描件）</w:t>
            </w:r>
          </w:p>
        </w:tc>
        <w:tc>
          <w:tcPr>
            <w:tcW w:w="870" w:type="dxa"/>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467" w:type="dxa"/>
            <w:vMerge w:val="continue"/>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8"/>
                <w:szCs w:val="28"/>
                <w:highlight w:val="none"/>
                <w:lang w:val="en-US" w:eastAsia="zh-CN"/>
              </w:rPr>
            </w:pPr>
          </w:p>
        </w:tc>
        <w:tc>
          <w:tcPr>
            <w:tcW w:w="1108" w:type="dxa"/>
            <w:vMerge w:val="continue"/>
            <w:noWrap/>
            <w:vAlign w:val="center"/>
          </w:tcPr>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p>
        </w:tc>
        <w:tc>
          <w:tcPr>
            <w:tcW w:w="110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napToGrid w:val="0"/>
                <w:color w:val="auto"/>
                <w:sz w:val="28"/>
                <w:szCs w:val="28"/>
                <w:highlight w:val="none"/>
                <w:lang w:val="en-US" w:eastAsia="zh-CN"/>
              </w:rPr>
            </w:pPr>
            <w:r>
              <w:rPr>
                <w:rFonts w:hint="eastAsia" w:ascii="仿宋_GB2312" w:hAnsi="仿宋_GB2312" w:eastAsia="仿宋_GB2312" w:cs="仿宋_GB2312"/>
                <w:snapToGrid w:val="0"/>
                <w:color w:val="auto"/>
                <w:sz w:val="28"/>
                <w:szCs w:val="28"/>
                <w:highlight w:val="none"/>
                <w:lang w:val="en-US" w:eastAsia="zh-CN"/>
              </w:rPr>
              <w:t>类似</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napToGrid w:val="0"/>
                <w:color w:val="auto"/>
                <w:sz w:val="28"/>
                <w:szCs w:val="28"/>
                <w:highlight w:val="none"/>
                <w:lang w:val="en-US" w:eastAsia="zh-CN"/>
              </w:rPr>
            </w:pPr>
            <w:r>
              <w:rPr>
                <w:rFonts w:hint="eastAsia" w:ascii="仿宋_GB2312" w:hAnsi="仿宋_GB2312" w:eastAsia="仿宋_GB2312" w:cs="仿宋_GB2312"/>
                <w:snapToGrid w:val="0"/>
                <w:color w:val="auto"/>
                <w:sz w:val="28"/>
                <w:szCs w:val="28"/>
                <w:highlight w:val="none"/>
                <w:lang w:val="en-US" w:eastAsia="zh-CN"/>
              </w:rPr>
              <w:t>项目</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napToGrid w:val="0"/>
                <w:color w:val="auto"/>
                <w:sz w:val="28"/>
                <w:szCs w:val="28"/>
                <w:highlight w:val="none"/>
                <w:lang w:val="en-US"/>
              </w:rPr>
            </w:pPr>
            <w:r>
              <w:rPr>
                <w:rFonts w:hint="eastAsia" w:ascii="仿宋_GB2312" w:hAnsi="仿宋_GB2312" w:eastAsia="仿宋_GB2312" w:cs="仿宋_GB2312"/>
                <w:snapToGrid w:val="0"/>
                <w:color w:val="auto"/>
                <w:sz w:val="28"/>
                <w:szCs w:val="28"/>
                <w:highlight w:val="none"/>
                <w:lang w:val="en-US" w:eastAsia="zh-CN"/>
              </w:rPr>
              <w:t>业绩</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napToGrid w:val="0"/>
                <w:color w:val="auto"/>
                <w:sz w:val="28"/>
                <w:szCs w:val="28"/>
                <w:highlight w:val="none"/>
                <w:lang w:val="en-US"/>
              </w:rPr>
            </w:pPr>
            <w:r>
              <w:rPr>
                <w:rFonts w:hint="eastAsia" w:ascii="仿宋_GB2312" w:hAnsi="仿宋_GB2312" w:eastAsia="仿宋_GB2312" w:cs="仿宋_GB2312"/>
                <w:snapToGrid w:val="0"/>
                <w:color w:val="auto"/>
                <w:sz w:val="28"/>
                <w:szCs w:val="28"/>
                <w:highlight w:val="none"/>
                <w:lang w:val="en-US" w:eastAsia="zh-CN"/>
              </w:rPr>
              <w:t>(10分)</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napToGrid w:val="0"/>
                <w:color w:val="auto"/>
                <w:sz w:val="28"/>
                <w:szCs w:val="28"/>
                <w:highlight w:val="none"/>
                <w:lang w:val="en-US"/>
              </w:rPr>
            </w:pPr>
          </w:p>
        </w:tc>
        <w:tc>
          <w:tcPr>
            <w:tcW w:w="5869" w:type="dxa"/>
            <w:noWrap/>
            <w:vAlign w:val="top"/>
          </w:tcPr>
          <w:p>
            <w:pPr>
              <w:pStyle w:val="26"/>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根据供应商2021年10月1日以来承接的类似项目的业绩的有效证明文件进行评价，每个有效业绩得2分，满分10分【以合同签订时间为准；有效证明文件包括该业绩的：采购合同文本复印件（同一个项目签订多份合同的只能计算一次，不重复计分）；投标人须提供以上证明材料，否则该业绩不得分；类似项目业绩是指办公用房为主的综合性物业管理服务项目（合同服务内容仅有保安和保洁服务或仅有单项服务内容的项目均不得分）】。</w:t>
            </w:r>
          </w:p>
        </w:tc>
        <w:tc>
          <w:tcPr>
            <w:tcW w:w="870" w:type="dxa"/>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67" w:type="dxa"/>
            <w:vMerge w:val="continue"/>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8"/>
                <w:szCs w:val="28"/>
                <w:highlight w:val="none"/>
                <w:lang w:val="en-US" w:eastAsia="zh-CN"/>
              </w:rPr>
            </w:pPr>
          </w:p>
        </w:tc>
        <w:tc>
          <w:tcPr>
            <w:tcW w:w="1108" w:type="dxa"/>
            <w:vMerge w:val="continue"/>
            <w:noWrap/>
            <w:vAlign w:val="center"/>
          </w:tcPr>
          <w:p>
            <w:pPr>
              <w:pStyle w:val="8"/>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p>
        </w:tc>
        <w:tc>
          <w:tcPr>
            <w:tcW w:w="1108"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Cs/>
                <w:color w:val="auto"/>
                <w:sz w:val="28"/>
                <w:szCs w:val="28"/>
                <w:highlight w:val="none"/>
                <w:lang w:val="en-US" w:eastAsia="zh-CN" w:bidi="ar-SA"/>
              </w:rPr>
            </w:pPr>
            <w:r>
              <w:rPr>
                <w:rFonts w:hint="eastAsia" w:ascii="仿宋_GB2312" w:hAnsi="仿宋_GB2312" w:eastAsia="仿宋_GB2312" w:cs="仿宋_GB2312"/>
                <w:bCs/>
                <w:color w:val="auto"/>
                <w:sz w:val="28"/>
                <w:szCs w:val="28"/>
                <w:highlight w:val="none"/>
                <w:lang w:val="en-US" w:eastAsia="zh-CN" w:bidi="ar-SA"/>
              </w:rPr>
              <w:t>人员</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Cs/>
                <w:color w:val="auto"/>
                <w:sz w:val="28"/>
                <w:szCs w:val="28"/>
                <w:highlight w:val="none"/>
                <w:lang w:val="en-US" w:eastAsia="zh-CN" w:bidi="ar-SA"/>
              </w:rPr>
            </w:pPr>
            <w:r>
              <w:rPr>
                <w:rFonts w:hint="eastAsia" w:ascii="仿宋_GB2312" w:hAnsi="仿宋_GB2312" w:eastAsia="仿宋_GB2312" w:cs="仿宋_GB2312"/>
                <w:bCs/>
                <w:color w:val="auto"/>
                <w:sz w:val="28"/>
                <w:szCs w:val="28"/>
                <w:highlight w:val="none"/>
                <w:lang w:val="en-US" w:eastAsia="zh-CN" w:bidi="ar-SA"/>
              </w:rPr>
              <w:t>资质</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Cs/>
                <w:color w:val="auto"/>
                <w:sz w:val="28"/>
                <w:szCs w:val="28"/>
                <w:highlight w:val="none"/>
                <w:lang w:val="en-US" w:eastAsia="zh-CN" w:bidi="ar-SA"/>
              </w:rPr>
            </w:pPr>
            <w:r>
              <w:rPr>
                <w:rFonts w:hint="eastAsia" w:ascii="仿宋_GB2312" w:hAnsi="仿宋_GB2312" w:eastAsia="仿宋_GB2312" w:cs="仿宋_GB2312"/>
                <w:bCs/>
                <w:color w:val="auto"/>
                <w:sz w:val="28"/>
                <w:szCs w:val="28"/>
                <w:highlight w:val="none"/>
                <w:lang w:val="en-US" w:eastAsia="zh-CN" w:bidi="ar-SA"/>
              </w:rPr>
              <w:t>(37分)</w:t>
            </w:r>
          </w:p>
        </w:tc>
        <w:tc>
          <w:tcPr>
            <w:tcW w:w="5869" w:type="dxa"/>
            <w:noWrap/>
            <w:vAlign w:val="top"/>
          </w:tcPr>
          <w:p>
            <w:pPr>
              <w:pStyle w:val="26"/>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供应商拟投入服务人员在满足本项目采购需求 “（六）物业管理服务组织及人员配置”要求的基础上，对下列指标进行考核评分： </w:t>
            </w:r>
          </w:p>
          <w:p>
            <w:pPr>
              <w:pStyle w:val="26"/>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（1）工程组（满分4分）： </w:t>
            </w:r>
          </w:p>
          <w:p>
            <w:pPr>
              <w:pStyle w:val="26"/>
              <w:keepNext w:val="0"/>
              <w:keepLines w:val="0"/>
              <w:pageBreakBefore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工程部（1人）：具有工程类（空调暖通或电气或机电专业或建筑工程或工业电气及其自动化专业）高级职称证书的，得2分；具有4年以上工作经验的，得2分；此项满分4分。 </w:t>
            </w:r>
          </w:p>
          <w:p>
            <w:pPr>
              <w:pStyle w:val="26"/>
              <w:keepNext w:val="0"/>
              <w:keepLines w:val="0"/>
              <w:pageBreakBefore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（2）秩序维护组（满分24分）：</w:t>
            </w:r>
          </w:p>
          <w:p>
            <w:pPr>
              <w:pStyle w:val="26"/>
              <w:keepNext w:val="0"/>
              <w:keepLines w:val="0"/>
              <w:pageBreakBefore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①秩序维护队长（2人）：具有保安员证的，每人得2分，满分4分；具有2年以上工作经验的，每人得2分，满分4分；此项满分8分。 </w:t>
            </w:r>
          </w:p>
          <w:p>
            <w:pPr>
              <w:pStyle w:val="26"/>
              <w:keepNext w:val="0"/>
              <w:keepLines w:val="0"/>
              <w:pageBreakBefore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②秩序维护员（12人）：具有保安员证的，每人得1分，满分8分；具有2年以上工作经验的，每人得1分，满分8分；此项满分16分。</w:t>
            </w:r>
          </w:p>
          <w:p>
            <w:pPr>
              <w:pStyle w:val="26"/>
              <w:keepNext w:val="0"/>
              <w:keepLines w:val="0"/>
              <w:pageBreakBefore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（3）绿化组（满分2分）： </w:t>
            </w:r>
          </w:p>
          <w:p>
            <w:pPr>
              <w:pStyle w:val="26"/>
              <w:keepNext w:val="0"/>
              <w:keepLines w:val="0"/>
              <w:pageBreakBefore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①绿化员（1人）：具有2年以上从事园林绿化工作经验的，得2分。 </w:t>
            </w:r>
          </w:p>
          <w:p>
            <w:pPr>
              <w:pStyle w:val="26"/>
              <w:keepNext w:val="0"/>
              <w:keepLines w:val="0"/>
              <w:pageBreakBefore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（4）保洁组（满分7分） </w:t>
            </w:r>
          </w:p>
          <w:p>
            <w:pPr>
              <w:pStyle w:val="26"/>
              <w:keepNext w:val="0"/>
              <w:keepLines w:val="0"/>
              <w:pageBreakBefore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①保洁队长（1人）：具有2年以上从事保洁工作或物业管理工作经验的，得2分。 </w:t>
            </w:r>
          </w:p>
          <w:p>
            <w:pPr>
              <w:pStyle w:val="26"/>
              <w:keepNext w:val="0"/>
              <w:keepLines w:val="0"/>
              <w:pageBreakBefore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②保洁队员（5人）：具有2年以上从事保洁工作，每人得1分，此项满分5分；  </w:t>
            </w:r>
          </w:p>
          <w:p>
            <w:pPr>
              <w:pStyle w:val="26"/>
              <w:keepNext w:val="0"/>
              <w:keepLines w:val="0"/>
              <w:pageBreakBefore w:val="0"/>
              <w:kinsoku/>
              <w:wordWrap/>
              <w:overflowPunct/>
              <w:topLinePunct w:val="0"/>
              <w:autoSpaceDE/>
              <w:autoSpaceDN/>
              <w:bidi w:val="0"/>
              <w:adjustRightInd/>
              <w:snapToGrid/>
              <w:spacing w:line="360" w:lineRule="exact"/>
              <w:ind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val="0"/>
                <w:color w:val="auto"/>
                <w:sz w:val="28"/>
                <w:szCs w:val="28"/>
                <w:highlight w:val="none"/>
                <w:lang w:val="en-US" w:eastAsia="zh-CN"/>
              </w:rPr>
              <w:t>注：上述评分中，投标人需提供拟投入人员清单及投入人员评分相关的相关学历、执业、职称等证书复印件，以及人员与投标人签署的劳动合同（截止本项目开标当天合同仍在有效期内）复印件、工作履历。否则不计分。同一人持有不同专业职称证书不重复计分。</w:t>
            </w:r>
          </w:p>
        </w:tc>
        <w:tc>
          <w:tcPr>
            <w:tcW w:w="870" w:type="dxa"/>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bCs/>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37</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2" w:type="dxa"/>
            <w:gridSpan w:val="4"/>
            <w:noWrap/>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合  计</w:t>
            </w:r>
          </w:p>
        </w:tc>
        <w:tc>
          <w:tcPr>
            <w:tcW w:w="870" w:type="dxa"/>
            <w:noWrap/>
            <w:vAlign w:val="center"/>
          </w:tcPr>
          <w:p>
            <w:pPr>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w w:val="85"/>
                <w:kern w:val="0"/>
                <w:sz w:val="28"/>
                <w:szCs w:val="28"/>
                <w:highlight w:val="none"/>
              </w:rPr>
              <w:t>100分</w:t>
            </w:r>
          </w:p>
        </w:tc>
      </w:tr>
    </w:tbl>
    <w:p>
      <w:pPr>
        <w:spacing w:line="360" w:lineRule="auto"/>
        <w:rPr>
          <w:rFonts w:hint="eastAsia" w:ascii="宋体" w:hAnsi="宋体" w:eastAsia="宋体" w:cs="宋体"/>
          <w:color w:val="auto"/>
          <w:sz w:val="21"/>
          <w:szCs w:val="21"/>
          <w:highlight w:val="none"/>
        </w:rPr>
      </w:pPr>
    </w:p>
    <w:p>
      <w:pPr>
        <w:rPr>
          <w:rFonts w:hint="eastAsia" w:ascii="宋体" w:hAnsi="宋体" w:eastAsia="宋体" w:cs="宋体"/>
          <w:color w:val="auto"/>
          <w:highlight w:val="none"/>
        </w:rPr>
      </w:pPr>
    </w:p>
    <w:p>
      <w:pPr>
        <w:ind w:firstLine="210" w:firstLineChars="100"/>
        <w:jc w:val="both"/>
        <w:rPr>
          <w:rFonts w:hint="eastAsia" w:ascii="宋体" w:hAnsi="宋体" w:eastAsia="宋体" w:cs="宋体"/>
          <w:color w:val="auto"/>
          <w:highlight w:val="none"/>
        </w:rPr>
      </w:pPr>
      <w:r>
        <w:rPr>
          <w:rFonts w:hint="eastAsia" w:ascii="宋体" w:hAnsi="宋体" w:eastAsia="宋体" w:cs="宋体"/>
          <w:color w:val="auto"/>
          <w:highlight w:val="none"/>
        </w:rPr>
        <w:t>2.3 落实政府采购政策进行价格调整的规则：</w:t>
      </w:r>
    </w:p>
    <w:tbl>
      <w:tblPr>
        <w:tblStyle w:val="17"/>
        <w:tblW w:w="89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0"/>
        <w:gridCol w:w="3913"/>
        <w:gridCol w:w="2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0" w:type="dxa"/>
            <w:noWrap/>
            <w:vAlign w:val="center"/>
          </w:tcPr>
          <w:p>
            <w:pPr>
              <w:pStyle w:val="25"/>
              <w:widowControl w:val="0"/>
              <w:spacing w:line="440" w:lineRule="exact"/>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政府采购政策</w:t>
            </w:r>
          </w:p>
        </w:tc>
        <w:tc>
          <w:tcPr>
            <w:tcW w:w="3913" w:type="dxa"/>
            <w:noWrap/>
            <w:vAlign w:val="center"/>
          </w:tcPr>
          <w:p>
            <w:pPr>
              <w:pStyle w:val="25"/>
              <w:widowControl w:val="0"/>
              <w:spacing w:line="440" w:lineRule="exact"/>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价格扣除规则</w:t>
            </w:r>
          </w:p>
        </w:tc>
        <w:tc>
          <w:tcPr>
            <w:tcW w:w="2911" w:type="dxa"/>
            <w:noWrap/>
            <w:vAlign w:val="center"/>
          </w:tcPr>
          <w:p>
            <w:pPr>
              <w:pStyle w:val="25"/>
              <w:widowControl w:val="0"/>
              <w:spacing w:line="440" w:lineRule="exact"/>
              <w:jc w:val="center"/>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享受价格扣除的条件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0" w:type="dxa"/>
            <w:noWrap/>
            <w:vAlign w:val="center"/>
          </w:tcPr>
          <w:p>
            <w:pPr>
              <w:pStyle w:val="25"/>
              <w:widowControl w:val="0"/>
              <w:spacing w:line="44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节约能源政策</w:t>
            </w:r>
          </w:p>
        </w:tc>
        <w:tc>
          <w:tcPr>
            <w:tcW w:w="3913" w:type="dxa"/>
            <w:noWrap/>
            <w:vAlign w:val="center"/>
          </w:tcPr>
          <w:p>
            <w:pPr>
              <w:pStyle w:val="25"/>
              <w:widowControl w:val="0"/>
              <w:spacing w:line="44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2911" w:type="dxa"/>
            <w:noWrap/>
            <w:vAlign w:val="center"/>
          </w:tcPr>
          <w:p>
            <w:pPr>
              <w:pStyle w:val="25"/>
              <w:widowControl w:val="0"/>
              <w:spacing w:line="44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0" w:type="dxa"/>
            <w:noWrap/>
            <w:vAlign w:val="center"/>
          </w:tcPr>
          <w:p>
            <w:pPr>
              <w:pStyle w:val="25"/>
              <w:widowControl w:val="0"/>
              <w:spacing w:line="44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保护环境政策</w:t>
            </w:r>
          </w:p>
        </w:tc>
        <w:tc>
          <w:tcPr>
            <w:tcW w:w="3913" w:type="dxa"/>
            <w:noWrap/>
            <w:vAlign w:val="center"/>
          </w:tcPr>
          <w:p>
            <w:pPr>
              <w:pStyle w:val="25"/>
              <w:widowControl w:val="0"/>
              <w:spacing w:line="44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2911" w:type="dxa"/>
            <w:noWrap/>
            <w:vAlign w:val="center"/>
          </w:tcPr>
          <w:p>
            <w:pPr>
              <w:pStyle w:val="25"/>
              <w:widowControl w:val="0"/>
              <w:spacing w:line="440" w:lineRule="exact"/>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140" w:type="dxa"/>
            <w:noWrap/>
            <w:vAlign w:val="center"/>
          </w:tcPr>
          <w:p>
            <w:pPr>
              <w:pStyle w:val="25"/>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促进中小企业</w:t>
            </w:r>
          </w:p>
          <w:p>
            <w:pPr>
              <w:pStyle w:val="25"/>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发展政策</w:t>
            </w:r>
          </w:p>
        </w:tc>
        <w:tc>
          <w:tcPr>
            <w:tcW w:w="3913" w:type="dxa"/>
            <w:noWrap/>
            <w:vAlign w:val="center"/>
          </w:tcPr>
          <w:p>
            <w:pPr>
              <w:spacing w:line="440" w:lineRule="exact"/>
              <w:jc w:val="left"/>
              <w:rPr>
                <w:rFonts w:hint="eastAsia" w:ascii="宋体" w:hAnsi="宋体" w:eastAsia="宋体" w:cs="宋体"/>
                <w:color w:val="auto"/>
                <w:highlight w:val="none"/>
              </w:rPr>
            </w:pPr>
            <w:r>
              <w:rPr>
                <w:rFonts w:hint="eastAsia" w:ascii="宋体" w:hAnsi="宋体" w:eastAsia="宋体" w:cs="宋体"/>
                <w:color w:val="auto"/>
                <w:sz w:val="21"/>
                <w:szCs w:val="21"/>
                <w:highlight w:val="none"/>
              </w:rPr>
              <w:t>本项目为专门面向中小企业采购项目，按照《政府采购促进中小企业发展管理办法》（财库〔2020〕46号）规定，小微企业不再执行价格评审优惠的扶持政策。</w:t>
            </w:r>
          </w:p>
        </w:tc>
        <w:tc>
          <w:tcPr>
            <w:tcW w:w="2911" w:type="dxa"/>
            <w:noWrap/>
            <w:vAlign w:val="center"/>
          </w:tcPr>
          <w:p>
            <w:pPr>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0" w:type="dxa"/>
            <w:noWrap/>
            <w:vAlign w:val="center"/>
          </w:tcPr>
          <w:p>
            <w:pPr>
              <w:pStyle w:val="25"/>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促进残疾人就业政策</w:t>
            </w:r>
          </w:p>
        </w:tc>
        <w:tc>
          <w:tcPr>
            <w:tcW w:w="3913" w:type="dxa"/>
            <w:noWrap/>
            <w:vAlign w:val="center"/>
          </w:tcPr>
          <w:p>
            <w:pPr>
              <w:pStyle w:val="25"/>
              <w:widowControl w:val="0"/>
              <w:spacing w:line="44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本项目为专门面向中小企业采购项目，按照《政府采购促进中小企业发展管理办法》（财库〔2020〕46号）规定，残疾人福利性单位不再执行价格评审优惠的扶持政策。</w:t>
            </w:r>
          </w:p>
        </w:tc>
        <w:tc>
          <w:tcPr>
            <w:tcW w:w="2911" w:type="dxa"/>
            <w:noWrap/>
            <w:vAlign w:val="center"/>
          </w:tcPr>
          <w:p>
            <w:pPr>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40" w:type="dxa"/>
            <w:noWrap/>
            <w:vAlign w:val="center"/>
          </w:tcPr>
          <w:p>
            <w:pPr>
              <w:pStyle w:val="25"/>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支持监狱企业</w:t>
            </w:r>
          </w:p>
          <w:p>
            <w:pPr>
              <w:pStyle w:val="25"/>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发展政策</w:t>
            </w:r>
          </w:p>
        </w:tc>
        <w:tc>
          <w:tcPr>
            <w:tcW w:w="3913" w:type="dxa"/>
            <w:noWrap/>
            <w:vAlign w:val="center"/>
          </w:tcPr>
          <w:p>
            <w:pPr>
              <w:pStyle w:val="25"/>
              <w:widowControl w:val="0"/>
              <w:spacing w:line="44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本项目为专门面向中小企业采购项目，按照《政府采购促进中小企业发展管理办法》（财库〔2020〕46号）规定，监狱企业不再执行价格评审优惠的扶持政策。</w:t>
            </w:r>
          </w:p>
        </w:tc>
        <w:tc>
          <w:tcPr>
            <w:tcW w:w="2911" w:type="dxa"/>
            <w:noWrap/>
            <w:vAlign w:val="center"/>
          </w:tcPr>
          <w:p>
            <w:pPr>
              <w:widowControl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r>
    </w:tbl>
    <w:p>
      <w:pPr>
        <w:pStyle w:val="25"/>
        <w:widowControl w:val="0"/>
        <w:spacing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2.4推荐中标候选人</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2.4.1按评审后得分由高到低顺序排列。得分相同的，按投标报价由低到高顺序排列。得分且投标报价相同的并列。</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2.4.2本采购包推荐中标候选人的数量：</w:t>
      </w:r>
      <w:r>
        <w:rPr>
          <w:rFonts w:hint="eastAsia" w:ascii="宋体" w:hAnsi="宋体" w:eastAsia="宋体" w:cs="宋体"/>
          <w:color w:val="auto"/>
          <w:highlight w:val="none"/>
          <w:u w:val="single"/>
        </w:rPr>
        <w:t>3</w:t>
      </w:r>
      <w:r>
        <w:rPr>
          <w:rFonts w:hint="eastAsia" w:ascii="宋体" w:hAnsi="宋体" w:eastAsia="宋体" w:cs="宋体"/>
          <w:color w:val="auto"/>
          <w:highlight w:val="none"/>
        </w:rPr>
        <w:t>家。</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2.4.3中标人数量：</w:t>
      </w:r>
      <w:r>
        <w:rPr>
          <w:rFonts w:hint="eastAsia" w:ascii="宋体" w:hAnsi="宋体" w:eastAsia="宋体" w:cs="宋体"/>
          <w:color w:val="auto"/>
          <w:highlight w:val="none"/>
          <w:u w:val="single"/>
        </w:rPr>
        <w:t>1</w:t>
      </w:r>
      <w:r>
        <w:rPr>
          <w:rFonts w:hint="eastAsia" w:ascii="宋体" w:hAnsi="宋体" w:eastAsia="宋体" w:cs="宋体"/>
          <w:color w:val="auto"/>
          <w:highlight w:val="none"/>
        </w:rPr>
        <w:t>家。</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中标候选人并列的，按照</w:t>
      </w:r>
      <w:r>
        <w:rPr>
          <w:rFonts w:hint="eastAsia" w:ascii="宋体" w:hAnsi="宋体" w:eastAsia="宋体" w:cs="宋体"/>
          <w:color w:val="auto"/>
          <w:highlight w:val="none"/>
          <w:u w:val="single"/>
        </w:rPr>
        <w:t>技术指标优劣顺序排列</w:t>
      </w:r>
      <w:r>
        <w:rPr>
          <w:rFonts w:hint="eastAsia" w:ascii="宋体" w:hAnsi="宋体" w:eastAsia="宋体" w:cs="宋体"/>
          <w:color w:val="auto"/>
          <w:highlight w:val="none"/>
        </w:rPr>
        <w:t>的方式确定中标人。</w:t>
      </w:r>
    </w:p>
    <w:p>
      <w:pPr>
        <w:jc w:val="left"/>
        <w:rPr>
          <w:rFonts w:hint="eastAsia" w:ascii="宋体" w:hAnsi="宋体" w:eastAsia="宋体" w:cs="宋体"/>
          <w:color w:val="auto"/>
          <w:highlight w:val="none"/>
        </w:rPr>
        <w:sectPr>
          <w:pgSz w:w="11906" w:h="16838"/>
          <w:pgMar w:top="1417" w:right="1417" w:bottom="1417" w:left="1417" w:header="851" w:footer="992" w:gutter="0"/>
          <w:cols w:space="720" w:num="1"/>
          <w:titlePg/>
          <w:docGrid w:type="lines" w:linePitch="312" w:charSpace="0"/>
        </w:sectPr>
      </w:pPr>
    </w:p>
    <w:p>
      <w:pPr>
        <w:pStyle w:val="4"/>
        <w:rPr>
          <w:rFonts w:hint="eastAsia" w:ascii="宋体" w:hAnsi="宋体" w:eastAsia="宋体" w:cs="宋体"/>
          <w:color w:val="auto"/>
          <w:highlight w:val="none"/>
        </w:rPr>
      </w:pPr>
      <w:bookmarkStart w:id="67" w:name="_Toc1484421284"/>
      <w:bookmarkStart w:id="68" w:name="_Toc614538032"/>
      <w:bookmarkStart w:id="69" w:name="_Toc132880283"/>
      <w:bookmarkStart w:id="70" w:name="_Toc1406510925"/>
      <w:bookmarkStart w:id="71" w:name="_Toc2570"/>
      <w:bookmarkStart w:id="72" w:name="_Toc353483817"/>
      <w:bookmarkStart w:id="73" w:name="_Toc1505390621"/>
      <w:bookmarkStart w:id="74" w:name="_Toc525052847"/>
      <w:bookmarkStart w:id="75" w:name="_Toc38030150"/>
      <w:bookmarkStart w:id="76" w:name="_Toc1914430521"/>
      <w:r>
        <w:rPr>
          <w:rFonts w:hint="eastAsia" w:ascii="宋体" w:hAnsi="宋体" w:eastAsia="宋体" w:cs="宋体"/>
          <w:color w:val="auto"/>
          <w:highlight w:val="none"/>
        </w:rPr>
        <w:t>第四章  政府采购合同文本</w:t>
      </w:r>
      <w:bookmarkEnd w:id="67"/>
      <w:bookmarkEnd w:id="68"/>
      <w:bookmarkEnd w:id="69"/>
      <w:bookmarkEnd w:id="70"/>
      <w:bookmarkEnd w:id="71"/>
      <w:bookmarkEnd w:id="72"/>
      <w:bookmarkEnd w:id="73"/>
      <w:bookmarkEnd w:id="74"/>
      <w:bookmarkEnd w:id="75"/>
      <w:bookmarkEnd w:id="76"/>
    </w:p>
    <w:p>
      <w:pPr>
        <w:pStyle w:val="9"/>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合同封面</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 xml:space="preserve">                  中小企业预留合同：□是 □ 否</w:t>
      </w:r>
    </w:p>
    <w:p>
      <w:pPr>
        <w:pStyle w:val="9"/>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合  同  类  别：服务类</w:t>
      </w:r>
    </w:p>
    <w:p>
      <w:pPr>
        <w:rPr>
          <w:rFonts w:hint="eastAsia" w:ascii="宋体" w:hAnsi="宋体" w:eastAsia="宋体" w:cs="宋体"/>
          <w:color w:val="auto"/>
          <w:highlight w:val="none"/>
        </w:rPr>
      </w:pPr>
    </w:p>
    <w:p>
      <w:pPr>
        <w:pStyle w:val="9"/>
        <w:jc w:val="center"/>
        <w:rPr>
          <w:rFonts w:hint="eastAsia" w:ascii="宋体" w:hAnsi="宋体" w:eastAsia="宋体" w:cs="宋体"/>
          <w:b/>
          <w:color w:val="auto"/>
          <w:sz w:val="44"/>
          <w:szCs w:val="44"/>
          <w:highlight w:val="none"/>
        </w:rPr>
      </w:pPr>
    </w:p>
    <w:p>
      <w:pPr>
        <w:pStyle w:val="9"/>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 府 采 购 合 同</w:t>
      </w:r>
    </w:p>
    <w:p>
      <w:pPr>
        <w:pStyle w:val="9"/>
        <w:ind w:firstLine="560" w:firstLineChars="200"/>
        <w:jc w:val="center"/>
        <w:rPr>
          <w:rFonts w:hint="eastAsia" w:ascii="宋体" w:hAnsi="宋体" w:eastAsia="宋体" w:cs="宋体"/>
          <w:color w:val="auto"/>
          <w:sz w:val="28"/>
          <w:szCs w:val="28"/>
          <w:highlight w:val="none"/>
        </w:rPr>
      </w:pPr>
    </w:p>
    <w:p>
      <w:pPr>
        <w:pStyle w:val="9"/>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度</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pPr>
        <w:jc w:val="center"/>
        <w:rPr>
          <w:rFonts w:hint="eastAsia" w:ascii="宋体" w:hAnsi="宋体" w:eastAsia="宋体" w:cs="宋体"/>
          <w:bCs/>
          <w:color w:val="auto"/>
          <w:sz w:val="32"/>
          <w:szCs w:val="32"/>
          <w:highlight w:val="none"/>
        </w:rPr>
      </w:pPr>
    </w:p>
    <w:p>
      <w:pPr>
        <w:tabs>
          <w:tab w:val="left" w:pos="540"/>
          <w:tab w:val="left" w:pos="1080"/>
          <w:tab w:val="left" w:pos="1440"/>
        </w:tabs>
        <w:snapToGrid w:val="0"/>
        <w:rPr>
          <w:rFonts w:hint="eastAsia" w:ascii="宋体" w:hAnsi="宋体" w:eastAsia="宋体" w:cs="宋体"/>
          <w:color w:val="auto"/>
          <w:sz w:val="32"/>
          <w:szCs w:val="32"/>
          <w:highlight w:val="none"/>
        </w:rPr>
      </w:pPr>
    </w:p>
    <w:p>
      <w:pPr>
        <w:tabs>
          <w:tab w:val="left" w:pos="540"/>
          <w:tab w:val="left" w:pos="1080"/>
          <w:tab w:val="left" w:pos="1440"/>
        </w:tabs>
        <w:snapToGrid w:val="0"/>
        <w:rPr>
          <w:rFonts w:hint="eastAsia" w:ascii="宋体" w:hAnsi="宋体" w:eastAsia="宋体" w:cs="宋体"/>
          <w:color w:val="auto"/>
          <w:sz w:val="32"/>
          <w:szCs w:val="32"/>
          <w:highlight w:val="none"/>
        </w:rPr>
      </w:pPr>
    </w:p>
    <w:p>
      <w:pPr>
        <w:topLinePunct w:val="0"/>
        <w:snapToGrid/>
        <w:spacing w:line="360" w:lineRule="auto"/>
        <w:ind w:left="2883" w:leftChars="608" w:hanging="1606" w:hangingChars="500"/>
        <w:jc w:val="left"/>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lang w:eastAsia="zh-CN"/>
        </w:rPr>
        <w:t>国家税务总局贵港市税务局2025年物业管理服务项目</w:t>
      </w:r>
    </w:p>
    <w:p>
      <w:pPr>
        <w:topLinePunct w:val="0"/>
        <w:snapToGrid/>
        <w:spacing w:line="360" w:lineRule="auto"/>
        <w:ind w:left="1919" w:leftChars="914" w:firstLine="1285" w:firstLineChars="400"/>
        <w:jc w:val="left"/>
        <w:outlineLvl w:val="0"/>
        <w:rPr>
          <w:rFonts w:hint="eastAsia" w:ascii="宋体" w:hAnsi="宋体" w:eastAsia="宋体" w:cs="宋体"/>
          <w:b/>
          <w:color w:val="auto"/>
          <w:sz w:val="32"/>
          <w:szCs w:val="32"/>
          <w:highlight w:val="none"/>
        </w:rPr>
      </w:pPr>
    </w:p>
    <w:p>
      <w:pPr>
        <w:tabs>
          <w:tab w:val="left" w:pos="540"/>
          <w:tab w:val="left" w:pos="1080"/>
          <w:tab w:val="left" w:pos="1440"/>
        </w:tabs>
        <w:snapToGrid w:val="0"/>
        <w:spacing w:line="500" w:lineRule="exact"/>
        <w:ind w:firstLine="1606" w:firstLineChars="5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包     号：</w:t>
      </w:r>
    </w:p>
    <w:p>
      <w:pPr>
        <w:tabs>
          <w:tab w:val="left" w:pos="540"/>
          <w:tab w:val="left" w:pos="1080"/>
          <w:tab w:val="left" w:pos="1440"/>
        </w:tabs>
        <w:snapToGrid w:val="0"/>
        <w:spacing w:line="500" w:lineRule="exact"/>
        <w:ind w:firstLine="1606" w:firstLineChars="5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合同编号：</w:t>
      </w:r>
    </w:p>
    <w:p>
      <w:pPr>
        <w:tabs>
          <w:tab w:val="left" w:pos="2160"/>
        </w:tabs>
        <w:topLinePunct/>
        <w:snapToGrid w:val="0"/>
        <w:spacing w:line="360" w:lineRule="auto"/>
        <w:ind w:left="2564" w:leftChars="456" w:hanging="1606" w:hangingChars="500"/>
        <w:rPr>
          <w:rFonts w:hint="eastAsia" w:ascii="宋体" w:hAnsi="宋体" w:eastAsia="宋体" w:cs="宋体"/>
          <w:b/>
          <w:color w:val="auto"/>
          <w:sz w:val="32"/>
          <w:szCs w:val="32"/>
          <w:highlight w:val="none"/>
        </w:rPr>
      </w:pPr>
    </w:p>
    <w:p>
      <w:pPr>
        <w:widowControl w:val="0"/>
        <w:spacing w:line="460" w:lineRule="exact"/>
        <w:rPr>
          <w:rFonts w:hint="eastAsia" w:ascii="宋体" w:hAnsi="宋体" w:eastAsia="宋体" w:cs="宋体"/>
          <w:b/>
          <w:color w:val="auto"/>
          <w:sz w:val="52"/>
          <w:highlight w:val="none"/>
        </w:rPr>
      </w:pPr>
    </w:p>
    <w:p>
      <w:pPr>
        <w:widowControl w:val="0"/>
        <w:tabs>
          <w:tab w:val="left" w:pos="3045"/>
        </w:tabs>
        <w:spacing w:line="460" w:lineRule="exact"/>
        <w:jc w:val="both"/>
        <w:rPr>
          <w:rFonts w:hint="eastAsia" w:ascii="宋体" w:hAnsi="宋体" w:eastAsia="宋体" w:cs="宋体"/>
          <w:b/>
          <w:color w:val="auto"/>
          <w:sz w:val="32"/>
          <w:highlight w:val="none"/>
        </w:rPr>
      </w:pPr>
      <w:r>
        <w:rPr>
          <w:rFonts w:hint="eastAsia" w:ascii="宋体" w:hAnsi="宋体" w:eastAsia="宋体" w:cs="宋体"/>
          <w:b/>
          <w:color w:val="auto"/>
          <w:sz w:val="32"/>
          <w:highlight w:val="none"/>
        </w:rPr>
        <w:tab/>
      </w:r>
    </w:p>
    <w:p>
      <w:pPr>
        <w:widowControl w:val="0"/>
        <w:spacing w:line="460" w:lineRule="exact"/>
        <w:jc w:val="both"/>
        <w:rPr>
          <w:rFonts w:hint="eastAsia" w:ascii="宋体" w:hAnsi="宋体" w:eastAsia="宋体" w:cs="宋体"/>
          <w:b/>
          <w:color w:val="auto"/>
          <w:sz w:val="52"/>
          <w:highlight w:val="none"/>
        </w:rPr>
      </w:pPr>
    </w:p>
    <w:p>
      <w:pPr>
        <w:widowControl w:val="0"/>
        <w:spacing w:line="460" w:lineRule="exact"/>
        <w:rPr>
          <w:rFonts w:hint="eastAsia" w:ascii="宋体" w:hAnsi="宋体" w:eastAsia="宋体" w:cs="宋体"/>
          <w:b/>
          <w:color w:val="auto"/>
          <w:sz w:val="52"/>
          <w:highlight w:val="none"/>
        </w:rPr>
      </w:pPr>
    </w:p>
    <w:p>
      <w:pPr>
        <w:spacing w:line="300" w:lineRule="auto"/>
        <w:ind w:left="840" w:leftChars="400" w:firstLine="2262" w:firstLineChars="939"/>
        <w:jc w:val="both"/>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甲    方：</w:t>
      </w:r>
      <w:r>
        <w:rPr>
          <w:rFonts w:hint="eastAsia" w:ascii="宋体" w:hAnsi="宋体" w:eastAsia="宋体" w:cs="宋体"/>
          <w:b/>
          <w:bCs w:val="0"/>
          <w:color w:val="auto"/>
          <w:sz w:val="24"/>
          <w:szCs w:val="24"/>
          <w:highlight w:val="none"/>
          <w:u w:val="single"/>
          <w:lang w:eastAsia="zh-CN"/>
        </w:rPr>
        <w:t>国家税务总局贵港市税务局</w:t>
      </w:r>
    </w:p>
    <w:p>
      <w:pPr>
        <w:spacing w:line="300" w:lineRule="auto"/>
        <w:ind w:firstLine="3132" w:firstLineChars="1300"/>
        <w:jc w:val="both"/>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rPr>
        <w:t xml:space="preserve">乙    方： </w:t>
      </w:r>
      <w:r>
        <w:rPr>
          <w:rFonts w:hint="eastAsia" w:ascii="宋体" w:hAnsi="宋体" w:eastAsia="宋体" w:cs="宋体"/>
          <w:b/>
          <w:bCs w:val="0"/>
          <w:color w:val="auto"/>
          <w:sz w:val="24"/>
          <w:szCs w:val="24"/>
          <w:highlight w:val="none"/>
          <w:u w:val="single"/>
        </w:rPr>
        <w:t xml:space="preserve">                     </w:t>
      </w:r>
    </w:p>
    <w:p>
      <w:pPr>
        <w:spacing w:line="300" w:lineRule="auto"/>
        <w:ind w:firstLine="3132" w:firstLineChars="1300"/>
        <w:jc w:val="both"/>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rPr>
        <w:t xml:space="preserve">日    期： </w:t>
      </w:r>
      <w:r>
        <w:rPr>
          <w:rFonts w:hint="eastAsia" w:ascii="宋体" w:hAnsi="宋体" w:eastAsia="宋体" w:cs="宋体"/>
          <w:b/>
          <w:bCs w:val="0"/>
          <w:color w:val="auto"/>
          <w:sz w:val="24"/>
          <w:szCs w:val="24"/>
          <w:highlight w:val="none"/>
          <w:u w:val="single"/>
        </w:rPr>
        <w:t xml:space="preserve">        年    月   日</w:t>
      </w:r>
    </w:p>
    <w:p>
      <w:pPr>
        <w:pStyle w:val="9"/>
        <w:rPr>
          <w:rFonts w:hint="eastAsia" w:ascii="宋体" w:hAnsi="宋体" w:eastAsia="宋体" w:cs="宋体"/>
          <w:color w:val="auto"/>
          <w:highlight w:val="none"/>
        </w:rPr>
      </w:pPr>
    </w:p>
    <w:p>
      <w:pPr>
        <w:spacing w:line="300" w:lineRule="auto"/>
        <w:ind w:firstLine="1686" w:firstLineChars="600"/>
        <w:jc w:val="left"/>
        <w:rPr>
          <w:rFonts w:hint="eastAsia" w:ascii="宋体" w:hAnsi="宋体" w:eastAsia="宋体" w:cs="宋体"/>
          <w:b/>
          <w:color w:val="auto"/>
          <w:sz w:val="28"/>
          <w:highlight w:val="none"/>
          <w:u w:val="none"/>
        </w:rPr>
      </w:pPr>
      <w:r>
        <w:rPr>
          <w:rFonts w:hint="eastAsia" w:ascii="宋体" w:hAnsi="宋体" w:eastAsia="宋体" w:cs="宋体"/>
          <w:b/>
          <w:color w:val="auto"/>
          <w:sz w:val="28"/>
          <w:highlight w:val="none"/>
          <w:u w:val="none"/>
        </w:rPr>
        <w:t xml:space="preserve">  </w:t>
      </w:r>
    </w:p>
    <w:p>
      <w:pPr>
        <w:rPr>
          <w:rFonts w:hint="eastAsia" w:ascii="宋体" w:hAnsi="宋体" w:eastAsia="宋体" w:cs="宋体"/>
          <w:b/>
          <w:bCs w:val="0"/>
          <w:color w:val="auto"/>
          <w:sz w:val="32"/>
          <w:szCs w:val="32"/>
          <w:highlight w:val="none"/>
        </w:rPr>
      </w:pPr>
      <w:r>
        <w:rPr>
          <w:rFonts w:hint="eastAsia" w:ascii="宋体" w:hAnsi="宋体" w:eastAsia="宋体" w:cs="宋体"/>
          <w:color w:val="auto"/>
          <w:sz w:val="28"/>
          <w:szCs w:val="28"/>
          <w:highlight w:val="none"/>
          <w:u w:val="single"/>
        </w:rPr>
        <w:br w:type="page"/>
      </w:r>
      <w:r>
        <w:rPr>
          <w:rFonts w:hint="eastAsia" w:ascii="宋体" w:hAnsi="宋体" w:eastAsia="宋体" w:cs="宋体"/>
          <w:b/>
          <w:bCs w:val="0"/>
          <w:color w:val="auto"/>
          <w:sz w:val="32"/>
          <w:szCs w:val="32"/>
          <w:highlight w:val="none"/>
        </w:rPr>
        <w:t>合同条款前附表</w:t>
      </w:r>
    </w:p>
    <w:tbl>
      <w:tblPr>
        <w:tblStyle w:val="17"/>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8288" w:type="dxa"/>
            <w:gridSpan w:val="3"/>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65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合同名称</w:t>
            </w:r>
          </w:p>
        </w:tc>
        <w:tc>
          <w:tcPr>
            <w:tcW w:w="6379" w:type="dxa"/>
            <w:noWrap/>
            <w:vAlign w:val="center"/>
          </w:tcPr>
          <w:p>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国家税务总局贵港市税务局2025年物业管理服务项目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合同编号</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合同类型</w:t>
            </w:r>
          </w:p>
        </w:tc>
        <w:tc>
          <w:tcPr>
            <w:tcW w:w="6379" w:type="dxa"/>
            <w:noWrap/>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定价方式</w:t>
            </w:r>
          </w:p>
        </w:tc>
        <w:tc>
          <w:tcPr>
            <w:tcW w:w="6379" w:type="dxa"/>
            <w:noWrap/>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甲方名称</w:t>
            </w:r>
          </w:p>
        </w:tc>
        <w:tc>
          <w:tcPr>
            <w:tcW w:w="6379" w:type="dxa"/>
            <w:noWrap/>
            <w:vAlign w:val="center"/>
          </w:tcPr>
          <w:p>
            <w:pPr>
              <w:rPr>
                <w:rFonts w:hint="eastAsia" w:ascii="宋体" w:hAnsi="宋体" w:eastAsia="宋体" w:cs="宋体"/>
                <w:color w:val="auto"/>
                <w:highlight w:val="none"/>
                <w:lang w:eastAsia="zh-CN"/>
              </w:rPr>
            </w:pPr>
            <w:bookmarkStart w:id="77" w:name="_Toc31164"/>
            <w:r>
              <w:rPr>
                <w:rFonts w:hint="eastAsia" w:ascii="宋体" w:hAnsi="宋体" w:eastAsia="宋体" w:cs="宋体"/>
                <w:color w:val="auto"/>
                <w:highlight w:val="none"/>
                <w:lang w:eastAsia="zh-CN"/>
              </w:rPr>
              <w:t>国家税务总局贵港市税务局</w:t>
            </w:r>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甲方地址</w:t>
            </w:r>
          </w:p>
        </w:tc>
        <w:tc>
          <w:tcPr>
            <w:tcW w:w="6379" w:type="dxa"/>
            <w:noWrap/>
            <w:vAlign w:val="center"/>
          </w:tcPr>
          <w:p>
            <w:pPr>
              <w:rPr>
                <w:rFonts w:hint="eastAsia" w:ascii="宋体" w:hAnsi="宋体" w:eastAsia="宋体" w:cs="宋体"/>
                <w:color w:val="auto"/>
                <w:highlight w:val="none"/>
                <w:lang w:val="en-US"/>
              </w:rPr>
            </w:pPr>
            <w:r>
              <w:rPr>
                <w:rFonts w:hint="eastAsia" w:ascii="宋体" w:hAnsi="宋体" w:eastAsia="宋体" w:cs="宋体"/>
                <w:color w:val="auto"/>
                <w:highlight w:val="none"/>
                <w:lang w:eastAsia="zh-CN"/>
              </w:rPr>
              <w:t>贵港市港北区荷城路</w:t>
            </w:r>
            <w:r>
              <w:rPr>
                <w:rFonts w:hint="eastAsia" w:ascii="宋体" w:hAnsi="宋体" w:eastAsia="宋体" w:cs="宋体"/>
                <w:color w:val="auto"/>
                <w:highlight w:val="none"/>
                <w:lang w:val="en-US" w:eastAsia="zh-CN"/>
              </w:rPr>
              <w:t>1130号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409" w:type="dxa"/>
            <w:vMerge w:val="restart"/>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甲方相关部门</w:t>
            </w:r>
          </w:p>
        </w:tc>
        <w:tc>
          <w:tcPr>
            <w:tcW w:w="1500"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甲方采购部门</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409" w:type="dxa"/>
            <w:vMerge w:val="continue"/>
            <w:noWrap/>
            <w:vAlign w:val="center"/>
          </w:tcPr>
          <w:p>
            <w:pPr>
              <w:rPr>
                <w:rFonts w:hint="eastAsia" w:ascii="宋体" w:hAnsi="宋体" w:eastAsia="宋体" w:cs="宋体"/>
                <w:color w:val="auto"/>
                <w:highlight w:val="none"/>
              </w:rPr>
            </w:pPr>
          </w:p>
        </w:tc>
        <w:tc>
          <w:tcPr>
            <w:tcW w:w="1500"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409" w:type="dxa"/>
            <w:vMerge w:val="continue"/>
            <w:noWrap/>
            <w:vAlign w:val="center"/>
          </w:tcPr>
          <w:p>
            <w:pPr>
              <w:rPr>
                <w:rFonts w:hint="eastAsia" w:ascii="宋体" w:hAnsi="宋体" w:eastAsia="宋体" w:cs="宋体"/>
                <w:color w:val="auto"/>
                <w:highlight w:val="none"/>
              </w:rPr>
            </w:pPr>
          </w:p>
        </w:tc>
        <w:tc>
          <w:tcPr>
            <w:tcW w:w="1500"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联系电话</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409" w:type="dxa"/>
            <w:vMerge w:val="continue"/>
            <w:noWrap/>
            <w:vAlign w:val="center"/>
          </w:tcPr>
          <w:p>
            <w:pPr>
              <w:rPr>
                <w:rFonts w:hint="eastAsia" w:ascii="宋体" w:hAnsi="宋体" w:eastAsia="宋体" w:cs="宋体"/>
                <w:color w:val="auto"/>
                <w:highlight w:val="none"/>
              </w:rPr>
            </w:pPr>
          </w:p>
        </w:tc>
        <w:tc>
          <w:tcPr>
            <w:tcW w:w="1500"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甲方需求部门</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409" w:type="dxa"/>
            <w:vMerge w:val="continue"/>
            <w:noWrap/>
            <w:vAlign w:val="center"/>
          </w:tcPr>
          <w:p>
            <w:pPr>
              <w:rPr>
                <w:rFonts w:hint="eastAsia" w:ascii="宋体" w:hAnsi="宋体" w:eastAsia="宋体" w:cs="宋体"/>
                <w:color w:val="auto"/>
                <w:highlight w:val="none"/>
              </w:rPr>
            </w:pPr>
          </w:p>
        </w:tc>
        <w:tc>
          <w:tcPr>
            <w:tcW w:w="1500"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409" w:type="dxa"/>
            <w:vMerge w:val="continue"/>
            <w:noWrap/>
            <w:vAlign w:val="center"/>
          </w:tcPr>
          <w:p>
            <w:pPr>
              <w:rPr>
                <w:rFonts w:hint="eastAsia" w:ascii="宋体" w:hAnsi="宋体" w:eastAsia="宋体" w:cs="宋体"/>
                <w:color w:val="auto"/>
                <w:highlight w:val="none"/>
              </w:rPr>
            </w:pPr>
          </w:p>
        </w:tc>
        <w:tc>
          <w:tcPr>
            <w:tcW w:w="1500"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联系电话</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乙方名称</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655" w:type="dxa"/>
            <w:vMerge w:val="continue"/>
            <w:noWrap/>
            <w:vAlign w:val="center"/>
          </w:tcPr>
          <w:p>
            <w:pPr>
              <w:rPr>
                <w:rFonts w:hint="eastAsia" w:ascii="宋体" w:hAnsi="宋体" w:eastAsia="宋体" w:cs="宋体"/>
                <w:color w:val="auto"/>
                <w:highlight w:val="none"/>
              </w:rPr>
            </w:pP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乙方企业性质</w:t>
            </w:r>
          </w:p>
        </w:tc>
        <w:tc>
          <w:tcPr>
            <w:tcW w:w="6379"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中型企业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小型企业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微型企业    </w:t>
            </w:r>
          </w:p>
          <w:p>
            <w:pPr>
              <w:rPr>
                <w:rFonts w:hint="eastAsia" w:ascii="宋体" w:hAnsi="宋体" w:eastAsia="宋体" w:cs="宋体"/>
                <w:color w:val="auto"/>
                <w:highlight w:val="none"/>
              </w:rPr>
            </w:pP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监狱企业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残疾人福利性单位    </w:t>
            </w:r>
            <w:r>
              <w:rPr>
                <w:rFonts w:hint="eastAsia" w:ascii="宋体" w:hAnsi="宋体" w:eastAsia="宋体" w:cs="宋体"/>
                <w:color w:val="auto"/>
                <w:highlight w:val="none"/>
              </w:rPr>
              <w:sym w:font="Wingdings 2" w:char="00A3"/>
            </w:r>
            <w:r>
              <w:rPr>
                <w:rFonts w:hint="eastAsia" w:ascii="宋体" w:hAnsi="宋体" w:eastAsia="宋体" w:cs="宋体"/>
                <w:color w:val="auto"/>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乙方地址</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乙方联系人</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联系电话</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传真</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1909" w:type="dxa"/>
            <w:gridSpan w:val="2"/>
            <w:noWrap/>
            <w:vAlign w:val="center"/>
          </w:tcPr>
          <w:p>
            <w:pPr>
              <w:tabs>
                <w:tab w:val="left" w:pos="700"/>
              </w:tabs>
              <w:adjustRightInd w:val="0"/>
              <w:snapToGrid w:val="0"/>
              <w:spacing w:line="380" w:lineRule="exact"/>
              <w:jc w:val="center"/>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开户银行名称</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ign w:val="center"/>
          </w:tcPr>
          <w:p>
            <w:pPr>
              <w:rPr>
                <w:rFonts w:hint="eastAsia" w:ascii="宋体" w:hAnsi="宋体" w:eastAsia="宋体" w:cs="宋体"/>
                <w:color w:val="auto"/>
                <w:highlight w:val="none"/>
              </w:rPr>
            </w:pPr>
          </w:p>
        </w:tc>
        <w:tc>
          <w:tcPr>
            <w:tcW w:w="1909" w:type="dxa"/>
            <w:gridSpan w:val="2"/>
            <w:noWrap/>
            <w:vAlign w:val="center"/>
          </w:tcPr>
          <w:p>
            <w:pPr>
              <w:tabs>
                <w:tab w:val="left" w:pos="700"/>
              </w:tabs>
              <w:adjustRightInd w:val="0"/>
              <w:snapToGrid w:val="0"/>
              <w:spacing w:line="38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银行账号</w:t>
            </w:r>
          </w:p>
        </w:tc>
        <w:tc>
          <w:tcPr>
            <w:tcW w:w="6379"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w:t>
            </w:r>
            <w:r>
              <w:rPr>
                <w:rFonts w:hint="eastAsia" w:ascii="宋体" w:hAnsi="宋体" w:eastAsia="宋体" w:cs="宋体"/>
                <w:color w:val="auto"/>
                <w:highlight w:val="none"/>
                <w:lang w:eastAsia="zh-CN"/>
              </w:rPr>
              <w:t>总</w:t>
            </w:r>
            <w:r>
              <w:rPr>
                <w:rFonts w:hint="eastAsia" w:ascii="宋体" w:hAnsi="宋体" w:eastAsia="宋体" w:cs="宋体"/>
                <w:color w:val="auto"/>
                <w:highlight w:val="none"/>
              </w:rPr>
              <w:t>金额</w:t>
            </w:r>
          </w:p>
        </w:tc>
        <w:tc>
          <w:tcPr>
            <w:tcW w:w="6379" w:type="dxa"/>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人民币</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 xml:space="preserve">大写）           </w:t>
            </w:r>
            <w:r>
              <w:rPr>
                <w:rFonts w:hint="eastAsia" w:ascii="宋体" w:hAnsi="宋体" w:eastAsia="宋体" w:cs="宋体"/>
                <w:color w:val="auto"/>
                <w:highlight w:val="none"/>
              </w:rPr>
              <w:t>元整（¥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655" w:type="dxa"/>
            <w:noWrap/>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服务内容</w:t>
            </w:r>
          </w:p>
        </w:tc>
        <w:tc>
          <w:tcPr>
            <w:tcW w:w="6379" w:type="dxa"/>
            <w:noWrap/>
            <w:vAlign w:val="center"/>
          </w:tcPr>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国家税务总局贵港市税务局2025年物业管理服务</w:t>
            </w:r>
            <w:r>
              <w:rPr>
                <w:rFonts w:hint="eastAsia" w:ascii="宋体" w:hAnsi="宋体" w:eastAsia="宋体" w:cs="宋体"/>
                <w:color w:val="auto"/>
                <w:highlight w:val="none"/>
                <w:lang w:val="en-US" w:eastAsia="zh-CN"/>
              </w:rPr>
              <w:t>包括</w:t>
            </w:r>
            <w:r>
              <w:rPr>
                <w:rFonts w:hint="eastAsia" w:ascii="宋体" w:hAnsi="宋体" w:eastAsia="宋体" w:cs="宋体"/>
                <w:color w:val="auto"/>
                <w:highlight w:val="none"/>
                <w:lang w:eastAsia="zh-CN"/>
              </w:rPr>
              <w:t>荷城办公区、金港办公区、东森小区办公楼的综合服务、给排水系统维护、保洁服务、绿化服务、秩序维护服务、应急管理等</w:t>
            </w:r>
            <w:r>
              <w:rPr>
                <w:rFonts w:hint="eastAsia" w:ascii="宋体" w:hAnsi="宋体" w:eastAsia="宋体" w:cs="宋体"/>
                <w:color w:val="auto"/>
                <w:highlight w:val="none"/>
                <w:lang w:val="en-US" w:eastAsia="zh-CN"/>
              </w:rPr>
              <w:t>各项工作</w:t>
            </w:r>
            <w:r>
              <w:rPr>
                <w:rFonts w:hint="eastAsia" w:ascii="宋体" w:hAnsi="宋体" w:eastAsia="宋体" w:cs="宋体"/>
                <w:color w:val="auto"/>
                <w:highlight w:val="none"/>
              </w:rPr>
              <w:t>。具体要求详见本项目招标文件。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55" w:type="dxa"/>
            <w:noWrap/>
            <w:vAlign w:val="center"/>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szCs w:val="21"/>
                <w:highlight w:val="none"/>
              </w:rPr>
              <w:t>合同付款</w:t>
            </w:r>
          </w:p>
        </w:tc>
        <w:tc>
          <w:tcPr>
            <w:tcW w:w="6379" w:type="dxa"/>
            <w:noWrap/>
            <w:vAlign w:val="center"/>
          </w:tcPr>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1.甲方采取</w:t>
            </w:r>
            <w:r>
              <w:rPr>
                <w:rFonts w:hint="eastAsia" w:ascii="宋体" w:hAnsi="宋体" w:eastAsia="宋体" w:cs="宋体"/>
                <w:color w:val="auto"/>
                <w:highlight w:val="none"/>
              </w:rPr>
              <w:t>每月定期</w:t>
            </w:r>
            <w:r>
              <w:rPr>
                <w:rFonts w:hint="eastAsia" w:ascii="宋体" w:hAnsi="宋体" w:eastAsia="宋体" w:cs="宋体"/>
                <w:color w:val="auto"/>
                <w:highlight w:val="none"/>
                <w:lang w:eastAsia="zh-CN"/>
              </w:rPr>
              <w:t>及</w:t>
            </w:r>
            <w:r>
              <w:rPr>
                <w:rFonts w:hint="eastAsia" w:ascii="宋体" w:hAnsi="宋体" w:eastAsia="宋体" w:cs="宋体"/>
                <w:color w:val="auto"/>
                <w:highlight w:val="none"/>
              </w:rPr>
              <w:t>不定期方式对</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进行考核。</w:t>
            </w:r>
          </w:p>
          <w:p>
            <w:pPr>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2.甲方</w:t>
            </w:r>
            <w:r>
              <w:rPr>
                <w:rFonts w:hint="eastAsia" w:ascii="宋体" w:hAnsi="宋体" w:eastAsia="宋体" w:cs="宋体"/>
                <w:color w:val="auto"/>
                <w:highlight w:val="none"/>
              </w:rPr>
              <w:t>于每月</w:t>
            </w:r>
            <w:r>
              <w:rPr>
                <w:rFonts w:hint="eastAsia" w:ascii="宋体" w:hAnsi="宋体" w:eastAsia="宋体" w:cs="宋体"/>
                <w:color w:val="auto"/>
                <w:highlight w:val="none"/>
                <w:lang w:eastAsia="zh-CN"/>
              </w:rPr>
              <w:t>末最后</w:t>
            </w:r>
            <w:r>
              <w:rPr>
                <w:rFonts w:hint="eastAsia" w:ascii="宋体" w:hAnsi="宋体" w:eastAsia="宋体" w:cs="宋体"/>
                <w:color w:val="auto"/>
                <w:highlight w:val="none"/>
              </w:rPr>
              <w:t>一个工作日对本月物业服务进行定期考核</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考核</w:t>
            </w:r>
            <w:r>
              <w:rPr>
                <w:rFonts w:hint="eastAsia" w:ascii="宋体" w:hAnsi="宋体" w:eastAsia="宋体" w:cs="宋体"/>
                <w:color w:val="auto"/>
                <w:highlight w:val="none"/>
                <w:lang w:eastAsia="zh-CN"/>
              </w:rPr>
              <w:t>结论分</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优</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良</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中</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差</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四档。其中：</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优</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为总分</w:t>
            </w:r>
            <w:r>
              <w:rPr>
                <w:rFonts w:hint="eastAsia" w:ascii="宋体" w:hAnsi="宋体" w:eastAsia="宋体" w:cs="宋体"/>
                <w:color w:val="auto"/>
                <w:highlight w:val="none"/>
                <w:lang w:eastAsia="zh-CN"/>
              </w:rPr>
              <w:t>达</w:t>
            </w:r>
            <w:r>
              <w:rPr>
                <w:rFonts w:hint="eastAsia" w:ascii="宋体" w:hAnsi="宋体" w:eastAsia="宋体" w:cs="宋体"/>
                <w:color w:val="auto"/>
                <w:highlight w:val="none"/>
              </w:rPr>
              <w:t>95分以上</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良</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为总分</w:t>
            </w:r>
            <w:r>
              <w:rPr>
                <w:rFonts w:hint="eastAsia" w:ascii="宋体" w:hAnsi="宋体" w:eastAsia="宋体" w:cs="宋体"/>
                <w:color w:val="auto"/>
                <w:highlight w:val="none"/>
                <w:lang w:eastAsia="zh-CN"/>
              </w:rPr>
              <w:t>在</w:t>
            </w:r>
            <w:r>
              <w:rPr>
                <w:rFonts w:hint="eastAsia" w:ascii="宋体" w:hAnsi="宋体" w:eastAsia="宋体" w:cs="宋体"/>
                <w:color w:val="auto"/>
                <w:highlight w:val="none"/>
              </w:rPr>
              <w:t>90分</w:t>
            </w:r>
            <w:r>
              <w:rPr>
                <w:rFonts w:hint="eastAsia" w:ascii="宋体" w:hAnsi="宋体" w:eastAsia="宋体" w:cs="宋体"/>
                <w:color w:val="auto"/>
                <w:highlight w:val="none"/>
                <w:lang w:eastAsia="zh-CN"/>
              </w:rPr>
              <w:t>以上不足</w:t>
            </w:r>
            <w:r>
              <w:rPr>
                <w:rFonts w:hint="eastAsia" w:ascii="宋体" w:hAnsi="宋体" w:eastAsia="宋体" w:cs="宋体"/>
                <w:color w:val="auto"/>
                <w:highlight w:val="none"/>
              </w:rPr>
              <w:t>95分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中</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为</w:t>
            </w:r>
            <w:r>
              <w:rPr>
                <w:rFonts w:hint="eastAsia" w:ascii="宋体" w:hAnsi="宋体" w:eastAsia="宋体" w:cs="宋体"/>
                <w:color w:val="auto"/>
                <w:highlight w:val="none"/>
              </w:rPr>
              <w:t>总分</w:t>
            </w:r>
            <w:r>
              <w:rPr>
                <w:rFonts w:hint="eastAsia" w:ascii="宋体" w:hAnsi="宋体" w:eastAsia="宋体" w:cs="宋体"/>
                <w:color w:val="auto"/>
                <w:highlight w:val="none"/>
                <w:lang w:eastAsia="zh-CN"/>
              </w:rPr>
              <w:t>在</w:t>
            </w:r>
            <w:r>
              <w:rPr>
                <w:rFonts w:hint="eastAsia" w:ascii="宋体" w:hAnsi="宋体" w:eastAsia="宋体" w:cs="宋体"/>
                <w:color w:val="auto"/>
                <w:highlight w:val="none"/>
                <w:lang w:val="en-US" w:eastAsia="zh-CN"/>
              </w:rPr>
              <w:t>85</w:t>
            </w:r>
            <w:r>
              <w:rPr>
                <w:rFonts w:hint="eastAsia" w:ascii="宋体" w:hAnsi="宋体" w:eastAsia="宋体" w:cs="宋体"/>
                <w:color w:val="auto"/>
                <w:highlight w:val="none"/>
              </w:rPr>
              <w:t xml:space="preserve"> 分</w:t>
            </w:r>
            <w:r>
              <w:rPr>
                <w:rFonts w:hint="eastAsia" w:ascii="宋体" w:hAnsi="宋体" w:eastAsia="宋体" w:cs="宋体"/>
                <w:color w:val="auto"/>
                <w:highlight w:val="none"/>
                <w:lang w:eastAsia="zh-CN"/>
              </w:rPr>
              <w:t>以上不足</w:t>
            </w:r>
            <w:r>
              <w:rPr>
                <w:rFonts w:hint="eastAsia" w:ascii="宋体" w:hAnsi="宋体" w:eastAsia="宋体" w:cs="宋体"/>
                <w:color w:val="auto"/>
                <w:highlight w:val="none"/>
              </w:rPr>
              <w:t>90分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差</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为</w:t>
            </w:r>
            <w:r>
              <w:rPr>
                <w:rFonts w:hint="eastAsia" w:ascii="宋体" w:hAnsi="宋体" w:eastAsia="宋体" w:cs="宋体"/>
                <w:color w:val="auto"/>
                <w:highlight w:val="none"/>
              </w:rPr>
              <w:t>总分</w:t>
            </w:r>
            <w:r>
              <w:rPr>
                <w:rFonts w:hint="eastAsia" w:ascii="宋体" w:hAnsi="宋体" w:eastAsia="宋体" w:cs="宋体"/>
                <w:color w:val="auto"/>
                <w:highlight w:val="none"/>
                <w:lang w:eastAsia="zh-CN"/>
              </w:rPr>
              <w:t>不足</w:t>
            </w:r>
            <w:r>
              <w:rPr>
                <w:rFonts w:hint="eastAsia" w:ascii="宋体" w:hAnsi="宋体" w:eastAsia="宋体" w:cs="宋体"/>
                <w:color w:val="auto"/>
                <w:highlight w:val="none"/>
              </w:rPr>
              <w:t>85分</w:t>
            </w:r>
            <w:r>
              <w:rPr>
                <w:rFonts w:hint="eastAsia" w:ascii="宋体" w:hAnsi="宋体" w:eastAsia="宋体" w:cs="宋体"/>
                <w:color w:val="auto"/>
                <w:highlight w:val="none"/>
                <w:lang w:eastAsia="zh-CN"/>
              </w:rPr>
              <w:t>。</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考核结论为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优</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不扣所属月份的物业服务费用；</w:t>
            </w:r>
            <w:r>
              <w:rPr>
                <w:rFonts w:hint="eastAsia" w:ascii="宋体" w:hAnsi="宋体" w:eastAsia="宋体" w:cs="宋体"/>
                <w:color w:val="auto"/>
                <w:highlight w:val="none"/>
                <w:lang w:eastAsia="zh-CN"/>
              </w:rPr>
              <w:t>考核结论为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良</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扣所属月份应付物业服务费的1%（取整到元）；</w:t>
            </w:r>
            <w:r>
              <w:rPr>
                <w:rFonts w:hint="eastAsia" w:ascii="宋体" w:hAnsi="宋体" w:eastAsia="宋体" w:cs="宋体"/>
                <w:color w:val="auto"/>
                <w:highlight w:val="none"/>
                <w:lang w:eastAsia="zh-CN"/>
              </w:rPr>
              <w:t>考核结论为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中</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扣所属月份应付物业服务费的2%（取整到元）</w:t>
            </w:r>
            <w:r>
              <w:rPr>
                <w:rFonts w:hint="eastAsia" w:ascii="宋体" w:hAnsi="宋体" w:eastAsia="宋体" w:cs="宋体"/>
                <w:color w:val="auto"/>
                <w:highlight w:val="none"/>
                <w:lang w:eastAsia="zh-CN"/>
              </w:rPr>
              <w:t>；考核结论为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差</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扣所属月份应付物业服务费的</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%（取整到元）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累计三次</w:t>
            </w:r>
            <w:r>
              <w:rPr>
                <w:rFonts w:hint="eastAsia" w:ascii="宋体" w:hAnsi="宋体" w:eastAsia="宋体" w:cs="宋体"/>
                <w:color w:val="auto"/>
                <w:highlight w:val="none"/>
                <w:lang w:eastAsia="zh-CN"/>
              </w:rPr>
              <w:t>考核结论</w:t>
            </w:r>
            <w:r>
              <w:rPr>
                <w:rFonts w:hint="eastAsia" w:ascii="宋体" w:hAnsi="宋体" w:eastAsia="宋体" w:cs="宋体"/>
                <w:color w:val="auto"/>
                <w:highlight w:val="none"/>
              </w:rPr>
              <w:t>为“</w:t>
            </w:r>
            <w:r>
              <w:rPr>
                <w:rFonts w:hint="eastAsia" w:ascii="宋体" w:hAnsi="宋体" w:eastAsia="宋体" w:cs="宋体"/>
                <w:color w:val="auto"/>
                <w:highlight w:val="none"/>
                <w:lang w:eastAsia="zh-CN"/>
              </w:rPr>
              <w:t>差</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w:t>
            </w:r>
            <w:r>
              <w:rPr>
                <w:rFonts w:hint="eastAsia" w:ascii="宋体" w:hAnsi="宋体" w:eastAsia="宋体" w:cs="宋体"/>
                <w:color w:val="auto"/>
                <w:highlight w:val="none"/>
                <w:lang w:val="en-US" w:eastAsia="zh-CN"/>
              </w:rPr>
              <w:t>由于乙方责任，在合同履行期间</w:t>
            </w:r>
            <w:r>
              <w:rPr>
                <w:rFonts w:hint="eastAsia" w:ascii="宋体" w:hAnsi="宋体" w:eastAsia="宋体" w:cs="宋体"/>
                <w:color w:val="auto"/>
                <w:highlight w:val="none"/>
              </w:rPr>
              <w:t>发生</w:t>
            </w:r>
            <w:r>
              <w:rPr>
                <w:rFonts w:hint="eastAsia" w:ascii="宋体" w:hAnsi="宋体" w:eastAsia="宋体" w:cs="宋体"/>
                <w:color w:val="auto"/>
                <w:highlight w:val="none"/>
                <w:lang w:eastAsia="zh-CN"/>
              </w:rPr>
              <w:t>安全责任事故造成人员或财产损失</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有权单方面解除合同。</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3.甲方</w:t>
            </w:r>
            <w:r>
              <w:rPr>
                <w:rFonts w:hint="eastAsia" w:ascii="宋体" w:hAnsi="宋体" w:eastAsia="宋体" w:cs="宋体"/>
                <w:color w:val="auto"/>
                <w:highlight w:val="none"/>
              </w:rPr>
              <w:t>对</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lang w:eastAsia="zh-CN"/>
              </w:rPr>
              <w:t>的服务质量</w:t>
            </w:r>
            <w:r>
              <w:rPr>
                <w:rFonts w:hint="eastAsia" w:ascii="宋体" w:hAnsi="宋体" w:eastAsia="宋体" w:cs="宋体"/>
                <w:color w:val="auto"/>
                <w:highlight w:val="none"/>
              </w:rPr>
              <w:t>不定期抽查，检查记录</w:t>
            </w:r>
            <w:r>
              <w:rPr>
                <w:rFonts w:hint="eastAsia" w:ascii="宋体" w:hAnsi="宋体" w:eastAsia="宋体" w:cs="宋体"/>
                <w:color w:val="auto"/>
                <w:highlight w:val="none"/>
                <w:lang w:eastAsia="zh-CN"/>
              </w:rPr>
              <w:t>经双方签字确认后</w:t>
            </w:r>
            <w:r>
              <w:rPr>
                <w:rFonts w:hint="eastAsia" w:ascii="宋体" w:hAnsi="宋体" w:eastAsia="宋体" w:cs="宋体"/>
                <w:color w:val="auto"/>
                <w:highlight w:val="none"/>
              </w:rPr>
              <w:t>保存</w:t>
            </w:r>
            <w:r>
              <w:rPr>
                <w:rFonts w:hint="eastAsia" w:ascii="宋体" w:hAnsi="宋体" w:eastAsia="宋体" w:cs="宋体"/>
                <w:color w:val="auto"/>
                <w:highlight w:val="none"/>
                <w:lang w:eastAsia="zh-CN"/>
              </w:rPr>
              <w:t>在</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lang w:eastAsia="zh-CN"/>
              </w:rPr>
              <w:t>处</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有权</w:t>
            </w:r>
            <w:r>
              <w:rPr>
                <w:rFonts w:hint="eastAsia" w:ascii="宋体" w:hAnsi="宋体" w:eastAsia="宋体" w:cs="宋体"/>
                <w:color w:val="auto"/>
                <w:highlight w:val="none"/>
                <w:lang w:eastAsia="zh-CN"/>
              </w:rPr>
              <w:t>根据检查结果</w:t>
            </w:r>
            <w:r>
              <w:rPr>
                <w:rFonts w:hint="eastAsia" w:ascii="宋体" w:hAnsi="宋体" w:eastAsia="宋体" w:cs="宋体"/>
                <w:color w:val="auto"/>
                <w:highlight w:val="none"/>
              </w:rPr>
              <w:t>，按物业服务日常工作考核评分表对</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实施</w:t>
            </w:r>
            <w:r>
              <w:rPr>
                <w:rFonts w:hint="eastAsia" w:ascii="宋体" w:hAnsi="宋体" w:eastAsia="宋体" w:cs="宋体"/>
                <w:color w:val="auto"/>
                <w:highlight w:val="none"/>
                <w:lang w:eastAsia="zh-CN"/>
              </w:rPr>
              <w:t>扣款</w:t>
            </w:r>
            <w:r>
              <w:rPr>
                <w:rFonts w:hint="eastAsia" w:ascii="宋体" w:hAnsi="宋体" w:eastAsia="宋体" w:cs="宋体"/>
                <w:color w:val="auto"/>
                <w:highlight w:val="none"/>
              </w:rPr>
              <w:t>，并下达书面整改通知责</w:t>
            </w:r>
            <w:r>
              <w:rPr>
                <w:rFonts w:hint="eastAsia" w:ascii="宋体" w:hAnsi="宋体" w:eastAsia="宋体" w:cs="宋体"/>
                <w:color w:val="auto"/>
                <w:highlight w:val="none"/>
                <w:lang w:eastAsia="zh-CN"/>
              </w:rPr>
              <w:t>令</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限期整改。</w:t>
            </w:r>
            <w:r>
              <w:rPr>
                <w:rFonts w:hint="eastAsia" w:ascii="宋体" w:hAnsi="宋体" w:eastAsia="宋体" w:cs="宋体"/>
                <w:color w:val="auto"/>
                <w:highlight w:val="none"/>
                <w:lang w:val="en-US" w:eastAsia="zh-CN"/>
              </w:rPr>
              <w:t>乙方应</w:t>
            </w:r>
            <w:r>
              <w:rPr>
                <w:rFonts w:hint="eastAsia" w:ascii="宋体" w:hAnsi="宋体" w:eastAsia="宋体" w:cs="宋体"/>
                <w:color w:val="auto"/>
                <w:highlight w:val="none"/>
              </w:rPr>
              <w:t>派人参加</w:t>
            </w:r>
            <w:r>
              <w:rPr>
                <w:rFonts w:hint="eastAsia" w:ascii="宋体" w:hAnsi="宋体" w:eastAsia="宋体" w:cs="宋体"/>
                <w:color w:val="auto"/>
                <w:highlight w:val="none"/>
                <w:lang w:eastAsia="zh-CN"/>
              </w:rPr>
              <w:t>每</w:t>
            </w:r>
            <w:r>
              <w:rPr>
                <w:rFonts w:hint="eastAsia" w:ascii="宋体" w:hAnsi="宋体" w:eastAsia="宋体" w:cs="宋体"/>
                <w:color w:val="auto"/>
                <w:highlight w:val="none"/>
              </w:rPr>
              <w:t>月考核，</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发现问题则当场告知。</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lang w:eastAsia="zh-CN"/>
              </w:rPr>
              <w:t>应</w:t>
            </w:r>
            <w:r>
              <w:rPr>
                <w:rFonts w:hint="eastAsia" w:ascii="宋体" w:hAnsi="宋体" w:eastAsia="宋体" w:cs="宋体"/>
                <w:color w:val="auto"/>
                <w:highlight w:val="none"/>
              </w:rPr>
              <w:t>根据考核</w:t>
            </w:r>
            <w:r>
              <w:rPr>
                <w:rFonts w:hint="eastAsia" w:ascii="宋体" w:hAnsi="宋体" w:eastAsia="宋体" w:cs="宋体"/>
                <w:color w:val="auto"/>
                <w:highlight w:val="none"/>
                <w:lang w:eastAsia="zh-CN"/>
              </w:rPr>
              <w:t>发现</w:t>
            </w:r>
            <w:r>
              <w:rPr>
                <w:rFonts w:hint="eastAsia" w:ascii="宋体" w:hAnsi="宋体" w:eastAsia="宋体" w:cs="宋体"/>
                <w:color w:val="auto"/>
                <w:highlight w:val="none"/>
              </w:rPr>
              <w:t>问题，</w:t>
            </w:r>
            <w:r>
              <w:rPr>
                <w:rFonts w:hint="eastAsia" w:ascii="宋体" w:hAnsi="宋体" w:eastAsia="宋体" w:cs="宋体"/>
                <w:color w:val="auto"/>
                <w:highlight w:val="none"/>
                <w:lang w:eastAsia="zh-CN"/>
              </w:rPr>
              <w:t>自</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当场告知</w:t>
            </w:r>
            <w:r>
              <w:rPr>
                <w:rFonts w:hint="eastAsia" w:ascii="宋体" w:hAnsi="宋体" w:eastAsia="宋体" w:cs="宋体"/>
                <w:color w:val="auto"/>
                <w:highlight w:val="none"/>
                <w:lang w:eastAsia="zh-CN"/>
              </w:rPr>
              <w:t>后</w:t>
            </w:r>
            <w:r>
              <w:rPr>
                <w:rFonts w:hint="eastAsia" w:ascii="宋体" w:hAnsi="宋体" w:eastAsia="宋体" w:cs="宋体"/>
                <w:color w:val="auto"/>
                <w:highlight w:val="none"/>
              </w:rPr>
              <w:t>5 个工作日内提出整改意见，及时</w:t>
            </w:r>
            <w:r>
              <w:rPr>
                <w:rFonts w:hint="eastAsia" w:ascii="宋体" w:hAnsi="宋体" w:eastAsia="宋体" w:cs="宋体"/>
                <w:color w:val="auto"/>
                <w:highlight w:val="none"/>
                <w:lang w:eastAsia="zh-CN"/>
              </w:rPr>
              <w:t>落实</w:t>
            </w:r>
            <w:r>
              <w:rPr>
                <w:rFonts w:hint="eastAsia" w:ascii="宋体" w:hAnsi="宋体" w:eastAsia="宋体" w:cs="宋体"/>
                <w:color w:val="auto"/>
                <w:highlight w:val="none"/>
              </w:rPr>
              <w:t>整改。</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4.物业管理服务费按月支付，</w:t>
            </w:r>
            <w:r>
              <w:rPr>
                <w:rFonts w:hint="eastAsia" w:ascii="宋体" w:hAnsi="宋体" w:eastAsia="宋体" w:cs="宋体"/>
                <w:color w:val="auto"/>
                <w:highlight w:val="none"/>
              </w:rPr>
              <w:t>当月</w:t>
            </w:r>
            <w:r>
              <w:rPr>
                <w:rFonts w:hint="eastAsia" w:ascii="宋体" w:hAnsi="宋体" w:eastAsia="宋体" w:cs="宋体"/>
                <w:color w:val="auto"/>
                <w:highlight w:val="none"/>
                <w:lang w:eastAsia="zh-CN"/>
              </w:rPr>
              <w:t>实际支付</w:t>
            </w:r>
            <w:r>
              <w:rPr>
                <w:rFonts w:hint="eastAsia" w:ascii="宋体" w:hAnsi="宋体" w:eastAsia="宋体" w:cs="宋体"/>
                <w:color w:val="auto"/>
                <w:highlight w:val="none"/>
              </w:rPr>
              <w:t>物业服务费</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应付物业服务费</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不定期考核扣款</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每月定期考核扣款</w:t>
            </w:r>
            <w:r>
              <w:rPr>
                <w:rFonts w:hint="eastAsia" w:ascii="宋体" w:hAnsi="宋体" w:eastAsia="宋体" w:cs="宋体"/>
                <w:color w:val="auto"/>
                <w:highlight w:val="none"/>
              </w:rPr>
              <w:t>。</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在申请付款时将同等金额、合法有效的发票开具给</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在收到付款申请和发票后于</w:t>
            </w:r>
            <w:r>
              <w:rPr>
                <w:rFonts w:hint="eastAsia" w:ascii="宋体" w:hAnsi="宋体" w:eastAsia="宋体" w:cs="宋体"/>
                <w:color w:val="auto"/>
                <w:highlight w:val="none"/>
                <w:lang w:val="en-US" w:eastAsia="zh-CN"/>
              </w:rPr>
              <w:t>10个工作</w:t>
            </w:r>
            <w:r>
              <w:rPr>
                <w:rFonts w:hint="eastAsia" w:ascii="宋体" w:hAnsi="宋体" w:eastAsia="宋体" w:cs="宋体"/>
                <w:color w:val="auto"/>
                <w:highlight w:val="none"/>
              </w:rPr>
              <w:t>日内支付，否则</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有权顺延付款。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55" w:type="dxa"/>
            <w:noWrap/>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0</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履约保证金及返还</w:t>
            </w:r>
          </w:p>
        </w:tc>
        <w:tc>
          <w:tcPr>
            <w:tcW w:w="6379" w:type="dxa"/>
            <w:noWrap/>
            <w:vAlign w:val="center"/>
          </w:tcPr>
          <w:p>
            <w:pPr>
              <w:pStyle w:val="9"/>
              <w:jc w:val="left"/>
              <w:rPr>
                <w:rFonts w:hint="eastAsia" w:ascii="宋体" w:hAnsi="宋体" w:eastAsia="宋体" w:cs="宋体"/>
                <w:color w:val="auto"/>
                <w:highlight w:val="none"/>
              </w:rPr>
            </w:pPr>
            <w:r>
              <w:rPr>
                <w:rFonts w:hint="eastAsia" w:ascii="宋体" w:hAnsi="宋体" w:eastAsia="宋体" w:cs="宋体"/>
                <w:color w:val="auto"/>
                <w:szCs w:val="21"/>
                <w:highlight w:val="none"/>
              </w:rPr>
              <w:t>本项目不要求提供。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noWrap/>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合同履行期限</w:t>
            </w:r>
          </w:p>
        </w:tc>
        <w:tc>
          <w:tcPr>
            <w:tcW w:w="6379" w:type="dxa"/>
            <w:noWrap/>
            <w:vAlign w:val="center"/>
          </w:tcPr>
          <w:p>
            <w:p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自2025年1月1日至2025年12月31日止，合同期限为1年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5" w:type="dxa"/>
            <w:noWrap/>
            <w:vAlign w:val="center"/>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w:t>
            </w:r>
          </w:p>
        </w:tc>
        <w:tc>
          <w:tcPr>
            <w:tcW w:w="1909" w:type="dxa"/>
            <w:gridSpan w:val="2"/>
            <w:noWrap/>
            <w:vAlign w:val="center"/>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服务期</w:t>
            </w:r>
          </w:p>
        </w:tc>
        <w:tc>
          <w:tcPr>
            <w:tcW w:w="6379" w:type="dxa"/>
            <w:noWrap/>
            <w:vAlign w:val="center"/>
          </w:tcPr>
          <w:p>
            <w:p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自2025年1月1日至2025年12月31日止，合同期限为1年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55" w:type="dxa"/>
            <w:noWrap/>
            <w:vAlign w:val="center"/>
          </w:tcPr>
          <w:p>
            <w:pPr>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合同履约地点</w:t>
            </w:r>
          </w:p>
        </w:tc>
        <w:tc>
          <w:tcPr>
            <w:tcW w:w="6379" w:type="dxa"/>
            <w:noWrap/>
            <w:vAlign w:val="center"/>
          </w:tcPr>
          <w:p>
            <w:pPr>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广西贵港市港北区</w:t>
            </w:r>
            <w:r>
              <w:rPr>
                <w:rFonts w:hint="eastAsia" w:ascii="宋体" w:hAnsi="宋体" w:eastAsia="宋体" w:cs="宋体"/>
                <w:b w:val="0"/>
                <w:bCs w:val="0"/>
                <w:color w:val="auto"/>
                <w:sz w:val="21"/>
                <w:szCs w:val="21"/>
                <w:highlight w:val="none"/>
                <w:lang w:val="en-US" w:eastAsia="zh-CN"/>
              </w:rPr>
              <w:t>荷城路1130号、贵港市金港大道961号、贵港市金港大道东森巷49号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noWrap/>
            <w:vAlign w:val="center"/>
          </w:tcPr>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w:t>
            </w:r>
          </w:p>
        </w:tc>
        <w:tc>
          <w:tcPr>
            <w:tcW w:w="1909"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合同纠纷解决方式</w:t>
            </w:r>
          </w:p>
        </w:tc>
        <w:tc>
          <w:tcPr>
            <w:tcW w:w="6379" w:type="dxa"/>
            <w:noWrap/>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甲乙双方应首先通过友好协商解决在执行本合同中所发生的或与本合同有关的一切争端。如从协商开始</w:t>
            </w:r>
            <w:r>
              <w:rPr>
                <w:rFonts w:hint="eastAsia" w:ascii="宋体" w:hAnsi="宋体" w:eastAsia="宋体" w:cs="宋体"/>
                <w:color w:val="auto"/>
                <w:highlight w:val="none"/>
                <w:u w:val="single"/>
              </w:rPr>
              <w:t>30</w:t>
            </w:r>
            <w:r>
              <w:rPr>
                <w:rFonts w:hint="eastAsia" w:ascii="宋体" w:hAnsi="宋体" w:eastAsia="宋体" w:cs="宋体"/>
                <w:color w:val="auto"/>
                <w:highlight w:val="none"/>
              </w:rPr>
              <w:t>天内仍不能解决，可以选择以下途径之一解决纠纷：</w:t>
            </w:r>
          </w:p>
          <w:p>
            <w:pPr>
              <w:tabs>
                <w:tab w:val="left" w:pos="700"/>
              </w:tabs>
              <w:adjustRightInd w:val="0"/>
              <w:snapToGrid w:val="0"/>
              <w:spacing w:line="38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向甲方所在地仲裁委员会申请仲裁</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☑向甲方所在地人民法院提起诉讼</w:t>
            </w:r>
          </w:p>
        </w:tc>
      </w:tr>
    </w:tbl>
    <w:p>
      <w:pPr>
        <w:rPr>
          <w:rFonts w:hint="eastAsia" w:ascii="宋体" w:hAnsi="宋体" w:eastAsia="宋体" w:cs="宋体"/>
          <w:color w:val="auto"/>
          <w:sz w:val="24"/>
          <w:highlight w:val="none"/>
        </w:rPr>
      </w:pPr>
      <w:r>
        <w:rPr>
          <w:rFonts w:hint="eastAsia" w:ascii="宋体" w:hAnsi="宋体" w:eastAsia="宋体" w:cs="宋体"/>
          <w:color w:val="auto"/>
          <w:highlight w:val="none"/>
        </w:rPr>
        <w:br w:type="page"/>
      </w:r>
    </w:p>
    <w:p>
      <w:pPr>
        <w:rPr>
          <w:rFonts w:hint="eastAsia" w:ascii="宋体" w:hAnsi="宋体" w:eastAsia="宋体" w:cs="宋体"/>
          <w:b/>
          <w:bCs w:val="0"/>
          <w:color w:val="auto"/>
          <w:sz w:val="28"/>
          <w:szCs w:val="28"/>
          <w:highlight w:val="none"/>
        </w:rPr>
      </w:pPr>
      <w:bookmarkStart w:id="78" w:name="_Toc583"/>
      <w:bookmarkStart w:id="79" w:name="_Toc23372"/>
      <w:bookmarkStart w:id="80" w:name="_Toc14664"/>
      <w:r>
        <w:rPr>
          <w:rFonts w:hint="eastAsia" w:ascii="宋体" w:hAnsi="宋体" w:eastAsia="宋体" w:cs="宋体"/>
          <w:b/>
          <w:bCs w:val="0"/>
          <w:color w:val="auto"/>
          <w:sz w:val="28"/>
          <w:szCs w:val="28"/>
          <w:highlight w:val="none"/>
        </w:rPr>
        <w:t>一   合  同</w:t>
      </w:r>
      <w:bookmarkEnd w:id="78"/>
      <w:bookmarkEnd w:id="79"/>
      <w:bookmarkEnd w:id="80"/>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国家税务总局贵港市税务局</w:t>
      </w:r>
      <w:r>
        <w:rPr>
          <w:rFonts w:hint="eastAsia" w:ascii="宋体" w:hAnsi="宋体" w:eastAsia="宋体" w:cs="宋体"/>
          <w:color w:val="auto"/>
          <w:sz w:val="21"/>
          <w:szCs w:val="21"/>
          <w:highlight w:val="none"/>
        </w:rPr>
        <w:t>（以下简称“甲方”）通过</w:t>
      </w:r>
      <w:r>
        <w:rPr>
          <w:rFonts w:hint="eastAsia" w:ascii="宋体" w:hAnsi="宋体" w:eastAsia="宋体" w:cs="宋体"/>
          <w:color w:val="auto"/>
          <w:sz w:val="21"/>
          <w:szCs w:val="21"/>
          <w:highlight w:val="none"/>
          <w:u w:val="single"/>
        </w:rPr>
        <w:t xml:space="preserve"> 公开招标 方</w:t>
      </w:r>
      <w:r>
        <w:rPr>
          <w:rFonts w:hint="eastAsia" w:ascii="宋体" w:hAnsi="宋体" w:eastAsia="宋体" w:cs="宋体"/>
          <w:color w:val="auto"/>
          <w:sz w:val="21"/>
          <w:szCs w:val="21"/>
          <w:highlight w:val="none"/>
        </w:rPr>
        <w:t>式采购，确定_____公司（以下简称“乙方”）为《</w:t>
      </w:r>
      <w:r>
        <w:rPr>
          <w:rFonts w:hint="eastAsia" w:ascii="宋体" w:hAnsi="宋体" w:eastAsia="宋体" w:cs="宋体"/>
          <w:color w:val="auto"/>
          <w:sz w:val="21"/>
          <w:szCs w:val="21"/>
          <w:highlight w:val="none"/>
          <w:lang w:eastAsia="zh-CN"/>
        </w:rPr>
        <w:t>国家税务总局贵港市税务局2025年物业管理服务项目</w:t>
      </w:r>
      <w:r>
        <w:rPr>
          <w:rFonts w:hint="eastAsia" w:ascii="宋体" w:hAnsi="宋体" w:eastAsia="宋体" w:cs="宋体"/>
          <w:color w:val="auto"/>
          <w:sz w:val="21"/>
          <w:szCs w:val="21"/>
          <w:highlight w:val="none"/>
        </w:rPr>
        <w:t>项目》中标（成交）供应商。甲乙双方同意按照该项目招标（采购）文件约定的内容，签署《</w:t>
      </w:r>
      <w:r>
        <w:rPr>
          <w:rFonts w:hint="eastAsia" w:ascii="宋体" w:hAnsi="宋体" w:eastAsia="宋体" w:cs="宋体"/>
          <w:color w:val="auto"/>
          <w:sz w:val="21"/>
          <w:szCs w:val="21"/>
          <w:highlight w:val="none"/>
          <w:lang w:eastAsia="zh-CN"/>
        </w:rPr>
        <w:t>国家税务总局贵港市税务局2025年物业管理服务项目</w:t>
      </w:r>
      <w:r>
        <w:rPr>
          <w:rFonts w:hint="eastAsia" w:ascii="宋体" w:hAnsi="宋体" w:eastAsia="宋体" w:cs="宋体"/>
          <w:color w:val="auto"/>
          <w:sz w:val="21"/>
          <w:szCs w:val="21"/>
          <w:highlight w:val="none"/>
        </w:rPr>
        <w:t>合同书》（合同编号：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，以下简称“合同”)。</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1.合同文件</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本合同所附下列文件是构成本合同不可分割的部分：</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（1）采购（项目）需求、招标（采购）文件规定的合同条款；</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（2）报价表（总报价表和分项报价表）；</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（3）投标文件技术部分和商务部分；</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（4）投标文件技术力量一览表</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（5）招标（采购）文件（另附）；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（6）投标（响应）文件（另附）；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（7）甲、乙双方商定确认后的补充协议；</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（8）其他(根据实际情况需要增加的内容)。</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2.合同范围和条件</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本合同的范围和条件应与上述合同文件的规定相一致。</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3.合同总金额</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本合同总金额为人民币</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4.付款条件</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4.1.甲方采取</w:t>
      </w:r>
      <w:r>
        <w:rPr>
          <w:rFonts w:hint="eastAsia" w:ascii="宋体" w:hAnsi="宋体" w:eastAsia="宋体" w:cs="宋体"/>
          <w:color w:val="auto"/>
          <w:sz w:val="21"/>
          <w:szCs w:val="21"/>
          <w:highlight w:val="none"/>
        </w:rPr>
        <w:t>每月定期</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不定期方式对</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进行考核。</w:t>
      </w:r>
    </w:p>
    <w:p>
      <w:pPr>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4.2.甲方</w:t>
      </w:r>
      <w:r>
        <w:rPr>
          <w:rFonts w:hint="eastAsia" w:ascii="宋体" w:hAnsi="宋体" w:eastAsia="宋体" w:cs="宋体"/>
          <w:color w:val="auto"/>
          <w:sz w:val="21"/>
          <w:szCs w:val="21"/>
          <w:highlight w:val="none"/>
        </w:rPr>
        <w:t>于每月</w:t>
      </w:r>
      <w:r>
        <w:rPr>
          <w:rFonts w:hint="eastAsia" w:ascii="宋体" w:hAnsi="宋体" w:eastAsia="宋体" w:cs="宋体"/>
          <w:color w:val="auto"/>
          <w:sz w:val="21"/>
          <w:szCs w:val="21"/>
          <w:highlight w:val="none"/>
          <w:lang w:eastAsia="zh-CN"/>
        </w:rPr>
        <w:t>末最后</w:t>
      </w:r>
      <w:r>
        <w:rPr>
          <w:rFonts w:hint="eastAsia" w:ascii="宋体" w:hAnsi="宋体" w:eastAsia="宋体" w:cs="宋体"/>
          <w:color w:val="auto"/>
          <w:sz w:val="21"/>
          <w:szCs w:val="21"/>
          <w:highlight w:val="none"/>
        </w:rPr>
        <w:t>一个工作日对本月物业服务进行定期考核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考核</w:t>
      </w:r>
      <w:r>
        <w:rPr>
          <w:rFonts w:hint="eastAsia" w:ascii="宋体" w:hAnsi="宋体" w:eastAsia="宋体" w:cs="宋体"/>
          <w:color w:val="auto"/>
          <w:sz w:val="21"/>
          <w:szCs w:val="21"/>
          <w:highlight w:val="none"/>
          <w:lang w:eastAsia="zh-CN"/>
        </w:rPr>
        <w:t>结论分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优</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四档。其中：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优</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为总分</w:t>
      </w:r>
      <w:r>
        <w:rPr>
          <w:rFonts w:hint="eastAsia" w:ascii="宋体" w:hAnsi="宋体" w:eastAsia="宋体" w:cs="宋体"/>
          <w:color w:val="auto"/>
          <w:sz w:val="21"/>
          <w:szCs w:val="21"/>
          <w:highlight w:val="none"/>
          <w:lang w:eastAsia="zh-CN"/>
        </w:rPr>
        <w:t>达</w:t>
      </w:r>
      <w:r>
        <w:rPr>
          <w:rFonts w:hint="eastAsia" w:ascii="宋体" w:hAnsi="宋体" w:eastAsia="宋体" w:cs="宋体"/>
          <w:color w:val="auto"/>
          <w:sz w:val="21"/>
          <w:szCs w:val="21"/>
          <w:highlight w:val="none"/>
        </w:rPr>
        <w:t>95分以上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为总分</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rPr>
        <w:t>90分</w:t>
      </w:r>
      <w:r>
        <w:rPr>
          <w:rFonts w:hint="eastAsia" w:ascii="宋体" w:hAnsi="宋体" w:eastAsia="宋体" w:cs="宋体"/>
          <w:color w:val="auto"/>
          <w:sz w:val="21"/>
          <w:szCs w:val="21"/>
          <w:highlight w:val="none"/>
          <w:lang w:eastAsia="zh-CN"/>
        </w:rPr>
        <w:t>以上不足</w:t>
      </w:r>
      <w:r>
        <w:rPr>
          <w:rFonts w:hint="eastAsia" w:ascii="宋体" w:hAnsi="宋体" w:eastAsia="宋体" w:cs="宋体"/>
          <w:color w:val="auto"/>
          <w:sz w:val="21"/>
          <w:szCs w:val="21"/>
          <w:highlight w:val="none"/>
        </w:rPr>
        <w:t>95分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rPr>
        <w:t>总分</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lang w:val="en-US" w:eastAsia="zh-CN"/>
        </w:rPr>
        <w:t>85</w:t>
      </w:r>
      <w:r>
        <w:rPr>
          <w:rFonts w:hint="eastAsia" w:ascii="宋体" w:hAnsi="宋体" w:eastAsia="宋体" w:cs="宋体"/>
          <w:color w:val="auto"/>
          <w:sz w:val="21"/>
          <w:szCs w:val="21"/>
          <w:highlight w:val="none"/>
        </w:rPr>
        <w:t xml:space="preserve"> 分</w:t>
      </w:r>
      <w:r>
        <w:rPr>
          <w:rFonts w:hint="eastAsia" w:ascii="宋体" w:hAnsi="宋体" w:eastAsia="宋体" w:cs="宋体"/>
          <w:color w:val="auto"/>
          <w:sz w:val="21"/>
          <w:szCs w:val="21"/>
          <w:highlight w:val="none"/>
          <w:lang w:eastAsia="zh-CN"/>
        </w:rPr>
        <w:t>以上不足</w:t>
      </w:r>
      <w:r>
        <w:rPr>
          <w:rFonts w:hint="eastAsia" w:ascii="宋体" w:hAnsi="宋体" w:eastAsia="宋体" w:cs="宋体"/>
          <w:color w:val="auto"/>
          <w:sz w:val="21"/>
          <w:szCs w:val="21"/>
          <w:highlight w:val="none"/>
        </w:rPr>
        <w:t>90分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rPr>
        <w:t>总分</w:t>
      </w:r>
      <w:r>
        <w:rPr>
          <w:rFonts w:hint="eastAsia" w:ascii="宋体" w:hAnsi="宋体" w:eastAsia="宋体" w:cs="宋体"/>
          <w:color w:val="auto"/>
          <w:sz w:val="21"/>
          <w:szCs w:val="21"/>
          <w:highlight w:val="none"/>
          <w:lang w:eastAsia="zh-CN"/>
        </w:rPr>
        <w:t>不足</w:t>
      </w:r>
      <w:r>
        <w:rPr>
          <w:rFonts w:hint="eastAsia" w:ascii="宋体" w:hAnsi="宋体" w:eastAsia="宋体" w:cs="宋体"/>
          <w:color w:val="auto"/>
          <w:sz w:val="21"/>
          <w:szCs w:val="21"/>
          <w:highlight w:val="none"/>
        </w:rPr>
        <w:t>85分</w:t>
      </w:r>
      <w:r>
        <w:rPr>
          <w:rFonts w:hint="eastAsia" w:ascii="宋体" w:hAnsi="宋体" w:eastAsia="宋体" w:cs="宋体"/>
          <w:color w:val="auto"/>
          <w:sz w:val="21"/>
          <w:szCs w:val="21"/>
          <w:highlight w:val="none"/>
          <w:lang w:eastAsia="zh-CN"/>
        </w:rPr>
        <w:t>。</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考核结论为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优</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不扣所属月份的物业服务费用；</w:t>
      </w:r>
      <w:r>
        <w:rPr>
          <w:rFonts w:hint="eastAsia" w:ascii="宋体" w:hAnsi="宋体" w:eastAsia="宋体" w:cs="宋体"/>
          <w:color w:val="auto"/>
          <w:sz w:val="21"/>
          <w:szCs w:val="21"/>
          <w:highlight w:val="none"/>
          <w:lang w:eastAsia="zh-CN"/>
        </w:rPr>
        <w:t>考核结论为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良</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扣所属月份应付物业服务费的1%（取整到元）；</w:t>
      </w:r>
      <w:r>
        <w:rPr>
          <w:rFonts w:hint="eastAsia" w:ascii="宋体" w:hAnsi="宋体" w:eastAsia="宋体" w:cs="宋体"/>
          <w:color w:val="auto"/>
          <w:sz w:val="21"/>
          <w:szCs w:val="21"/>
          <w:highlight w:val="none"/>
          <w:lang w:eastAsia="zh-CN"/>
        </w:rPr>
        <w:t>考核结论为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扣所属月份应付物业服务费的2%（取整到元）</w:t>
      </w:r>
      <w:r>
        <w:rPr>
          <w:rFonts w:hint="eastAsia" w:ascii="宋体" w:hAnsi="宋体" w:eastAsia="宋体" w:cs="宋体"/>
          <w:color w:val="auto"/>
          <w:sz w:val="21"/>
          <w:szCs w:val="21"/>
          <w:highlight w:val="none"/>
          <w:lang w:eastAsia="zh-CN"/>
        </w:rPr>
        <w:t>；考核结论为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扣所属月份应付物业服务费的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%（取整到元）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累计三次</w:t>
      </w:r>
      <w:r>
        <w:rPr>
          <w:rFonts w:hint="eastAsia" w:ascii="宋体" w:hAnsi="宋体" w:eastAsia="宋体" w:cs="宋体"/>
          <w:color w:val="auto"/>
          <w:sz w:val="21"/>
          <w:szCs w:val="21"/>
          <w:highlight w:val="none"/>
          <w:lang w:eastAsia="zh-CN"/>
        </w:rPr>
        <w:t>考核结论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val="en-US" w:eastAsia="zh-CN"/>
        </w:rPr>
        <w:t>由于乙方责任，在合同履行期间</w:t>
      </w:r>
      <w:r>
        <w:rPr>
          <w:rFonts w:hint="eastAsia" w:ascii="宋体" w:hAnsi="宋体" w:eastAsia="宋体" w:cs="宋体"/>
          <w:color w:val="auto"/>
          <w:sz w:val="21"/>
          <w:szCs w:val="21"/>
          <w:highlight w:val="none"/>
        </w:rPr>
        <w:t>发生</w:t>
      </w:r>
      <w:r>
        <w:rPr>
          <w:rFonts w:hint="eastAsia" w:ascii="宋体" w:hAnsi="宋体" w:eastAsia="宋体" w:cs="宋体"/>
          <w:color w:val="auto"/>
          <w:sz w:val="21"/>
          <w:szCs w:val="21"/>
          <w:highlight w:val="none"/>
          <w:lang w:eastAsia="zh-CN"/>
        </w:rPr>
        <w:t>安全责任事故造成人员或财产损失</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有权单方面解除合同。</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4.3.甲方</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eastAsia="zh-CN"/>
        </w:rPr>
        <w:t>的服务质量</w:t>
      </w:r>
      <w:r>
        <w:rPr>
          <w:rFonts w:hint="eastAsia" w:ascii="宋体" w:hAnsi="宋体" w:eastAsia="宋体" w:cs="宋体"/>
          <w:color w:val="auto"/>
          <w:sz w:val="21"/>
          <w:szCs w:val="21"/>
          <w:highlight w:val="none"/>
        </w:rPr>
        <w:t>不定期抽查，检查记录</w:t>
      </w:r>
      <w:r>
        <w:rPr>
          <w:rFonts w:hint="eastAsia" w:ascii="宋体" w:hAnsi="宋体" w:eastAsia="宋体" w:cs="宋体"/>
          <w:color w:val="auto"/>
          <w:sz w:val="21"/>
          <w:szCs w:val="21"/>
          <w:highlight w:val="none"/>
          <w:lang w:eastAsia="zh-CN"/>
        </w:rPr>
        <w:t>经双方签字确认后</w:t>
      </w:r>
      <w:r>
        <w:rPr>
          <w:rFonts w:hint="eastAsia" w:ascii="宋体" w:hAnsi="宋体" w:eastAsia="宋体" w:cs="宋体"/>
          <w:color w:val="auto"/>
          <w:sz w:val="21"/>
          <w:szCs w:val="21"/>
          <w:highlight w:val="none"/>
        </w:rPr>
        <w:t>保存</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eastAsia="zh-CN"/>
        </w:rPr>
        <w:t>根据检查结果</w:t>
      </w:r>
      <w:r>
        <w:rPr>
          <w:rFonts w:hint="eastAsia" w:ascii="宋体" w:hAnsi="宋体" w:eastAsia="宋体" w:cs="宋体"/>
          <w:color w:val="auto"/>
          <w:sz w:val="21"/>
          <w:szCs w:val="21"/>
          <w:highlight w:val="none"/>
        </w:rPr>
        <w:t>，按物业服务日常工作考核评分表对</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实施</w:t>
      </w:r>
      <w:r>
        <w:rPr>
          <w:rFonts w:hint="eastAsia" w:ascii="宋体" w:hAnsi="宋体" w:eastAsia="宋体" w:cs="宋体"/>
          <w:color w:val="auto"/>
          <w:sz w:val="21"/>
          <w:szCs w:val="21"/>
          <w:highlight w:val="none"/>
          <w:lang w:eastAsia="zh-CN"/>
        </w:rPr>
        <w:t>扣款</w:t>
      </w:r>
      <w:r>
        <w:rPr>
          <w:rFonts w:hint="eastAsia" w:ascii="宋体" w:hAnsi="宋体" w:eastAsia="宋体" w:cs="宋体"/>
          <w:color w:val="auto"/>
          <w:sz w:val="21"/>
          <w:szCs w:val="21"/>
          <w:highlight w:val="none"/>
        </w:rPr>
        <w:t>，并下达书面整改通知责</w:t>
      </w:r>
      <w:r>
        <w:rPr>
          <w:rFonts w:hint="eastAsia" w:ascii="宋体" w:hAnsi="宋体" w:eastAsia="宋体" w:cs="宋体"/>
          <w:color w:val="auto"/>
          <w:sz w:val="21"/>
          <w:szCs w:val="21"/>
          <w:highlight w:val="none"/>
          <w:lang w:eastAsia="zh-CN"/>
        </w:rPr>
        <w:t>令</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限期整改。</w:t>
      </w:r>
      <w:r>
        <w:rPr>
          <w:rFonts w:hint="eastAsia" w:ascii="宋体" w:hAnsi="宋体" w:eastAsia="宋体" w:cs="宋体"/>
          <w:color w:val="auto"/>
          <w:sz w:val="21"/>
          <w:szCs w:val="21"/>
          <w:highlight w:val="none"/>
          <w:lang w:val="en-US" w:eastAsia="zh-CN"/>
        </w:rPr>
        <w:t>乙方应</w:t>
      </w:r>
      <w:r>
        <w:rPr>
          <w:rFonts w:hint="eastAsia" w:ascii="宋体" w:hAnsi="宋体" w:eastAsia="宋体" w:cs="宋体"/>
          <w:color w:val="auto"/>
          <w:sz w:val="21"/>
          <w:szCs w:val="21"/>
          <w:highlight w:val="none"/>
        </w:rPr>
        <w:t>派人参加</w:t>
      </w:r>
      <w:r>
        <w:rPr>
          <w:rFonts w:hint="eastAsia" w:ascii="宋体" w:hAnsi="宋体" w:eastAsia="宋体" w:cs="宋体"/>
          <w:color w:val="auto"/>
          <w:sz w:val="21"/>
          <w:szCs w:val="21"/>
          <w:highlight w:val="none"/>
          <w:lang w:eastAsia="zh-CN"/>
        </w:rPr>
        <w:t>每</w:t>
      </w:r>
      <w:r>
        <w:rPr>
          <w:rFonts w:hint="eastAsia" w:ascii="宋体" w:hAnsi="宋体" w:eastAsia="宋体" w:cs="宋体"/>
          <w:color w:val="auto"/>
          <w:sz w:val="21"/>
          <w:szCs w:val="21"/>
          <w:highlight w:val="none"/>
        </w:rPr>
        <w:t>月考核，</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发现问题则当场告知。</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根据考核</w:t>
      </w:r>
      <w:r>
        <w:rPr>
          <w:rFonts w:hint="eastAsia" w:ascii="宋体" w:hAnsi="宋体" w:eastAsia="宋体" w:cs="宋体"/>
          <w:color w:val="auto"/>
          <w:sz w:val="21"/>
          <w:szCs w:val="21"/>
          <w:highlight w:val="none"/>
          <w:lang w:eastAsia="zh-CN"/>
        </w:rPr>
        <w:t>发现</w:t>
      </w:r>
      <w:r>
        <w:rPr>
          <w:rFonts w:hint="eastAsia" w:ascii="宋体" w:hAnsi="宋体" w:eastAsia="宋体" w:cs="宋体"/>
          <w:color w:val="auto"/>
          <w:sz w:val="21"/>
          <w:szCs w:val="21"/>
          <w:highlight w:val="none"/>
        </w:rPr>
        <w:t>问题，</w:t>
      </w:r>
      <w:r>
        <w:rPr>
          <w:rFonts w:hint="eastAsia" w:ascii="宋体" w:hAnsi="宋体" w:eastAsia="宋体" w:cs="宋体"/>
          <w:color w:val="auto"/>
          <w:sz w:val="21"/>
          <w:szCs w:val="21"/>
          <w:highlight w:val="none"/>
          <w:lang w:eastAsia="zh-CN"/>
        </w:rPr>
        <w:t>自</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当场告知</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5 个工作日内提出整改意见，及时</w:t>
      </w:r>
      <w:r>
        <w:rPr>
          <w:rFonts w:hint="eastAsia" w:ascii="宋体" w:hAnsi="宋体" w:eastAsia="宋体" w:cs="宋体"/>
          <w:color w:val="auto"/>
          <w:sz w:val="21"/>
          <w:szCs w:val="21"/>
          <w:highlight w:val="none"/>
          <w:lang w:eastAsia="zh-CN"/>
        </w:rPr>
        <w:t>落实</w:t>
      </w:r>
      <w:r>
        <w:rPr>
          <w:rFonts w:hint="eastAsia" w:ascii="宋体" w:hAnsi="宋体" w:eastAsia="宋体" w:cs="宋体"/>
          <w:color w:val="auto"/>
          <w:sz w:val="21"/>
          <w:szCs w:val="21"/>
          <w:highlight w:val="none"/>
        </w:rPr>
        <w:t>整改。</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4.4.物业管理服务费按月支付，</w:t>
      </w:r>
      <w:r>
        <w:rPr>
          <w:rFonts w:hint="eastAsia" w:ascii="宋体" w:hAnsi="宋体" w:eastAsia="宋体" w:cs="宋体"/>
          <w:color w:val="auto"/>
          <w:sz w:val="21"/>
          <w:szCs w:val="21"/>
          <w:highlight w:val="none"/>
        </w:rPr>
        <w:t>当月</w:t>
      </w:r>
      <w:r>
        <w:rPr>
          <w:rFonts w:hint="eastAsia" w:ascii="宋体" w:hAnsi="宋体" w:eastAsia="宋体" w:cs="宋体"/>
          <w:color w:val="auto"/>
          <w:sz w:val="21"/>
          <w:szCs w:val="21"/>
          <w:highlight w:val="none"/>
          <w:lang w:eastAsia="zh-CN"/>
        </w:rPr>
        <w:t>实际支付</w:t>
      </w:r>
      <w:r>
        <w:rPr>
          <w:rFonts w:hint="eastAsia" w:ascii="宋体" w:hAnsi="宋体" w:eastAsia="宋体" w:cs="宋体"/>
          <w:color w:val="auto"/>
          <w:sz w:val="21"/>
          <w:szCs w:val="21"/>
          <w:highlight w:val="none"/>
        </w:rPr>
        <w:t>物业服务费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应付物业服务费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不定期考核扣款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每月定期考核扣款</w:t>
      </w:r>
      <w:r>
        <w:rPr>
          <w:rFonts w:hint="eastAsia" w:ascii="宋体" w:hAnsi="宋体" w:eastAsia="宋体" w:cs="宋体"/>
          <w:color w:val="auto"/>
          <w:sz w:val="21"/>
          <w:szCs w:val="21"/>
          <w:highlight w:val="none"/>
        </w:rPr>
        <w:t>。</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在申请付款时将同等金额、合法有效的发票开具给</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在收到付款申请和发票后于</w:t>
      </w:r>
      <w:r>
        <w:rPr>
          <w:rFonts w:hint="eastAsia" w:ascii="宋体" w:hAnsi="宋体" w:eastAsia="宋体" w:cs="宋体"/>
          <w:color w:val="auto"/>
          <w:sz w:val="21"/>
          <w:szCs w:val="21"/>
          <w:highlight w:val="none"/>
          <w:lang w:val="en-US" w:eastAsia="zh-CN"/>
        </w:rPr>
        <w:t>10个工作</w:t>
      </w:r>
      <w:r>
        <w:rPr>
          <w:rFonts w:hint="eastAsia" w:ascii="宋体" w:hAnsi="宋体" w:eastAsia="宋体" w:cs="宋体"/>
          <w:color w:val="auto"/>
          <w:sz w:val="21"/>
          <w:szCs w:val="21"/>
          <w:highlight w:val="none"/>
        </w:rPr>
        <w:t>日内支付，否则</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 xml:space="preserve">有权顺延付款。 </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5.合同签订及生效</w:t>
      </w:r>
    </w:p>
    <w:p>
      <w:pPr>
        <w:pStyle w:val="27"/>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七</w:t>
      </w:r>
      <w:r>
        <w:rPr>
          <w:rFonts w:hint="eastAsia" w:ascii="宋体" w:hAnsi="宋体" w:eastAsia="宋体" w:cs="宋体"/>
          <w:color w:val="auto"/>
          <w:sz w:val="21"/>
          <w:szCs w:val="21"/>
          <w:highlight w:val="none"/>
        </w:rPr>
        <w:t>份，由甲乙双方法定代表人或被授权人签字并盖章后生效。</w:t>
      </w:r>
    </w:p>
    <w:p>
      <w:pPr>
        <w:pStyle w:val="27"/>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乙方由法定代表人签订合同的，应提供法定代表人身份证复印件；乙方由被授权人签订合同的，应提供授权委托书和法定代表人及被授权人身份证复印件。</w:t>
      </w:r>
    </w:p>
    <w:p>
      <w:pPr>
        <w:pStyle w:val="27"/>
        <w:jc w:val="left"/>
        <w:rPr>
          <w:rFonts w:hint="eastAsia" w:ascii="宋体" w:hAnsi="宋体" w:eastAsia="宋体" w:cs="宋体"/>
          <w:color w:val="auto"/>
          <w:sz w:val="21"/>
          <w:szCs w:val="21"/>
          <w:highlight w:val="none"/>
        </w:rPr>
      </w:pP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国家税务总局贵港市税务局</w:t>
      </w:r>
      <w:r>
        <w:rPr>
          <w:rFonts w:hint="eastAsia" w:ascii="宋体" w:hAnsi="宋体" w:eastAsia="宋体" w:cs="宋体"/>
          <w:color w:val="auto"/>
          <w:sz w:val="21"/>
          <w:szCs w:val="21"/>
          <w:highlight w:val="none"/>
        </w:rPr>
        <w:t xml:space="preserve">         乙方：</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                                         签字：</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盖章：                                         盖章： </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年    月    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日期：     年   月   日</w:t>
      </w:r>
    </w:p>
    <w:p>
      <w:pPr>
        <w:jc w:val="center"/>
        <w:rPr>
          <w:rFonts w:hint="eastAsia" w:ascii="宋体" w:hAnsi="宋体" w:eastAsia="宋体" w:cs="宋体"/>
          <w:b/>
          <w:bCs w:val="0"/>
          <w:color w:val="auto"/>
          <w:sz w:val="28"/>
          <w:szCs w:val="28"/>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val="0"/>
          <w:color w:val="auto"/>
          <w:sz w:val="28"/>
          <w:szCs w:val="28"/>
          <w:highlight w:val="none"/>
        </w:rPr>
        <w:t>二   合 同 通 用 条 款</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 定义</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本合同下列术语应解释为：</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1.1“甲方”是指</w:t>
      </w:r>
      <w:r>
        <w:rPr>
          <w:rFonts w:hint="eastAsia" w:ascii="宋体" w:hAnsi="宋体" w:eastAsia="宋体" w:cs="宋体"/>
          <w:color w:val="auto"/>
          <w:sz w:val="21"/>
          <w:szCs w:val="21"/>
          <w:highlight w:val="none"/>
          <w:lang w:eastAsia="zh-CN"/>
        </w:rPr>
        <w:t>国家税务总局贵港市税务局</w:t>
      </w:r>
      <w:r>
        <w:rPr>
          <w:rFonts w:hint="eastAsia" w:ascii="宋体" w:hAnsi="宋体" w:eastAsia="宋体" w:cs="宋体"/>
          <w:color w:val="auto"/>
          <w:sz w:val="21"/>
          <w:szCs w:val="21"/>
          <w:highlight w:val="none"/>
        </w:rPr>
        <w:t>。</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1.1.1“甲方采购部门”见“合同条款前附表”第5项“甲方采购部门”。</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1.1.2“甲方需求部门”见“合同条款前附表”第5项“甲方需求部门”。</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1.2“乙方”见“合同条款前附表”第6项“乙方名称”。</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“合同”系指甲乙双方签订的、合同格式中载明的甲乙双方所达成的协议，包括所有的附件、附录和上述文件所提到的构成合同的所有文件。</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“服务”是指乙方按照招标(采购)、投标(响应)文件要求，向采购人提供的技术支持服务。</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“项目现场”是指甲方指定的最终服务地点。</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1.6“天”除非特别指出，“天”均为自然天。</w:t>
      </w:r>
    </w:p>
    <w:p>
      <w:pPr>
        <w:ind w:firstLine="421" w:firstLineChars="200"/>
        <w:jc w:val="left"/>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t xml:space="preserve">2. </w:t>
      </w:r>
      <w:r>
        <w:rPr>
          <w:rFonts w:hint="eastAsia" w:ascii="宋体" w:hAnsi="宋体" w:eastAsia="宋体" w:cs="宋体"/>
          <w:b/>
          <w:color w:val="auto"/>
          <w:szCs w:val="21"/>
          <w:highlight w:val="none"/>
        </w:rPr>
        <w:t>服务内容和服务标准</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 </w:t>
      </w:r>
      <w:r>
        <w:rPr>
          <w:rFonts w:hint="eastAsia" w:ascii="宋体" w:hAnsi="宋体" w:eastAsia="宋体" w:cs="宋体"/>
          <w:color w:val="auto"/>
          <w:highlight w:val="none"/>
          <w:lang w:bidi="ar"/>
        </w:rPr>
        <w:t>服务标准：</w:t>
      </w:r>
      <w:r>
        <w:rPr>
          <w:rFonts w:hint="eastAsia" w:ascii="宋体" w:hAnsi="宋体" w:eastAsia="宋体" w:cs="宋体"/>
          <w:color w:val="auto"/>
          <w:szCs w:val="21"/>
          <w:highlight w:val="none"/>
          <w:lang w:bidi="ar"/>
        </w:rPr>
        <w:t>乙方为甲方交付或提供的服务应符合招标（采购）文件所述的标准，如果没有提及适用标准，则应符合相应的国家标准。这些标准必须是有关机构发布的最新版本的标准。</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除非技术要求中另有规定，计量单位均采用中华人民共和国法定计量单位。</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 服务</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本项目的“服务</w:t>
      </w:r>
      <w:r>
        <w:rPr>
          <w:rFonts w:hint="eastAsia" w:ascii="宋体" w:hAnsi="宋体" w:eastAsia="宋体" w:cs="宋体"/>
          <w:bCs/>
          <w:color w:val="auto"/>
          <w:szCs w:val="21"/>
          <w:highlight w:val="none"/>
          <w:lang w:bidi="ar"/>
        </w:rPr>
        <w:t>内容</w:t>
      </w:r>
      <w:r>
        <w:rPr>
          <w:rFonts w:hint="eastAsia" w:ascii="宋体" w:hAnsi="宋体" w:eastAsia="宋体" w:cs="宋体"/>
          <w:color w:val="auto"/>
          <w:sz w:val="21"/>
          <w:szCs w:val="21"/>
          <w:highlight w:val="none"/>
        </w:rPr>
        <w:t>”见“合同条款前附表”第8项“服务内容”。</w:t>
      </w:r>
    </w:p>
    <w:p>
      <w:pPr>
        <w:pStyle w:val="3"/>
        <w:spacing w:line="440" w:lineRule="exact"/>
        <w:ind w:firstLine="407" w:firstLineChars="194"/>
        <w:jc w:val="left"/>
        <w:rPr>
          <w:rFonts w:hint="eastAsia" w:ascii="宋体" w:hAnsi="宋体" w:eastAsia="宋体" w:cs="宋体"/>
          <w:color w:val="auto"/>
          <w:kern w:val="2"/>
          <w:sz w:val="21"/>
          <w:szCs w:val="21"/>
          <w:highlight w:val="none"/>
        </w:rPr>
      </w:pPr>
      <w:r>
        <w:rPr>
          <w:rFonts w:hint="eastAsia" w:ascii="宋体" w:hAnsi="宋体" w:eastAsia="宋体" w:cs="宋体"/>
          <w:bCs/>
          <w:color w:val="auto"/>
          <w:szCs w:val="21"/>
          <w:highlight w:val="none"/>
          <w:lang w:val="en-US" w:eastAsia="zh-CN" w:bidi="ar"/>
        </w:rPr>
        <w:t xml:space="preserve">3.2 </w:t>
      </w:r>
      <w:r>
        <w:rPr>
          <w:rFonts w:hint="eastAsia" w:ascii="宋体" w:hAnsi="宋体" w:eastAsia="宋体" w:cs="宋体"/>
          <w:bCs/>
          <w:color w:val="auto"/>
          <w:szCs w:val="21"/>
          <w:highlight w:val="none"/>
          <w:lang w:bidi="ar"/>
        </w:rPr>
        <w:t>拟投入本项目的人员</w:t>
      </w:r>
      <w:r>
        <w:rPr>
          <w:rFonts w:hint="eastAsia" w:ascii="宋体" w:hAnsi="宋体" w:eastAsia="宋体" w:cs="宋体"/>
          <w:bCs/>
          <w:color w:val="auto"/>
          <w:szCs w:val="21"/>
          <w:highlight w:val="none"/>
          <w:lang w:eastAsia="zh-CN" w:bidi="ar"/>
        </w:rPr>
        <w:t>应当是乙方正式人员，</w:t>
      </w:r>
      <w:r>
        <w:rPr>
          <w:rFonts w:hint="eastAsia" w:ascii="宋体" w:hAnsi="宋体" w:eastAsia="宋体" w:cs="宋体"/>
          <w:color w:val="auto"/>
          <w:szCs w:val="21"/>
          <w:highlight w:val="none"/>
        </w:rPr>
        <w:t>或者是与</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签订1年以上劳动合同且实际工作满1年的人员</w:t>
      </w:r>
      <w:r>
        <w:rPr>
          <w:rFonts w:hint="eastAsia" w:ascii="宋体" w:hAnsi="宋体" w:eastAsia="宋体" w:cs="宋体"/>
          <w:bCs/>
          <w:color w:val="auto"/>
          <w:szCs w:val="21"/>
          <w:highlight w:val="none"/>
          <w:lang w:bidi="ar"/>
        </w:rPr>
        <w:t>。</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拟投入本项目的人员已进驻其他项目致使无法参与本项目实施的，乙方应当征得甲方同意后，派遣等于或优于拟投入人员水平和资质的其他人员参与本项目。</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3.4乙方应保证所提供的服务符合合同规定的技术要求。如不符时，乙方应负全责并尽快处理解决，由此造成的损失和相关费用由乙方负责，甲方保留终止合同及索赔的权利。</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3.5乙方应保证通过执行合同中全部方案后，可以取得本合同约定的结果，达到本合同约定的预期目标。对任何情况下出现的问题，应尽快提出解决方案。</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3.6如果乙方提供的服务和解决方案不符合甲方要求，或在规定的时间内没有弥补缺陷，甲方有权采取一切必要的补救措施，由此产生的费用全部由乙方负责。</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3.7除合同条款另行规定外，伴随服务的费用应含在合同价中，不单独进行支付。</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4. 知识产权</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 </w:t>
      </w:r>
      <w:r>
        <w:rPr>
          <w:rFonts w:hint="eastAsia" w:ascii="宋体" w:hAnsi="宋体" w:eastAsia="宋体" w:cs="宋体"/>
          <w:color w:val="auto"/>
          <w:szCs w:val="21"/>
          <w:highlight w:val="none"/>
          <w:lang w:bidi="ar"/>
        </w:rPr>
        <w:t>乙方应保证所提供的服务免受第三方提出侵犯其知识产权（专利权、商标权、软件著作权、版权等）的起诉。</w:t>
      </w:r>
      <w:r>
        <w:rPr>
          <w:rFonts w:hint="eastAsia" w:ascii="宋体" w:hAnsi="宋体" w:eastAsia="宋体" w:cs="宋体"/>
          <w:color w:val="auto"/>
          <w:highlight w:val="none"/>
          <w:lang w:bidi="ar"/>
        </w:rPr>
        <w:t>因侵害他人知识产权而产生的法律责任，全部由乙方承担。</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甲方对项目实施过程中所产生的所有成果（包括发明、发现、可运行系统、源代码及相关技术资料、文档等）享有永久使用权、复制权和修改权，其专利申请权、专利权、软件著作权、技术秘密的所有权、使用权、转让权等知识产权归甲方所有。</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乙方不得利用本项目实施过程中所产生的成果（包括发明、发现、可运行系统、源代码及相关技术资料、文档等），另行自行开发本合同业务范围内供纳税人缴费人使用的软件或产品，不得利用开发便利变相收费或搭车收费。</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甲方委托乙方开发的产品，甲方享有知识产权，未经甲方许可不得转让任何第三人。</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5. 保密条款</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甲乙双方应对在本合同签订或履行过程中所接触的对方信息，包括但不限于知识产权、技术资料、技术诀窍、内部管理及其他相关信息，负有保密义务。</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（1）应以审慎态度避免泄漏、公开或传播甲方的信息；</w:t>
      </w:r>
    </w:p>
    <w:p>
      <w:pPr>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（2）在开发过程中对数据的处理方式应事先得到甲方的许可；</w:t>
      </w:r>
    </w:p>
    <w:p>
      <w:pPr>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（3）未经甲方书面许可，不得对有关信息进行修改、补充、复制；</w:t>
      </w:r>
    </w:p>
    <w:p>
      <w:pPr>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（4）未经甲方书面许可，不得将信息以任何方式（如E-mail）携带出甲方场所；</w:t>
      </w:r>
    </w:p>
    <w:p>
      <w:pPr>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（5）未经甲方书面许可，不得将信息透露给任何其他人；</w:t>
      </w:r>
    </w:p>
    <w:p>
      <w:pPr>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（6）严禁在提交的软件产品中设置远程维护接口和后门程序；</w:t>
      </w:r>
    </w:p>
    <w:p>
      <w:pPr>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（7）不得进行系统软硬件设备的远程维护；</w:t>
      </w:r>
    </w:p>
    <w:p>
      <w:pPr>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（8）甲方以书面形式提出的其他保密措施。</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保密期限不受合同有效期的限制，在合同有效期结束后，信息接受方仍应承担保密义务，直至该等信息成为公开信息。</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 甲乙双方如出现泄密行为，泄密方应承担相关的法律责任，包括但是不限于对由此给对方造成的经济损失进行赔偿。</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6.服务质效保证</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乙方应保证所提供的服务，符合合同规定的技术要求。如不符时，乙方应负全责并尽快处理解决，由此造成的损失和相关费用由乙方负责，甲方保留解除合同及索赔的权利。</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乙方应保证通过执行合同中全部方案后，可以取得本合同规定的结果，达到本合同规定的预期目标。对任何情况下出现问题的，应尽快提出解决方案。</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　如果乙方提供的服务和解决方案不符合甲方要求，或在规定的时间内没有弥补缺陷，甲方有权采取一切必要的补救措施，由此产生的费用全部由乙方负责。</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7.税务系统信息化项目失信管理</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禁止乙方另行开发本项目业务需求范围内、供纳税人缴费人使用的软件，对违反合约条款的，纳入税务系统信息化服务商失信行为记录名单。</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乙方在本项目实施过程中发生违反网络安全规定行为，造成数据失窃或丢失、敏感信息泄露、主要业务系统瘫痪等不良后果的，自甲方或甲方主管机关做出认定之日起三年，税务系统各单位可以拒绝乙方参加税务系统政府采购活动。</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乙方应建立防止违法违规聘用离职税务人员风险防控制度，对乙方违法违规聘用离职税务人员行为的，视情节严重程度采取必要的处理措施（包括限期改正、支付违约金、解除合同、三年内限制参加所聘人员原单位及下属单位信息化项目政府采购活动等）。</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失信行为的认定、结果应用、信用修复等，按照公开文件《国家税务总局办公厅关于修订&lt;税务系统信息化服务商失信行为记录名单制度（试行）&gt;的通知》（税总办征科发〔2022〕1号）执行。税务总局认定存在失信行为的服务商，3年内限制参加税收信息化项目政府采购活动。</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8. 履约验收要求</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 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8.2具体履约验收要求详见招标（采购）文件。</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 履约保证金</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需提交履约保证金的项目，乙方应按照“合同条款前附表”第 10 项“履约保证金及返还”提交履约保证金。</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履约保证金的金额可用于补偿甲方因乙方不能完成其合同义务而蒙受的损失。</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乙方不履行合同、或者履行合同义务不符合约定使得合同目的不能实现，履约保证金不予退还，给甲方造成的损失超过履约保证金数额的，还应当对超过部分予以赔偿。</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 履约保证金在合同履行期满后，扣除相应款项（如有）且双方无争议后，凭返还申请等资料一次性无息返还，详见“合同条款前附表”第10项“履约保证金及返还”。</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10．履约延误</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乙方应按照本合同的规定提供服务。</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赔偿费。</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除不可抗力和根据合同规定延期取得甲方同意而不收取误期赔偿费之外，乙方延误工期，将按合同规定被收取误期赔偿费。</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 逾期退还履约保证金的违约责任。满足履约保证金返还条件的，甲方在收到返还相关信息等合同约定资料后，进行核实。对核实结果无异议的，应当自完成核实之日起30日内返还履约保证金。无特殊原因逾期退还履约保证金的，乙方可要求甲方按银行同期活期存款利率支付逾期利息。特殊原因逾期返还的，双方协商解决。</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11</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违约责任</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服务缺陷的补救措施和索赔</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  如果乙方提供的服务不符合本合同约定以及招标文件、投标文件关于服务的要求和承诺，乙方应按照甲方同意的下列一种或几种方式结合起来解决索赔事宜：</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11.1.1.1  乙方同意将服务款项目退还给甲方，由此发生的一切费用和损失由乙方承担。如甲方以适当的条件和方法购买与未履约标的相类似的服务，乙方应负担新购买类似服务所超出的费用。</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11.1.1.2  根据服务的质量状况以及甲方所遭受的损失，经过甲乙双方商定降低服务的价格。</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11.1.1.3  依照《合同前附表》第10条的约定收取乙方违约金、要求乙方赔偿损失。</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pStyle w:val="8"/>
        <w:ind w:left="0" w:leftChars="0" w:firstLine="420" w:firstLineChars="200"/>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11.3 乙方没有按照时限要求提供服务，且在甲方指定的延长期限内没有采取补救措施，甲方有</w:t>
      </w:r>
    </w:p>
    <w:p>
      <w:pP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权自行采取其他方式进行补救，乙方除按合同第8条约定向甲方支付误期违约金外，另外甲方所</w:t>
      </w:r>
      <w:r>
        <w:rPr>
          <w:rFonts w:hint="eastAsia" w:ascii="宋体" w:hAnsi="宋体" w:eastAsia="宋体" w:cs="宋体"/>
          <w:color w:val="auto"/>
          <w:sz w:val="21"/>
          <w:szCs w:val="21"/>
          <w:highlight w:val="none"/>
        </w:rPr>
        <w:t>发</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生的一切费用和甲方损失，甲方有权从应付的乙方的合同款项中扣除，不足扣除的乙方应另行支付。</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除应支付甲方违约金等外，甲方有权根据合同或有关部门出具的检验证书向乙方提出索赔。</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如果乙方对差异负有责任而甲方提出索赔，乙方同意按照下列方式解决索赔事宜：</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乙方利用本项目实施过程中所产生的成果（包括发明、发现、可运行系统、源代码及相关技术资料、文档等），另行自行开发本合同业务范围内供纳税人缴费人使用的软件或产品，或利用为税务机关提供信息化服务的便利，向纳税人缴费人搭车收费或变相收费的，或有其他失信行为的，纳入国家税务总局失信名单。</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对于影响恶劣的严重违法失信行为，推送财政部纳入政府采购严重违法失信行为记录名单。</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如果乙方在本项目实施过程中发生违反网络安全规定行为造成不良后果的，自甲方做出认定之日起三年内，税务系统各单位可以拒绝乙方参与税务系统政府采购活动。</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不良后果指造成数据失窃或丢失、敏感信息泄露、主要业务系统瘫痪等网络安全事件。</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对于本协议未约定的、招标（采购）文件（技术部分）中约定的违约处理条款，按招标（采购）文件（技术部分）相关约定执行；对本协议与招标（采购）文件（技术部分）约定不同的违约处理条款，以本协议约定为准。</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12. 不可抗力</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本条所述的“不可抗力”系指双方不可预见、不可避免、不可克服的客观情况，但不包括双方的违约或疏忽。这些事件包括但不限于：战争、严重火灾、洪水、台风、地震等。</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如果合同双方因不可抗力而导致合同实施延误或合同无法实施，不应承担误期赔偿或终止合同的责任。</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13. 争端的解决</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甲乙双方应首先通过友好协商解决在执行本合同中所发生的或与本合同有关的一切争端。如协商开始30天内仍不能解决，可以按《合同前附表》规定的方式提起仲裁或诉讼。</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13.2.1诉讼应向甲方所在地人民法院提起诉讼。</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13.2.2诉讼费除人民法院另有判决外，应由败诉方负担。</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13.2.3在诉讼期间，除正在进行诉讼部分外，本合同的其它部分应继续执行。</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14. 违约终止合同</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合同在履行过程中，因采购计划调整，甲方可以要求中止履行，待计划确定后继续履行，若中止时间超过6个月的，甲方可视情况终止合同，双方互不承担责任；合同履行过程中因乙方就采购过程或结果提起投诉的，甲方认为有必要或财政部责令中止的，应当中止合同的履行。</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14.2.1 乙方不履行合同业务或者履行合同义务不符合合同约定；</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14.2.2 </w:t>
      </w:r>
      <w:r>
        <w:rPr>
          <w:rFonts w:hint="eastAsia" w:ascii="Times New Roman" w:hAnsi="Times New Roman" w:cs="Times New Roman"/>
          <w:color w:val="auto"/>
          <w:sz w:val="21"/>
          <w:szCs w:val="21"/>
          <w:highlight w:val="none"/>
          <w:lang w:eastAsia="zh-CN"/>
        </w:rPr>
        <w:t>月度考核</w:t>
      </w:r>
      <w:r>
        <w:rPr>
          <w:rFonts w:hint="eastAsia" w:ascii="Times New Roman" w:hAnsi="Times New Roman" w:eastAsia="宋体" w:cs="Times New Roman"/>
          <w:color w:val="auto"/>
          <w:sz w:val="21"/>
          <w:szCs w:val="21"/>
          <w:highlight w:val="none"/>
        </w:rPr>
        <w:t>累计三次</w:t>
      </w:r>
      <w:r>
        <w:rPr>
          <w:rFonts w:hint="eastAsia" w:ascii="Times New Roman" w:hAnsi="Times New Roman" w:cs="Times New Roman"/>
          <w:color w:val="auto"/>
          <w:sz w:val="21"/>
          <w:szCs w:val="21"/>
          <w:highlight w:val="none"/>
          <w:lang w:eastAsia="zh-CN"/>
        </w:rPr>
        <w:t>结论</w:t>
      </w:r>
      <w:r>
        <w:rPr>
          <w:rFonts w:hint="eastAsia" w:ascii="Times New Roman" w:hAnsi="Times New Roman" w:eastAsia="宋体" w:cs="Times New Roman"/>
          <w:color w:val="auto"/>
          <w:sz w:val="21"/>
          <w:szCs w:val="21"/>
          <w:highlight w:val="none"/>
        </w:rPr>
        <w:t>为</w:t>
      </w:r>
      <w:r>
        <w:rPr>
          <w:rFonts w:hint="eastAsia" w:ascii="Times New Roman" w:hAnsi="Times New Roman" w:cs="Times New Roman"/>
          <w:color w:val="auto"/>
          <w:sz w:val="21"/>
          <w:szCs w:val="21"/>
          <w:highlight w:val="none"/>
          <w:lang w:eastAsia="zh-CN"/>
        </w:rPr>
        <w:t>“</w:t>
      </w:r>
      <w:r>
        <w:rPr>
          <w:rFonts w:hint="eastAsia"/>
          <w:color w:val="auto"/>
          <w:highlight w:val="none"/>
          <w:lang w:eastAsia="zh-CN"/>
        </w:rPr>
        <w:t>差”</w:t>
      </w:r>
      <w:r>
        <w:rPr>
          <w:rFonts w:hint="eastAsia" w:ascii="Times New Roman" w:hAnsi="Times New Roman" w:eastAsia="宋体" w:cs="Times New Roman"/>
          <w:color w:val="auto"/>
          <w:sz w:val="21"/>
          <w:szCs w:val="21"/>
          <w:highlight w:val="none"/>
        </w:rPr>
        <w:t>的</w:t>
      </w:r>
      <w:r>
        <w:rPr>
          <w:rFonts w:hint="eastAsia" w:ascii="Times New Roman" w:hAnsi="Times New Roman" w:cs="Times New Roman"/>
          <w:color w:val="auto"/>
          <w:sz w:val="21"/>
          <w:szCs w:val="21"/>
          <w:highlight w:val="none"/>
          <w:lang w:eastAsia="zh-CN"/>
        </w:rPr>
        <w:t>；</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14.2.3如果乙方未能在合同规定的期限或甲方同意延长的期限内提供服务；</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因乙方人员自身技术能力、经验不足等问题造成甲方发生重大紧急故障，带来重大影响和损失的；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乙方对重大紧急故障没有及时响应，或不能在规定时间内解决处理故障、恢复正常运行的；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不能满足本项目技术需求的管理要求和规范，且经多次整改无明显改进的；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在合同服务期内，同一个应用系统在升级完善、运行维护支持服务过程中，出现5次经甲乙双方确认的用户投诉的；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乙方利用本项目实施过程中所产生的成果（包括发明、发现、可运行系统、源代码及相关技术资料、文档等），另行自行开发本合同业务范围内供纳税人缴费人使用的软件或产品的，或利用为税务机关提供信息化服务的便利，向纳税人缴费人搭车收费或变相收费的，或有其他失信行为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eastAsia="宋体" w:cs="宋体"/>
          <w:color w:val="auto"/>
          <w:sz w:val="21"/>
          <w:szCs w:val="21"/>
          <w:highlight w:val="none"/>
          <w:lang w:val="en-US" w:eastAsia="zh-CN"/>
        </w:rPr>
        <w:t xml:space="preserve">9 </w:t>
      </w:r>
      <w:r>
        <w:rPr>
          <w:rFonts w:hint="eastAsia" w:ascii="宋体" w:hAnsi="宋体" w:eastAsia="宋体" w:cs="宋体"/>
          <w:color w:val="auto"/>
          <w:sz w:val="21"/>
          <w:szCs w:val="21"/>
          <w:highlight w:val="none"/>
        </w:rPr>
        <w:t>乙方在本项目实施过程中发生违反网络安全规定行为造成不良后果的。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 乙方提供的服务侵犯甲方、第三方知识产权等合法权益的；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乙方或乙方人员造成甲方或第三方经济损失而拒不赔偿的；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乙方转让其应履行的合同义务，或未经甲方同意采取分包方式履行合同的；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乙方有其他严重违约行为的。</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如果甲方根据上述第12.2条的规定，终止了全部或部分合同，甲方可以适当的条件和方法购买乙方未能提供的服务，乙方应对甲方购买类似服务所超出的费用负责。同时，乙方应继续执行合同中未终止的部分。</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15. 破产终止合同</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如果乙方破产或无清偿能力，甲方可在任何时候以书面形式通知乙方终止合同而不给乙方补偿。</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该终止合同将不损害或影响甲方已经采取或将要采取的任何行动或补救措施的权力。</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16. 其他情况的终止合同</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若合同继续履行将给甲方造成重大损失的，甲方可以终止合同而不给予乙方任何补偿。</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乙方在执行合同的过程中发生重大事故或变故，对履行合同有直接影响的，甲方可以提出终止合同而不给予乙方任何补偿。</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在服务期内，由于甲方工作计划调整，推广使用新应用系统导致本项目相关服务停止的，甲方可以提出终止合同而不给予乙方任何补偿。</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甲方因重大变故取消或部分取消原来的采购任务，导致合同全部或部分内容无须继续履行的，可以终止合同而不给予乙方任何补偿。</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17. 合同修改或变更</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如无合同约定或法定事由，甲乙双方不得擅自变更合同。</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合同如有未尽事宜，须经甲乙双方共同协商，做出补充约定，并签订书面补充合同或变更协议。补充合同或变更协议作为本合同的一部分，与本合同具有同等效力。</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除了双方签署书面修改或变更协议，并成为本合同不可分割的一部分的情况之外，本合同的条款不得有任何变化或修改。</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由于甲方项目统一规划等原因导致本项目停止部分服务的，甲方将启动合同变更程序，与乙方协商变更相关合同条款。</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.5 在不改变合同其他条款的前提下，甲方有权在合同价款10%的范围内追加与合同标的相同的货物或服务，并就此与乙方签订补充合同，乙方不得拒绝。</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rPr>
        <w:t>. 转让和分包</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 除甲方事先书面同意外，乙方不得部分转让或全部转让其应履行的合同义务。</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 未经甲方同意，乙方不得采取分包方式履行合同。经甲方同意分包履行合同的，乙方就采购项目及分包项目向甲方负责，分包供应商就分包项目承担责任。</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19</w:t>
      </w:r>
      <w:r>
        <w:rPr>
          <w:rFonts w:hint="eastAsia" w:ascii="宋体" w:hAnsi="宋体" w:eastAsia="宋体" w:cs="宋体"/>
          <w:b/>
          <w:bCs w:val="0"/>
          <w:color w:val="auto"/>
          <w:sz w:val="21"/>
          <w:szCs w:val="21"/>
          <w:highlight w:val="none"/>
        </w:rPr>
        <w:t>. 合同语言</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.1 本合同语言为中文。</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.2 双方交换的与合同有关的信件和其他文件应用合同语言书写。</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w:t>
      </w:r>
      <w:r>
        <w:rPr>
          <w:rFonts w:hint="eastAsia" w:ascii="宋体" w:hAnsi="宋体" w:eastAsia="宋体" w:cs="宋体"/>
          <w:b/>
          <w:bCs w:val="0"/>
          <w:color w:val="auto"/>
          <w:sz w:val="21"/>
          <w:szCs w:val="21"/>
          <w:highlight w:val="none"/>
          <w:lang w:val="en-US" w:eastAsia="zh-CN"/>
        </w:rPr>
        <w:t>0</w:t>
      </w:r>
      <w:r>
        <w:rPr>
          <w:rFonts w:hint="eastAsia" w:ascii="宋体" w:hAnsi="宋体" w:eastAsia="宋体" w:cs="宋体"/>
          <w:b/>
          <w:bCs w:val="0"/>
          <w:color w:val="auto"/>
          <w:sz w:val="21"/>
          <w:szCs w:val="21"/>
          <w:highlight w:val="none"/>
        </w:rPr>
        <w:t>. 适用法律</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 本合同适用中华人民共和国现行法律、行政法规和规章，如合同条款与法律、行政法规和规章不一致的，按照法律、行政法规和规章修改本合同。</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.2 本合同的履行、违约责任和解决争议的方法等适用《中华人民共和国民法典（合同编）》。</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w:t>
      </w: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 税费</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 合同服务的所有税费均已包含于合同价中，甲方不再另行支付。</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w:t>
      </w: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.合同效力</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　除本合同和甲乙双方书面签署的补充协议外，其他任何形式的双方约定和往来函件均不具有合同效力，对本项目无约束。</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w:t>
      </w: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rPr>
        <w:t>.检查和审计</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.1在本合同的履行过程中，甲方有权对乙方的合同履约情况进行阶段性检查，并对乙方投标时提供的相关资料进行复核。</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　在本合同的履行过程中，如果甲乙双方发生争议或者乙方没有按照合同约定履行义务，乙方应允许甲方检查乙方与实施本合同有关的账户和记录，并由甲方指定的审计人员对其进行审计。</w:t>
      </w:r>
    </w:p>
    <w:p>
      <w:pPr>
        <w:ind w:firstLine="421" w:firstLineChars="20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w:t>
      </w:r>
      <w:r>
        <w:rPr>
          <w:rFonts w:hint="eastAsia" w:ascii="宋体" w:hAnsi="宋体" w:eastAsia="宋体" w:cs="宋体"/>
          <w:b/>
          <w:bCs w:val="0"/>
          <w:color w:val="auto"/>
          <w:sz w:val="21"/>
          <w:szCs w:val="21"/>
          <w:highlight w:val="none"/>
          <w:lang w:val="en-US" w:eastAsia="zh-CN"/>
        </w:rPr>
        <w:t>4</w:t>
      </w:r>
      <w:r>
        <w:rPr>
          <w:rFonts w:hint="eastAsia" w:ascii="宋体" w:hAnsi="宋体" w:eastAsia="宋体" w:cs="宋体"/>
          <w:b/>
          <w:bCs w:val="0"/>
          <w:color w:val="auto"/>
          <w:sz w:val="21"/>
          <w:szCs w:val="21"/>
          <w:highlight w:val="none"/>
        </w:rPr>
        <w:t>. 合同生效</w:t>
      </w:r>
    </w:p>
    <w:p>
      <w:pPr>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 本合同一式七份，应在甲方收到乙方提供的履约保证金，由甲乙双方法定代表人或被授权人签字并盖章后生效。</w:t>
      </w:r>
      <w:r>
        <w:rPr>
          <w:rFonts w:hint="eastAsia" w:ascii="宋体" w:hAnsi="宋体" w:eastAsia="宋体" w:cs="宋体"/>
          <w:color w:val="auto"/>
          <w:sz w:val="21"/>
          <w:szCs w:val="21"/>
          <w:highlight w:val="none"/>
        </w:rPr>
        <w:br w:type="page"/>
      </w:r>
    </w:p>
    <w:p>
      <w:pPr>
        <w:jc w:val="left"/>
        <w:rPr>
          <w:rFonts w:hint="eastAsia" w:ascii="宋体" w:hAnsi="宋体" w:eastAsia="宋体" w:cs="宋体"/>
          <w:color w:val="auto"/>
          <w:sz w:val="28"/>
          <w:szCs w:val="28"/>
          <w:highlight w:val="none"/>
        </w:rPr>
      </w:pPr>
    </w:p>
    <w:p>
      <w:pPr>
        <w:topLinePunct/>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招标文件及投标文件（另附）</w:t>
      </w:r>
    </w:p>
    <w:p>
      <w:pPr>
        <w:ind w:firstLine="420" w:firstLineChars="150"/>
        <w:jc w:val="center"/>
        <w:rPr>
          <w:rFonts w:hint="eastAsia" w:ascii="宋体" w:hAnsi="宋体" w:eastAsia="宋体" w:cs="宋体"/>
          <w:color w:val="auto"/>
          <w:sz w:val="28"/>
          <w:szCs w:val="28"/>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pStyle w:val="3"/>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 报价表（总报价表和分项报价表）</w:t>
      </w:r>
    </w:p>
    <w:p>
      <w:pPr>
        <w:pStyle w:val="3"/>
        <w:rPr>
          <w:rFonts w:hint="eastAsia" w:ascii="宋体" w:hAnsi="宋体" w:eastAsia="宋体" w:cs="宋体"/>
          <w:color w:val="auto"/>
          <w:sz w:val="28"/>
          <w:szCs w:val="28"/>
          <w:highlight w:val="none"/>
        </w:rPr>
      </w:pPr>
    </w:p>
    <w:p>
      <w:pPr>
        <w:ind w:firstLine="420" w:firstLineChars="150"/>
        <w:jc w:val="left"/>
        <w:rPr>
          <w:rFonts w:hint="eastAsia" w:ascii="宋体" w:hAnsi="宋体" w:eastAsia="宋体" w:cs="宋体"/>
          <w:color w:val="auto"/>
          <w:sz w:val="28"/>
          <w:szCs w:val="28"/>
          <w:highlight w:val="none"/>
        </w:rPr>
      </w:pPr>
    </w:p>
    <w:p>
      <w:pPr>
        <w:ind w:firstLine="420" w:firstLineChars="150"/>
        <w:jc w:val="left"/>
        <w:rPr>
          <w:rFonts w:hint="eastAsia" w:ascii="宋体" w:hAnsi="宋体" w:eastAsia="宋体" w:cs="宋体"/>
          <w:color w:val="auto"/>
          <w:highlight w:val="none"/>
        </w:rPr>
        <w:sectPr>
          <w:pgSz w:w="11906" w:h="16838"/>
          <w:pgMar w:top="1417" w:right="1417" w:bottom="1417" w:left="1417" w:header="851" w:footer="992" w:gutter="0"/>
          <w:cols w:space="720" w:num="1"/>
          <w:titlePg/>
          <w:docGrid w:type="lines" w:linePitch="312" w:charSpace="0"/>
        </w:sectPr>
      </w:pPr>
      <w:r>
        <w:rPr>
          <w:rFonts w:hint="eastAsia" w:ascii="宋体" w:hAnsi="宋体" w:eastAsia="宋体" w:cs="宋体"/>
          <w:color w:val="auto"/>
          <w:sz w:val="28"/>
          <w:szCs w:val="28"/>
          <w:highlight w:val="none"/>
        </w:rPr>
        <w:br w:type="page"/>
      </w:r>
    </w:p>
    <w:p>
      <w:pPr>
        <w:pStyle w:val="4"/>
        <w:rPr>
          <w:rFonts w:hint="eastAsia" w:ascii="宋体" w:hAnsi="宋体" w:eastAsia="宋体" w:cs="宋体"/>
          <w:color w:val="auto"/>
          <w:szCs w:val="32"/>
          <w:highlight w:val="none"/>
        </w:rPr>
      </w:pPr>
      <w:bookmarkStart w:id="81" w:name="_Toc132880284"/>
      <w:bookmarkStart w:id="82" w:name="_Toc4641"/>
      <w:r>
        <w:rPr>
          <w:rFonts w:hint="eastAsia" w:ascii="宋体" w:hAnsi="宋体" w:eastAsia="宋体" w:cs="宋体"/>
          <w:color w:val="auto"/>
          <w:highlight w:val="none"/>
        </w:rPr>
        <w:t>第五章　投标文件格式</w:t>
      </w:r>
      <w:bookmarkEnd w:id="81"/>
      <w:bookmarkEnd w:id="82"/>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投标人必须按下列文本格式，如实提供具有法律效力的资格证明文件和真实有效的其他文件资料，任何不按下列文本格式提供或有实质性变更将由投标人承担风险。</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1.投标人应严格按照本章规定填写和提交全部格式文件以及其他有关资料，混乱的编排导致投标文件被误读或查找不到，后果由投标人承担。</w:t>
      </w:r>
    </w:p>
    <w:p>
      <w:pPr>
        <w:ind w:firstLine="420" w:firstLineChars="200"/>
        <w:jc w:val="left"/>
        <w:rPr>
          <w:rFonts w:hint="eastAsia" w:ascii="宋体" w:hAnsi="宋体" w:eastAsia="宋体" w:cs="宋体"/>
          <w:color w:val="auto"/>
          <w:highlight w:val="none"/>
        </w:rPr>
      </w:pPr>
      <w:bookmarkStart w:id="83" w:name="_Toc14449"/>
      <w:bookmarkStart w:id="84" w:name="_Toc29571"/>
      <w:bookmarkStart w:id="85" w:name="_Toc27754"/>
      <w:r>
        <w:rPr>
          <w:rFonts w:hint="eastAsia" w:ascii="宋体" w:hAnsi="宋体" w:eastAsia="宋体" w:cs="宋体"/>
          <w:color w:val="auto"/>
          <w:highlight w:val="none"/>
        </w:rPr>
        <w:t>2.所附表格中要求回答的全部问题和信息都必须正面回答。</w:t>
      </w:r>
      <w:bookmarkEnd w:id="83"/>
      <w:bookmarkEnd w:id="84"/>
      <w:bookmarkEnd w:id="85"/>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3.资格声明文件的签字人应保证全部声明和问题的回答是真实的和准确的。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4.评标委员会将应用投标人提交的资料并根据自己的判断，决定投标人履行合同的合格性及能力。</w:t>
      </w:r>
    </w:p>
    <w:p>
      <w:pPr>
        <w:ind w:firstLine="420" w:firstLineChars="200"/>
        <w:jc w:val="left"/>
        <w:rPr>
          <w:rFonts w:hint="eastAsia" w:ascii="宋体" w:hAnsi="宋体" w:eastAsia="宋体" w:cs="宋体"/>
          <w:color w:val="auto"/>
          <w:highlight w:val="none"/>
        </w:rPr>
      </w:pPr>
      <w:bookmarkStart w:id="86" w:name="_Toc13930"/>
      <w:bookmarkStart w:id="87" w:name="_Toc21270"/>
      <w:bookmarkStart w:id="88" w:name="_Toc3695"/>
      <w:r>
        <w:rPr>
          <w:rFonts w:hint="eastAsia" w:ascii="宋体" w:hAnsi="宋体" w:eastAsia="宋体" w:cs="宋体"/>
          <w:color w:val="auto"/>
          <w:highlight w:val="none"/>
        </w:rPr>
        <w:t>5.全部文件应按投标人须知中规定的语言提交。</w:t>
      </w:r>
      <w:bookmarkEnd w:id="86"/>
      <w:bookmarkEnd w:id="87"/>
      <w:bookmarkEnd w:id="88"/>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6.以下格式文件为要求填写内容的固定格式，投标人不得擅自修改格式，其他未提供格式的文件和资料由投标人自行设计编制格式填写。</w:t>
      </w:r>
    </w:p>
    <w:p>
      <w:pPr>
        <w:jc w:val="left"/>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p>
      <w:pPr>
        <w:spacing w:line="600" w:lineRule="auto"/>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投  标  文  件</w:t>
      </w:r>
    </w:p>
    <w:p>
      <w:pPr>
        <w:spacing w:line="600" w:lineRule="auto"/>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商务部分</w:t>
      </w:r>
    </w:p>
    <w:p>
      <w:pPr>
        <w:spacing w:line="360" w:lineRule="auto"/>
        <w:ind w:firstLine="640" w:firstLineChars="200"/>
        <w:jc w:val="center"/>
        <w:rPr>
          <w:rFonts w:hint="eastAsia" w:ascii="宋体" w:hAnsi="宋体" w:eastAsia="宋体" w:cs="宋体"/>
          <w:color w:val="auto"/>
          <w:kern w:val="0"/>
          <w:sz w:val="32"/>
          <w:szCs w:val="32"/>
          <w:highlight w:val="none"/>
        </w:rPr>
      </w:pPr>
    </w:p>
    <w:p>
      <w:pPr>
        <w:spacing w:line="360" w:lineRule="auto"/>
        <w:jc w:val="cente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（填写正本或副本）</w:t>
      </w:r>
    </w:p>
    <w:p>
      <w:pPr>
        <w:spacing w:line="360" w:lineRule="auto"/>
        <w:ind w:firstLine="480" w:firstLineChars="200"/>
        <w:jc w:val="center"/>
        <w:rPr>
          <w:rFonts w:hint="eastAsia" w:ascii="宋体" w:hAnsi="宋体" w:eastAsia="宋体" w:cs="宋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项目名称：</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项目编号：</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所投采购包：</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宋体" w:hAnsi="宋体" w:eastAsia="宋体" w:cs="宋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投标人：</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日  期：</w:t>
      </w:r>
      <w:r>
        <w:rPr>
          <w:rFonts w:hint="eastAsia" w:ascii="宋体" w:hAnsi="宋体" w:eastAsia="宋体" w:cs="宋体"/>
          <w:b w:val="0"/>
          <w:bCs/>
          <w:color w:val="auto"/>
          <w:kern w:val="0"/>
          <w:sz w:val="24"/>
          <w:szCs w:val="24"/>
          <w:highlight w:val="none"/>
          <w:u w:val="single"/>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格式1  投标人基本情况</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607"/>
        <w:gridCol w:w="1676"/>
        <w:gridCol w:w="1832"/>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供应商名称</w:t>
            </w:r>
          </w:p>
        </w:tc>
        <w:tc>
          <w:tcPr>
            <w:tcW w:w="1229" w:type="pct"/>
            <w:gridSpan w:val="2"/>
            <w:noWrap/>
            <w:vAlign w:val="center"/>
          </w:tcPr>
          <w:p>
            <w:pPr>
              <w:pStyle w:val="9"/>
              <w:rPr>
                <w:rFonts w:hint="eastAsia" w:ascii="宋体" w:hAnsi="宋体" w:eastAsia="宋体" w:cs="宋体"/>
                <w:color w:val="auto"/>
                <w:highlight w:val="none"/>
              </w:rPr>
            </w:pPr>
          </w:p>
        </w:tc>
        <w:tc>
          <w:tcPr>
            <w:tcW w:w="986"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1574" w:type="pct"/>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p>
        </w:tc>
        <w:tc>
          <w:tcPr>
            <w:tcW w:w="1229" w:type="pct"/>
            <w:gridSpan w:val="2"/>
            <w:noWrap/>
            <w:vAlign w:val="center"/>
          </w:tcPr>
          <w:p>
            <w:pPr>
              <w:pStyle w:val="9"/>
              <w:rPr>
                <w:rFonts w:hint="eastAsia" w:ascii="宋体" w:hAnsi="宋体" w:eastAsia="宋体" w:cs="宋体"/>
                <w:color w:val="auto"/>
                <w:highlight w:val="none"/>
              </w:rPr>
            </w:pPr>
          </w:p>
        </w:tc>
        <w:tc>
          <w:tcPr>
            <w:tcW w:w="986"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1574" w:type="pct"/>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授权代表</w:t>
            </w:r>
          </w:p>
        </w:tc>
        <w:tc>
          <w:tcPr>
            <w:tcW w:w="1229" w:type="pct"/>
            <w:gridSpan w:val="2"/>
            <w:noWrap/>
            <w:vAlign w:val="center"/>
          </w:tcPr>
          <w:p>
            <w:pPr>
              <w:pStyle w:val="9"/>
              <w:rPr>
                <w:rFonts w:hint="eastAsia" w:ascii="宋体" w:hAnsi="宋体" w:eastAsia="宋体" w:cs="宋体"/>
                <w:color w:val="auto"/>
                <w:highlight w:val="none"/>
              </w:rPr>
            </w:pPr>
          </w:p>
        </w:tc>
        <w:tc>
          <w:tcPr>
            <w:tcW w:w="986"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联系电话</w:t>
            </w:r>
          </w:p>
        </w:tc>
        <w:tc>
          <w:tcPr>
            <w:tcW w:w="1574" w:type="pct"/>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0"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电子邮箱</w:t>
            </w:r>
          </w:p>
        </w:tc>
        <w:tc>
          <w:tcPr>
            <w:tcW w:w="1229" w:type="pct"/>
            <w:gridSpan w:val="2"/>
            <w:noWrap/>
            <w:vAlign w:val="center"/>
          </w:tcPr>
          <w:p>
            <w:pPr>
              <w:pStyle w:val="9"/>
              <w:rPr>
                <w:rFonts w:hint="eastAsia" w:ascii="宋体" w:hAnsi="宋体" w:eastAsia="宋体" w:cs="宋体"/>
                <w:color w:val="auto"/>
                <w:highlight w:val="none"/>
              </w:rPr>
            </w:pPr>
          </w:p>
        </w:tc>
        <w:tc>
          <w:tcPr>
            <w:tcW w:w="986"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传真</w:t>
            </w:r>
          </w:p>
        </w:tc>
        <w:tc>
          <w:tcPr>
            <w:tcW w:w="1574" w:type="pct"/>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上年营业收入</w:t>
            </w:r>
          </w:p>
        </w:tc>
        <w:tc>
          <w:tcPr>
            <w:tcW w:w="1229" w:type="pct"/>
            <w:gridSpan w:val="2"/>
            <w:noWrap/>
            <w:vAlign w:val="center"/>
          </w:tcPr>
          <w:p>
            <w:pPr>
              <w:pStyle w:val="9"/>
              <w:rPr>
                <w:rFonts w:hint="eastAsia" w:ascii="宋体" w:hAnsi="宋体" w:eastAsia="宋体" w:cs="宋体"/>
                <w:color w:val="auto"/>
                <w:highlight w:val="none"/>
              </w:rPr>
            </w:pPr>
          </w:p>
        </w:tc>
        <w:tc>
          <w:tcPr>
            <w:tcW w:w="986"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员工总人数</w:t>
            </w:r>
          </w:p>
        </w:tc>
        <w:tc>
          <w:tcPr>
            <w:tcW w:w="1574" w:type="pct"/>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基本账户开户行及账号</w:t>
            </w:r>
          </w:p>
        </w:tc>
        <w:tc>
          <w:tcPr>
            <w:tcW w:w="3462" w:type="pct"/>
            <w:gridSpan w:val="3"/>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税务登记机关</w:t>
            </w:r>
          </w:p>
        </w:tc>
        <w:tc>
          <w:tcPr>
            <w:tcW w:w="3462" w:type="pct"/>
            <w:gridSpan w:val="3"/>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37" w:type="pct"/>
            <w:gridSpan w:val="2"/>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资质名称</w:t>
            </w:r>
          </w:p>
        </w:tc>
        <w:tc>
          <w:tcPr>
            <w:tcW w:w="902"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等级</w:t>
            </w:r>
          </w:p>
        </w:tc>
        <w:tc>
          <w:tcPr>
            <w:tcW w:w="986"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发证机关</w:t>
            </w:r>
          </w:p>
        </w:tc>
        <w:tc>
          <w:tcPr>
            <w:tcW w:w="1574"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9"/>
              <w:rPr>
                <w:rFonts w:hint="eastAsia" w:ascii="宋体" w:hAnsi="宋体" w:eastAsia="宋体" w:cs="宋体"/>
                <w:color w:val="auto"/>
                <w:highlight w:val="none"/>
              </w:rPr>
            </w:pPr>
          </w:p>
        </w:tc>
        <w:tc>
          <w:tcPr>
            <w:tcW w:w="902" w:type="pct"/>
            <w:noWrap/>
            <w:vAlign w:val="center"/>
          </w:tcPr>
          <w:p>
            <w:pPr>
              <w:pStyle w:val="9"/>
              <w:rPr>
                <w:rFonts w:hint="eastAsia" w:ascii="宋体" w:hAnsi="宋体" w:eastAsia="宋体" w:cs="宋体"/>
                <w:color w:val="auto"/>
                <w:highlight w:val="none"/>
              </w:rPr>
            </w:pPr>
          </w:p>
        </w:tc>
        <w:tc>
          <w:tcPr>
            <w:tcW w:w="986" w:type="pct"/>
            <w:noWrap/>
            <w:vAlign w:val="center"/>
          </w:tcPr>
          <w:p>
            <w:pPr>
              <w:pStyle w:val="9"/>
              <w:rPr>
                <w:rFonts w:hint="eastAsia" w:ascii="宋体" w:hAnsi="宋体" w:eastAsia="宋体" w:cs="宋体"/>
                <w:color w:val="auto"/>
                <w:highlight w:val="none"/>
              </w:rPr>
            </w:pPr>
          </w:p>
        </w:tc>
        <w:tc>
          <w:tcPr>
            <w:tcW w:w="1574" w:type="pct"/>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9"/>
              <w:rPr>
                <w:rFonts w:hint="eastAsia" w:ascii="宋体" w:hAnsi="宋体" w:eastAsia="宋体" w:cs="宋体"/>
                <w:color w:val="auto"/>
                <w:highlight w:val="none"/>
              </w:rPr>
            </w:pPr>
          </w:p>
        </w:tc>
        <w:tc>
          <w:tcPr>
            <w:tcW w:w="902" w:type="pct"/>
            <w:noWrap/>
            <w:vAlign w:val="center"/>
          </w:tcPr>
          <w:p>
            <w:pPr>
              <w:pStyle w:val="9"/>
              <w:rPr>
                <w:rFonts w:hint="eastAsia" w:ascii="宋体" w:hAnsi="宋体" w:eastAsia="宋体" w:cs="宋体"/>
                <w:color w:val="auto"/>
                <w:highlight w:val="none"/>
              </w:rPr>
            </w:pPr>
          </w:p>
        </w:tc>
        <w:tc>
          <w:tcPr>
            <w:tcW w:w="986" w:type="pct"/>
            <w:noWrap/>
            <w:vAlign w:val="center"/>
          </w:tcPr>
          <w:p>
            <w:pPr>
              <w:pStyle w:val="9"/>
              <w:rPr>
                <w:rFonts w:hint="eastAsia" w:ascii="宋体" w:hAnsi="宋体" w:eastAsia="宋体" w:cs="宋体"/>
                <w:color w:val="auto"/>
                <w:highlight w:val="none"/>
              </w:rPr>
            </w:pPr>
          </w:p>
        </w:tc>
        <w:tc>
          <w:tcPr>
            <w:tcW w:w="1574" w:type="pct"/>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供应商直接控股股东信息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37" w:type="pct"/>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直接控股股东名称</w:t>
            </w:r>
          </w:p>
        </w:tc>
        <w:tc>
          <w:tcPr>
            <w:tcW w:w="902" w:type="pct"/>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出资比例</w:t>
            </w:r>
          </w:p>
        </w:tc>
        <w:tc>
          <w:tcPr>
            <w:tcW w:w="2560" w:type="pct"/>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身份证号码或者统一社会信用代码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9"/>
              <w:rPr>
                <w:rFonts w:hint="eastAsia" w:ascii="宋体" w:hAnsi="宋体" w:eastAsia="宋体" w:cs="宋体"/>
                <w:color w:val="auto"/>
                <w:highlight w:val="none"/>
              </w:rPr>
            </w:pPr>
          </w:p>
        </w:tc>
        <w:tc>
          <w:tcPr>
            <w:tcW w:w="902" w:type="pct"/>
            <w:noWrap/>
            <w:vAlign w:val="center"/>
          </w:tcPr>
          <w:p>
            <w:pPr>
              <w:pStyle w:val="9"/>
              <w:rPr>
                <w:rFonts w:hint="eastAsia" w:ascii="宋体" w:hAnsi="宋体" w:eastAsia="宋体" w:cs="宋体"/>
                <w:color w:val="auto"/>
                <w:highlight w:val="none"/>
              </w:rPr>
            </w:pPr>
          </w:p>
        </w:tc>
        <w:tc>
          <w:tcPr>
            <w:tcW w:w="2560" w:type="pct"/>
            <w:gridSpan w:val="2"/>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9"/>
              <w:rPr>
                <w:rFonts w:hint="eastAsia" w:ascii="宋体" w:hAnsi="宋体" w:eastAsia="宋体" w:cs="宋体"/>
                <w:color w:val="auto"/>
                <w:highlight w:val="none"/>
              </w:rPr>
            </w:pPr>
          </w:p>
        </w:tc>
        <w:tc>
          <w:tcPr>
            <w:tcW w:w="902" w:type="pct"/>
            <w:noWrap/>
            <w:vAlign w:val="center"/>
          </w:tcPr>
          <w:p>
            <w:pPr>
              <w:pStyle w:val="9"/>
              <w:rPr>
                <w:rFonts w:hint="eastAsia" w:ascii="宋体" w:hAnsi="宋体" w:eastAsia="宋体" w:cs="宋体"/>
                <w:color w:val="auto"/>
                <w:highlight w:val="none"/>
              </w:rPr>
            </w:pPr>
          </w:p>
        </w:tc>
        <w:tc>
          <w:tcPr>
            <w:tcW w:w="2560" w:type="pct"/>
            <w:gridSpan w:val="2"/>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pct"/>
            <w:gridSpan w:val="2"/>
            <w:noWrap/>
            <w:vAlign w:val="center"/>
          </w:tcPr>
          <w:p>
            <w:pPr>
              <w:pStyle w:val="9"/>
              <w:rPr>
                <w:rFonts w:hint="eastAsia" w:ascii="宋体" w:hAnsi="宋体" w:eastAsia="宋体" w:cs="宋体"/>
                <w:color w:val="auto"/>
                <w:highlight w:val="none"/>
              </w:rPr>
            </w:pPr>
          </w:p>
        </w:tc>
        <w:tc>
          <w:tcPr>
            <w:tcW w:w="902" w:type="pct"/>
            <w:noWrap/>
            <w:vAlign w:val="center"/>
          </w:tcPr>
          <w:p>
            <w:pPr>
              <w:pStyle w:val="9"/>
              <w:rPr>
                <w:rFonts w:hint="eastAsia" w:ascii="宋体" w:hAnsi="宋体" w:eastAsia="宋体" w:cs="宋体"/>
                <w:color w:val="auto"/>
                <w:highlight w:val="none"/>
              </w:rPr>
            </w:pPr>
          </w:p>
        </w:tc>
        <w:tc>
          <w:tcPr>
            <w:tcW w:w="2560" w:type="pct"/>
            <w:gridSpan w:val="2"/>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5"/>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供应商直接管理关系信息表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直接管理关系单位名称</w:t>
            </w:r>
          </w:p>
        </w:tc>
        <w:tc>
          <w:tcPr>
            <w:tcW w:w="2560" w:type="pct"/>
            <w:gridSpan w:val="2"/>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noWrap/>
            <w:vAlign w:val="center"/>
          </w:tcPr>
          <w:p>
            <w:pPr>
              <w:pStyle w:val="9"/>
              <w:rPr>
                <w:rFonts w:hint="eastAsia" w:ascii="宋体" w:hAnsi="宋体" w:eastAsia="宋体" w:cs="宋体"/>
                <w:color w:val="auto"/>
                <w:highlight w:val="none"/>
              </w:rPr>
            </w:pPr>
          </w:p>
        </w:tc>
        <w:tc>
          <w:tcPr>
            <w:tcW w:w="2560" w:type="pct"/>
            <w:gridSpan w:val="2"/>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9" w:type="pct"/>
            <w:gridSpan w:val="3"/>
            <w:noWrap/>
            <w:vAlign w:val="center"/>
          </w:tcPr>
          <w:p>
            <w:pPr>
              <w:pStyle w:val="9"/>
              <w:rPr>
                <w:rFonts w:hint="eastAsia" w:ascii="宋体" w:hAnsi="宋体" w:eastAsia="宋体" w:cs="宋体"/>
                <w:color w:val="auto"/>
                <w:highlight w:val="none"/>
              </w:rPr>
            </w:pPr>
          </w:p>
        </w:tc>
        <w:tc>
          <w:tcPr>
            <w:tcW w:w="2560" w:type="pct"/>
            <w:gridSpan w:val="2"/>
            <w:noWrap/>
            <w:vAlign w:val="center"/>
          </w:tcPr>
          <w:p>
            <w:pPr>
              <w:pStyle w:val="9"/>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0" w:type="pct"/>
            <w:noWrap/>
            <w:vAlign w:val="center"/>
          </w:tcPr>
          <w:p>
            <w:pPr>
              <w:pStyle w:val="9"/>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3789" w:type="pct"/>
            <w:gridSpan w:val="4"/>
            <w:noWrap/>
            <w:vAlign w:val="center"/>
          </w:tcPr>
          <w:p>
            <w:pPr>
              <w:pStyle w:val="9"/>
              <w:rPr>
                <w:rFonts w:hint="eastAsia" w:ascii="宋体" w:hAnsi="宋体" w:eastAsia="宋体" w:cs="宋体"/>
                <w:color w:val="auto"/>
                <w:highlight w:val="none"/>
              </w:rPr>
            </w:pPr>
          </w:p>
        </w:tc>
      </w:tr>
    </w:tbl>
    <w:p>
      <w:pPr>
        <w:jc w:val="left"/>
        <w:rPr>
          <w:rFonts w:hint="eastAsia" w:ascii="宋体" w:hAnsi="宋体" w:eastAsia="宋体" w:cs="宋体"/>
          <w:b/>
          <w:bCs w:val="0"/>
          <w:color w:val="auto"/>
          <w:sz w:val="24"/>
          <w:highlight w:val="none"/>
        </w:rPr>
      </w:pPr>
      <w:r>
        <w:rPr>
          <w:rFonts w:hint="eastAsia" w:ascii="宋体" w:hAnsi="宋体" w:eastAsia="宋体" w:cs="宋体"/>
          <w:b/>
          <w:bCs w:val="0"/>
          <w:color w:val="auto"/>
          <w:highlight w:val="none"/>
        </w:rPr>
        <w:t>（附</w:t>
      </w:r>
      <w:r>
        <w:rPr>
          <w:rFonts w:hint="eastAsia" w:ascii="宋体" w:hAnsi="宋体" w:eastAsia="宋体" w:cs="宋体"/>
          <w:b/>
          <w:bCs w:val="0"/>
          <w:color w:val="auto"/>
          <w:highlight w:val="none"/>
          <w:lang w:eastAsia="zh-CN"/>
        </w:rPr>
        <w:t>：</w:t>
      </w:r>
      <w:r>
        <w:rPr>
          <w:rFonts w:hint="eastAsia" w:ascii="宋体" w:hAnsi="宋体" w:eastAsia="宋体" w:cs="宋体"/>
          <w:b/>
          <w:bCs w:val="0"/>
          <w:color w:val="auto"/>
          <w:highlight w:val="none"/>
        </w:rPr>
        <w:t>法人或者其他组织的营业执照等证明文件复印件；投标人如为自然人，提供自然人的身份证复印件</w:t>
      </w:r>
      <w:r>
        <w:rPr>
          <w:rFonts w:hint="eastAsia" w:ascii="宋体" w:hAnsi="宋体" w:eastAsia="宋体" w:cs="宋体"/>
          <w:b/>
          <w:bCs w:val="0"/>
          <w:color w:val="auto"/>
          <w:highlight w:val="none"/>
          <w:lang w:eastAsia="zh-CN"/>
        </w:rPr>
        <w:t>。</w:t>
      </w:r>
      <w:r>
        <w:rPr>
          <w:rFonts w:hint="eastAsia" w:ascii="宋体" w:hAnsi="宋体" w:eastAsia="宋体" w:cs="宋体"/>
          <w:b/>
          <w:bCs w:val="0"/>
          <w:color w:val="auto"/>
          <w:highlight w:val="none"/>
        </w:rPr>
        <w:t>线上采购项目提供扫描件，下同）</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投标人（全称并加盖公章）：</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投标人代表（签字）：</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日期：</w:t>
      </w:r>
    </w:p>
    <w:p>
      <w:pPr>
        <w:jc w:val="left"/>
        <w:rPr>
          <w:rFonts w:hint="eastAsia" w:ascii="宋体" w:hAnsi="宋体" w:eastAsia="宋体" w:cs="宋体"/>
          <w:color w:val="auto"/>
          <w:highlight w:val="none"/>
        </w:rPr>
      </w:pPr>
    </w:p>
    <w:p>
      <w:pPr>
        <w:pStyle w:val="9"/>
        <w:rPr>
          <w:rFonts w:hint="eastAsia" w:ascii="宋体" w:hAnsi="宋体" w:eastAsia="宋体" w:cs="宋体"/>
          <w:b/>
          <w:bCs w:val="0"/>
          <w:color w:val="auto"/>
          <w:sz w:val="28"/>
          <w:szCs w:val="28"/>
          <w:highlight w:val="none"/>
        </w:rPr>
      </w:pPr>
      <w:r>
        <w:rPr>
          <w:rFonts w:hint="eastAsia" w:ascii="宋体" w:hAnsi="宋体" w:eastAsia="宋体" w:cs="宋体"/>
          <w:color w:val="auto"/>
          <w:highlight w:val="none"/>
        </w:rPr>
        <w:br w:type="page"/>
      </w:r>
      <w:r>
        <w:rPr>
          <w:rFonts w:hint="eastAsia" w:ascii="宋体" w:hAnsi="宋体" w:eastAsia="宋体" w:cs="宋体"/>
          <w:b/>
          <w:bCs w:val="0"/>
          <w:color w:val="auto"/>
          <w:sz w:val="28"/>
          <w:szCs w:val="28"/>
          <w:highlight w:val="none"/>
        </w:rPr>
        <w:t>格式2  投标人具备投标资格证明文件</w:t>
      </w: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2-1财务状况报告</w:t>
      </w:r>
    </w:p>
    <w:p>
      <w:pPr>
        <w:rPr>
          <w:rFonts w:hint="eastAsia" w:ascii="宋体" w:hAnsi="宋体" w:eastAsia="宋体" w:cs="宋体"/>
          <w:color w:val="auto"/>
          <w:highlight w:val="none"/>
        </w:rPr>
      </w:pPr>
      <w:r>
        <w:rPr>
          <w:rFonts w:hint="eastAsia" w:ascii="宋体" w:hAnsi="宋体" w:eastAsia="宋体" w:cs="宋体"/>
          <w:color w:val="auto"/>
          <w:highlight w:val="none"/>
        </w:rPr>
        <w:t>根据资格条件要求提供相应材料。</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2-2依法缴纳税收的相关材料</w:t>
      </w:r>
    </w:p>
    <w:p>
      <w:pPr>
        <w:rPr>
          <w:rFonts w:hint="eastAsia" w:ascii="宋体" w:hAnsi="宋体" w:eastAsia="宋体" w:cs="宋体"/>
          <w:color w:val="auto"/>
          <w:highlight w:val="none"/>
        </w:rPr>
      </w:pPr>
      <w:r>
        <w:rPr>
          <w:rFonts w:hint="eastAsia" w:ascii="宋体" w:hAnsi="宋体" w:eastAsia="宋体" w:cs="宋体"/>
          <w:color w:val="auto"/>
          <w:highlight w:val="none"/>
        </w:rPr>
        <w:t>根据资格条件要求提供相应材料。</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2-3依法缴纳社会保障资金的相关材料</w:t>
      </w:r>
    </w:p>
    <w:p>
      <w:pPr>
        <w:rPr>
          <w:rFonts w:hint="eastAsia" w:ascii="宋体" w:hAnsi="宋体" w:eastAsia="宋体" w:cs="宋体"/>
          <w:color w:val="auto"/>
          <w:highlight w:val="none"/>
        </w:rPr>
      </w:pPr>
      <w:r>
        <w:rPr>
          <w:rFonts w:hint="eastAsia" w:ascii="宋体" w:hAnsi="宋体" w:eastAsia="宋体" w:cs="宋体"/>
          <w:color w:val="auto"/>
          <w:highlight w:val="none"/>
        </w:rPr>
        <w:t>根据资格条件要求提供相应材料。</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2-4具备履行合同所必需的设备和专业技术能力的证明材料</w:t>
      </w:r>
    </w:p>
    <w:p>
      <w:pPr>
        <w:rPr>
          <w:rFonts w:hint="eastAsia" w:ascii="宋体" w:hAnsi="宋体" w:eastAsia="宋体" w:cs="宋体"/>
          <w:color w:val="auto"/>
          <w:highlight w:val="none"/>
        </w:rPr>
      </w:pPr>
      <w:r>
        <w:rPr>
          <w:rFonts w:hint="eastAsia" w:ascii="宋体" w:hAnsi="宋体" w:eastAsia="宋体" w:cs="宋体"/>
          <w:color w:val="auto"/>
          <w:highlight w:val="none"/>
        </w:rPr>
        <w:t>根据资格条件要求提供相应材料。</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bookmarkStart w:id="89" w:name="_Toc8860"/>
      <w:bookmarkStart w:id="90" w:name="_Toc18153"/>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格式3  参加本次政府采购活动前三年内在经营活动中</w:t>
      </w: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没有重大违法记录的书面声明</w:t>
      </w:r>
    </w:p>
    <w:p>
      <w:pPr>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致________（采购人或采购代理机构）：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我单位在参加本次采购活动前三年内在经营活动中没有《政府采购法》第二十二条第一款第（五）项所称重大违法记录，包括：</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我单位未因经营活动中的违法行为受到刑事处罚或者责令停产停业、吊销许可证或者执照、较大数额罚款等行政处罚。</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特此声明！</w:t>
      </w:r>
    </w:p>
    <w:p>
      <w:pPr>
        <w:jc w:val="left"/>
        <w:rPr>
          <w:rFonts w:hint="eastAsia" w:ascii="宋体" w:hAnsi="宋体" w:eastAsia="宋体" w:cs="宋体"/>
          <w:color w:val="auto"/>
          <w:highlight w:val="none"/>
        </w:rPr>
      </w:pPr>
    </w:p>
    <w:p>
      <w:pPr>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（请投标人根据实际情况如实声明，否则视为提供虚假材料。）</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投标人（全称并加盖公章）：</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投标人代表（签字）：</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日期：</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
        <w:rPr>
          <w:rFonts w:hint="eastAsia" w:ascii="宋体" w:hAnsi="宋体" w:eastAsia="宋体" w:cs="宋体"/>
          <w:color w:val="auto"/>
          <w:highlight w:val="none"/>
        </w:rPr>
      </w:pP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格式4  具备法律、行政法规规定的其他条件的证明材料</w:t>
      </w:r>
    </w:p>
    <w:p>
      <w:pPr>
        <w:rPr>
          <w:rFonts w:hint="eastAsia" w:ascii="宋体" w:hAnsi="宋体" w:eastAsia="宋体" w:cs="宋体"/>
          <w:color w:val="auto"/>
          <w:highlight w:val="none"/>
        </w:rPr>
      </w:pPr>
      <w:r>
        <w:rPr>
          <w:rFonts w:hint="eastAsia" w:ascii="宋体" w:hAnsi="宋体" w:eastAsia="宋体" w:cs="宋体"/>
          <w:color w:val="auto"/>
          <w:highlight w:val="none"/>
        </w:rPr>
        <w:t>根据资格条件要求提供相应材料。</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格式5  联合体协议（若有）</w:t>
      </w:r>
    </w:p>
    <w:p>
      <w:pPr>
        <w:pStyle w:val="14"/>
        <w:rPr>
          <w:rFonts w:hint="eastAsia" w:ascii="宋体" w:hAnsi="宋体" w:eastAsia="宋体" w:cs="宋体"/>
          <w:color w:val="auto"/>
          <w:w w:val="150"/>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致________（采购人或采购代理机构）：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经研究，我方决定自愿组成联合体共同参加____________(项目名称、项目编号)项目的投标。现就联合体投标事宜订立如下协议：</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一、联合体成员：</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1._________________</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2._________________</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3._________________</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二、____________(某成员单位名称)为____________(联合体名称)牵头人。</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四、联合体将严格按照招标文件的各项要求，递交投标文件，参加投标，履行中标义务和中标后的合同，并向采购人承担连带责任。</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五、联合体各成员单位内部的职责分工如下：____________。按照本条上述分工，联合体成员单位各自所承担的合同工作量比例如下：____________。</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六、本协议书自签署之日起生效，合同履行完毕后自动失效。</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七、本协议书一式______份，联合体成员和采购人各执一份。</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牵头人名称(公章)：____________</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法定代表人或其授权代表(签字)：____________</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成员名称(公章)：____________</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法定代表人或其授权代表(签字)：____________</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______年____月____日</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备注：本协议书由授权代表签字的，应附法定代表人签字的授权委托书。</w:t>
      </w:r>
    </w:p>
    <w:p>
      <w:pPr>
        <w:rPr>
          <w:rFonts w:hint="eastAsia" w:ascii="宋体" w:hAnsi="宋体" w:eastAsia="宋体" w:cs="宋体"/>
          <w:b/>
          <w:bCs w:val="0"/>
          <w:color w:val="auto"/>
          <w:sz w:val="28"/>
          <w:szCs w:val="28"/>
          <w:highlight w:val="none"/>
        </w:rPr>
      </w:pPr>
      <w:r>
        <w:rPr>
          <w:rFonts w:hint="eastAsia" w:ascii="宋体" w:hAnsi="宋体" w:eastAsia="宋体" w:cs="宋体"/>
          <w:color w:val="auto"/>
          <w:highlight w:val="none"/>
        </w:rPr>
        <w:br w:type="page"/>
      </w:r>
      <w:bookmarkStart w:id="91" w:name="_Toc31681"/>
      <w:bookmarkStart w:id="92" w:name="_Toc27885"/>
      <w:bookmarkStart w:id="93" w:name="_Toc3653"/>
      <w:r>
        <w:rPr>
          <w:rFonts w:hint="eastAsia" w:ascii="宋体" w:hAnsi="宋体" w:eastAsia="宋体" w:cs="宋体"/>
          <w:b/>
          <w:bCs w:val="0"/>
          <w:color w:val="auto"/>
          <w:sz w:val="28"/>
          <w:szCs w:val="28"/>
          <w:highlight w:val="none"/>
        </w:rPr>
        <w:t xml:space="preserve">格式6  </w:t>
      </w:r>
      <w:bookmarkEnd w:id="91"/>
      <w:bookmarkEnd w:id="92"/>
      <w:bookmarkEnd w:id="93"/>
      <w:r>
        <w:rPr>
          <w:rFonts w:hint="eastAsia" w:ascii="宋体" w:hAnsi="宋体" w:eastAsia="宋体" w:cs="宋体"/>
          <w:b/>
          <w:bCs w:val="0"/>
          <w:color w:val="auto"/>
          <w:sz w:val="28"/>
          <w:szCs w:val="28"/>
          <w:highlight w:val="none"/>
        </w:rPr>
        <w:t>其他资格证明文件（若有）</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根据资格条件要求提供相应材料。</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格式7  投标报价表</w:t>
      </w:r>
    </w:p>
    <w:bookmarkEnd w:id="89"/>
    <w:bookmarkEnd w:id="90"/>
    <w:p>
      <w:pPr>
        <w:rPr>
          <w:rFonts w:hint="eastAsia" w:ascii="宋体" w:hAnsi="宋体" w:eastAsia="宋体" w:cs="宋体"/>
          <w:b/>
          <w:bCs w:val="0"/>
          <w:color w:val="auto"/>
          <w:sz w:val="28"/>
          <w:szCs w:val="28"/>
          <w:highlight w:val="none"/>
        </w:rPr>
      </w:pPr>
      <w:bookmarkStart w:id="94" w:name="_Toc23236"/>
      <w:bookmarkStart w:id="95" w:name="_Toc6139"/>
      <w:bookmarkStart w:id="96" w:name="_Toc31123"/>
      <w:r>
        <w:rPr>
          <w:rFonts w:hint="eastAsia" w:ascii="宋体" w:hAnsi="宋体" w:eastAsia="宋体" w:cs="宋体"/>
          <w:b/>
          <w:bCs w:val="0"/>
          <w:color w:val="auto"/>
          <w:sz w:val="28"/>
          <w:szCs w:val="28"/>
          <w:highlight w:val="none"/>
        </w:rPr>
        <w:t>1.开标一览表（总报价表）</w:t>
      </w:r>
      <w:bookmarkEnd w:id="94"/>
      <w:bookmarkEnd w:id="95"/>
      <w:bookmarkEnd w:id="96"/>
    </w:p>
    <w:p>
      <w:pPr>
        <w:pStyle w:val="9"/>
        <w:rPr>
          <w:rFonts w:hint="eastAsia" w:ascii="宋体" w:hAnsi="宋体" w:eastAsia="宋体" w:cs="宋体"/>
          <w:color w:val="auto"/>
          <w:highlight w:val="none"/>
        </w:rPr>
      </w:pPr>
      <w:r>
        <w:rPr>
          <w:rFonts w:hint="eastAsia" w:ascii="宋体" w:hAnsi="宋体" w:eastAsia="宋体" w:cs="宋体"/>
          <w:color w:val="auto"/>
          <w:highlight w:val="none"/>
        </w:rPr>
        <w:t>(服务类项目适用)</w:t>
      </w:r>
    </w:p>
    <w:p>
      <w:pPr>
        <w:ind w:firstLine="1260" w:firstLineChars="600"/>
        <w:jc w:val="both"/>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项目编号：</w:t>
      </w:r>
    </w:p>
    <w:p>
      <w:pPr>
        <w:rPr>
          <w:rFonts w:hint="eastAsia" w:ascii="宋体" w:hAnsi="宋体" w:eastAsia="宋体" w:cs="宋体"/>
          <w:color w:val="auto"/>
          <w:w w:val="150"/>
          <w:highlight w:val="none"/>
        </w:rPr>
      </w:pPr>
      <w:r>
        <w:rPr>
          <w:rFonts w:hint="eastAsia" w:ascii="宋体" w:hAnsi="宋体" w:eastAsia="宋体" w:cs="宋体"/>
          <w:color w:val="auto"/>
          <w:highlight w:val="none"/>
        </w:rPr>
        <w:t>采购包号：                                  价格单位：人民币：元</w:t>
      </w:r>
    </w:p>
    <w:tbl>
      <w:tblPr>
        <w:tblStyle w:val="17"/>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4283"/>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63"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4283"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内容</w:t>
            </w:r>
          </w:p>
        </w:tc>
        <w:tc>
          <w:tcPr>
            <w:tcW w:w="3172"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价格小计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63"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4283" w:type="dxa"/>
            <w:noWrap/>
            <w:vAlign w:val="center"/>
          </w:tcPr>
          <w:p>
            <w:pPr>
              <w:rPr>
                <w:rFonts w:hint="eastAsia" w:ascii="宋体" w:hAnsi="宋体" w:eastAsia="宋体" w:cs="宋体"/>
                <w:color w:val="auto"/>
                <w:highlight w:val="none"/>
              </w:rPr>
            </w:pPr>
          </w:p>
        </w:tc>
        <w:tc>
          <w:tcPr>
            <w:tcW w:w="3172"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63"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4283" w:type="dxa"/>
            <w:noWrap/>
            <w:vAlign w:val="center"/>
          </w:tcPr>
          <w:p>
            <w:pPr>
              <w:rPr>
                <w:rFonts w:hint="eastAsia" w:ascii="宋体" w:hAnsi="宋体" w:eastAsia="宋体" w:cs="宋体"/>
                <w:color w:val="auto"/>
                <w:highlight w:val="none"/>
              </w:rPr>
            </w:pPr>
          </w:p>
        </w:tc>
        <w:tc>
          <w:tcPr>
            <w:tcW w:w="3172"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63"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4283" w:type="dxa"/>
            <w:noWrap/>
            <w:vAlign w:val="center"/>
          </w:tcPr>
          <w:p>
            <w:pPr>
              <w:rPr>
                <w:rFonts w:hint="eastAsia" w:ascii="宋体" w:hAnsi="宋体" w:eastAsia="宋体" w:cs="宋体"/>
                <w:color w:val="auto"/>
                <w:highlight w:val="none"/>
              </w:rPr>
            </w:pPr>
          </w:p>
        </w:tc>
        <w:tc>
          <w:tcPr>
            <w:tcW w:w="3172"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546"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报价合计（小写）</w:t>
            </w:r>
          </w:p>
        </w:tc>
        <w:tc>
          <w:tcPr>
            <w:tcW w:w="3172"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546" w:type="dxa"/>
            <w:gridSpan w:val="2"/>
            <w:noWrap/>
            <w:vAlign w:val="center"/>
          </w:tcPr>
          <w:p>
            <w:pPr>
              <w:rPr>
                <w:rFonts w:hint="eastAsia" w:ascii="宋体" w:hAnsi="宋体" w:eastAsia="宋体" w:cs="宋体"/>
                <w:b/>
                <w:color w:val="auto"/>
                <w:highlight w:val="none"/>
              </w:rPr>
            </w:pPr>
            <w:r>
              <w:rPr>
                <w:rFonts w:hint="eastAsia" w:ascii="宋体" w:hAnsi="宋体" w:eastAsia="宋体" w:cs="宋体"/>
                <w:color w:val="auto"/>
                <w:highlight w:val="none"/>
              </w:rPr>
              <w:t>报价合计（大写）</w:t>
            </w:r>
          </w:p>
        </w:tc>
        <w:tc>
          <w:tcPr>
            <w:tcW w:w="3172" w:type="dxa"/>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718" w:type="dxa"/>
            <w:gridSpan w:val="3"/>
            <w:noWrap/>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u w:val="none"/>
              </w:rPr>
              <w:t>服务期</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年</w:t>
            </w:r>
            <w:r>
              <w:rPr>
                <w:rFonts w:hint="eastAsia" w:ascii="宋体" w:hAnsi="宋体" w:eastAsia="宋体" w:cs="宋体"/>
                <w:color w:val="auto"/>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546" w:type="dxa"/>
            <w:gridSpan w:val="2"/>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3172" w:type="dxa"/>
            <w:noWrap/>
            <w:vAlign w:val="center"/>
          </w:tcPr>
          <w:p>
            <w:pPr>
              <w:rPr>
                <w:rFonts w:hint="eastAsia" w:ascii="宋体" w:hAnsi="宋体" w:eastAsia="宋体" w:cs="宋体"/>
                <w:color w:val="auto"/>
                <w:highlight w:val="none"/>
              </w:rPr>
            </w:pPr>
          </w:p>
        </w:tc>
      </w:tr>
    </w:tbl>
    <w:p>
      <w:pPr>
        <w:jc w:val="left"/>
        <w:rPr>
          <w:rFonts w:hint="eastAsia" w:ascii="宋体" w:hAnsi="宋体" w:eastAsia="宋体" w:cs="宋体"/>
          <w:color w:val="auto"/>
          <w:highlight w:val="none"/>
        </w:rPr>
      </w:pPr>
      <w:r>
        <w:rPr>
          <w:rFonts w:hint="eastAsia" w:ascii="宋体" w:hAnsi="宋体" w:eastAsia="宋体" w:cs="宋体"/>
          <w:color w:val="auto"/>
          <w:highlight w:val="none"/>
        </w:rPr>
        <w:t>特别说明：</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1.本项目总价及分项报价均不接受任何形式的赠送、“零”报价和折扣报价。</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2.本项目执行中所发生的所有费用均计入投标报价中，采购人不再另行支付其他任何费用。</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3.投标人应根据《招标文件-技术部分》相关要求填报。</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4.如报价不一致，按照投标人须知“19.核价原则”进行修正。</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投标人（全称并加盖公章）：</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投标人代表（签字）：</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日期：</w:t>
      </w:r>
    </w:p>
    <w:p>
      <w:pPr>
        <w:rPr>
          <w:rFonts w:hint="eastAsia" w:ascii="宋体" w:hAnsi="宋体" w:eastAsia="宋体" w:cs="宋体"/>
          <w:b/>
          <w:bCs w:val="0"/>
          <w:color w:val="auto"/>
          <w:sz w:val="28"/>
          <w:szCs w:val="28"/>
          <w:highlight w:val="none"/>
        </w:rPr>
      </w:pPr>
      <w:r>
        <w:rPr>
          <w:rFonts w:hint="eastAsia" w:ascii="宋体" w:hAnsi="宋体" w:eastAsia="宋体" w:cs="宋体"/>
          <w:color w:val="auto"/>
          <w:highlight w:val="none"/>
        </w:rPr>
        <w:br w:type="page"/>
      </w:r>
      <w:bookmarkStart w:id="97" w:name="_Toc25014"/>
      <w:bookmarkStart w:id="98" w:name="_Toc31594"/>
      <w:bookmarkStart w:id="99" w:name="_Toc30907"/>
      <w:r>
        <w:rPr>
          <w:rFonts w:hint="eastAsia" w:ascii="宋体" w:hAnsi="宋体" w:eastAsia="宋体" w:cs="宋体"/>
          <w:b/>
          <w:bCs w:val="0"/>
          <w:color w:val="auto"/>
          <w:sz w:val="28"/>
          <w:szCs w:val="28"/>
          <w:highlight w:val="none"/>
        </w:rPr>
        <w:t>2.分项报价表</w:t>
      </w:r>
      <w:bookmarkEnd w:id="97"/>
      <w:bookmarkEnd w:id="98"/>
      <w:bookmarkEnd w:id="99"/>
    </w:p>
    <w:p>
      <w:pPr>
        <w:rPr>
          <w:rFonts w:hint="eastAsia" w:ascii="宋体" w:hAnsi="宋体" w:eastAsia="宋体" w:cs="宋体"/>
          <w:b/>
          <w:bCs w:val="0"/>
          <w:color w:val="auto"/>
          <w:sz w:val="28"/>
          <w:szCs w:val="28"/>
          <w:highlight w:val="none"/>
        </w:rPr>
      </w:pPr>
    </w:p>
    <w:p>
      <w:pPr>
        <w:pStyle w:val="9"/>
        <w:rPr>
          <w:rFonts w:hint="eastAsia" w:ascii="宋体" w:hAnsi="宋体" w:eastAsia="宋体" w:cs="宋体"/>
          <w:b/>
          <w:color w:val="auto"/>
          <w:highlight w:val="none"/>
        </w:rPr>
      </w:pPr>
      <w:r>
        <w:rPr>
          <w:rFonts w:hint="eastAsia" w:ascii="宋体" w:hAnsi="宋体" w:eastAsia="宋体" w:cs="宋体"/>
          <w:color w:val="auto"/>
          <w:highlight w:val="none"/>
        </w:rPr>
        <w:t>（服务类项目适用)</w:t>
      </w:r>
    </w:p>
    <w:p>
      <w:pPr>
        <w:ind w:firstLine="1260" w:firstLineChars="600"/>
        <w:jc w:val="both"/>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项目编号：</w:t>
      </w:r>
    </w:p>
    <w:p>
      <w:pPr>
        <w:rPr>
          <w:rFonts w:hint="eastAsia" w:ascii="宋体" w:hAnsi="宋体" w:eastAsia="宋体" w:cs="宋体"/>
          <w:color w:val="auto"/>
          <w:w w:val="150"/>
          <w:highlight w:val="none"/>
        </w:rPr>
      </w:pPr>
      <w:r>
        <w:rPr>
          <w:rFonts w:hint="eastAsia" w:ascii="宋体" w:hAnsi="宋体" w:eastAsia="宋体" w:cs="宋体"/>
          <w:color w:val="auto"/>
          <w:highlight w:val="none"/>
        </w:rPr>
        <w:t>采购包号：                                价格单位：人民币：元</w:t>
      </w:r>
    </w:p>
    <w:tbl>
      <w:tblPr>
        <w:tblStyle w:val="17"/>
        <w:tblW w:w="8349" w:type="dxa"/>
        <w:jc w:val="center"/>
        <w:tblLayout w:type="fixed"/>
        <w:tblCellMar>
          <w:top w:w="0" w:type="dxa"/>
          <w:left w:w="108" w:type="dxa"/>
          <w:bottom w:w="0" w:type="dxa"/>
          <w:right w:w="108" w:type="dxa"/>
        </w:tblCellMar>
      </w:tblPr>
      <w:tblGrid>
        <w:gridCol w:w="705"/>
        <w:gridCol w:w="1441"/>
        <w:gridCol w:w="2051"/>
        <w:gridCol w:w="1010"/>
        <w:gridCol w:w="1170"/>
        <w:gridCol w:w="1230"/>
        <w:gridCol w:w="742"/>
      </w:tblGrid>
      <w:tr>
        <w:tblPrEx>
          <w:tblCellMar>
            <w:top w:w="0" w:type="dxa"/>
            <w:left w:w="108" w:type="dxa"/>
            <w:bottom w:w="0" w:type="dxa"/>
            <w:right w:w="108" w:type="dxa"/>
          </w:tblCellMar>
        </w:tblPrEx>
        <w:trPr>
          <w:trHeight w:val="409"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序号</w:t>
            </w:r>
          </w:p>
        </w:tc>
        <w:tc>
          <w:tcPr>
            <w:tcW w:w="144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项目名称</w:t>
            </w:r>
          </w:p>
        </w:tc>
        <w:tc>
          <w:tcPr>
            <w:tcW w:w="205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内容描述</w:t>
            </w:r>
          </w:p>
        </w:tc>
        <w:tc>
          <w:tcPr>
            <w:tcW w:w="10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数量</w:t>
            </w: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单价</w:t>
            </w:r>
          </w:p>
        </w:tc>
        <w:tc>
          <w:tcPr>
            <w:tcW w:w="12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小计</w:t>
            </w:r>
          </w:p>
          <w:p>
            <w:pP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（元）</w:t>
            </w:r>
          </w:p>
        </w:tc>
        <w:tc>
          <w:tcPr>
            <w:tcW w:w="742"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备注</w:t>
            </w:r>
          </w:p>
        </w:tc>
      </w:tr>
      <w:tr>
        <w:tblPrEx>
          <w:tblCellMar>
            <w:top w:w="0" w:type="dxa"/>
            <w:left w:w="108" w:type="dxa"/>
            <w:bottom w:w="0" w:type="dxa"/>
            <w:right w:w="108" w:type="dxa"/>
          </w:tblCellMar>
        </w:tblPrEx>
        <w:trPr>
          <w:trHeight w:val="671"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44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05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71"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44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05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71"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44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05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08" w:hRule="atLeast"/>
          <w:tblHeader/>
          <w:jc w:val="center"/>
        </w:trPr>
        <w:tc>
          <w:tcPr>
            <w:tcW w:w="705"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441" w:type="dxa"/>
            <w:tcBorders>
              <w:top w:val="nil"/>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051" w:type="dxa"/>
            <w:tcBorders>
              <w:top w:val="nil"/>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010"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70"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30"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742" w:type="dxa"/>
            <w:tcBorders>
              <w:top w:val="nil"/>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16"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44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05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10" w:hRule="atLeast"/>
          <w:tblHeader/>
          <w:jc w:val="center"/>
        </w:trPr>
        <w:tc>
          <w:tcPr>
            <w:tcW w:w="7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44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051"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0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610" w:hRule="atLeast"/>
          <w:tblHeader/>
          <w:jc w:val="center"/>
        </w:trPr>
        <w:tc>
          <w:tcPr>
            <w:tcW w:w="419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   计</w:t>
            </w:r>
          </w:p>
        </w:tc>
        <w:tc>
          <w:tcPr>
            <w:tcW w:w="10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7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bl>
    <w:p>
      <w:pPr>
        <w:jc w:val="left"/>
        <w:rPr>
          <w:rFonts w:hint="eastAsia" w:ascii="宋体" w:hAnsi="宋体" w:eastAsia="宋体" w:cs="宋体"/>
          <w:color w:val="auto"/>
          <w:highlight w:val="none"/>
        </w:rPr>
      </w:pPr>
      <w:r>
        <w:rPr>
          <w:rFonts w:hint="eastAsia" w:ascii="宋体" w:hAnsi="宋体" w:eastAsia="宋体" w:cs="宋体"/>
          <w:color w:val="auto"/>
          <w:highlight w:val="none"/>
        </w:rPr>
        <w:t>特别说明：</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1.本项目总价及分项报价均不接受任何形式的赠送、“零”报价和折扣报价。</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2.如报价不一致，按照投标人须知“19.核价原则”进行修正。</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3.本表中小计=数量×单价。</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4.本表仅供参考，可扩展。</w:t>
      </w:r>
    </w:p>
    <w:p>
      <w:pPr>
        <w:pStyle w:val="9"/>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投标人（全称并加盖公章）：</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投标人代表（签字）：</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日期：</w:t>
      </w:r>
    </w:p>
    <w:p>
      <w:pPr>
        <w:rPr>
          <w:rFonts w:hint="eastAsia" w:ascii="宋体" w:hAnsi="宋体" w:eastAsia="宋体" w:cs="宋体"/>
          <w:b/>
          <w:bCs w:val="0"/>
          <w:color w:val="auto"/>
          <w:sz w:val="28"/>
          <w:szCs w:val="28"/>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bCs w:val="0"/>
          <w:color w:val="auto"/>
          <w:sz w:val="28"/>
          <w:szCs w:val="28"/>
          <w:highlight w:val="none"/>
        </w:rPr>
        <w:t>格式8  授权委托书</w:t>
      </w: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8-1法定代表人授权委托书</w:t>
      </w:r>
    </w:p>
    <w:p>
      <w:pPr>
        <w:rPr>
          <w:rFonts w:hint="eastAsia" w:ascii="宋体" w:hAnsi="宋体" w:eastAsia="宋体" w:cs="宋体"/>
          <w:b/>
          <w:color w:val="auto"/>
          <w:sz w:val="24"/>
          <w:highlight w:val="none"/>
        </w:rPr>
      </w:pPr>
      <w:r>
        <w:rPr>
          <w:rFonts w:hint="eastAsia" w:ascii="宋体" w:hAnsi="宋体" w:eastAsia="宋体" w:cs="宋体"/>
          <w:color w:val="auto"/>
          <w:highlight w:val="none"/>
        </w:rPr>
        <w:t>(适用于授权代表参加投标)</w:t>
      </w:r>
    </w:p>
    <w:p>
      <w:pPr>
        <w:pStyle w:val="14"/>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致____________(采购人或采购代理机构)：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eastAsia="宋体" w:cs="宋体"/>
          <w:color w:val="auto"/>
          <w:highlight w:val="none"/>
          <w:u w:val="single"/>
        </w:rPr>
        <w:t xml:space="preserve">          项目</w:t>
      </w:r>
      <w:r>
        <w:rPr>
          <w:rFonts w:hint="eastAsia" w:ascii="宋体" w:hAnsi="宋体" w:eastAsia="宋体" w:cs="宋体"/>
          <w:color w:val="auto"/>
          <w:highlight w:val="none"/>
        </w:rPr>
        <w:t>》（项目编号：_______）投标、合同的执行，以本公司名义处理一切与之有关的事务。</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本授权书于______年______月_____日生效，特此声明。</w:t>
      </w:r>
    </w:p>
    <w:p>
      <w:pPr>
        <w:pStyle w:val="14"/>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2"/>
          <w:highlight w:val="none"/>
        </w:rPr>
        <w:t>被授权投标代表无转委托权。</w:t>
      </w:r>
    </w:p>
    <w:tbl>
      <w:tblPr>
        <w:tblStyle w:val="17"/>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r>
              <w:rPr>
                <w:rFonts w:hint="eastAsia" w:ascii="宋体" w:hAnsi="宋体" w:eastAsia="宋体" w:cs="宋体"/>
                <w:color w:val="auto"/>
                <w:kern w:val="2"/>
                <w:highlight w:val="none"/>
              </w:rPr>
              <w:t>被授权投标代表身份证复印件</w:t>
            </w: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tc>
      </w:tr>
    </w:tbl>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投标人名称（公章）：________________</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法定代表人（签字）：________________</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被授权投标代表（签字）：________________</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被授权投标代表联系电话：____________</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日期：____________</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p>
    <w:p>
      <w:pPr>
        <w:jc w:val="left"/>
        <w:rPr>
          <w:rFonts w:hint="eastAsia" w:ascii="宋体" w:hAnsi="宋体" w:eastAsia="宋体" w:cs="宋体"/>
          <w:i/>
          <w:iCs/>
          <w:color w:val="auto"/>
          <w:highlight w:val="none"/>
        </w:rPr>
      </w:pPr>
      <w:r>
        <w:rPr>
          <w:rFonts w:hint="eastAsia" w:ascii="宋体" w:hAnsi="宋体" w:eastAsia="宋体" w:cs="宋体"/>
          <w:color w:val="auto"/>
          <w:highlight w:val="none"/>
        </w:rPr>
        <w:t>特别说明：</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人如由被授权投标代表参与投标活动的，须同时提供《法定代表人授权委托书》和被授权投标代表身份证复印件（线上采购项目提供扫描件，下同）。《法定代表人授权委托书》应当按本格式要求加盖与投标人名称全称一致的标准公章，并签署法定代表人或被授权投标代表的全名。(线上采购项目应上传扫描件)。</w:t>
      </w:r>
    </w:p>
    <w:p>
      <w:pPr>
        <w:jc w:val="center"/>
        <w:rPr>
          <w:rFonts w:hint="eastAsia" w:ascii="宋体" w:hAnsi="宋体" w:eastAsia="宋体" w:cs="宋体"/>
          <w:b/>
          <w:bCs w:val="0"/>
          <w:color w:val="auto"/>
          <w:sz w:val="28"/>
          <w:szCs w:val="28"/>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bCs w:val="0"/>
          <w:color w:val="auto"/>
          <w:sz w:val="28"/>
          <w:szCs w:val="28"/>
          <w:highlight w:val="none"/>
        </w:rPr>
        <w:t>8-2法定代表人身份证明复印件</w:t>
      </w:r>
    </w:p>
    <w:p>
      <w:pPr>
        <w:rPr>
          <w:rFonts w:hint="eastAsia" w:ascii="宋体" w:hAnsi="宋体" w:eastAsia="宋体" w:cs="宋体"/>
          <w:color w:val="auto"/>
          <w:highlight w:val="none"/>
        </w:rPr>
      </w:pPr>
      <w:r>
        <w:rPr>
          <w:rFonts w:hint="eastAsia" w:ascii="宋体" w:hAnsi="宋体" w:eastAsia="宋体" w:cs="宋体"/>
          <w:color w:val="auto"/>
          <w:highlight w:val="none"/>
        </w:rPr>
        <w:t>(适用于法定代表人参加投标)</w:t>
      </w:r>
    </w:p>
    <w:p>
      <w:pPr>
        <w:rPr>
          <w:rFonts w:hint="eastAsia" w:ascii="宋体" w:hAnsi="宋体" w:eastAsia="宋体" w:cs="宋体"/>
          <w:color w:val="auto"/>
          <w:highlight w:val="none"/>
        </w:rPr>
      </w:pPr>
    </w:p>
    <w:tbl>
      <w:tblPr>
        <w:tblStyle w:val="17"/>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r>
              <w:rPr>
                <w:rFonts w:hint="eastAsia" w:ascii="宋体" w:hAnsi="宋体" w:eastAsia="宋体" w:cs="宋体"/>
                <w:color w:val="auto"/>
                <w:kern w:val="2"/>
                <w:highlight w:val="none"/>
              </w:rPr>
              <w:t>法定代表人身份证明复印件</w:t>
            </w: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tc>
      </w:tr>
    </w:tbl>
    <w:p>
      <w:pPr>
        <w:rPr>
          <w:rFonts w:hint="eastAsia" w:ascii="宋体" w:hAnsi="宋体" w:eastAsia="宋体" w:cs="宋体"/>
          <w:color w:val="auto"/>
          <w:highlight w:val="none"/>
        </w:rPr>
      </w:pPr>
    </w:p>
    <w:p>
      <w:pPr>
        <w:jc w:val="both"/>
        <w:rPr>
          <w:rFonts w:hint="eastAsia" w:ascii="宋体" w:hAnsi="宋体" w:eastAsia="宋体" w:cs="宋体"/>
          <w:i/>
          <w:iCs/>
          <w:color w:val="auto"/>
          <w:highlight w:val="none"/>
        </w:rPr>
      </w:pPr>
      <w:r>
        <w:rPr>
          <w:rFonts w:hint="eastAsia" w:ascii="宋体" w:hAnsi="宋体" w:eastAsia="宋体" w:cs="宋体"/>
          <w:color w:val="auto"/>
          <w:highlight w:val="none"/>
        </w:rPr>
        <w:t>特别说明：</w:t>
      </w:r>
    </w:p>
    <w:p>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投标人如由法定代表人作为投标代表参与投标活动的，仅须提供法定代表人身份证复印件（线上采购项目提供扫描件，下同）。</w:t>
      </w:r>
    </w:p>
    <w:p>
      <w:pPr>
        <w:pStyle w:val="14"/>
        <w:jc w:val="left"/>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8-3自然人授权委托书</w:t>
      </w:r>
    </w:p>
    <w:p>
      <w:pPr>
        <w:rPr>
          <w:rFonts w:hint="eastAsia" w:ascii="宋体" w:hAnsi="宋体" w:eastAsia="宋体" w:cs="宋体"/>
          <w:color w:val="auto"/>
          <w:highlight w:val="none"/>
        </w:rPr>
      </w:pPr>
      <w:r>
        <w:rPr>
          <w:rFonts w:hint="eastAsia" w:ascii="宋体" w:hAnsi="宋体" w:eastAsia="宋体" w:cs="宋体"/>
          <w:color w:val="auto"/>
          <w:highlight w:val="none"/>
        </w:rPr>
        <w:t>(适用于自然人投标)</w:t>
      </w:r>
    </w:p>
    <w:p>
      <w:pPr>
        <w:pStyle w:val="14"/>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致____________(采购人或采购代理机构)：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本授权书声明：我________(姓名、身份证号码)系自然人，现授权委托____________(姓名、身份证号码)以本人名义参加《</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）的投标活动，并代表本人全权办理针对上述项目的投标、签约等具体事务和签署相关文件。</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日起至</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日止。</w:t>
      </w:r>
    </w:p>
    <w:p>
      <w:pPr>
        <w:jc w:val="left"/>
        <w:rPr>
          <w:rFonts w:hint="eastAsia" w:ascii="宋体" w:hAnsi="宋体" w:eastAsia="宋体" w:cs="宋体"/>
          <w:color w:val="auto"/>
          <w:highlight w:val="none"/>
        </w:rPr>
      </w:pP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代理人无转委托权，特此委托。</w:t>
      </w:r>
    </w:p>
    <w:p>
      <w:pPr>
        <w:jc w:val="left"/>
        <w:rPr>
          <w:rFonts w:hint="eastAsia" w:ascii="宋体" w:hAnsi="宋体" w:eastAsia="宋体" w:cs="宋体"/>
          <w:color w:val="auto"/>
          <w:highlight w:val="none"/>
        </w:rPr>
      </w:pP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我已在下面签字，以资证明。</w:t>
      </w:r>
    </w:p>
    <w:p>
      <w:pPr>
        <w:jc w:val="left"/>
        <w:rPr>
          <w:rFonts w:hint="eastAsia" w:ascii="宋体" w:hAnsi="宋体" w:eastAsia="宋体" w:cs="宋体"/>
          <w:color w:val="auto"/>
          <w:highlight w:val="none"/>
        </w:rPr>
      </w:pP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自然人签字并在签名处加盖食指指印：</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4"/>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p>
    <w:p>
      <w:pPr>
        <w:jc w:val="left"/>
        <w:rPr>
          <w:rFonts w:hint="eastAsia" w:ascii="宋体" w:hAnsi="宋体" w:eastAsia="宋体" w:cs="宋体"/>
          <w:i/>
          <w:iCs/>
          <w:color w:val="auto"/>
          <w:highlight w:val="none"/>
        </w:rPr>
      </w:pPr>
      <w:r>
        <w:rPr>
          <w:rFonts w:hint="eastAsia" w:ascii="宋体" w:hAnsi="宋体" w:eastAsia="宋体" w:cs="宋体"/>
          <w:color w:val="auto"/>
          <w:highlight w:val="none"/>
        </w:rPr>
        <w:t>特别说明：</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投标人如由</w:t>
      </w:r>
      <w:r>
        <w:rPr>
          <w:rFonts w:hint="eastAsia" w:ascii="宋体" w:hAnsi="宋体" w:eastAsia="宋体" w:cs="宋体"/>
          <w:b/>
          <w:color w:val="auto"/>
          <w:highlight w:val="none"/>
        </w:rPr>
        <w:t>被授权人参与投标活动的，</w:t>
      </w:r>
      <w:r>
        <w:rPr>
          <w:rFonts w:hint="eastAsia" w:ascii="宋体" w:hAnsi="宋体" w:eastAsia="宋体" w:cs="宋体"/>
          <w:color w:val="auto"/>
          <w:highlight w:val="none"/>
        </w:rPr>
        <w:t>须提供《自然人授权委托书》，《自然人授权委托书》应当按本格式要求签字并由自然人在签名处加盖食指指印。</w:t>
      </w:r>
    </w:p>
    <w:p>
      <w:pPr>
        <w:pStyle w:val="14"/>
        <w:rPr>
          <w:rFonts w:hint="eastAsia" w:ascii="宋体" w:hAnsi="宋体" w:eastAsia="宋体" w:cs="宋体"/>
          <w:color w:val="auto"/>
          <w:highlight w:val="none"/>
        </w:rPr>
      </w:pPr>
    </w:p>
    <w:p>
      <w:pPr>
        <w:pStyle w:val="14"/>
        <w:rPr>
          <w:rFonts w:hint="eastAsia" w:ascii="宋体" w:hAnsi="宋体" w:eastAsia="宋体" w:cs="宋体"/>
          <w:color w:val="auto"/>
          <w:sz w:val="36"/>
          <w:szCs w:val="36"/>
          <w:highlight w:val="none"/>
        </w:rPr>
      </w:pPr>
      <w:r>
        <w:rPr>
          <w:rFonts w:hint="eastAsia" w:ascii="宋体" w:hAnsi="宋体" w:eastAsia="宋体" w:cs="宋体"/>
          <w:color w:val="auto"/>
          <w:kern w:val="2"/>
          <w:highlight w:val="none"/>
        </w:rPr>
        <w:br w:type="page"/>
      </w:r>
    </w:p>
    <w:p>
      <w:pPr>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格式9  投标函</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致________（采购人或采购代理机构）：</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根据______（项目名称）（项目编号：______）的招标公告，______（姓名、职务）代表投标人______（投标人名称、地址）参加项目招标的有关活动。据此函，作如下承诺：</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1.同意在本项目招标文件中规定的开标日起天遵守本投标文件中的承诺，且在期满之前均具有约束力。</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2.具备政府采购相关法律法规规定的参加政府采购活动的供应商应当具备的条件：</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（5）参加此项采购活动前三年内，在经营活动中没有重大违法记录。</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（6）法律、行政法规规定的其他条件。 </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3.具备本项目招标文件中规定的其他要求和资质条件。</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4.提供投标人须知规定的全部投标文件。</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5.已详细审阅全部招标文件（包括招标文件澄清函），理解投标人须知的所有条款。</w:t>
      </w:r>
    </w:p>
    <w:p>
      <w:pPr>
        <w:ind w:firstLine="420" w:firstLineChars="200"/>
        <w:jc w:val="left"/>
        <w:rPr>
          <w:rFonts w:hint="eastAsia" w:ascii="宋体" w:hAnsi="宋体" w:eastAsia="宋体" w:cs="宋体"/>
          <w:color w:val="auto"/>
          <w:highlight w:val="none"/>
        </w:rPr>
      </w:pPr>
      <w:bookmarkStart w:id="100" w:name="_Toc15199"/>
      <w:bookmarkStart w:id="101" w:name="_Toc25367"/>
      <w:bookmarkStart w:id="102" w:name="_Toc15033"/>
      <w:r>
        <w:rPr>
          <w:rFonts w:hint="eastAsia" w:ascii="宋体" w:hAnsi="宋体" w:eastAsia="宋体" w:cs="宋体"/>
          <w:color w:val="auto"/>
          <w:highlight w:val="none"/>
        </w:rPr>
        <w:t>6.完全理解贵方“最低报价不能作为中标的保证”的规定。</w:t>
      </w:r>
      <w:bookmarkEnd w:id="100"/>
      <w:bookmarkEnd w:id="101"/>
      <w:bookmarkEnd w:id="102"/>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7.接受招标文件中全部合同条款，且无任何异议；保证忠实地执行双方所签订的合同，并承担合同规定的责任和义务。</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8.完全满足和响应招标文件中的各项商务和技术要求，若有偏差，已在投标文件中明确说明。</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9.愿意提供任何与投标有关的数据、情况和技术资料等。若贵方需要，愿意提供一切证明材料。</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10.我方已详细审核全部投标文件、参考资料及有关附件，确认无误。</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11.对本次招标内容及与本项目有关的知识产权、技术资料、商业秘密及相关信息保密。</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投标人名称（公章）：____________</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法定代表人（签字）/被授权投标代表（签字）：____________</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投标人地址：____________</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邮编：____________</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电话：____________</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传真：____________</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日  期：____________          </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p>
    <w:p>
      <w:pPr>
        <w:ind w:firstLine="21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特别说明：</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投标人应当按上述格式要求加盖与投标人名称全称一致的标准公章，并签署法定代表人或被授权投标代表的全名，线上采购项目应上传扫描件。</w:t>
      </w:r>
    </w:p>
    <w:p>
      <w:pPr>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pPr>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格式10  商务条款偏离表</w:t>
      </w:r>
    </w:p>
    <w:tbl>
      <w:tblPr>
        <w:tblStyle w:val="17"/>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98"/>
        <w:gridCol w:w="1545"/>
        <w:gridCol w:w="1530"/>
        <w:gridCol w:w="1515"/>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98"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招标文件条目号</w:t>
            </w:r>
          </w:p>
        </w:tc>
        <w:tc>
          <w:tcPr>
            <w:tcW w:w="154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招标文件</w:t>
            </w:r>
          </w:p>
          <w:p>
            <w:pP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153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投标文件</w:t>
            </w:r>
          </w:p>
          <w:p>
            <w:pP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151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偏离</w:t>
            </w:r>
          </w:p>
          <w:p>
            <w:pPr>
              <w:rPr>
                <w:rFonts w:hint="eastAsia" w:ascii="宋体" w:hAnsi="宋体" w:eastAsia="宋体" w:cs="宋体"/>
                <w:color w:val="auto"/>
                <w:highlight w:val="none"/>
              </w:rPr>
            </w:pPr>
            <w:r>
              <w:rPr>
                <w:rFonts w:hint="eastAsia" w:ascii="宋体" w:hAnsi="宋体" w:eastAsia="宋体" w:cs="宋体"/>
                <w:color w:val="auto"/>
                <w:highlight w:val="none"/>
              </w:rPr>
              <w:t>（无/正/负）</w:t>
            </w:r>
          </w:p>
        </w:tc>
        <w:tc>
          <w:tcPr>
            <w:tcW w:w="108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98"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45"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15"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08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798"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45"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15"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08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798"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45"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15"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08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798"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45"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15"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08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798"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45"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30"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515"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1086"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r>
    </w:tbl>
    <w:p>
      <w:pPr>
        <w:jc w:val="left"/>
        <w:rPr>
          <w:rFonts w:hint="eastAsia" w:ascii="宋体" w:hAnsi="宋体" w:eastAsia="宋体" w:cs="宋体"/>
          <w:color w:val="auto"/>
          <w:highlight w:val="none"/>
        </w:rPr>
      </w:pPr>
      <w:r>
        <w:rPr>
          <w:rFonts w:hint="eastAsia" w:ascii="宋体" w:hAnsi="宋体" w:eastAsia="宋体" w:cs="宋体"/>
          <w:color w:val="auto"/>
          <w:highlight w:val="none"/>
        </w:rPr>
        <w:t>特别说明：</w:t>
      </w:r>
      <w:bookmarkStart w:id="103" w:name="_Hlk55382356"/>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1.投标人应按招标文件《第六章　项目采购需求》中的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商务要求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，结合自身投标情况对商务条款逐条响应，未逐条响应的视为投标无效。</w:t>
      </w:r>
      <w:bookmarkEnd w:id="103"/>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2.投标文件响应的商务内容完全响应招标文件要求的，投标人应注明“无偏离”；不满足或不响应招标文件要求的，应注明“负偏离”；优于招标文件要求的，应注明“正偏离”。</w:t>
      </w:r>
    </w:p>
    <w:p>
      <w:pPr>
        <w:ind w:firstLine="420" w:firstLineChars="200"/>
        <w:jc w:val="left"/>
        <w:rPr>
          <w:rFonts w:hint="eastAsia" w:ascii="宋体" w:hAnsi="宋体" w:eastAsia="宋体" w:cs="宋体"/>
          <w:color w:val="auto"/>
          <w:highlight w:val="none"/>
        </w:rPr>
      </w:pPr>
      <w:bookmarkStart w:id="104" w:name="_Toc18890"/>
      <w:bookmarkStart w:id="105" w:name="_Toc18982"/>
      <w:bookmarkStart w:id="106" w:name="_Toc31372"/>
      <w:r>
        <w:rPr>
          <w:rFonts w:hint="eastAsia" w:ascii="宋体" w:hAnsi="宋体" w:eastAsia="宋体" w:cs="宋体"/>
          <w:color w:val="auto"/>
          <w:highlight w:val="none"/>
        </w:rPr>
        <w:t>3.本表可扩展。</w:t>
      </w:r>
      <w:bookmarkEnd w:id="104"/>
      <w:bookmarkEnd w:id="105"/>
      <w:bookmarkEnd w:id="106"/>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投标人（全称并加盖公章）：</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投标人代表（签字）：</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日期：</w:t>
      </w:r>
    </w:p>
    <w:p>
      <w:pPr>
        <w:jc w:val="left"/>
        <w:rPr>
          <w:rFonts w:hint="eastAsia" w:ascii="宋体" w:hAnsi="宋体" w:eastAsia="宋体" w:cs="宋体"/>
          <w:color w:val="auto"/>
          <w:highlight w:val="none"/>
        </w:rPr>
      </w:pPr>
    </w:p>
    <w:p>
      <w:pPr>
        <w:rPr>
          <w:rFonts w:hint="eastAsia" w:ascii="宋体" w:hAnsi="宋体" w:eastAsia="宋体" w:cs="宋体"/>
          <w:b/>
          <w:bCs w:val="0"/>
          <w:color w:val="auto"/>
          <w:sz w:val="28"/>
          <w:szCs w:val="28"/>
          <w:highlight w:val="none"/>
        </w:rPr>
      </w:pPr>
      <w:r>
        <w:rPr>
          <w:rFonts w:hint="eastAsia" w:ascii="宋体" w:hAnsi="宋体" w:eastAsia="宋体" w:cs="宋体"/>
          <w:color w:val="auto"/>
          <w:highlight w:val="none"/>
        </w:rPr>
        <w:br w:type="page"/>
      </w:r>
      <w:r>
        <w:rPr>
          <w:rFonts w:hint="eastAsia" w:ascii="宋体" w:hAnsi="宋体" w:eastAsia="宋体" w:cs="宋体"/>
          <w:b/>
          <w:bCs w:val="0"/>
          <w:color w:val="auto"/>
          <w:sz w:val="28"/>
          <w:szCs w:val="28"/>
          <w:highlight w:val="none"/>
        </w:rPr>
        <w:t>格式11中小企业声明函</w:t>
      </w:r>
    </w:p>
    <w:p>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中小企业声明函（服务）</w:t>
      </w:r>
    </w:p>
    <w:p>
      <w:pPr>
        <w:rPr>
          <w:rFonts w:hint="eastAsia" w:ascii="宋体" w:hAnsi="宋体" w:eastAsia="宋体" w:cs="宋体"/>
          <w:b/>
          <w:bCs w:val="0"/>
          <w:color w:val="auto"/>
          <w:sz w:val="28"/>
          <w:szCs w:val="28"/>
          <w:highlight w:val="none"/>
        </w:rPr>
      </w:pPr>
    </w:p>
    <w:p>
      <w:pPr>
        <w:pStyle w:val="14"/>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本公司（联合体）</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郑重声明，根据《政府采购促进中小企业发展管理办法》（财库﹝2020﹞46 号）的规定，本公司（联合体）参加</w:t>
      </w:r>
      <w:r>
        <w:rPr>
          <w:rFonts w:hint="eastAsia" w:ascii="宋体" w:hAnsi="宋体" w:eastAsia="宋体" w:cs="宋体"/>
          <w:color w:val="auto"/>
          <w:sz w:val="21"/>
          <w:szCs w:val="21"/>
          <w:highlight w:val="none"/>
          <w:u w:val="single"/>
          <w:lang w:eastAsia="zh-CN"/>
        </w:rPr>
        <w:t>国家税务总局贵港市税务局2025年物业管理服务项目</w:t>
      </w:r>
      <w:r>
        <w:rPr>
          <w:rFonts w:hint="eastAsia" w:ascii="宋体" w:hAnsi="宋体" w:eastAsia="宋体" w:cs="宋体"/>
          <w:color w:val="auto"/>
          <w:kern w:val="2"/>
          <w:sz w:val="21"/>
          <w:szCs w:val="21"/>
          <w:highlight w:val="none"/>
        </w:rPr>
        <w:t>采购活动，服务全部由符合政策要求的中小企业承接。相关企业（含联合体中的中小企业、签订分包意向协议的中小企业）的具体情况如下：</w:t>
      </w:r>
    </w:p>
    <w:p>
      <w:pPr>
        <w:pStyle w:val="14"/>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u w:val="single"/>
          <w:lang w:eastAsia="zh-CN"/>
        </w:rPr>
        <w:t>国家税务总局贵港市税务局2025年物业管理服务项目</w:t>
      </w:r>
      <w:r>
        <w:rPr>
          <w:rFonts w:hint="eastAsia" w:ascii="宋体" w:hAnsi="宋体" w:eastAsia="宋体" w:cs="宋体"/>
          <w:color w:val="auto"/>
          <w:kern w:val="2"/>
          <w:sz w:val="21"/>
          <w:szCs w:val="21"/>
          <w:highlight w:val="none"/>
        </w:rPr>
        <w:t>，属于</w:t>
      </w:r>
      <w:r>
        <w:rPr>
          <w:rFonts w:hint="eastAsia" w:ascii="宋体" w:hAnsi="宋体" w:eastAsia="宋体" w:cs="宋体"/>
          <w:color w:val="auto"/>
          <w:sz w:val="21"/>
          <w:szCs w:val="21"/>
          <w:highlight w:val="none"/>
          <w:u w:val="single"/>
          <w:lang w:eastAsia="zh-CN"/>
        </w:rPr>
        <w:t>物业管理</w:t>
      </w:r>
      <w:r>
        <w:rPr>
          <w:rFonts w:hint="eastAsia" w:ascii="宋体" w:hAnsi="宋体" w:eastAsia="宋体" w:cs="宋体"/>
          <w:color w:val="auto"/>
          <w:kern w:val="2"/>
          <w:sz w:val="21"/>
          <w:szCs w:val="21"/>
          <w:highlight w:val="none"/>
        </w:rPr>
        <w:t>；承建（承接）企业为</w:t>
      </w:r>
      <w:r>
        <w:rPr>
          <w:rFonts w:hint="eastAsia" w:ascii="宋体" w:hAnsi="宋体" w:eastAsia="宋体" w:cs="宋体"/>
          <w:color w:val="auto"/>
          <w:kern w:val="2"/>
          <w:sz w:val="21"/>
          <w:szCs w:val="21"/>
          <w:highlight w:val="none"/>
          <w:u w:val="single"/>
        </w:rPr>
        <w:t>（企业名称）</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，从业人员</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人，营业收入为</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万元，资产总额为</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w:t>
      </w:r>
      <w:r>
        <w:rPr>
          <w:rFonts w:hint="eastAsia" w:ascii="宋体" w:hAnsi="宋体" w:eastAsia="宋体" w:cs="宋体"/>
          <w:color w:val="auto"/>
          <w:kern w:val="2"/>
          <w:sz w:val="21"/>
          <w:szCs w:val="21"/>
          <w:highlight w:val="none"/>
          <w:vertAlign w:val="superscript"/>
        </w:rPr>
        <w:t>1</w:t>
      </w:r>
      <w:r>
        <w:rPr>
          <w:rFonts w:hint="eastAsia" w:ascii="宋体" w:hAnsi="宋体" w:eastAsia="宋体" w:cs="宋体"/>
          <w:color w:val="auto"/>
          <w:kern w:val="2"/>
          <w:sz w:val="21"/>
          <w:szCs w:val="21"/>
          <w:highlight w:val="none"/>
        </w:rPr>
        <w:t>，属</w:t>
      </w:r>
      <w:r>
        <w:rPr>
          <w:rFonts w:hint="eastAsia" w:ascii="宋体" w:hAnsi="宋体" w:eastAsia="宋体" w:cs="宋体"/>
          <w:color w:val="auto"/>
          <w:kern w:val="2"/>
          <w:sz w:val="21"/>
          <w:szCs w:val="21"/>
          <w:highlight w:val="none"/>
          <w:u w:val="single"/>
        </w:rPr>
        <w:t>于</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（中型企业、小型企业、微型企业）</w:t>
      </w:r>
      <w:r>
        <w:rPr>
          <w:rFonts w:hint="eastAsia" w:ascii="宋体" w:hAnsi="宋体" w:eastAsia="宋体" w:cs="宋体"/>
          <w:color w:val="auto"/>
          <w:kern w:val="2"/>
          <w:sz w:val="21"/>
          <w:szCs w:val="21"/>
          <w:highlight w:val="none"/>
        </w:rPr>
        <w:t>；</w:t>
      </w:r>
    </w:p>
    <w:p>
      <w:pPr>
        <w:pStyle w:val="14"/>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（标的名称），属于（</w:t>
      </w:r>
      <w:r>
        <w:rPr>
          <w:rFonts w:hint="eastAsia" w:ascii="宋体" w:hAnsi="宋体" w:eastAsia="宋体" w:cs="宋体"/>
          <w:color w:val="auto"/>
          <w:kern w:val="2"/>
          <w:sz w:val="21"/>
          <w:szCs w:val="21"/>
          <w:highlight w:val="none"/>
          <w:u w:val="single"/>
        </w:rPr>
        <w:t>采购文件中明确的所属行业）</w:t>
      </w:r>
      <w:r>
        <w:rPr>
          <w:rFonts w:hint="eastAsia" w:ascii="宋体" w:hAnsi="宋体" w:eastAsia="宋体" w:cs="宋体"/>
          <w:color w:val="auto"/>
          <w:kern w:val="2"/>
          <w:sz w:val="21"/>
          <w:szCs w:val="21"/>
          <w:highlight w:val="none"/>
        </w:rPr>
        <w:t>；承建（承接）企业为</w:t>
      </w:r>
      <w:r>
        <w:rPr>
          <w:rFonts w:hint="eastAsia" w:ascii="宋体" w:hAnsi="宋体" w:eastAsia="宋体" w:cs="宋体"/>
          <w:color w:val="auto"/>
          <w:kern w:val="2"/>
          <w:sz w:val="21"/>
          <w:szCs w:val="21"/>
          <w:highlight w:val="none"/>
          <w:u w:val="single"/>
        </w:rPr>
        <w:t>（企业名称）</w:t>
      </w:r>
      <w:r>
        <w:rPr>
          <w:rFonts w:hint="eastAsia" w:ascii="宋体" w:hAnsi="宋体" w:eastAsia="宋体" w:cs="宋体"/>
          <w:color w:val="auto"/>
          <w:kern w:val="2"/>
          <w:sz w:val="21"/>
          <w:szCs w:val="21"/>
          <w:highlight w:val="none"/>
        </w:rPr>
        <w:t>，从业人员</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rPr>
        <w:t>人，营业收入为</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rPr>
        <w:t>万元，资产总额为</w:t>
      </w:r>
      <w:r>
        <w:rPr>
          <w:rFonts w:hint="eastAsia" w:ascii="宋体" w:hAnsi="宋体" w:eastAsia="宋体" w:cs="宋体"/>
          <w:color w:val="auto"/>
          <w:kern w:val="2"/>
          <w:sz w:val="21"/>
          <w:szCs w:val="21"/>
          <w:highlight w:val="none"/>
          <w:u w:val="single"/>
        </w:rPr>
        <w:tab/>
      </w:r>
      <w:r>
        <w:rPr>
          <w:rFonts w:hint="eastAsia" w:ascii="宋体" w:hAnsi="宋体" w:eastAsia="宋体" w:cs="宋体"/>
          <w:color w:val="auto"/>
          <w:kern w:val="2"/>
          <w:sz w:val="21"/>
          <w:szCs w:val="21"/>
          <w:highlight w:val="none"/>
        </w:rPr>
        <w:t>万元</w:t>
      </w:r>
      <w:r>
        <w:rPr>
          <w:rFonts w:hint="eastAsia" w:ascii="宋体" w:hAnsi="宋体" w:eastAsia="宋体" w:cs="宋体"/>
          <w:color w:val="auto"/>
          <w:kern w:val="2"/>
          <w:sz w:val="21"/>
          <w:szCs w:val="21"/>
          <w:highlight w:val="none"/>
          <w:vertAlign w:val="superscript"/>
        </w:rPr>
        <w:t>1</w:t>
      </w:r>
      <w:r>
        <w:rPr>
          <w:rFonts w:hint="eastAsia" w:ascii="宋体" w:hAnsi="宋体" w:eastAsia="宋体" w:cs="宋体"/>
          <w:color w:val="auto"/>
          <w:kern w:val="2"/>
          <w:sz w:val="21"/>
          <w:szCs w:val="21"/>
          <w:highlight w:val="none"/>
        </w:rPr>
        <w:t>，属于</w:t>
      </w:r>
      <w:r>
        <w:rPr>
          <w:rFonts w:hint="eastAsia" w:ascii="宋体" w:hAnsi="宋体" w:eastAsia="宋体" w:cs="宋体"/>
          <w:color w:val="auto"/>
          <w:kern w:val="2"/>
          <w:sz w:val="21"/>
          <w:szCs w:val="21"/>
          <w:highlight w:val="none"/>
          <w:u w:val="single"/>
        </w:rPr>
        <w:t>（中型企业、小型企业、微型企业）</w:t>
      </w:r>
      <w:r>
        <w:rPr>
          <w:rFonts w:hint="eastAsia" w:ascii="宋体" w:hAnsi="宋体" w:eastAsia="宋体" w:cs="宋体"/>
          <w:color w:val="auto"/>
          <w:kern w:val="2"/>
          <w:sz w:val="21"/>
          <w:szCs w:val="21"/>
          <w:highlight w:val="none"/>
        </w:rPr>
        <w:t>；</w:t>
      </w:r>
    </w:p>
    <w:p>
      <w:pPr>
        <w:pStyle w:val="14"/>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w:t>
      </w:r>
    </w:p>
    <w:p>
      <w:pPr>
        <w:pStyle w:val="14"/>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以上企业，不属于大企业的分支机构，不存在控股股东为大企业的情形，也不存在与大企业的负责人为同一人的情形。</w:t>
      </w:r>
    </w:p>
    <w:p>
      <w:pPr>
        <w:pStyle w:val="14"/>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本企业对上述声明内容的真实性负责。如有虚假，将依法承担相应责任。</w:t>
      </w:r>
    </w:p>
    <w:p>
      <w:pPr>
        <w:pStyle w:val="14"/>
        <w:rPr>
          <w:rFonts w:hint="eastAsia" w:ascii="宋体" w:hAnsi="宋体" w:eastAsia="宋体" w:cs="宋体"/>
          <w:color w:val="auto"/>
          <w:sz w:val="21"/>
          <w:szCs w:val="21"/>
          <w:highlight w:val="none"/>
        </w:rPr>
      </w:pPr>
    </w:p>
    <w:p>
      <w:pPr>
        <w:pStyle w:val="14"/>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投标人（全称并加盖公章）：</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pPr>
        <w:pStyle w:val="14"/>
        <w:rPr>
          <w:rFonts w:hint="eastAsia" w:ascii="宋体" w:hAnsi="宋体" w:eastAsia="宋体" w:cs="宋体"/>
          <w:color w:val="auto"/>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p>
    <w:p>
      <w:pPr>
        <w:pStyle w:val="9"/>
        <w:rPr>
          <w:rFonts w:hint="eastAsia" w:ascii="宋体" w:hAnsi="宋体" w:eastAsia="宋体" w:cs="宋体"/>
          <w:b/>
          <w:bCs w:val="0"/>
          <w:color w:val="auto"/>
          <w:sz w:val="28"/>
          <w:szCs w:val="28"/>
          <w:highlight w:val="none"/>
          <w:lang w:val="en-US" w:eastAsia="zh-CN" w:bidi="ar-SA"/>
        </w:rPr>
      </w:pPr>
      <w:bookmarkStart w:id="107" w:name="_Toc1652355655"/>
      <w:bookmarkStart w:id="108" w:name="_Toc113393336"/>
      <w:bookmarkStart w:id="109" w:name="_Toc386861148"/>
      <w:bookmarkStart w:id="110" w:name="_Toc1403531177"/>
      <w:bookmarkStart w:id="111" w:name="_Toc38030154"/>
      <w:bookmarkStart w:id="112" w:name="_Toc38030071"/>
      <w:r>
        <w:rPr>
          <w:rFonts w:hint="eastAsia" w:ascii="宋体" w:hAnsi="宋体" w:eastAsia="宋体" w:cs="宋体"/>
          <w:b/>
          <w:bCs w:val="0"/>
          <w:color w:val="auto"/>
          <w:sz w:val="28"/>
          <w:szCs w:val="28"/>
          <w:highlight w:val="none"/>
          <w:lang w:val="en-US" w:eastAsia="zh-CN" w:bidi="ar-SA"/>
        </w:rPr>
        <w:t>格式12  监狱企业的证明材料文件</w:t>
      </w:r>
    </w:p>
    <w:p>
      <w:pPr>
        <w:pStyle w:val="9"/>
        <w:jc w:val="left"/>
        <w:rPr>
          <w:rFonts w:hint="eastAsia" w:ascii="宋体" w:hAnsi="宋体" w:eastAsia="宋体" w:cs="宋体"/>
          <w:color w:val="auto"/>
          <w:highlight w:val="none"/>
        </w:rPr>
      </w:pPr>
      <w:r>
        <w:rPr>
          <w:rFonts w:hint="eastAsia" w:ascii="宋体" w:hAnsi="宋体" w:eastAsia="宋体" w:cs="宋体"/>
          <w:color w:val="auto"/>
          <w:highlight w:val="none"/>
        </w:rPr>
        <w:t>说明：</w:t>
      </w:r>
    </w:p>
    <w:p>
      <w:pPr>
        <w:pStyle w:val="9"/>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监狱企业参加政府采购活动时，应当提供由省级以上监狱管理局、戒毒管理局（含新疆生产建设兵团）出具的属于监狱企业的证明文件。（投标人如能够在线查询的材料，请提供查询网址链接，可以不用同时提供纸质材料，原件备查）</w:t>
      </w:r>
    </w:p>
    <w:p>
      <w:pPr>
        <w:pStyle w:val="9"/>
        <w:ind w:firstLine="420" w:firstLineChars="200"/>
        <w:jc w:val="left"/>
        <w:rPr>
          <w:rFonts w:hint="eastAsia" w:ascii="宋体" w:hAnsi="宋体" w:eastAsia="宋体" w:cs="宋体"/>
          <w:color w:val="auto"/>
          <w:highlight w:val="none"/>
        </w:rPr>
      </w:pPr>
      <w:bookmarkStart w:id="113" w:name="_Toc19611"/>
      <w:bookmarkStart w:id="114" w:name="_Toc22702"/>
      <w:bookmarkStart w:id="115" w:name="_Toc21827"/>
      <w:r>
        <w:rPr>
          <w:rFonts w:hint="eastAsia" w:ascii="宋体" w:hAnsi="宋体" w:eastAsia="宋体" w:cs="宋体"/>
          <w:color w:val="auto"/>
          <w:highlight w:val="none"/>
        </w:rPr>
        <w:t>2.未按上述要求提供、填写的，评标时不予以考虑。</w:t>
      </w:r>
      <w:bookmarkEnd w:id="113"/>
      <w:bookmarkEnd w:id="114"/>
      <w:bookmarkEnd w:id="115"/>
    </w:p>
    <w:p>
      <w:pPr>
        <w:pStyle w:val="9"/>
        <w:ind w:firstLine="840" w:firstLineChars="400"/>
        <w:jc w:val="left"/>
        <w:rPr>
          <w:rFonts w:hint="eastAsia" w:ascii="宋体" w:hAnsi="宋体" w:eastAsia="宋体" w:cs="宋体"/>
          <w:color w:val="auto"/>
          <w:highlight w:val="none"/>
        </w:rPr>
      </w:pPr>
      <w:r>
        <w:rPr>
          <w:rFonts w:hint="eastAsia" w:ascii="宋体" w:hAnsi="宋体" w:eastAsia="宋体" w:cs="宋体"/>
          <w:color w:val="auto"/>
          <w:highlight w:val="none"/>
        </w:rPr>
        <w:t>(示例略)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9"/>
        <w:rPr>
          <w:rFonts w:hint="eastAsia" w:ascii="宋体" w:hAnsi="宋体" w:eastAsia="宋体" w:cs="宋体"/>
          <w:b/>
          <w:bCs w:val="0"/>
          <w:color w:val="auto"/>
          <w:sz w:val="28"/>
          <w:szCs w:val="28"/>
          <w:highlight w:val="none"/>
          <w:lang w:val="en-US" w:eastAsia="zh-CN" w:bidi="ar-SA"/>
        </w:rPr>
      </w:pPr>
      <w:r>
        <w:rPr>
          <w:rFonts w:hint="eastAsia" w:ascii="宋体" w:hAnsi="宋体" w:eastAsia="宋体" w:cs="宋体"/>
          <w:b/>
          <w:bCs w:val="0"/>
          <w:color w:val="auto"/>
          <w:sz w:val="28"/>
          <w:szCs w:val="28"/>
          <w:highlight w:val="none"/>
          <w:lang w:val="en-US" w:eastAsia="zh-CN" w:bidi="ar-SA"/>
        </w:rPr>
        <w:t>格式13  残疾人福利性单位声明函</w:t>
      </w:r>
    </w:p>
    <w:p>
      <w:pPr>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pPr>
        <w:jc w:val="left"/>
        <w:rPr>
          <w:rFonts w:hint="eastAsia" w:ascii="宋体" w:hAnsi="宋体" w:eastAsia="宋体" w:cs="宋体"/>
          <w:color w:val="auto"/>
          <w:highlight w:val="none"/>
        </w:rPr>
      </w:pP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投标人（全称并加盖公章）：</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日期：</w:t>
      </w:r>
    </w:p>
    <w:p>
      <w:pPr>
        <w:rPr>
          <w:rFonts w:hint="eastAsia" w:ascii="宋体" w:hAnsi="宋体" w:eastAsia="宋体" w:cs="宋体"/>
          <w:color w:val="auto"/>
          <w:highlight w:val="none"/>
        </w:rPr>
      </w:pPr>
    </w:p>
    <w:p>
      <w:pPr>
        <w:pStyle w:val="27"/>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16" w:name="_Toc1749127877"/>
      <w:bookmarkStart w:id="117" w:name="_Toc1381122819"/>
      <w:bookmarkStart w:id="118" w:name="_Toc598152851"/>
      <w:bookmarkStart w:id="119" w:name="_Toc680706022"/>
      <w:bookmarkStart w:id="120" w:name="_Toc1615545750"/>
      <w:bookmarkStart w:id="121" w:name="_Toc1097421187"/>
      <w:bookmarkStart w:id="122" w:name="_Toc78504842"/>
      <w:bookmarkStart w:id="123" w:name="_Toc681730266"/>
      <w:bookmarkStart w:id="124" w:name="_Toc220361175"/>
      <w:r>
        <w:rPr>
          <w:rFonts w:hint="eastAsia" w:ascii="宋体" w:hAnsi="宋体" w:eastAsia="宋体" w:cs="宋体"/>
          <w:b/>
          <w:bCs w:val="0"/>
          <w:color w:val="auto"/>
          <w:sz w:val="28"/>
          <w:szCs w:val="28"/>
          <w:highlight w:val="none"/>
          <w:lang w:val="en-US" w:eastAsia="zh-CN" w:bidi="ar-SA"/>
        </w:rPr>
        <w:t>格式14  成功案例一览表</w:t>
      </w:r>
      <w:bookmarkEnd w:id="116"/>
      <w:bookmarkEnd w:id="117"/>
      <w:bookmarkEnd w:id="118"/>
      <w:bookmarkEnd w:id="119"/>
      <w:bookmarkEnd w:id="120"/>
      <w:bookmarkEnd w:id="121"/>
      <w:bookmarkEnd w:id="122"/>
      <w:bookmarkEnd w:id="123"/>
      <w:bookmarkEnd w:id="124"/>
    </w:p>
    <w:p>
      <w:pPr>
        <w:rPr>
          <w:rFonts w:hint="eastAsia" w:ascii="宋体" w:hAnsi="宋体" w:eastAsia="宋体" w:cs="宋体"/>
          <w:color w:val="auto"/>
          <w:highlight w:val="none"/>
        </w:rPr>
      </w:pPr>
      <w:r>
        <w:rPr>
          <w:rFonts w:hint="eastAsia" w:ascii="宋体" w:hAnsi="宋体" w:eastAsia="宋体" w:cs="宋体"/>
          <w:color w:val="auto"/>
          <w:highlight w:val="none"/>
        </w:rPr>
        <w:t>（根据招标文件要求调整）</w:t>
      </w:r>
    </w:p>
    <w:tbl>
      <w:tblPr>
        <w:tblStyle w:val="17"/>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81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w:t>
            </w:r>
          </w:p>
          <w:p>
            <w:pP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w:t>
            </w:r>
          </w:p>
          <w:p>
            <w:pPr>
              <w:rPr>
                <w:rFonts w:hint="eastAsia" w:ascii="宋体" w:hAnsi="宋体" w:eastAsia="宋体" w:cs="宋体"/>
                <w:color w:val="auto"/>
                <w:highlight w:val="none"/>
              </w:rPr>
            </w:pPr>
            <w:r>
              <w:rPr>
                <w:rFonts w:hint="eastAsia" w:ascii="宋体" w:hAnsi="宋体" w:eastAsia="宋体" w:cs="宋体"/>
                <w:color w:val="auto"/>
                <w:highlight w:val="none"/>
              </w:rPr>
              <w:t>甲方</w:t>
            </w:r>
          </w:p>
        </w:tc>
        <w:tc>
          <w:tcPr>
            <w:tcW w:w="70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合同时间</w:t>
            </w:r>
          </w:p>
        </w:tc>
        <w:tc>
          <w:tcPr>
            <w:tcW w:w="74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w:t>
            </w:r>
          </w:p>
          <w:p>
            <w:pPr>
              <w:rPr>
                <w:rFonts w:hint="eastAsia" w:ascii="宋体" w:hAnsi="宋体" w:eastAsia="宋体" w:cs="宋体"/>
                <w:color w:val="auto"/>
                <w:highlight w:val="none"/>
              </w:rPr>
            </w:pPr>
            <w:r>
              <w:rPr>
                <w:rFonts w:hint="eastAsia" w:ascii="宋体" w:hAnsi="宋体" w:eastAsia="宋体" w:cs="宋体"/>
                <w:color w:val="auto"/>
                <w:highlight w:val="none"/>
              </w:rPr>
              <w:t>金额</w:t>
            </w:r>
          </w:p>
        </w:tc>
        <w:tc>
          <w:tcPr>
            <w:tcW w:w="122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合同主要</w:t>
            </w:r>
          </w:p>
          <w:p>
            <w:pPr>
              <w:rPr>
                <w:rFonts w:hint="eastAsia" w:ascii="宋体" w:hAnsi="宋体" w:eastAsia="宋体" w:cs="宋体"/>
                <w:color w:val="auto"/>
                <w:highlight w:val="none"/>
              </w:rPr>
            </w:pPr>
            <w:r>
              <w:rPr>
                <w:rFonts w:hint="eastAsia" w:ascii="宋体" w:hAnsi="宋体" w:eastAsia="宋体" w:cs="宋体"/>
                <w:color w:val="auto"/>
                <w:highlight w:val="none"/>
              </w:rPr>
              <w:t>内容</w:t>
            </w:r>
          </w:p>
        </w:tc>
        <w:tc>
          <w:tcPr>
            <w:tcW w:w="116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用  户</w:t>
            </w:r>
          </w:p>
          <w:p>
            <w:pP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10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用户联</w:t>
            </w:r>
          </w:p>
          <w:p>
            <w:pPr>
              <w:rPr>
                <w:rFonts w:hint="eastAsia" w:ascii="宋体" w:hAnsi="宋体" w:eastAsia="宋体" w:cs="宋体"/>
                <w:color w:val="auto"/>
                <w:highlight w:val="none"/>
              </w:rPr>
            </w:pPr>
            <w:r>
              <w:rPr>
                <w:rFonts w:hint="eastAsia" w:ascii="宋体" w:hAnsi="宋体" w:eastAsia="宋体" w:cs="宋体"/>
                <w:color w:val="auto"/>
                <w:highlight w:val="none"/>
              </w:rPr>
              <w:t>系电话</w:t>
            </w:r>
          </w:p>
        </w:tc>
        <w:tc>
          <w:tcPr>
            <w:tcW w:w="12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81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707"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1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707"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1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707"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81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707"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81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707"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81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707"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color w:val="auto"/>
                <w:highlight w:val="none"/>
              </w:rPr>
            </w:pPr>
          </w:p>
        </w:tc>
        <w:tc>
          <w:tcPr>
            <w:tcW w:w="74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2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61"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0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6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bl>
    <w:p>
      <w:pPr>
        <w:jc w:val="left"/>
        <w:rPr>
          <w:rFonts w:hint="eastAsia" w:ascii="宋体" w:hAnsi="宋体" w:eastAsia="宋体" w:cs="宋体"/>
          <w:color w:val="auto"/>
          <w:highlight w:val="none"/>
        </w:rPr>
      </w:pPr>
      <w:r>
        <w:rPr>
          <w:rFonts w:hint="eastAsia" w:ascii="宋体" w:hAnsi="宋体" w:eastAsia="宋体" w:cs="宋体"/>
          <w:color w:val="auto"/>
          <w:highlight w:val="none"/>
        </w:rPr>
        <w:t>特别说明：</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1.提供2021年</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月1日以来（以合同签订日期为准），投标人独立承担的</w:t>
      </w:r>
      <w:r>
        <w:rPr>
          <w:rFonts w:hint="eastAsia" w:ascii="宋体" w:hAnsi="宋体" w:eastAsia="宋体" w:cs="宋体"/>
          <w:color w:val="auto"/>
          <w:sz w:val="21"/>
          <w:szCs w:val="21"/>
          <w:highlight w:val="none"/>
          <w:lang w:val="en-US" w:eastAsia="zh-CN"/>
        </w:rPr>
        <w:t>以办公用房为主的综合性物业管理服务项目</w:t>
      </w:r>
      <w:r>
        <w:rPr>
          <w:rFonts w:hint="eastAsia" w:ascii="宋体" w:hAnsi="宋体" w:eastAsia="宋体" w:cs="宋体"/>
          <w:color w:val="auto"/>
          <w:highlight w:val="none"/>
        </w:rPr>
        <w:t>的项目案例。</w:t>
      </w:r>
    </w:p>
    <w:bookmarkEnd w:id="107"/>
    <w:bookmarkEnd w:id="108"/>
    <w:bookmarkEnd w:id="109"/>
    <w:bookmarkEnd w:id="110"/>
    <w:bookmarkEnd w:id="111"/>
    <w:bookmarkEnd w:id="112"/>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2.应提供合同复印件（线上采购项目提供扫描件，下同）。合同复印件应能清晰体现合同甲乙双方、合同时间、合同总金额、合同主要内容等，并提供对方联系人及联系方式，否则不能获得相应分值。</w:t>
      </w:r>
    </w:p>
    <w:p>
      <w:pPr>
        <w:pStyle w:val="9"/>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投  标  文  件</w:t>
      </w: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技术部分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（填写正本或副本）</w:t>
      </w:r>
    </w:p>
    <w:p>
      <w:pPr>
        <w:spacing w:line="360" w:lineRule="auto"/>
        <w:ind w:firstLine="480" w:firstLineChars="200"/>
        <w:jc w:val="center"/>
        <w:rPr>
          <w:rFonts w:hint="eastAsia" w:ascii="宋体" w:hAnsi="宋体" w:eastAsia="宋体" w:cs="宋体"/>
          <w:b w:val="0"/>
          <w:bCs/>
          <w:color w:val="auto"/>
          <w:kern w:val="0"/>
          <w:sz w:val="24"/>
          <w:szCs w:val="24"/>
          <w:highlight w:val="none"/>
        </w:rPr>
      </w:pPr>
    </w:p>
    <w:p>
      <w:pPr>
        <w:pStyle w:val="8"/>
        <w:rPr>
          <w:rFonts w:hint="eastAsia" w:ascii="宋体" w:hAnsi="宋体" w:eastAsia="宋体" w:cs="宋体"/>
          <w:b w:val="0"/>
          <w:bCs/>
          <w:color w:val="auto"/>
          <w:kern w:val="0"/>
          <w:sz w:val="24"/>
          <w:szCs w:val="24"/>
          <w:highlight w:val="none"/>
        </w:rPr>
      </w:pPr>
    </w:p>
    <w:p>
      <w:pPr>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项目名称：</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项目编号：</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所投采购包：</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宋体" w:hAnsi="宋体" w:eastAsia="宋体" w:cs="宋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投标人：</w:t>
      </w:r>
      <w:r>
        <w:rPr>
          <w:rFonts w:hint="eastAsia" w:ascii="宋体" w:hAnsi="宋体" w:eastAsia="宋体" w:cs="宋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日  期：</w:t>
      </w:r>
      <w:r>
        <w:rPr>
          <w:rFonts w:hint="eastAsia" w:ascii="宋体" w:hAnsi="宋体" w:eastAsia="宋体" w:cs="宋体"/>
          <w:b w:val="0"/>
          <w:bCs/>
          <w:color w:val="auto"/>
          <w:kern w:val="0"/>
          <w:sz w:val="24"/>
          <w:szCs w:val="24"/>
          <w:highlight w:val="none"/>
          <w:u w:val="single"/>
        </w:rPr>
        <w:t xml:space="preserve">                 </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bCs w:val="0"/>
          <w:color w:val="auto"/>
          <w:sz w:val="28"/>
          <w:szCs w:val="28"/>
          <w:highlight w:val="none"/>
          <w:lang w:val="en-US" w:eastAsia="zh-CN" w:bidi="ar-SA"/>
        </w:rPr>
      </w:pPr>
      <w:r>
        <w:rPr>
          <w:rFonts w:hint="eastAsia" w:ascii="宋体" w:hAnsi="宋体" w:eastAsia="宋体" w:cs="宋体"/>
          <w:b/>
          <w:bCs w:val="0"/>
          <w:color w:val="auto"/>
          <w:sz w:val="28"/>
          <w:szCs w:val="28"/>
          <w:highlight w:val="none"/>
          <w:lang w:val="en-US" w:eastAsia="zh-CN" w:bidi="ar-SA"/>
        </w:rPr>
        <w:t>格式15  技术条款偏离表</w:t>
      </w:r>
    </w:p>
    <w:p>
      <w:pPr>
        <w:rPr>
          <w:rFonts w:hint="eastAsia" w:ascii="宋体" w:hAnsi="宋体" w:eastAsia="宋体" w:cs="宋体"/>
          <w:b/>
          <w:bCs w:val="0"/>
          <w:color w:val="auto"/>
          <w:sz w:val="28"/>
          <w:szCs w:val="28"/>
          <w:highlight w:val="none"/>
          <w:lang w:val="en-US" w:eastAsia="zh-CN" w:bidi="ar-SA"/>
        </w:rPr>
      </w:pPr>
    </w:p>
    <w:tbl>
      <w:tblPr>
        <w:tblStyle w:val="17"/>
        <w:tblW w:w="858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7"/>
        <w:gridCol w:w="1516"/>
        <w:gridCol w:w="2116"/>
        <w:gridCol w:w="1684"/>
        <w:gridCol w:w="1879"/>
        <w:gridCol w:w="7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516" w:type="dxa"/>
            <w:noWrap/>
          </w:tcPr>
          <w:p>
            <w:pPr>
              <w:rPr>
                <w:rFonts w:hint="eastAsia" w:ascii="宋体" w:hAnsi="宋体" w:eastAsia="宋体" w:cs="宋体"/>
                <w:color w:val="auto"/>
                <w:highlight w:val="none"/>
              </w:rPr>
            </w:pPr>
            <w:r>
              <w:rPr>
                <w:rFonts w:hint="eastAsia" w:ascii="宋体" w:hAnsi="宋体" w:eastAsia="宋体" w:cs="宋体"/>
                <w:color w:val="auto"/>
                <w:highlight w:val="none"/>
              </w:rPr>
              <w:t>招标文件</w:t>
            </w:r>
          </w:p>
          <w:p>
            <w:pPr>
              <w:rPr>
                <w:rFonts w:hint="eastAsia" w:ascii="宋体" w:hAnsi="宋体" w:eastAsia="宋体" w:cs="宋体"/>
                <w:color w:val="auto"/>
                <w:highlight w:val="none"/>
              </w:rPr>
            </w:pPr>
            <w:r>
              <w:rPr>
                <w:rFonts w:hint="eastAsia" w:ascii="宋体" w:hAnsi="宋体" w:eastAsia="宋体" w:cs="宋体"/>
                <w:color w:val="auto"/>
                <w:highlight w:val="none"/>
              </w:rPr>
              <w:t>技术部分序号</w:t>
            </w:r>
          </w:p>
        </w:tc>
        <w:tc>
          <w:tcPr>
            <w:tcW w:w="2116"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招标文件</w:t>
            </w:r>
          </w:p>
          <w:p>
            <w:pPr>
              <w:rPr>
                <w:rFonts w:hint="eastAsia" w:ascii="宋体" w:hAnsi="宋体" w:eastAsia="宋体" w:cs="宋体"/>
                <w:color w:val="auto"/>
                <w:highlight w:val="none"/>
              </w:rPr>
            </w:pPr>
            <w:r>
              <w:rPr>
                <w:rFonts w:hint="eastAsia" w:ascii="宋体" w:hAnsi="宋体" w:eastAsia="宋体" w:cs="宋体"/>
                <w:color w:val="auto"/>
                <w:highlight w:val="none"/>
              </w:rPr>
              <w:t>技术部分内容要求</w:t>
            </w:r>
          </w:p>
        </w:tc>
        <w:tc>
          <w:tcPr>
            <w:tcW w:w="1684"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投标文件</w:t>
            </w:r>
          </w:p>
          <w:p>
            <w:pPr>
              <w:rPr>
                <w:rFonts w:hint="eastAsia" w:ascii="宋体" w:hAnsi="宋体" w:eastAsia="宋体" w:cs="宋体"/>
                <w:color w:val="auto"/>
                <w:highlight w:val="none"/>
              </w:rPr>
            </w:pPr>
            <w:r>
              <w:rPr>
                <w:rFonts w:hint="eastAsia" w:ascii="宋体" w:hAnsi="宋体" w:eastAsia="宋体" w:cs="宋体"/>
                <w:color w:val="auto"/>
                <w:highlight w:val="none"/>
              </w:rPr>
              <w:t>应答情况</w:t>
            </w:r>
          </w:p>
        </w:tc>
        <w:tc>
          <w:tcPr>
            <w:tcW w:w="1879"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偏离（无/正/负）</w:t>
            </w:r>
          </w:p>
        </w:tc>
        <w:tc>
          <w:tcPr>
            <w:tcW w:w="759"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16" w:type="dxa"/>
            <w:noWrap/>
            <w:vAlign w:val="center"/>
          </w:tcPr>
          <w:p>
            <w:pPr>
              <w:rPr>
                <w:rFonts w:hint="eastAsia" w:ascii="宋体" w:hAnsi="宋体" w:eastAsia="宋体" w:cs="宋体"/>
                <w:color w:val="auto"/>
                <w:highlight w:val="none"/>
              </w:rPr>
            </w:pPr>
          </w:p>
        </w:tc>
        <w:tc>
          <w:tcPr>
            <w:tcW w:w="2116" w:type="dxa"/>
            <w:noWrap/>
            <w:vAlign w:val="center"/>
          </w:tcPr>
          <w:p>
            <w:pPr>
              <w:rPr>
                <w:rFonts w:hint="eastAsia" w:ascii="宋体" w:hAnsi="宋体" w:eastAsia="宋体" w:cs="宋体"/>
                <w:color w:val="auto"/>
                <w:highlight w:val="none"/>
              </w:rPr>
            </w:pPr>
          </w:p>
        </w:tc>
        <w:tc>
          <w:tcPr>
            <w:tcW w:w="1684" w:type="dxa"/>
            <w:noWrap/>
            <w:vAlign w:val="center"/>
          </w:tcPr>
          <w:p>
            <w:pPr>
              <w:rPr>
                <w:rFonts w:hint="eastAsia" w:ascii="宋体" w:hAnsi="宋体" w:eastAsia="宋体" w:cs="宋体"/>
                <w:color w:val="auto"/>
                <w:highlight w:val="none"/>
              </w:rPr>
            </w:pPr>
          </w:p>
        </w:tc>
        <w:tc>
          <w:tcPr>
            <w:tcW w:w="1879" w:type="dxa"/>
            <w:noWrap/>
            <w:vAlign w:val="center"/>
          </w:tcPr>
          <w:p>
            <w:pPr>
              <w:rPr>
                <w:rFonts w:hint="eastAsia" w:ascii="宋体" w:hAnsi="宋体" w:eastAsia="宋体" w:cs="宋体"/>
                <w:color w:val="auto"/>
                <w:highlight w:val="none"/>
              </w:rPr>
            </w:pPr>
          </w:p>
        </w:tc>
        <w:tc>
          <w:tcPr>
            <w:tcW w:w="759" w:type="dxa"/>
            <w:noWrap/>
            <w:vAlign w:val="center"/>
          </w:tcPr>
          <w:p>
            <w:pPr>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516" w:type="dxa"/>
            <w:noWrap/>
            <w:vAlign w:val="center"/>
          </w:tcPr>
          <w:p>
            <w:pPr>
              <w:rPr>
                <w:rFonts w:hint="eastAsia" w:ascii="宋体" w:hAnsi="宋体" w:eastAsia="宋体" w:cs="宋体"/>
                <w:color w:val="auto"/>
                <w:highlight w:val="none"/>
              </w:rPr>
            </w:pPr>
          </w:p>
        </w:tc>
        <w:tc>
          <w:tcPr>
            <w:tcW w:w="2116" w:type="dxa"/>
            <w:noWrap/>
            <w:vAlign w:val="center"/>
          </w:tcPr>
          <w:p>
            <w:pPr>
              <w:rPr>
                <w:rFonts w:hint="eastAsia" w:ascii="宋体" w:hAnsi="宋体" w:eastAsia="宋体" w:cs="宋体"/>
                <w:color w:val="auto"/>
                <w:highlight w:val="none"/>
              </w:rPr>
            </w:pPr>
          </w:p>
        </w:tc>
        <w:tc>
          <w:tcPr>
            <w:tcW w:w="1684" w:type="dxa"/>
            <w:noWrap/>
            <w:vAlign w:val="center"/>
          </w:tcPr>
          <w:p>
            <w:pPr>
              <w:rPr>
                <w:rFonts w:hint="eastAsia" w:ascii="宋体" w:hAnsi="宋体" w:eastAsia="宋体" w:cs="宋体"/>
                <w:color w:val="auto"/>
                <w:highlight w:val="none"/>
              </w:rPr>
            </w:pPr>
          </w:p>
        </w:tc>
        <w:tc>
          <w:tcPr>
            <w:tcW w:w="1879" w:type="dxa"/>
            <w:noWrap/>
            <w:vAlign w:val="center"/>
          </w:tcPr>
          <w:p>
            <w:pPr>
              <w:rPr>
                <w:rFonts w:hint="eastAsia" w:ascii="宋体" w:hAnsi="宋体" w:eastAsia="宋体" w:cs="宋体"/>
                <w:color w:val="auto"/>
                <w:highlight w:val="none"/>
              </w:rPr>
            </w:pPr>
          </w:p>
        </w:tc>
        <w:tc>
          <w:tcPr>
            <w:tcW w:w="759" w:type="dxa"/>
            <w:noWrap/>
            <w:vAlign w:val="center"/>
          </w:tcPr>
          <w:p>
            <w:pPr>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516" w:type="dxa"/>
            <w:noWrap/>
            <w:vAlign w:val="center"/>
          </w:tcPr>
          <w:p>
            <w:pPr>
              <w:rPr>
                <w:rFonts w:hint="eastAsia" w:ascii="宋体" w:hAnsi="宋体" w:eastAsia="宋体" w:cs="宋体"/>
                <w:color w:val="auto"/>
                <w:highlight w:val="none"/>
              </w:rPr>
            </w:pPr>
          </w:p>
        </w:tc>
        <w:tc>
          <w:tcPr>
            <w:tcW w:w="2116" w:type="dxa"/>
            <w:noWrap/>
            <w:vAlign w:val="center"/>
          </w:tcPr>
          <w:p>
            <w:pPr>
              <w:rPr>
                <w:rFonts w:hint="eastAsia" w:ascii="宋体" w:hAnsi="宋体" w:eastAsia="宋体" w:cs="宋体"/>
                <w:color w:val="auto"/>
                <w:highlight w:val="none"/>
              </w:rPr>
            </w:pPr>
          </w:p>
        </w:tc>
        <w:tc>
          <w:tcPr>
            <w:tcW w:w="1684" w:type="dxa"/>
            <w:noWrap/>
            <w:vAlign w:val="center"/>
          </w:tcPr>
          <w:p>
            <w:pPr>
              <w:rPr>
                <w:rFonts w:hint="eastAsia" w:ascii="宋体" w:hAnsi="宋体" w:eastAsia="宋体" w:cs="宋体"/>
                <w:color w:val="auto"/>
                <w:highlight w:val="none"/>
              </w:rPr>
            </w:pPr>
          </w:p>
        </w:tc>
        <w:tc>
          <w:tcPr>
            <w:tcW w:w="1879" w:type="dxa"/>
            <w:noWrap/>
            <w:vAlign w:val="center"/>
          </w:tcPr>
          <w:p>
            <w:pPr>
              <w:rPr>
                <w:rFonts w:hint="eastAsia" w:ascii="宋体" w:hAnsi="宋体" w:eastAsia="宋体" w:cs="宋体"/>
                <w:color w:val="auto"/>
                <w:highlight w:val="none"/>
              </w:rPr>
            </w:pPr>
          </w:p>
        </w:tc>
        <w:tc>
          <w:tcPr>
            <w:tcW w:w="759" w:type="dxa"/>
            <w:noWrap/>
            <w:vAlign w:val="center"/>
          </w:tcPr>
          <w:p>
            <w:pPr>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516" w:type="dxa"/>
            <w:noWrap/>
            <w:vAlign w:val="center"/>
          </w:tcPr>
          <w:p>
            <w:pPr>
              <w:rPr>
                <w:rFonts w:hint="eastAsia" w:ascii="宋体" w:hAnsi="宋体" w:eastAsia="宋体" w:cs="宋体"/>
                <w:color w:val="auto"/>
                <w:highlight w:val="none"/>
              </w:rPr>
            </w:pPr>
          </w:p>
        </w:tc>
        <w:tc>
          <w:tcPr>
            <w:tcW w:w="2116" w:type="dxa"/>
            <w:noWrap/>
            <w:vAlign w:val="center"/>
          </w:tcPr>
          <w:p>
            <w:pPr>
              <w:rPr>
                <w:rFonts w:hint="eastAsia" w:ascii="宋体" w:hAnsi="宋体" w:eastAsia="宋体" w:cs="宋体"/>
                <w:color w:val="auto"/>
                <w:highlight w:val="none"/>
              </w:rPr>
            </w:pPr>
          </w:p>
        </w:tc>
        <w:tc>
          <w:tcPr>
            <w:tcW w:w="1684" w:type="dxa"/>
            <w:noWrap/>
            <w:vAlign w:val="center"/>
          </w:tcPr>
          <w:p>
            <w:pPr>
              <w:rPr>
                <w:rFonts w:hint="eastAsia" w:ascii="宋体" w:hAnsi="宋体" w:eastAsia="宋体" w:cs="宋体"/>
                <w:color w:val="auto"/>
                <w:highlight w:val="none"/>
              </w:rPr>
            </w:pPr>
          </w:p>
        </w:tc>
        <w:tc>
          <w:tcPr>
            <w:tcW w:w="1879" w:type="dxa"/>
            <w:noWrap/>
            <w:vAlign w:val="center"/>
          </w:tcPr>
          <w:p>
            <w:pPr>
              <w:rPr>
                <w:rFonts w:hint="eastAsia" w:ascii="宋体" w:hAnsi="宋体" w:eastAsia="宋体" w:cs="宋体"/>
                <w:color w:val="auto"/>
                <w:highlight w:val="none"/>
              </w:rPr>
            </w:pPr>
          </w:p>
        </w:tc>
        <w:tc>
          <w:tcPr>
            <w:tcW w:w="759" w:type="dxa"/>
            <w:noWrap/>
            <w:vAlign w:val="center"/>
          </w:tcPr>
          <w:p>
            <w:pPr>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516" w:type="dxa"/>
            <w:noWrap/>
            <w:vAlign w:val="center"/>
          </w:tcPr>
          <w:p>
            <w:pPr>
              <w:rPr>
                <w:rFonts w:hint="eastAsia" w:ascii="宋体" w:hAnsi="宋体" w:eastAsia="宋体" w:cs="宋体"/>
                <w:color w:val="auto"/>
                <w:highlight w:val="none"/>
              </w:rPr>
            </w:pPr>
          </w:p>
        </w:tc>
        <w:tc>
          <w:tcPr>
            <w:tcW w:w="2116" w:type="dxa"/>
            <w:noWrap/>
            <w:vAlign w:val="center"/>
          </w:tcPr>
          <w:p>
            <w:pPr>
              <w:rPr>
                <w:rFonts w:hint="eastAsia" w:ascii="宋体" w:hAnsi="宋体" w:eastAsia="宋体" w:cs="宋体"/>
                <w:color w:val="auto"/>
                <w:highlight w:val="none"/>
              </w:rPr>
            </w:pPr>
          </w:p>
        </w:tc>
        <w:tc>
          <w:tcPr>
            <w:tcW w:w="1684" w:type="dxa"/>
            <w:noWrap/>
            <w:vAlign w:val="center"/>
          </w:tcPr>
          <w:p>
            <w:pPr>
              <w:rPr>
                <w:rFonts w:hint="eastAsia" w:ascii="宋体" w:hAnsi="宋体" w:eastAsia="宋体" w:cs="宋体"/>
                <w:color w:val="auto"/>
                <w:highlight w:val="none"/>
              </w:rPr>
            </w:pPr>
          </w:p>
        </w:tc>
        <w:tc>
          <w:tcPr>
            <w:tcW w:w="1879" w:type="dxa"/>
            <w:noWrap/>
            <w:vAlign w:val="center"/>
          </w:tcPr>
          <w:p>
            <w:pPr>
              <w:rPr>
                <w:rFonts w:hint="eastAsia" w:ascii="宋体" w:hAnsi="宋体" w:eastAsia="宋体" w:cs="宋体"/>
                <w:color w:val="auto"/>
                <w:highlight w:val="none"/>
              </w:rPr>
            </w:pPr>
          </w:p>
        </w:tc>
        <w:tc>
          <w:tcPr>
            <w:tcW w:w="759" w:type="dxa"/>
            <w:noWrap/>
            <w:vAlign w:val="center"/>
          </w:tcPr>
          <w:p>
            <w:pPr>
              <w:rPr>
                <w:rFonts w:hint="eastAsia" w:ascii="宋体" w:hAnsi="宋体" w:eastAsia="宋体" w:cs="宋体"/>
                <w:color w:val="auto"/>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7" w:type="dxa"/>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516" w:type="dxa"/>
            <w:noWrap/>
            <w:vAlign w:val="center"/>
          </w:tcPr>
          <w:p>
            <w:pPr>
              <w:rPr>
                <w:rFonts w:hint="eastAsia" w:ascii="宋体" w:hAnsi="宋体" w:eastAsia="宋体" w:cs="宋体"/>
                <w:color w:val="auto"/>
                <w:highlight w:val="none"/>
              </w:rPr>
            </w:pPr>
          </w:p>
        </w:tc>
        <w:tc>
          <w:tcPr>
            <w:tcW w:w="2116" w:type="dxa"/>
            <w:noWrap/>
            <w:vAlign w:val="center"/>
          </w:tcPr>
          <w:p>
            <w:pPr>
              <w:rPr>
                <w:rFonts w:hint="eastAsia" w:ascii="宋体" w:hAnsi="宋体" w:eastAsia="宋体" w:cs="宋体"/>
                <w:color w:val="auto"/>
                <w:highlight w:val="none"/>
              </w:rPr>
            </w:pPr>
          </w:p>
        </w:tc>
        <w:tc>
          <w:tcPr>
            <w:tcW w:w="1684" w:type="dxa"/>
            <w:noWrap/>
            <w:vAlign w:val="center"/>
          </w:tcPr>
          <w:p>
            <w:pPr>
              <w:rPr>
                <w:rFonts w:hint="eastAsia" w:ascii="宋体" w:hAnsi="宋体" w:eastAsia="宋体" w:cs="宋体"/>
                <w:color w:val="auto"/>
                <w:highlight w:val="none"/>
              </w:rPr>
            </w:pPr>
          </w:p>
        </w:tc>
        <w:tc>
          <w:tcPr>
            <w:tcW w:w="1879" w:type="dxa"/>
            <w:noWrap/>
            <w:vAlign w:val="center"/>
          </w:tcPr>
          <w:p>
            <w:pPr>
              <w:rPr>
                <w:rFonts w:hint="eastAsia" w:ascii="宋体" w:hAnsi="宋体" w:eastAsia="宋体" w:cs="宋体"/>
                <w:color w:val="auto"/>
                <w:highlight w:val="none"/>
              </w:rPr>
            </w:pPr>
          </w:p>
        </w:tc>
        <w:tc>
          <w:tcPr>
            <w:tcW w:w="759" w:type="dxa"/>
            <w:noWrap/>
            <w:vAlign w:val="center"/>
          </w:tcPr>
          <w:p>
            <w:pPr>
              <w:rPr>
                <w:rFonts w:hint="eastAsia" w:ascii="宋体" w:hAnsi="宋体" w:eastAsia="宋体" w:cs="宋体"/>
                <w:color w:val="auto"/>
                <w:highlight w:val="none"/>
              </w:rPr>
            </w:pPr>
          </w:p>
        </w:tc>
      </w:tr>
    </w:tbl>
    <w:p>
      <w:pPr>
        <w:jc w:val="left"/>
        <w:rPr>
          <w:rFonts w:hint="eastAsia" w:ascii="宋体" w:hAnsi="宋体" w:eastAsia="宋体" w:cs="宋体"/>
          <w:color w:val="auto"/>
          <w:highlight w:val="none"/>
        </w:rPr>
      </w:pPr>
      <w:r>
        <w:rPr>
          <w:rFonts w:hint="eastAsia" w:ascii="宋体" w:hAnsi="宋体" w:eastAsia="宋体" w:cs="宋体"/>
          <w:color w:val="auto"/>
          <w:highlight w:val="none"/>
        </w:rPr>
        <w:t>特别说明：</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1.投标人应按招标文件《第六章　项目采购需求》中的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技术要求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，结合自身投标情况对技术条款逐条响应，未逐条响应的视为投标无效。</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2.投标文件响应的技术内容完全响应招标文件要求的，投标人应注明“无偏离”；不满足或不响应招标文件要求的，应注明“负偏离”；优于招标文件要求的，应注明“正偏离”。</w:t>
      </w:r>
    </w:p>
    <w:p>
      <w:pPr>
        <w:ind w:firstLine="420" w:firstLineChars="200"/>
        <w:jc w:val="left"/>
        <w:rPr>
          <w:rFonts w:hint="eastAsia" w:ascii="宋体" w:hAnsi="宋体" w:eastAsia="宋体" w:cs="宋体"/>
          <w:color w:val="auto"/>
          <w:highlight w:val="none"/>
        </w:rPr>
      </w:pPr>
      <w:bookmarkStart w:id="125" w:name="_Toc31002"/>
      <w:bookmarkStart w:id="126" w:name="_Toc6265"/>
      <w:bookmarkStart w:id="127" w:name="_Toc25459"/>
      <w:r>
        <w:rPr>
          <w:rFonts w:hint="eastAsia" w:ascii="宋体" w:hAnsi="宋体" w:eastAsia="宋体" w:cs="宋体"/>
          <w:color w:val="auto"/>
          <w:highlight w:val="none"/>
        </w:rPr>
        <w:t>3.本表可扩展。</w:t>
      </w:r>
      <w:bookmarkEnd w:id="125"/>
      <w:bookmarkEnd w:id="126"/>
      <w:bookmarkEnd w:id="127"/>
    </w:p>
    <w:p>
      <w:pPr>
        <w:jc w:val="left"/>
        <w:rPr>
          <w:rFonts w:hint="eastAsia" w:ascii="宋体" w:hAnsi="宋体" w:eastAsia="宋体" w:cs="宋体"/>
          <w:color w:val="auto"/>
          <w:highlight w:val="none"/>
        </w:rPr>
      </w:pPr>
    </w:p>
    <w:p>
      <w:pPr>
        <w:pStyle w:val="28"/>
        <w:spacing w:after="156"/>
        <w:jc w:val="left"/>
        <w:rPr>
          <w:rFonts w:hint="eastAsia" w:ascii="宋体" w:hAnsi="宋体" w:eastAsia="宋体" w:cs="宋体"/>
          <w:color w:val="auto"/>
          <w:sz w:val="21"/>
          <w:szCs w:val="21"/>
          <w:highlight w:val="none"/>
        </w:rPr>
      </w:pP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投标人（全称并加盖公章）：</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投标人代表（签字）：</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日期：</w:t>
      </w:r>
    </w:p>
    <w:p>
      <w:pPr>
        <w:jc w:val="center"/>
        <w:rPr>
          <w:rFonts w:hint="eastAsia" w:ascii="宋体" w:hAnsi="宋体" w:eastAsia="宋体" w:cs="宋体"/>
          <w:b/>
          <w:bCs w:val="0"/>
          <w:color w:val="auto"/>
          <w:sz w:val="28"/>
          <w:szCs w:val="28"/>
          <w:highlight w:val="none"/>
          <w:lang w:val="en-US" w:eastAsia="zh-CN" w:bidi="ar-SA"/>
        </w:rPr>
      </w:pPr>
      <w:r>
        <w:rPr>
          <w:rFonts w:hint="eastAsia" w:ascii="宋体" w:hAnsi="宋体" w:eastAsia="宋体" w:cs="宋体"/>
          <w:color w:val="auto"/>
          <w:sz w:val="24"/>
          <w:highlight w:val="none"/>
        </w:rPr>
        <w:br w:type="page"/>
      </w:r>
      <w:bookmarkStart w:id="128" w:name="_Toc1979"/>
      <w:bookmarkStart w:id="129" w:name="_Toc751"/>
      <w:bookmarkStart w:id="130" w:name="_Toc22335"/>
      <w:r>
        <w:rPr>
          <w:rFonts w:hint="eastAsia" w:ascii="宋体" w:hAnsi="宋体" w:eastAsia="宋体" w:cs="宋体"/>
          <w:b/>
          <w:bCs w:val="0"/>
          <w:color w:val="auto"/>
          <w:sz w:val="28"/>
          <w:szCs w:val="28"/>
          <w:highlight w:val="none"/>
          <w:lang w:val="en-US" w:eastAsia="zh-CN" w:bidi="ar-SA"/>
        </w:rPr>
        <w:t>格式16  服务方案、实施方案及技术方案</w:t>
      </w:r>
      <w:bookmarkEnd w:id="128"/>
      <w:bookmarkEnd w:id="129"/>
      <w:bookmarkEnd w:id="130"/>
    </w:p>
    <w:p>
      <w:pPr>
        <w:rPr>
          <w:rFonts w:hint="eastAsia" w:ascii="宋体" w:hAnsi="宋体" w:eastAsia="宋体" w:cs="宋体"/>
          <w:color w:val="auto"/>
          <w:highlight w:val="none"/>
        </w:rPr>
      </w:pPr>
    </w:p>
    <w:p>
      <w:pPr>
        <w:jc w:val="center"/>
        <w:rPr>
          <w:rFonts w:hint="eastAsia" w:ascii="宋体" w:hAnsi="宋体" w:eastAsia="宋体" w:cs="宋体"/>
          <w:b/>
          <w:bCs w:val="0"/>
          <w:color w:val="auto"/>
          <w:sz w:val="28"/>
          <w:szCs w:val="28"/>
          <w:highlight w:val="none"/>
          <w:lang w:val="en-US" w:eastAsia="zh-CN" w:bidi="ar-SA"/>
        </w:rPr>
      </w:pPr>
      <w:r>
        <w:rPr>
          <w:rFonts w:hint="eastAsia" w:ascii="宋体" w:hAnsi="宋体" w:eastAsia="宋体" w:cs="宋体"/>
          <w:b/>
          <w:bCs w:val="0"/>
          <w:color w:val="auto"/>
          <w:sz w:val="28"/>
          <w:szCs w:val="28"/>
          <w:highlight w:val="none"/>
          <w:lang w:val="en-US" w:eastAsia="zh-CN" w:bidi="ar-SA"/>
        </w:rPr>
        <w:t>服务方案说明</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服务类项目供应商应根据第六章规定编写服务方案说明。服务方案说明包括但不限于：</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(1)服务目标、范围和任务；</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(2)服务方案；</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(3)服务团队组织安排计划；</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(4)工作流程；</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(5)进度计划及保证措施；</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(6)质量保证措施；</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(7)合理化建议；</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(8)其他。</w:t>
      </w:r>
    </w:p>
    <w:p>
      <w:pPr>
        <w:jc w:val="left"/>
        <w:rPr>
          <w:rFonts w:hint="eastAsia" w:ascii="宋体" w:hAnsi="宋体" w:eastAsia="宋体" w:cs="宋体"/>
          <w:color w:val="auto"/>
          <w:highlight w:val="none"/>
        </w:rPr>
      </w:pPr>
    </w:p>
    <w:p>
      <w:pPr>
        <w:jc w:val="center"/>
        <w:rPr>
          <w:rFonts w:hint="eastAsia" w:ascii="宋体" w:hAnsi="宋体" w:eastAsia="宋体" w:cs="宋体"/>
          <w:b/>
          <w:bCs w:val="0"/>
          <w:color w:val="auto"/>
          <w:sz w:val="28"/>
          <w:szCs w:val="28"/>
          <w:highlight w:val="none"/>
          <w:lang w:val="en-US" w:eastAsia="zh-CN" w:bidi="ar-SA"/>
        </w:rPr>
      </w:pPr>
      <w:r>
        <w:rPr>
          <w:rFonts w:hint="eastAsia" w:ascii="宋体" w:hAnsi="宋体" w:eastAsia="宋体" w:cs="宋体"/>
          <w:b/>
          <w:bCs w:val="0"/>
          <w:color w:val="auto"/>
          <w:sz w:val="28"/>
          <w:szCs w:val="28"/>
          <w:highlight w:val="none"/>
          <w:lang w:val="en-US" w:eastAsia="zh-CN" w:bidi="ar-SA"/>
        </w:rPr>
        <w:t>实施方案</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(示例略)</w:t>
      </w:r>
    </w:p>
    <w:p>
      <w:pPr>
        <w:jc w:val="left"/>
        <w:rPr>
          <w:rFonts w:hint="eastAsia" w:ascii="宋体" w:hAnsi="宋体" w:eastAsia="宋体" w:cs="宋体"/>
          <w:color w:val="auto"/>
          <w:highlight w:val="none"/>
        </w:rPr>
      </w:pPr>
    </w:p>
    <w:p>
      <w:pPr>
        <w:jc w:val="left"/>
        <w:rPr>
          <w:rFonts w:hint="eastAsia" w:ascii="宋体" w:hAnsi="宋体" w:eastAsia="宋体" w:cs="宋体"/>
          <w:color w:val="auto"/>
          <w:highlight w:val="none"/>
        </w:rPr>
      </w:pPr>
    </w:p>
    <w:p>
      <w:pPr>
        <w:jc w:val="center"/>
        <w:rPr>
          <w:rFonts w:hint="eastAsia" w:ascii="宋体" w:hAnsi="宋体" w:eastAsia="宋体" w:cs="宋体"/>
          <w:b/>
          <w:bCs w:val="0"/>
          <w:color w:val="auto"/>
          <w:sz w:val="28"/>
          <w:szCs w:val="28"/>
          <w:highlight w:val="none"/>
          <w:lang w:val="en-US" w:eastAsia="zh-CN" w:bidi="ar-SA"/>
        </w:rPr>
      </w:pPr>
      <w:r>
        <w:rPr>
          <w:rFonts w:hint="eastAsia" w:ascii="宋体" w:hAnsi="宋体" w:eastAsia="宋体" w:cs="宋体"/>
          <w:b/>
          <w:bCs w:val="0"/>
          <w:color w:val="auto"/>
          <w:sz w:val="28"/>
          <w:szCs w:val="28"/>
          <w:highlight w:val="none"/>
          <w:lang w:val="en-US" w:eastAsia="zh-CN" w:bidi="ar-SA"/>
        </w:rPr>
        <w:t>技术方案</w:t>
      </w:r>
    </w:p>
    <w:p>
      <w:pPr>
        <w:jc w:val="left"/>
        <w:rPr>
          <w:rFonts w:hint="eastAsia" w:ascii="宋体" w:hAnsi="宋体" w:eastAsia="宋体" w:cs="宋体"/>
          <w:color w:val="auto"/>
          <w:highlight w:val="none"/>
        </w:rPr>
      </w:pPr>
      <w:r>
        <w:rPr>
          <w:rFonts w:hint="eastAsia" w:ascii="宋体" w:hAnsi="宋体" w:eastAsia="宋体" w:cs="宋体"/>
          <w:color w:val="auto"/>
          <w:highlight w:val="none"/>
        </w:rPr>
        <w:t>(示例略)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b/>
          <w:bCs/>
          <w:color w:val="auto"/>
          <w:sz w:val="28"/>
          <w:szCs w:val="28"/>
          <w:highlight w:val="none"/>
        </w:rPr>
      </w:pPr>
    </w:p>
    <w:p>
      <w:pPr>
        <w:pStyle w:val="3"/>
        <w:rPr>
          <w:rFonts w:hint="eastAsia" w:ascii="宋体" w:hAnsi="宋体" w:eastAsia="宋体" w:cs="宋体"/>
          <w:b/>
          <w:bCs/>
          <w:color w:val="auto"/>
          <w:sz w:val="28"/>
          <w:szCs w:val="28"/>
          <w:highlight w:val="none"/>
        </w:rPr>
      </w:pPr>
    </w:p>
    <w:p>
      <w:pPr>
        <w:pStyle w:val="3"/>
        <w:rPr>
          <w:rFonts w:hint="eastAsia" w:ascii="宋体" w:hAnsi="宋体" w:eastAsia="宋体" w:cs="宋体"/>
          <w:b/>
          <w:bCs/>
          <w:color w:val="auto"/>
          <w:sz w:val="28"/>
          <w:szCs w:val="28"/>
          <w:highlight w:val="none"/>
        </w:rPr>
      </w:pPr>
    </w:p>
    <w:p>
      <w:pPr>
        <w:pStyle w:val="3"/>
        <w:rPr>
          <w:rFonts w:hint="eastAsia" w:ascii="宋体" w:hAnsi="宋体" w:eastAsia="宋体" w:cs="宋体"/>
          <w:b/>
          <w:bCs/>
          <w:color w:val="auto"/>
          <w:sz w:val="28"/>
          <w:szCs w:val="28"/>
          <w:highlight w:val="none"/>
        </w:rPr>
      </w:pPr>
    </w:p>
    <w:p>
      <w:pPr>
        <w:jc w:val="center"/>
        <w:rPr>
          <w:rFonts w:hint="eastAsia" w:ascii="宋体" w:hAnsi="宋体" w:eastAsia="宋体" w:cs="宋体"/>
          <w:b/>
          <w:bCs w:val="0"/>
          <w:color w:val="auto"/>
          <w:sz w:val="28"/>
          <w:szCs w:val="28"/>
          <w:highlight w:val="none"/>
          <w:lang w:val="en-US" w:eastAsia="zh-CN" w:bidi="ar-SA"/>
        </w:rPr>
      </w:pPr>
      <w:r>
        <w:rPr>
          <w:rFonts w:hint="eastAsia" w:ascii="宋体" w:hAnsi="宋体" w:eastAsia="宋体" w:cs="宋体"/>
          <w:b/>
          <w:bCs w:val="0"/>
          <w:color w:val="auto"/>
          <w:sz w:val="28"/>
          <w:szCs w:val="28"/>
          <w:highlight w:val="none"/>
          <w:lang w:val="en-US" w:eastAsia="zh-CN" w:bidi="ar-SA"/>
        </w:rPr>
        <w:t>格式</w:t>
      </w:r>
      <w:bookmarkStart w:id="131" w:name="_Toc231801039"/>
      <w:r>
        <w:rPr>
          <w:rFonts w:hint="eastAsia" w:ascii="宋体" w:hAnsi="宋体" w:eastAsia="宋体" w:cs="宋体"/>
          <w:b/>
          <w:bCs w:val="0"/>
          <w:color w:val="auto"/>
          <w:sz w:val="28"/>
          <w:szCs w:val="28"/>
          <w:highlight w:val="none"/>
          <w:lang w:val="en-US" w:eastAsia="zh-CN" w:bidi="ar-SA"/>
        </w:rPr>
        <w:t>17  技术力量一览表</w:t>
      </w:r>
    </w:p>
    <w:tbl>
      <w:tblPr>
        <w:tblStyle w:val="17"/>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35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18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18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人员级别</w:t>
            </w: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工作年限</w:t>
            </w:r>
          </w:p>
        </w:tc>
        <w:tc>
          <w:tcPr>
            <w:tcW w:w="124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本项目中担任职务</w:t>
            </w:r>
          </w:p>
        </w:tc>
        <w:tc>
          <w:tcPr>
            <w:tcW w:w="191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0" w:type="dxa"/>
            <w:gridSpan w:val="7"/>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项目管理人员</w:t>
            </w:r>
          </w:p>
          <w:p>
            <w:pPr>
              <w:rPr>
                <w:rFonts w:hint="eastAsia" w:ascii="宋体" w:hAnsi="宋体" w:eastAsia="宋体" w:cs="宋体"/>
                <w:color w:val="auto"/>
                <w:highlight w:val="none"/>
              </w:rPr>
            </w:pPr>
            <w:r>
              <w:rPr>
                <w:rFonts w:hint="eastAsia" w:ascii="宋体" w:hAnsi="宋体" w:eastAsia="宋体" w:cs="宋体"/>
                <w:color w:val="auto"/>
                <w:highlight w:val="none"/>
              </w:rPr>
              <w:t>（一）XX人员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（二）XX人员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二、XX人员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5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35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243"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c>
          <w:tcPr>
            <w:tcW w:w="191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三、XX人员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56" w:type="dxa"/>
            <w:vAlign w:val="center"/>
          </w:tcPr>
          <w:p>
            <w:pPr>
              <w:rPr>
                <w:rFonts w:hint="eastAsia" w:ascii="宋体" w:hAnsi="宋体" w:eastAsia="宋体" w:cs="宋体"/>
                <w:color w:val="auto"/>
                <w:highlight w:val="none"/>
              </w:rPr>
            </w:pPr>
          </w:p>
        </w:tc>
        <w:tc>
          <w:tcPr>
            <w:tcW w:w="1187" w:type="dxa"/>
            <w:vAlign w:val="center"/>
          </w:tcPr>
          <w:p>
            <w:pPr>
              <w:rPr>
                <w:rFonts w:hint="eastAsia" w:ascii="宋体" w:hAnsi="宋体" w:eastAsia="宋体" w:cs="宋体"/>
                <w:color w:val="auto"/>
                <w:highlight w:val="none"/>
              </w:rPr>
            </w:pPr>
          </w:p>
        </w:tc>
        <w:tc>
          <w:tcPr>
            <w:tcW w:w="1189" w:type="dxa"/>
            <w:vAlign w:val="center"/>
          </w:tcPr>
          <w:p>
            <w:pPr>
              <w:rPr>
                <w:rFonts w:hint="eastAsia" w:ascii="宋体" w:hAnsi="宋体" w:eastAsia="宋体" w:cs="宋体"/>
                <w:color w:val="auto"/>
                <w:highlight w:val="none"/>
              </w:rPr>
            </w:pPr>
          </w:p>
        </w:tc>
        <w:tc>
          <w:tcPr>
            <w:tcW w:w="1275" w:type="dxa"/>
            <w:vAlign w:val="center"/>
          </w:tcPr>
          <w:p>
            <w:pPr>
              <w:rPr>
                <w:rFonts w:hint="eastAsia" w:ascii="宋体" w:hAnsi="宋体" w:eastAsia="宋体" w:cs="宋体"/>
                <w:color w:val="auto"/>
                <w:highlight w:val="none"/>
              </w:rPr>
            </w:pPr>
          </w:p>
        </w:tc>
        <w:tc>
          <w:tcPr>
            <w:tcW w:w="1243" w:type="dxa"/>
            <w:vAlign w:val="center"/>
          </w:tcPr>
          <w:p>
            <w:pPr>
              <w:rPr>
                <w:rFonts w:hint="eastAsia" w:ascii="宋体" w:hAnsi="宋体" w:eastAsia="宋体" w:cs="宋体"/>
                <w:color w:val="auto"/>
                <w:highlight w:val="none"/>
              </w:rPr>
            </w:pPr>
          </w:p>
        </w:tc>
        <w:tc>
          <w:tcPr>
            <w:tcW w:w="1916" w:type="dxa"/>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356" w:type="dxa"/>
            <w:vAlign w:val="center"/>
          </w:tcPr>
          <w:p>
            <w:pPr>
              <w:rPr>
                <w:rFonts w:hint="eastAsia" w:ascii="宋体" w:hAnsi="宋体" w:eastAsia="宋体" w:cs="宋体"/>
                <w:color w:val="auto"/>
                <w:highlight w:val="none"/>
              </w:rPr>
            </w:pPr>
          </w:p>
        </w:tc>
        <w:tc>
          <w:tcPr>
            <w:tcW w:w="1187" w:type="dxa"/>
            <w:vAlign w:val="center"/>
          </w:tcPr>
          <w:p>
            <w:pPr>
              <w:rPr>
                <w:rFonts w:hint="eastAsia" w:ascii="宋体" w:hAnsi="宋体" w:eastAsia="宋体" w:cs="宋体"/>
                <w:color w:val="auto"/>
                <w:highlight w:val="none"/>
              </w:rPr>
            </w:pPr>
          </w:p>
        </w:tc>
        <w:tc>
          <w:tcPr>
            <w:tcW w:w="1189" w:type="dxa"/>
            <w:vAlign w:val="center"/>
          </w:tcPr>
          <w:p>
            <w:pPr>
              <w:rPr>
                <w:rFonts w:hint="eastAsia" w:ascii="宋体" w:hAnsi="宋体" w:eastAsia="宋体" w:cs="宋体"/>
                <w:color w:val="auto"/>
                <w:highlight w:val="none"/>
              </w:rPr>
            </w:pPr>
          </w:p>
        </w:tc>
        <w:tc>
          <w:tcPr>
            <w:tcW w:w="1275" w:type="dxa"/>
            <w:vAlign w:val="center"/>
          </w:tcPr>
          <w:p>
            <w:pPr>
              <w:rPr>
                <w:rFonts w:hint="eastAsia" w:ascii="宋体" w:hAnsi="宋体" w:eastAsia="宋体" w:cs="宋体"/>
                <w:color w:val="auto"/>
                <w:highlight w:val="none"/>
              </w:rPr>
            </w:pPr>
          </w:p>
        </w:tc>
        <w:tc>
          <w:tcPr>
            <w:tcW w:w="1243" w:type="dxa"/>
            <w:vAlign w:val="center"/>
          </w:tcPr>
          <w:p>
            <w:pPr>
              <w:rPr>
                <w:rFonts w:hint="eastAsia" w:ascii="宋体" w:hAnsi="宋体" w:eastAsia="宋体" w:cs="宋体"/>
                <w:color w:val="auto"/>
                <w:highlight w:val="none"/>
              </w:rPr>
            </w:pPr>
          </w:p>
        </w:tc>
        <w:tc>
          <w:tcPr>
            <w:tcW w:w="1916" w:type="dxa"/>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356" w:type="dxa"/>
            <w:vAlign w:val="center"/>
          </w:tcPr>
          <w:p>
            <w:pPr>
              <w:rPr>
                <w:rFonts w:hint="eastAsia" w:ascii="宋体" w:hAnsi="宋体" w:eastAsia="宋体" w:cs="宋体"/>
                <w:color w:val="auto"/>
                <w:highlight w:val="none"/>
              </w:rPr>
            </w:pPr>
          </w:p>
        </w:tc>
        <w:tc>
          <w:tcPr>
            <w:tcW w:w="1187" w:type="dxa"/>
            <w:vAlign w:val="center"/>
          </w:tcPr>
          <w:p>
            <w:pPr>
              <w:rPr>
                <w:rFonts w:hint="eastAsia" w:ascii="宋体" w:hAnsi="宋体" w:eastAsia="宋体" w:cs="宋体"/>
                <w:color w:val="auto"/>
                <w:highlight w:val="none"/>
              </w:rPr>
            </w:pPr>
          </w:p>
        </w:tc>
        <w:tc>
          <w:tcPr>
            <w:tcW w:w="1189" w:type="dxa"/>
            <w:vAlign w:val="center"/>
          </w:tcPr>
          <w:p>
            <w:pPr>
              <w:rPr>
                <w:rFonts w:hint="eastAsia" w:ascii="宋体" w:hAnsi="宋体" w:eastAsia="宋体" w:cs="宋体"/>
                <w:color w:val="auto"/>
                <w:highlight w:val="none"/>
              </w:rPr>
            </w:pPr>
          </w:p>
        </w:tc>
        <w:tc>
          <w:tcPr>
            <w:tcW w:w="1275" w:type="dxa"/>
            <w:vAlign w:val="center"/>
          </w:tcPr>
          <w:p>
            <w:pPr>
              <w:rPr>
                <w:rFonts w:hint="eastAsia" w:ascii="宋体" w:hAnsi="宋体" w:eastAsia="宋体" w:cs="宋体"/>
                <w:color w:val="auto"/>
                <w:highlight w:val="none"/>
              </w:rPr>
            </w:pPr>
          </w:p>
        </w:tc>
        <w:tc>
          <w:tcPr>
            <w:tcW w:w="1243" w:type="dxa"/>
            <w:vAlign w:val="center"/>
          </w:tcPr>
          <w:p>
            <w:pPr>
              <w:rPr>
                <w:rFonts w:hint="eastAsia" w:ascii="宋体" w:hAnsi="宋体" w:eastAsia="宋体" w:cs="宋体"/>
                <w:color w:val="auto"/>
                <w:highlight w:val="none"/>
              </w:rPr>
            </w:pPr>
          </w:p>
        </w:tc>
        <w:tc>
          <w:tcPr>
            <w:tcW w:w="1916" w:type="dxa"/>
            <w:vAlign w:val="center"/>
          </w:tcPr>
          <w:p>
            <w:pPr>
              <w:rPr>
                <w:rFonts w:hint="eastAsia" w:ascii="宋体" w:hAnsi="宋体" w:eastAsia="宋体" w:cs="宋体"/>
                <w:color w:val="auto"/>
                <w:highlight w:val="none"/>
              </w:rPr>
            </w:pPr>
          </w:p>
        </w:tc>
      </w:tr>
      <w:bookmarkEnd w:id="131"/>
    </w:tbl>
    <w:p>
      <w:pPr>
        <w:jc w:val="left"/>
        <w:rPr>
          <w:rFonts w:hint="eastAsia" w:ascii="宋体" w:hAnsi="宋体" w:eastAsia="宋体" w:cs="宋体"/>
          <w:color w:val="auto"/>
          <w:highlight w:val="none"/>
        </w:rPr>
      </w:pPr>
      <w:r>
        <w:rPr>
          <w:rFonts w:hint="eastAsia" w:ascii="宋体" w:hAnsi="宋体" w:eastAsia="宋体" w:cs="宋体"/>
          <w:color w:val="auto"/>
          <w:highlight w:val="none"/>
        </w:rPr>
        <w:t>特别说明：</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1.投标人须按照上述格式填写投入本项目所有人员的相关信息。</w:t>
      </w:r>
    </w:p>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2.投标人依据本项目《第三章 评标方法及标准》、第六章《项目采购需求》的要求，提供拟投入人员清单及投入人员的</w:t>
      </w:r>
      <w:r>
        <w:rPr>
          <w:rFonts w:hint="eastAsia" w:ascii="宋体" w:hAnsi="宋体" w:eastAsia="宋体" w:cs="宋体"/>
          <w:color w:val="auto"/>
          <w:highlight w:val="none"/>
          <w:lang w:eastAsia="zh-CN"/>
        </w:rPr>
        <w:t>学历、</w:t>
      </w:r>
      <w:r>
        <w:rPr>
          <w:rFonts w:hint="eastAsia" w:ascii="宋体" w:hAnsi="宋体" w:eastAsia="宋体" w:cs="宋体"/>
          <w:color w:val="auto"/>
          <w:highlight w:val="none"/>
        </w:rPr>
        <w:t>相关资格证书复印件，以及</w:t>
      </w:r>
      <w:r>
        <w:rPr>
          <w:rFonts w:hint="eastAsia" w:ascii="宋体" w:hAnsi="宋体" w:eastAsia="宋体" w:cs="宋体"/>
          <w:color w:val="auto"/>
          <w:highlight w:val="none"/>
          <w:lang w:eastAsia="zh-CN"/>
        </w:rPr>
        <w:t>拟投入</w:t>
      </w:r>
      <w:r>
        <w:rPr>
          <w:rFonts w:hint="eastAsia" w:ascii="宋体" w:hAnsi="宋体" w:eastAsia="宋体" w:cs="宋体"/>
          <w:color w:val="auto"/>
          <w:highlight w:val="none"/>
        </w:rPr>
        <w:t>人员与投标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签署的劳动合同（截止本项目开标当天合同仍在有效期内）复印件。以上材料均需加盖公章（投标人如能够在线查询的材料，请提供查询网址链接，可以不用同时提供纸质材料）。</w:t>
      </w:r>
    </w:p>
    <w:p>
      <w:pPr>
        <w:jc w:val="both"/>
        <w:rPr>
          <w:rFonts w:hint="eastAsia" w:ascii="宋体" w:hAnsi="宋体" w:eastAsia="宋体" w:cs="宋体"/>
          <w:b/>
          <w:bCs w:val="0"/>
          <w:color w:val="auto"/>
          <w:sz w:val="28"/>
          <w:szCs w:val="28"/>
          <w:highlight w:val="none"/>
          <w:lang w:val="en-US" w:eastAsia="zh-CN" w:bidi="ar-SA"/>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bCs w:val="0"/>
          <w:color w:val="auto"/>
          <w:sz w:val="28"/>
          <w:szCs w:val="28"/>
          <w:highlight w:val="none"/>
          <w:lang w:val="en-US" w:eastAsia="zh-CN" w:bidi="ar-SA"/>
        </w:rPr>
        <w:t xml:space="preserve">      格式18  技术人员简历表</w:t>
      </w:r>
    </w:p>
    <w:tbl>
      <w:tblPr>
        <w:tblStyle w:val="17"/>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343"/>
        <w:gridCol w:w="2145"/>
        <w:gridCol w:w="1088"/>
        <w:gridCol w:w="2363"/>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3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1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性    别</w:t>
            </w:r>
          </w:p>
        </w:tc>
        <w:tc>
          <w:tcPr>
            <w:tcW w:w="10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出生日期</w:t>
            </w:r>
          </w:p>
        </w:tc>
        <w:tc>
          <w:tcPr>
            <w:tcW w:w="8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学   历</w:t>
            </w:r>
          </w:p>
        </w:tc>
        <w:tc>
          <w:tcPr>
            <w:tcW w:w="13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1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10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8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公司职务</w:t>
            </w:r>
          </w:p>
        </w:tc>
        <w:tc>
          <w:tcPr>
            <w:tcW w:w="13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1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任职时间</w:t>
            </w:r>
          </w:p>
        </w:tc>
        <w:tc>
          <w:tcPr>
            <w:tcW w:w="10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本项目任职</w:t>
            </w:r>
          </w:p>
        </w:tc>
        <w:tc>
          <w:tcPr>
            <w:tcW w:w="8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人员级别</w:t>
            </w:r>
          </w:p>
        </w:tc>
        <w:tc>
          <w:tcPr>
            <w:tcW w:w="13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1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从事XXX工作年限</w:t>
            </w:r>
          </w:p>
        </w:tc>
        <w:tc>
          <w:tcPr>
            <w:tcW w:w="10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从事XXXX年限</w:t>
            </w:r>
          </w:p>
        </w:tc>
        <w:tc>
          <w:tcPr>
            <w:tcW w:w="89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认证证书</w:t>
            </w:r>
          </w:p>
        </w:tc>
        <w:tc>
          <w:tcPr>
            <w:tcW w:w="7830"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4" w:hRule="atLeast"/>
        </w:trPr>
        <w:tc>
          <w:tcPr>
            <w:tcW w:w="9199" w:type="dxa"/>
            <w:gridSpan w:val="6"/>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highlight w:val="none"/>
              </w:rPr>
            </w:pPr>
            <w:r>
              <w:rPr>
                <w:rFonts w:hint="eastAsia" w:ascii="宋体" w:hAnsi="宋体" w:eastAsia="宋体" w:cs="宋体"/>
                <w:color w:val="auto"/>
                <w:highlight w:val="none"/>
              </w:rPr>
              <w:t>工作简历及主要业绩</w:t>
            </w:r>
          </w:p>
          <w:p>
            <w:pPr>
              <w:rPr>
                <w:rFonts w:hint="eastAsia" w:ascii="宋体" w:hAnsi="宋体" w:eastAsia="宋体" w:cs="宋体"/>
                <w:color w:val="auto"/>
                <w:highlight w:val="none"/>
              </w:rPr>
            </w:pPr>
          </w:p>
        </w:tc>
      </w:tr>
    </w:tbl>
    <w:p>
      <w:pPr>
        <w:jc w:val="left"/>
        <w:rPr>
          <w:rFonts w:hint="eastAsia" w:ascii="宋体" w:hAnsi="宋体" w:eastAsia="宋体" w:cs="宋体"/>
          <w:color w:val="auto"/>
          <w:highlight w:val="none"/>
        </w:rPr>
      </w:pPr>
      <w:r>
        <w:rPr>
          <w:rFonts w:hint="eastAsia" w:ascii="宋体" w:hAnsi="宋体" w:eastAsia="宋体" w:cs="宋体"/>
          <w:color w:val="auto"/>
          <w:highlight w:val="none"/>
        </w:rPr>
        <w:t>特别说明：投标人应提供投入本项目技术人员的简历。</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bCs w:val="0"/>
          <w:color w:val="auto"/>
          <w:sz w:val="28"/>
          <w:szCs w:val="28"/>
          <w:highlight w:val="none"/>
          <w:lang w:val="en-US" w:eastAsia="zh-CN" w:bidi="ar-SA"/>
        </w:rPr>
      </w:pPr>
      <w:r>
        <w:rPr>
          <w:rFonts w:hint="eastAsia" w:ascii="宋体" w:hAnsi="宋体" w:eastAsia="宋体" w:cs="宋体"/>
          <w:color w:val="auto"/>
          <w:sz w:val="36"/>
          <w:szCs w:val="36"/>
          <w:highlight w:val="none"/>
        </w:rPr>
        <w:br w:type="page"/>
      </w:r>
      <w:r>
        <w:rPr>
          <w:rFonts w:hint="eastAsia" w:ascii="宋体" w:hAnsi="宋体" w:eastAsia="宋体" w:cs="宋体"/>
          <w:b/>
          <w:bCs w:val="0"/>
          <w:color w:val="auto"/>
          <w:sz w:val="28"/>
          <w:szCs w:val="28"/>
          <w:highlight w:val="none"/>
          <w:lang w:val="en-US" w:eastAsia="zh-CN" w:bidi="ar-SA"/>
        </w:rPr>
        <w:t>格式19  投标人售后服务承诺</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(示例略)</w:t>
      </w:r>
    </w:p>
    <w:p>
      <w:pPr>
        <w:rPr>
          <w:rFonts w:hint="eastAsia" w:ascii="宋体" w:hAnsi="宋体" w:eastAsia="宋体" w:cs="宋体"/>
          <w:color w:val="auto"/>
          <w:highlight w:val="none"/>
        </w:rPr>
        <w:sectPr>
          <w:pgSz w:w="11906" w:h="16838"/>
          <w:pgMar w:top="1417" w:right="1417" w:bottom="1417" w:left="1417" w:header="851" w:footer="992" w:gutter="0"/>
          <w:cols w:space="720" w:num="1"/>
          <w:titlePg/>
          <w:docGrid w:type="lines" w:linePitch="312" w:charSpace="0"/>
        </w:sect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6"/>
        <w:bidi w:val="0"/>
        <w:spacing w:line="360" w:lineRule="auto"/>
        <w:jc w:val="left"/>
        <w:rPr>
          <w:rFonts w:hint="eastAsia" w:ascii="宋体" w:hAnsi="宋体" w:eastAsia="宋体" w:cs="宋体"/>
          <w:color w:val="auto"/>
          <w:sz w:val="21"/>
          <w:szCs w:val="21"/>
          <w:highlight w:val="none"/>
        </w:rPr>
      </w:pPr>
    </w:p>
    <w:sectPr>
      <w:footerReference r:id="rId11" w:type="default"/>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方正大标宋简体">
    <w:panose1 w:val="02010601030101010101"/>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jc w:val="center"/>
                          </w:pPr>
                          <w:r>
                            <w:t xml:space="preserve">— </w:t>
                          </w:r>
                          <w:r>
                            <w:fldChar w:fldCharType="begin"/>
                          </w:r>
                          <w:r>
                            <w:instrText xml:space="preserve"> PAGE  \* MERGEFORMAT </w:instrText>
                          </w:r>
                          <w:r>
                            <w:fldChar w:fldCharType="separate"/>
                          </w:r>
                          <w:r>
                            <w:t>65</w:t>
                          </w:r>
                          <w:r>
                            <w:fldChar w:fldCharType="end"/>
                          </w:r>
                          <w:r>
                            <w:t xml:space="preserve"> —</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NWNvf24AQAAYAMAAA4AAAAAAAAAAQAgAAAANAEAAGRycy9l&#10;Mm9Eb2MueG1sUEsFBgAAAAAGAAYAWQEAAF4FAAAAAA==&#10;">
              <v:fill on="f" focussize="0,0"/>
              <v:stroke on="f"/>
              <v:imagedata o:title=""/>
              <o:lock v:ext="edit" aspectratio="f"/>
              <v:textbox inset="0mm,0mm,0mm,0mm" style="mso-fit-shape-to-text:t;">
                <w:txbxContent>
                  <w:p>
                    <w:pPr>
                      <w:jc w:val="center"/>
                    </w:pPr>
                    <w:r>
                      <w:t xml:space="preserve">— </w:t>
                    </w:r>
                    <w:r>
                      <w:fldChar w:fldCharType="begin"/>
                    </w:r>
                    <w:r>
                      <w:instrText xml:space="preserve"> PAGE  \* MERGEFORMAT </w:instrText>
                    </w:r>
                    <w:r>
                      <w:fldChar w:fldCharType="separate"/>
                    </w:r>
                    <w:r>
                      <w:t>65</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Pr>
    </w:pPr>
    <w:r>
      <w:fldChar w:fldCharType="begin"/>
    </w:r>
    <w:r>
      <w:rPr>
        <w:rStyle w:val="21"/>
      </w:rPr>
      <w:instrText xml:space="preserve">PAGE  </w:instrText>
    </w:r>
    <w:r>
      <w:fldChar w:fldCharType="end"/>
    </w:r>
  </w:p>
  <w:p>
    <w:pPr>
      <w:pStyle w:val="10"/>
    </w:pPr>
  </w:p>
  <w:p/>
  <w:p/>
  <w:p/>
  <w:p/>
  <w:p/>
  <w:p/>
  <w:p/>
  <w:p/>
  <w:p/>
  <w:p/>
  <w:p/>
  <w:p/>
  <w:p/>
  <w:p/>
  <w:p/>
  <w:p/>
  <w:p/>
  <w:p/>
  <w:p/>
  <w:p/>
  <w:p/>
  <w:p/>
  <w:p/>
  <w:p/>
  <w:p/>
  <w:p/>
  <w:p/>
  <w:p/>
  <w:p/>
  <w:p/>
  <w:p/>
  <w:p/>
  <w:p/>
  <w:p/>
  <w:p/>
  <w:p/>
  <w:p/>
  <w:p/>
  <w:p/>
  <w:p/>
  <w:p/>
  <w:p/>
  <w:p/>
  <w:p/>
  <w:p/>
  <w:p/>
  <w:p/>
  <w:p/>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jc w:val="center"/>
                          </w:pPr>
                          <w:r>
                            <w:t xml:space="preserve">— </w:t>
                          </w:r>
                          <w:r>
                            <w:fldChar w:fldCharType="begin"/>
                          </w:r>
                          <w:r>
                            <w:instrText xml:space="preserve"> PAGE  \* MERGEFORMAT </w:instrText>
                          </w:r>
                          <w:r>
                            <w:fldChar w:fldCharType="separate"/>
                          </w:r>
                          <w:r>
                            <w:t>49</w:t>
                          </w:r>
                          <w:r>
                            <w:fldChar w:fldCharType="end"/>
                          </w:r>
                          <w:r>
                            <w:t xml:space="preserve"> —</w:t>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C4vmhtuQEAAGADAAAOAAAAAAAAAAEAIAAAADQBAABkcnMv&#10;ZTJvRG9jLnhtbFBLBQYAAAAABgAGAFkBAABfBQAAAAA=&#10;">
              <v:fill on="f" focussize="0,0"/>
              <v:stroke on="f"/>
              <v:imagedata o:title=""/>
              <o:lock v:ext="edit" aspectratio="f"/>
              <v:textbox inset="0mm,0mm,0mm,0mm" style="mso-fit-shape-to-text:t;">
                <w:txbxContent>
                  <w:p>
                    <w:pPr>
                      <w:jc w:val="center"/>
                    </w:pPr>
                    <w:r>
                      <w:t xml:space="preserve">— </w:t>
                    </w:r>
                    <w:r>
                      <w:fldChar w:fldCharType="begin"/>
                    </w:r>
                    <w:r>
                      <w:instrText xml:space="preserve"> PAGE  \* MERGEFORMAT </w:instrText>
                    </w:r>
                    <w:r>
                      <w:fldChar w:fldCharType="separate"/>
                    </w:r>
                    <w:r>
                      <w:t>49</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r>
                            <w:t xml:space="preserve">— </w:t>
                          </w:r>
                          <w:r>
                            <w:fldChar w:fldCharType="begin"/>
                          </w:r>
                          <w:r>
                            <w:instrText xml:space="preserve"> PAGE  \* MERGEFORMAT </w:instrText>
                          </w:r>
                          <w:r>
                            <w:fldChar w:fldCharType="separate"/>
                          </w:r>
                          <w:r>
                            <w:t>30</w:t>
                          </w:r>
                          <w:r>
                            <w:fldChar w:fldCharType="end"/>
                          </w:r>
                          <w:r>
                            <w:t xml:space="preserve"> —</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BYegaUuQEAAGADAAAOAAAAAAAAAAEAIAAAADQBAABkcnMv&#10;ZTJvRG9jLnhtbFBLBQYAAAAABgAGAFkBAABfBQAAAAA=&#10;">
              <v:fill on="f" focussize="0,0"/>
              <v:stroke on="f"/>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30</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r>
                            <w:t xml:space="preserve">— </w:t>
                          </w:r>
                          <w:r>
                            <w:fldChar w:fldCharType="begin"/>
                          </w:r>
                          <w:r>
                            <w:instrText xml:space="preserve"> PAGE  \* MERGEFORMAT </w:instrText>
                          </w:r>
                          <w:r>
                            <w:fldChar w:fldCharType="separate"/>
                          </w:r>
                          <w:r>
                            <w:t>29</w:t>
                          </w:r>
                          <w:r>
                            <w:fldChar w:fldCharType="end"/>
                          </w:r>
                          <w:r>
                            <w:t xml:space="preserve"> —</w:t>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LDOB1G4AQAAYAMAAA4AAAAAAAAAAQAgAAAANAEAAGRycy9l&#10;Mm9Eb2MueG1sUEsFBgAAAAAGAAYAWQEAAF4FAAAAAA==&#10;">
              <v:fill on="f" focussize="0,0"/>
              <v:stroke on="f"/>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r>
                            <w:t xml:space="preserve">— </w:t>
                          </w:r>
                          <w:r>
                            <w:fldChar w:fldCharType="begin"/>
                          </w:r>
                          <w:r>
                            <w:instrText xml:space="preserve"> PAGE  \* MERGEFORMAT </w:instrText>
                          </w:r>
                          <w:r>
                            <w:fldChar w:fldCharType="separate"/>
                          </w:r>
                          <w:r>
                            <w:t>99</w:t>
                          </w:r>
                          <w:r>
                            <w:fldChar w:fldCharType="end"/>
                          </w:r>
                          <w:r>
                            <w:t xml:space="preserve"> —</w:t>
                          </w:r>
                        </w:p>
                      </w:txbxContent>
                    </wps:txbx>
                    <wps:bodyPr wrap="none" lIns="0" tIns="0" rIns="0" bIns="0"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EMnIDq4AQAAYAMAAA4AAAAAAAAAAQAgAAAANAEAAGRycy9l&#10;Mm9Eb2MueG1sUEsFBgAAAAAGAAYAWQEAAF4FAAAAAA==&#10;">
              <v:fill on="f" focussize="0,0"/>
              <v:stroke on="f"/>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99</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p/>
  <w:p/>
  <w:p/>
  <w:p/>
  <w:p/>
  <w:p/>
  <w:p/>
  <w:p/>
  <w:p/>
  <w:p/>
  <w:p/>
  <w:p/>
  <w:p/>
  <w:p/>
  <w:p/>
  <w:p/>
  <w:p/>
  <w:p/>
  <w:p/>
  <w:p/>
  <w:p/>
  <w:p/>
  <w:p/>
  <w:p/>
  <w:p/>
  <w:p/>
  <w:p/>
  <w:p/>
  <w:p/>
  <w:p/>
  <w:p/>
  <w:p/>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65711"/>
    <w:multiLevelType w:val="singleLevel"/>
    <w:tmpl w:val="2C865711"/>
    <w:lvl w:ilvl="0" w:tentative="0">
      <w:start w:val="1"/>
      <w:numFmt w:val="chineseCounting"/>
      <w:suff w:val="space"/>
      <w:lvlText w:val="第%1章"/>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露菲菲 [2]">
    <w15:presenceInfo w15:providerId="WPS Office" w15:userId="3087011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OGU1ZTI2MmFhYjllM2NkMmUwOTA3Y2ViMWFhMDEifQ=="/>
  </w:docVars>
  <w:rsids>
    <w:rsidRoot w:val="00172A27"/>
    <w:rsid w:val="00344C95"/>
    <w:rsid w:val="0040638A"/>
    <w:rsid w:val="005D5B0F"/>
    <w:rsid w:val="008D4EE8"/>
    <w:rsid w:val="00996EE6"/>
    <w:rsid w:val="00B561ED"/>
    <w:rsid w:val="00DC19CB"/>
    <w:rsid w:val="010B22B0"/>
    <w:rsid w:val="011473B7"/>
    <w:rsid w:val="01786995"/>
    <w:rsid w:val="018C519F"/>
    <w:rsid w:val="01987C07"/>
    <w:rsid w:val="02380E83"/>
    <w:rsid w:val="023870D5"/>
    <w:rsid w:val="024B505A"/>
    <w:rsid w:val="02AE1145"/>
    <w:rsid w:val="02C92162"/>
    <w:rsid w:val="03073A0C"/>
    <w:rsid w:val="035717DD"/>
    <w:rsid w:val="03AB3FDE"/>
    <w:rsid w:val="03B95638"/>
    <w:rsid w:val="03DC3871"/>
    <w:rsid w:val="041651F4"/>
    <w:rsid w:val="04444DA5"/>
    <w:rsid w:val="04504BAA"/>
    <w:rsid w:val="045F6427"/>
    <w:rsid w:val="04646046"/>
    <w:rsid w:val="04801A44"/>
    <w:rsid w:val="04975458"/>
    <w:rsid w:val="04AE75D0"/>
    <w:rsid w:val="04B939E5"/>
    <w:rsid w:val="04DD3F64"/>
    <w:rsid w:val="04E56FAB"/>
    <w:rsid w:val="04FA404A"/>
    <w:rsid w:val="05065269"/>
    <w:rsid w:val="052E44FE"/>
    <w:rsid w:val="054B35C3"/>
    <w:rsid w:val="05BA5A3D"/>
    <w:rsid w:val="05C84C14"/>
    <w:rsid w:val="05CB394A"/>
    <w:rsid w:val="05F532CC"/>
    <w:rsid w:val="06233BF8"/>
    <w:rsid w:val="06471FDD"/>
    <w:rsid w:val="065F10D4"/>
    <w:rsid w:val="06744A4C"/>
    <w:rsid w:val="06B17456"/>
    <w:rsid w:val="071A149F"/>
    <w:rsid w:val="07447AF0"/>
    <w:rsid w:val="07D21D7A"/>
    <w:rsid w:val="07D9342B"/>
    <w:rsid w:val="07F10452"/>
    <w:rsid w:val="0808616E"/>
    <w:rsid w:val="080E48E0"/>
    <w:rsid w:val="081A0B51"/>
    <w:rsid w:val="0850455A"/>
    <w:rsid w:val="08601134"/>
    <w:rsid w:val="08E83CC9"/>
    <w:rsid w:val="093F343F"/>
    <w:rsid w:val="09590E93"/>
    <w:rsid w:val="0983332C"/>
    <w:rsid w:val="09840E52"/>
    <w:rsid w:val="09BA2AC6"/>
    <w:rsid w:val="09CF031F"/>
    <w:rsid w:val="09FE472E"/>
    <w:rsid w:val="0A077A73"/>
    <w:rsid w:val="0A4A3E4A"/>
    <w:rsid w:val="0A6F565E"/>
    <w:rsid w:val="0A7669ED"/>
    <w:rsid w:val="0AB614DF"/>
    <w:rsid w:val="0ADB0F46"/>
    <w:rsid w:val="0AE739EB"/>
    <w:rsid w:val="0AF006B5"/>
    <w:rsid w:val="0AFB574B"/>
    <w:rsid w:val="0B097BE1"/>
    <w:rsid w:val="0B1F52D6"/>
    <w:rsid w:val="0B3C19E4"/>
    <w:rsid w:val="0B6C5B60"/>
    <w:rsid w:val="0B7A075E"/>
    <w:rsid w:val="0B901AB9"/>
    <w:rsid w:val="0BA15CEB"/>
    <w:rsid w:val="0BB7550F"/>
    <w:rsid w:val="0BCB720C"/>
    <w:rsid w:val="0BCD088E"/>
    <w:rsid w:val="0BDE6F3F"/>
    <w:rsid w:val="0BE56359"/>
    <w:rsid w:val="0BF66617"/>
    <w:rsid w:val="0C34363E"/>
    <w:rsid w:val="0C3F528B"/>
    <w:rsid w:val="0C85560D"/>
    <w:rsid w:val="0CB97065"/>
    <w:rsid w:val="0D7A4A46"/>
    <w:rsid w:val="0D8238FA"/>
    <w:rsid w:val="0DC161D1"/>
    <w:rsid w:val="0DDA54E4"/>
    <w:rsid w:val="0DF26CD2"/>
    <w:rsid w:val="0E082393"/>
    <w:rsid w:val="0E0F5359"/>
    <w:rsid w:val="0E4532A6"/>
    <w:rsid w:val="0E527771"/>
    <w:rsid w:val="0E695C3E"/>
    <w:rsid w:val="0E710A41"/>
    <w:rsid w:val="0E987FB3"/>
    <w:rsid w:val="0EAA3109"/>
    <w:rsid w:val="0EE4486D"/>
    <w:rsid w:val="0F386966"/>
    <w:rsid w:val="0F4A0448"/>
    <w:rsid w:val="0F522866"/>
    <w:rsid w:val="0FAB538A"/>
    <w:rsid w:val="0FB84D8A"/>
    <w:rsid w:val="0FE12B5A"/>
    <w:rsid w:val="0FE64614"/>
    <w:rsid w:val="0FEC3966"/>
    <w:rsid w:val="101271B8"/>
    <w:rsid w:val="102637F6"/>
    <w:rsid w:val="1074577C"/>
    <w:rsid w:val="10A41E19"/>
    <w:rsid w:val="10CB14AD"/>
    <w:rsid w:val="10E941DA"/>
    <w:rsid w:val="12246685"/>
    <w:rsid w:val="122B037F"/>
    <w:rsid w:val="12585556"/>
    <w:rsid w:val="126E269F"/>
    <w:rsid w:val="12816876"/>
    <w:rsid w:val="129E2F84"/>
    <w:rsid w:val="12BC5CCC"/>
    <w:rsid w:val="13154BB1"/>
    <w:rsid w:val="13210FDF"/>
    <w:rsid w:val="133631BD"/>
    <w:rsid w:val="13421B62"/>
    <w:rsid w:val="13D03611"/>
    <w:rsid w:val="13F05A62"/>
    <w:rsid w:val="140D329F"/>
    <w:rsid w:val="14186D67"/>
    <w:rsid w:val="14307054"/>
    <w:rsid w:val="14321BD6"/>
    <w:rsid w:val="144813FA"/>
    <w:rsid w:val="14627CF2"/>
    <w:rsid w:val="14725B4F"/>
    <w:rsid w:val="14755F67"/>
    <w:rsid w:val="147A24C7"/>
    <w:rsid w:val="148B12E6"/>
    <w:rsid w:val="14AD3953"/>
    <w:rsid w:val="14B24835"/>
    <w:rsid w:val="14F42157"/>
    <w:rsid w:val="14F7697C"/>
    <w:rsid w:val="152534E9"/>
    <w:rsid w:val="152E4A94"/>
    <w:rsid w:val="153656F6"/>
    <w:rsid w:val="15393438"/>
    <w:rsid w:val="154649B5"/>
    <w:rsid w:val="155362A8"/>
    <w:rsid w:val="15BB5EE5"/>
    <w:rsid w:val="15C90318"/>
    <w:rsid w:val="15DD3DC4"/>
    <w:rsid w:val="15FE02D6"/>
    <w:rsid w:val="165446C6"/>
    <w:rsid w:val="16777D74"/>
    <w:rsid w:val="167D1103"/>
    <w:rsid w:val="16A13043"/>
    <w:rsid w:val="16D03928"/>
    <w:rsid w:val="17001966"/>
    <w:rsid w:val="17017B2B"/>
    <w:rsid w:val="172D2B29"/>
    <w:rsid w:val="172E39E8"/>
    <w:rsid w:val="1741533C"/>
    <w:rsid w:val="17602EFE"/>
    <w:rsid w:val="17626C76"/>
    <w:rsid w:val="17914E66"/>
    <w:rsid w:val="17A96653"/>
    <w:rsid w:val="17AA23CB"/>
    <w:rsid w:val="17DE3E23"/>
    <w:rsid w:val="18047D2E"/>
    <w:rsid w:val="18446B32"/>
    <w:rsid w:val="18B660FA"/>
    <w:rsid w:val="18C1177B"/>
    <w:rsid w:val="18DA283C"/>
    <w:rsid w:val="18DC4807"/>
    <w:rsid w:val="18E216F1"/>
    <w:rsid w:val="192B12EA"/>
    <w:rsid w:val="19483C4A"/>
    <w:rsid w:val="19592F7B"/>
    <w:rsid w:val="195E346D"/>
    <w:rsid w:val="19AF3CC9"/>
    <w:rsid w:val="19B47531"/>
    <w:rsid w:val="1A163D48"/>
    <w:rsid w:val="1A197394"/>
    <w:rsid w:val="1A1D6E85"/>
    <w:rsid w:val="1ABA2925"/>
    <w:rsid w:val="1AF31906"/>
    <w:rsid w:val="1AFA5418"/>
    <w:rsid w:val="1AFF1F6C"/>
    <w:rsid w:val="1B0818E3"/>
    <w:rsid w:val="1B0E2C71"/>
    <w:rsid w:val="1B1E1D64"/>
    <w:rsid w:val="1B2C4EE3"/>
    <w:rsid w:val="1B334486"/>
    <w:rsid w:val="1B6A434C"/>
    <w:rsid w:val="1BC75878"/>
    <w:rsid w:val="1BCF41AF"/>
    <w:rsid w:val="1BEF65FF"/>
    <w:rsid w:val="1C0D7613"/>
    <w:rsid w:val="1C475C36"/>
    <w:rsid w:val="1C752FA8"/>
    <w:rsid w:val="1C7D068A"/>
    <w:rsid w:val="1CB803B9"/>
    <w:rsid w:val="1CC47A8B"/>
    <w:rsid w:val="1CF57C45"/>
    <w:rsid w:val="1DA8115B"/>
    <w:rsid w:val="1DC77437"/>
    <w:rsid w:val="1E351421"/>
    <w:rsid w:val="1E4470D6"/>
    <w:rsid w:val="1E680D3C"/>
    <w:rsid w:val="1E735708"/>
    <w:rsid w:val="1E965458"/>
    <w:rsid w:val="1EA27958"/>
    <w:rsid w:val="1EFA3C38"/>
    <w:rsid w:val="1F016D75"/>
    <w:rsid w:val="1F066139"/>
    <w:rsid w:val="1F4268F0"/>
    <w:rsid w:val="1F604932"/>
    <w:rsid w:val="1F7321DD"/>
    <w:rsid w:val="1F8F6679"/>
    <w:rsid w:val="1F923E71"/>
    <w:rsid w:val="1F9C6A9E"/>
    <w:rsid w:val="1FD91AA0"/>
    <w:rsid w:val="20191E9C"/>
    <w:rsid w:val="20270A5D"/>
    <w:rsid w:val="20447FB9"/>
    <w:rsid w:val="20684BD2"/>
    <w:rsid w:val="20B35E4D"/>
    <w:rsid w:val="20FF72E4"/>
    <w:rsid w:val="21254871"/>
    <w:rsid w:val="21260517"/>
    <w:rsid w:val="21313216"/>
    <w:rsid w:val="214829A7"/>
    <w:rsid w:val="21C1390C"/>
    <w:rsid w:val="21D10A66"/>
    <w:rsid w:val="21E83DB9"/>
    <w:rsid w:val="222A3D68"/>
    <w:rsid w:val="227C6712"/>
    <w:rsid w:val="22981D7A"/>
    <w:rsid w:val="22990D36"/>
    <w:rsid w:val="22B479F9"/>
    <w:rsid w:val="23137077"/>
    <w:rsid w:val="23144E5B"/>
    <w:rsid w:val="232474D6"/>
    <w:rsid w:val="234321AA"/>
    <w:rsid w:val="235D672C"/>
    <w:rsid w:val="23CE2988"/>
    <w:rsid w:val="23DA5383"/>
    <w:rsid w:val="23EE53EE"/>
    <w:rsid w:val="240E783E"/>
    <w:rsid w:val="243472A5"/>
    <w:rsid w:val="24750D21"/>
    <w:rsid w:val="24765B0F"/>
    <w:rsid w:val="249B34D3"/>
    <w:rsid w:val="249E6E14"/>
    <w:rsid w:val="24CC1BD3"/>
    <w:rsid w:val="250F3174"/>
    <w:rsid w:val="25950217"/>
    <w:rsid w:val="25DA5990"/>
    <w:rsid w:val="25F02025"/>
    <w:rsid w:val="26034D00"/>
    <w:rsid w:val="260D14CA"/>
    <w:rsid w:val="26A87BC0"/>
    <w:rsid w:val="26BC17D3"/>
    <w:rsid w:val="271611CC"/>
    <w:rsid w:val="273870AC"/>
    <w:rsid w:val="275163C0"/>
    <w:rsid w:val="2769195B"/>
    <w:rsid w:val="27C3740D"/>
    <w:rsid w:val="27DE5C96"/>
    <w:rsid w:val="281A4A03"/>
    <w:rsid w:val="283468BE"/>
    <w:rsid w:val="28355CE1"/>
    <w:rsid w:val="28681C13"/>
    <w:rsid w:val="286939F6"/>
    <w:rsid w:val="287F4E42"/>
    <w:rsid w:val="2891635B"/>
    <w:rsid w:val="28CD2F54"/>
    <w:rsid w:val="28FE2577"/>
    <w:rsid w:val="2916341D"/>
    <w:rsid w:val="29211DC2"/>
    <w:rsid w:val="293D4E4D"/>
    <w:rsid w:val="29501AD4"/>
    <w:rsid w:val="296323DA"/>
    <w:rsid w:val="297665B1"/>
    <w:rsid w:val="29787C34"/>
    <w:rsid w:val="29A95915"/>
    <w:rsid w:val="29B175E9"/>
    <w:rsid w:val="29BD216A"/>
    <w:rsid w:val="29E209AC"/>
    <w:rsid w:val="2A026E11"/>
    <w:rsid w:val="2A1A0CEB"/>
    <w:rsid w:val="2A201482"/>
    <w:rsid w:val="2A352264"/>
    <w:rsid w:val="2A662182"/>
    <w:rsid w:val="2A7F4FF2"/>
    <w:rsid w:val="2AAA5BE9"/>
    <w:rsid w:val="2AAD1B5F"/>
    <w:rsid w:val="2AB4113F"/>
    <w:rsid w:val="2ABB0720"/>
    <w:rsid w:val="2B976828"/>
    <w:rsid w:val="2BBB64FD"/>
    <w:rsid w:val="2C3B13EC"/>
    <w:rsid w:val="2C4C4C43"/>
    <w:rsid w:val="2C7107FD"/>
    <w:rsid w:val="2C7F752B"/>
    <w:rsid w:val="2CE11F94"/>
    <w:rsid w:val="2CFB033B"/>
    <w:rsid w:val="2D597D7C"/>
    <w:rsid w:val="2D872B3B"/>
    <w:rsid w:val="2DBF77D4"/>
    <w:rsid w:val="2DD83397"/>
    <w:rsid w:val="2E0979F4"/>
    <w:rsid w:val="2E2B796A"/>
    <w:rsid w:val="2E460F6F"/>
    <w:rsid w:val="2E6B418C"/>
    <w:rsid w:val="2E6C2C73"/>
    <w:rsid w:val="2E840E29"/>
    <w:rsid w:val="2EC61441"/>
    <w:rsid w:val="2ED33B5E"/>
    <w:rsid w:val="2F3017C3"/>
    <w:rsid w:val="2F320885"/>
    <w:rsid w:val="2F4D56BE"/>
    <w:rsid w:val="2F9E05D9"/>
    <w:rsid w:val="2FED1391"/>
    <w:rsid w:val="30304425"/>
    <w:rsid w:val="3082650F"/>
    <w:rsid w:val="30A25EDE"/>
    <w:rsid w:val="30AA3BFA"/>
    <w:rsid w:val="30D20571"/>
    <w:rsid w:val="3103697D"/>
    <w:rsid w:val="315D614F"/>
    <w:rsid w:val="31641440"/>
    <w:rsid w:val="31937B55"/>
    <w:rsid w:val="32335040"/>
    <w:rsid w:val="325347D5"/>
    <w:rsid w:val="32557A80"/>
    <w:rsid w:val="32612937"/>
    <w:rsid w:val="32674CE9"/>
    <w:rsid w:val="328C4750"/>
    <w:rsid w:val="329820EC"/>
    <w:rsid w:val="32A47CEB"/>
    <w:rsid w:val="32B50840"/>
    <w:rsid w:val="32DB1233"/>
    <w:rsid w:val="33030EB6"/>
    <w:rsid w:val="333126C0"/>
    <w:rsid w:val="33353039"/>
    <w:rsid w:val="337D3805"/>
    <w:rsid w:val="33883169"/>
    <w:rsid w:val="33DC5263"/>
    <w:rsid w:val="33E07D28"/>
    <w:rsid w:val="33FF21C7"/>
    <w:rsid w:val="342E1F62"/>
    <w:rsid w:val="34360E17"/>
    <w:rsid w:val="34572B3B"/>
    <w:rsid w:val="346D6698"/>
    <w:rsid w:val="3491429F"/>
    <w:rsid w:val="34A61255"/>
    <w:rsid w:val="34D50630"/>
    <w:rsid w:val="34FB5BBD"/>
    <w:rsid w:val="35386E11"/>
    <w:rsid w:val="354F1F1C"/>
    <w:rsid w:val="357C0830"/>
    <w:rsid w:val="359273CC"/>
    <w:rsid w:val="35C00993"/>
    <w:rsid w:val="35CB37E1"/>
    <w:rsid w:val="35CB5C82"/>
    <w:rsid w:val="35FC0E40"/>
    <w:rsid w:val="35FC1BEC"/>
    <w:rsid w:val="362A0508"/>
    <w:rsid w:val="363650FE"/>
    <w:rsid w:val="36F31241"/>
    <w:rsid w:val="370C40B1"/>
    <w:rsid w:val="371A057C"/>
    <w:rsid w:val="3722392F"/>
    <w:rsid w:val="37400FD8"/>
    <w:rsid w:val="374A0308"/>
    <w:rsid w:val="3769770F"/>
    <w:rsid w:val="378974B0"/>
    <w:rsid w:val="37B00EE0"/>
    <w:rsid w:val="37D22163"/>
    <w:rsid w:val="382070F6"/>
    <w:rsid w:val="38362E31"/>
    <w:rsid w:val="384F06F9"/>
    <w:rsid w:val="38A81BB8"/>
    <w:rsid w:val="38D155B2"/>
    <w:rsid w:val="38E561DB"/>
    <w:rsid w:val="38EC419A"/>
    <w:rsid w:val="39335925"/>
    <w:rsid w:val="395A4FE5"/>
    <w:rsid w:val="399F120C"/>
    <w:rsid w:val="39DC420F"/>
    <w:rsid w:val="3A3F654C"/>
    <w:rsid w:val="3A97467B"/>
    <w:rsid w:val="3AD1189A"/>
    <w:rsid w:val="3AE80991"/>
    <w:rsid w:val="3B343BD6"/>
    <w:rsid w:val="3B4C0F20"/>
    <w:rsid w:val="3B7641EF"/>
    <w:rsid w:val="3B912DD7"/>
    <w:rsid w:val="3C0C5900"/>
    <w:rsid w:val="3C0D4DE0"/>
    <w:rsid w:val="3C2E3BA0"/>
    <w:rsid w:val="3C8D359E"/>
    <w:rsid w:val="3C925059"/>
    <w:rsid w:val="3CDE204C"/>
    <w:rsid w:val="3CE37662"/>
    <w:rsid w:val="3D0024EA"/>
    <w:rsid w:val="3D0F48FB"/>
    <w:rsid w:val="3D152858"/>
    <w:rsid w:val="3D614725"/>
    <w:rsid w:val="3D89020A"/>
    <w:rsid w:val="3DB702C7"/>
    <w:rsid w:val="3DD76E93"/>
    <w:rsid w:val="3E0755D2"/>
    <w:rsid w:val="3E3630A0"/>
    <w:rsid w:val="3E3A1504"/>
    <w:rsid w:val="3E413B41"/>
    <w:rsid w:val="3E4660FB"/>
    <w:rsid w:val="3E4E37BE"/>
    <w:rsid w:val="3E5F71BC"/>
    <w:rsid w:val="3E8F283F"/>
    <w:rsid w:val="3E9D5518"/>
    <w:rsid w:val="3EAD617A"/>
    <w:rsid w:val="3F12205B"/>
    <w:rsid w:val="3F4B3E0B"/>
    <w:rsid w:val="3F6225BB"/>
    <w:rsid w:val="3F8B2DDB"/>
    <w:rsid w:val="3F8F600D"/>
    <w:rsid w:val="3F9F199D"/>
    <w:rsid w:val="3FB35A12"/>
    <w:rsid w:val="3FD316F4"/>
    <w:rsid w:val="3FDD44B4"/>
    <w:rsid w:val="3FDD65EB"/>
    <w:rsid w:val="3FE71217"/>
    <w:rsid w:val="3FF57DD8"/>
    <w:rsid w:val="401A0360"/>
    <w:rsid w:val="4084115C"/>
    <w:rsid w:val="408722F8"/>
    <w:rsid w:val="40D93256"/>
    <w:rsid w:val="40DE6ABE"/>
    <w:rsid w:val="40EA5463"/>
    <w:rsid w:val="41037366"/>
    <w:rsid w:val="411918A4"/>
    <w:rsid w:val="411C3143"/>
    <w:rsid w:val="412070D7"/>
    <w:rsid w:val="41263FC1"/>
    <w:rsid w:val="41A575DC"/>
    <w:rsid w:val="41B94E35"/>
    <w:rsid w:val="41E02099"/>
    <w:rsid w:val="41ED4A02"/>
    <w:rsid w:val="41F20E6B"/>
    <w:rsid w:val="42181B5C"/>
    <w:rsid w:val="425177C5"/>
    <w:rsid w:val="426052B1"/>
    <w:rsid w:val="427F607F"/>
    <w:rsid w:val="42876CE2"/>
    <w:rsid w:val="42AD60F2"/>
    <w:rsid w:val="42BC698B"/>
    <w:rsid w:val="4355293C"/>
    <w:rsid w:val="436A2857"/>
    <w:rsid w:val="43A84885"/>
    <w:rsid w:val="43B64397"/>
    <w:rsid w:val="43DF5027"/>
    <w:rsid w:val="447A08AC"/>
    <w:rsid w:val="447F5EC2"/>
    <w:rsid w:val="44E53F39"/>
    <w:rsid w:val="44ED1957"/>
    <w:rsid w:val="450B1E4C"/>
    <w:rsid w:val="4521341D"/>
    <w:rsid w:val="460348D1"/>
    <w:rsid w:val="46843675"/>
    <w:rsid w:val="468C4323"/>
    <w:rsid w:val="46A00372"/>
    <w:rsid w:val="46AC79CB"/>
    <w:rsid w:val="46B10F4E"/>
    <w:rsid w:val="46B424A8"/>
    <w:rsid w:val="46BF2EEE"/>
    <w:rsid w:val="46E33A03"/>
    <w:rsid w:val="46FC61EA"/>
    <w:rsid w:val="479B1265"/>
    <w:rsid w:val="47B70069"/>
    <w:rsid w:val="47EC1AC1"/>
    <w:rsid w:val="47F6649C"/>
    <w:rsid w:val="47F70B35"/>
    <w:rsid w:val="47FD5FEE"/>
    <w:rsid w:val="48054931"/>
    <w:rsid w:val="48841E82"/>
    <w:rsid w:val="48AA5E9E"/>
    <w:rsid w:val="48EB7FCA"/>
    <w:rsid w:val="495F758F"/>
    <w:rsid w:val="499F60FC"/>
    <w:rsid w:val="49B145F3"/>
    <w:rsid w:val="49C7262C"/>
    <w:rsid w:val="49CE5884"/>
    <w:rsid w:val="49E07403"/>
    <w:rsid w:val="4A1E1CDA"/>
    <w:rsid w:val="4A325785"/>
    <w:rsid w:val="4A392FB7"/>
    <w:rsid w:val="4A3C4714"/>
    <w:rsid w:val="4A435BE4"/>
    <w:rsid w:val="4A527BD5"/>
    <w:rsid w:val="4A673681"/>
    <w:rsid w:val="4A8F7209"/>
    <w:rsid w:val="4A965D14"/>
    <w:rsid w:val="4ABA5EA6"/>
    <w:rsid w:val="4AD34482"/>
    <w:rsid w:val="4AE44CD1"/>
    <w:rsid w:val="4AF764A2"/>
    <w:rsid w:val="4B195815"/>
    <w:rsid w:val="4B6940A7"/>
    <w:rsid w:val="4B8F77C2"/>
    <w:rsid w:val="4B933FC9"/>
    <w:rsid w:val="4BDD5D96"/>
    <w:rsid w:val="4C4E41CF"/>
    <w:rsid w:val="4C6E198B"/>
    <w:rsid w:val="4C7836CE"/>
    <w:rsid w:val="4C8C24C5"/>
    <w:rsid w:val="4C984D68"/>
    <w:rsid w:val="4CA46E0E"/>
    <w:rsid w:val="4CB15087"/>
    <w:rsid w:val="4CE33DE5"/>
    <w:rsid w:val="4CE4720A"/>
    <w:rsid w:val="4D281F18"/>
    <w:rsid w:val="4D411299"/>
    <w:rsid w:val="4D5A74CD"/>
    <w:rsid w:val="4D622825"/>
    <w:rsid w:val="4D956757"/>
    <w:rsid w:val="4E0062C6"/>
    <w:rsid w:val="4E615405"/>
    <w:rsid w:val="4EC05A55"/>
    <w:rsid w:val="4EC07FC0"/>
    <w:rsid w:val="4EEF00E8"/>
    <w:rsid w:val="4EF23735"/>
    <w:rsid w:val="4F592AD9"/>
    <w:rsid w:val="4FDF015D"/>
    <w:rsid w:val="4FE70DC0"/>
    <w:rsid w:val="502D757B"/>
    <w:rsid w:val="508651B0"/>
    <w:rsid w:val="50BF3B17"/>
    <w:rsid w:val="50C07F8E"/>
    <w:rsid w:val="51051AF2"/>
    <w:rsid w:val="5119144D"/>
    <w:rsid w:val="517B5C63"/>
    <w:rsid w:val="51C927CA"/>
    <w:rsid w:val="51D535C6"/>
    <w:rsid w:val="51E1640E"/>
    <w:rsid w:val="52493560"/>
    <w:rsid w:val="525E35BB"/>
    <w:rsid w:val="52C36A6C"/>
    <w:rsid w:val="52C673B2"/>
    <w:rsid w:val="52D84A49"/>
    <w:rsid w:val="532259D6"/>
    <w:rsid w:val="53254E69"/>
    <w:rsid w:val="53335890"/>
    <w:rsid w:val="53373E0C"/>
    <w:rsid w:val="534053B7"/>
    <w:rsid w:val="53530C46"/>
    <w:rsid w:val="53786204"/>
    <w:rsid w:val="539C2D37"/>
    <w:rsid w:val="539F032F"/>
    <w:rsid w:val="53E62980"/>
    <w:rsid w:val="53FB25AA"/>
    <w:rsid w:val="54332825"/>
    <w:rsid w:val="544D2504"/>
    <w:rsid w:val="5495624D"/>
    <w:rsid w:val="54E67CF3"/>
    <w:rsid w:val="5523289A"/>
    <w:rsid w:val="55651104"/>
    <w:rsid w:val="557B0928"/>
    <w:rsid w:val="5596306C"/>
    <w:rsid w:val="55A21A11"/>
    <w:rsid w:val="55C641E0"/>
    <w:rsid w:val="55D32512"/>
    <w:rsid w:val="55E22755"/>
    <w:rsid w:val="55F70057"/>
    <w:rsid w:val="55FD0ED7"/>
    <w:rsid w:val="56372584"/>
    <w:rsid w:val="563F3703"/>
    <w:rsid w:val="564E7DEA"/>
    <w:rsid w:val="56CB31E9"/>
    <w:rsid w:val="56D820F0"/>
    <w:rsid w:val="56EA300E"/>
    <w:rsid w:val="57173EB7"/>
    <w:rsid w:val="57406E67"/>
    <w:rsid w:val="575B27BF"/>
    <w:rsid w:val="578711E9"/>
    <w:rsid w:val="57A6006F"/>
    <w:rsid w:val="57B05CDE"/>
    <w:rsid w:val="57C06AC6"/>
    <w:rsid w:val="57F33189"/>
    <w:rsid w:val="580544D9"/>
    <w:rsid w:val="588B2C30"/>
    <w:rsid w:val="58DF2F7C"/>
    <w:rsid w:val="590F46C1"/>
    <w:rsid w:val="592B2432"/>
    <w:rsid w:val="594153E6"/>
    <w:rsid w:val="59586958"/>
    <w:rsid w:val="5968157E"/>
    <w:rsid w:val="597B0EF6"/>
    <w:rsid w:val="5991071A"/>
    <w:rsid w:val="59EA607C"/>
    <w:rsid w:val="5A094754"/>
    <w:rsid w:val="5A206BE2"/>
    <w:rsid w:val="5A336BC5"/>
    <w:rsid w:val="5A395DA5"/>
    <w:rsid w:val="5A473648"/>
    <w:rsid w:val="5A530A0C"/>
    <w:rsid w:val="5ADC2091"/>
    <w:rsid w:val="5AE661B3"/>
    <w:rsid w:val="5B09315A"/>
    <w:rsid w:val="5B1E7D8B"/>
    <w:rsid w:val="5B3752F1"/>
    <w:rsid w:val="5B591F4A"/>
    <w:rsid w:val="5B7976B8"/>
    <w:rsid w:val="5B7C4AB2"/>
    <w:rsid w:val="5B8F2A37"/>
    <w:rsid w:val="5B9462A0"/>
    <w:rsid w:val="5BA34735"/>
    <w:rsid w:val="5BEB56D8"/>
    <w:rsid w:val="5C036EF9"/>
    <w:rsid w:val="5C1A18C6"/>
    <w:rsid w:val="5C4A2E02"/>
    <w:rsid w:val="5C6B34A4"/>
    <w:rsid w:val="5CC61D78"/>
    <w:rsid w:val="5D081B2B"/>
    <w:rsid w:val="5D0B433F"/>
    <w:rsid w:val="5D4D3138"/>
    <w:rsid w:val="5D4F7C58"/>
    <w:rsid w:val="5D5068A8"/>
    <w:rsid w:val="5D6A69E1"/>
    <w:rsid w:val="5D804126"/>
    <w:rsid w:val="5DCA41FA"/>
    <w:rsid w:val="5DE51ACA"/>
    <w:rsid w:val="5E072899"/>
    <w:rsid w:val="5E115985"/>
    <w:rsid w:val="5E7423B8"/>
    <w:rsid w:val="5E954808"/>
    <w:rsid w:val="5EB427B5"/>
    <w:rsid w:val="5EC0474E"/>
    <w:rsid w:val="5ECD7C67"/>
    <w:rsid w:val="5EDC077C"/>
    <w:rsid w:val="5EF84ABD"/>
    <w:rsid w:val="5F2360BB"/>
    <w:rsid w:val="5F385194"/>
    <w:rsid w:val="5F3A0F0C"/>
    <w:rsid w:val="5F4669A6"/>
    <w:rsid w:val="5F5666D4"/>
    <w:rsid w:val="5F5B2891"/>
    <w:rsid w:val="5FED5F7E"/>
    <w:rsid w:val="6008194E"/>
    <w:rsid w:val="60561D75"/>
    <w:rsid w:val="606A75CF"/>
    <w:rsid w:val="60C01654"/>
    <w:rsid w:val="60CF4E6A"/>
    <w:rsid w:val="617C42B7"/>
    <w:rsid w:val="61AD1CEC"/>
    <w:rsid w:val="61C565C4"/>
    <w:rsid w:val="61C96577"/>
    <w:rsid w:val="61D2367E"/>
    <w:rsid w:val="61D4389A"/>
    <w:rsid w:val="61E543BD"/>
    <w:rsid w:val="61EF0FBE"/>
    <w:rsid w:val="61F23D20"/>
    <w:rsid w:val="62093DC7"/>
    <w:rsid w:val="62347E94"/>
    <w:rsid w:val="623B56C7"/>
    <w:rsid w:val="626C6FC7"/>
    <w:rsid w:val="6299063F"/>
    <w:rsid w:val="62CE653B"/>
    <w:rsid w:val="62FF4946"/>
    <w:rsid w:val="6390559E"/>
    <w:rsid w:val="63E3044C"/>
    <w:rsid w:val="640B2823"/>
    <w:rsid w:val="64191A38"/>
    <w:rsid w:val="64405216"/>
    <w:rsid w:val="64596D04"/>
    <w:rsid w:val="645E569D"/>
    <w:rsid w:val="645E7F01"/>
    <w:rsid w:val="646A5DEF"/>
    <w:rsid w:val="648558A4"/>
    <w:rsid w:val="64904662"/>
    <w:rsid w:val="64947310"/>
    <w:rsid w:val="64FE101E"/>
    <w:rsid w:val="650E70C3"/>
    <w:rsid w:val="65603E36"/>
    <w:rsid w:val="65B337C6"/>
    <w:rsid w:val="65D06126"/>
    <w:rsid w:val="65D138A0"/>
    <w:rsid w:val="66A01F9C"/>
    <w:rsid w:val="66BB6DD6"/>
    <w:rsid w:val="66BE3E7B"/>
    <w:rsid w:val="66D6776C"/>
    <w:rsid w:val="66E61827"/>
    <w:rsid w:val="671668DF"/>
    <w:rsid w:val="672A5D0A"/>
    <w:rsid w:val="67550FD9"/>
    <w:rsid w:val="676E5BF7"/>
    <w:rsid w:val="67854174"/>
    <w:rsid w:val="678E6299"/>
    <w:rsid w:val="6852376A"/>
    <w:rsid w:val="688310C6"/>
    <w:rsid w:val="69201173"/>
    <w:rsid w:val="692B02A6"/>
    <w:rsid w:val="694F1A58"/>
    <w:rsid w:val="69886D18"/>
    <w:rsid w:val="69A769FC"/>
    <w:rsid w:val="6A49294B"/>
    <w:rsid w:val="6A7379C8"/>
    <w:rsid w:val="6AC344AB"/>
    <w:rsid w:val="6AC73F77"/>
    <w:rsid w:val="6AED752E"/>
    <w:rsid w:val="6AFC5C0F"/>
    <w:rsid w:val="6C20148A"/>
    <w:rsid w:val="6C7D08A0"/>
    <w:rsid w:val="6CE9552B"/>
    <w:rsid w:val="6D1E25CC"/>
    <w:rsid w:val="6D8A0F12"/>
    <w:rsid w:val="6D936DDA"/>
    <w:rsid w:val="6DAE5815"/>
    <w:rsid w:val="6DCA6938"/>
    <w:rsid w:val="6E2C5401"/>
    <w:rsid w:val="6E5C0F22"/>
    <w:rsid w:val="6E8721F8"/>
    <w:rsid w:val="6EC25715"/>
    <w:rsid w:val="6F0357BE"/>
    <w:rsid w:val="6F155E56"/>
    <w:rsid w:val="6F461A28"/>
    <w:rsid w:val="6F6A3147"/>
    <w:rsid w:val="6F7915DC"/>
    <w:rsid w:val="6F7F4719"/>
    <w:rsid w:val="6F90122F"/>
    <w:rsid w:val="6F9B0BDC"/>
    <w:rsid w:val="6FC00FB9"/>
    <w:rsid w:val="6FF9096F"/>
    <w:rsid w:val="7026148A"/>
    <w:rsid w:val="70377A4E"/>
    <w:rsid w:val="706A0C87"/>
    <w:rsid w:val="70AF4082"/>
    <w:rsid w:val="70BA6260"/>
    <w:rsid w:val="71092E34"/>
    <w:rsid w:val="710E70F9"/>
    <w:rsid w:val="71243FB9"/>
    <w:rsid w:val="7169742F"/>
    <w:rsid w:val="717958C4"/>
    <w:rsid w:val="717A5B34"/>
    <w:rsid w:val="71B132B0"/>
    <w:rsid w:val="71B35C7C"/>
    <w:rsid w:val="71C513AA"/>
    <w:rsid w:val="71F65166"/>
    <w:rsid w:val="721A5C0D"/>
    <w:rsid w:val="72423790"/>
    <w:rsid w:val="72800ED4"/>
    <w:rsid w:val="729953A7"/>
    <w:rsid w:val="729A60F8"/>
    <w:rsid w:val="72A21E55"/>
    <w:rsid w:val="72AC1CC9"/>
    <w:rsid w:val="72AC3A77"/>
    <w:rsid w:val="72CA46B1"/>
    <w:rsid w:val="72D87801"/>
    <w:rsid w:val="72DC58BB"/>
    <w:rsid w:val="72E265FA"/>
    <w:rsid w:val="72F21DD2"/>
    <w:rsid w:val="737722D7"/>
    <w:rsid w:val="73C0335A"/>
    <w:rsid w:val="73EA2AA9"/>
    <w:rsid w:val="741B5358"/>
    <w:rsid w:val="74393A30"/>
    <w:rsid w:val="745C7D6C"/>
    <w:rsid w:val="746257F9"/>
    <w:rsid w:val="748E70B9"/>
    <w:rsid w:val="7507768A"/>
    <w:rsid w:val="75260EE2"/>
    <w:rsid w:val="75324707"/>
    <w:rsid w:val="755A1EB0"/>
    <w:rsid w:val="755E3DA9"/>
    <w:rsid w:val="755F34F9"/>
    <w:rsid w:val="75646005"/>
    <w:rsid w:val="757E0D07"/>
    <w:rsid w:val="758A5108"/>
    <w:rsid w:val="75BA46FD"/>
    <w:rsid w:val="75BC4253"/>
    <w:rsid w:val="75C15A8B"/>
    <w:rsid w:val="75C335B1"/>
    <w:rsid w:val="75F61BD9"/>
    <w:rsid w:val="760D02D9"/>
    <w:rsid w:val="760E661E"/>
    <w:rsid w:val="76215EAA"/>
    <w:rsid w:val="763F0559"/>
    <w:rsid w:val="76516E0F"/>
    <w:rsid w:val="765D69C4"/>
    <w:rsid w:val="765F56E2"/>
    <w:rsid w:val="766A7ED1"/>
    <w:rsid w:val="76764AC8"/>
    <w:rsid w:val="76844168"/>
    <w:rsid w:val="76C21ABB"/>
    <w:rsid w:val="77065F35"/>
    <w:rsid w:val="773B361B"/>
    <w:rsid w:val="7774730D"/>
    <w:rsid w:val="777C4360"/>
    <w:rsid w:val="77C8615C"/>
    <w:rsid w:val="77F42148"/>
    <w:rsid w:val="77F751C6"/>
    <w:rsid w:val="78395DAD"/>
    <w:rsid w:val="784B5AE0"/>
    <w:rsid w:val="784D730B"/>
    <w:rsid w:val="78523370"/>
    <w:rsid w:val="78554193"/>
    <w:rsid w:val="786B656E"/>
    <w:rsid w:val="78917997"/>
    <w:rsid w:val="7892370F"/>
    <w:rsid w:val="78A551F0"/>
    <w:rsid w:val="78A77E6A"/>
    <w:rsid w:val="78D95984"/>
    <w:rsid w:val="78F411E0"/>
    <w:rsid w:val="79051BF3"/>
    <w:rsid w:val="795409C4"/>
    <w:rsid w:val="79AC25AE"/>
    <w:rsid w:val="79C55EEB"/>
    <w:rsid w:val="79DD77D1"/>
    <w:rsid w:val="79FA68AB"/>
    <w:rsid w:val="79FC52E4"/>
    <w:rsid w:val="7A075969"/>
    <w:rsid w:val="7A0832B2"/>
    <w:rsid w:val="7A2E1215"/>
    <w:rsid w:val="7A2E32C7"/>
    <w:rsid w:val="7A3E2995"/>
    <w:rsid w:val="7A6425DD"/>
    <w:rsid w:val="7A80073F"/>
    <w:rsid w:val="7A884099"/>
    <w:rsid w:val="7A972543"/>
    <w:rsid w:val="7A9E283F"/>
    <w:rsid w:val="7AAB0B58"/>
    <w:rsid w:val="7ABD36A6"/>
    <w:rsid w:val="7AD85D51"/>
    <w:rsid w:val="7AF942D4"/>
    <w:rsid w:val="7B255276"/>
    <w:rsid w:val="7B874925"/>
    <w:rsid w:val="7BF1074D"/>
    <w:rsid w:val="7BFF2E69"/>
    <w:rsid w:val="7C042B76"/>
    <w:rsid w:val="7C224DAA"/>
    <w:rsid w:val="7C232FFC"/>
    <w:rsid w:val="7C5E4034"/>
    <w:rsid w:val="7C786475"/>
    <w:rsid w:val="7C8D2B6B"/>
    <w:rsid w:val="7CA83501"/>
    <w:rsid w:val="7CC65C7E"/>
    <w:rsid w:val="7D146DE8"/>
    <w:rsid w:val="7D4274B2"/>
    <w:rsid w:val="7D470F6C"/>
    <w:rsid w:val="7D5E0064"/>
    <w:rsid w:val="7D743F77"/>
    <w:rsid w:val="7D9D6DDE"/>
    <w:rsid w:val="7DA67EDC"/>
    <w:rsid w:val="7DB4561B"/>
    <w:rsid w:val="7DB859C6"/>
    <w:rsid w:val="7DBD4D8A"/>
    <w:rsid w:val="7DC3534E"/>
    <w:rsid w:val="7DDB3462"/>
    <w:rsid w:val="7DF816DD"/>
    <w:rsid w:val="7E024E93"/>
    <w:rsid w:val="7E0E4EE6"/>
    <w:rsid w:val="7E6F2D6D"/>
    <w:rsid w:val="7E7C32D2"/>
    <w:rsid w:val="7E9D1235"/>
    <w:rsid w:val="7EA36676"/>
    <w:rsid w:val="7EBB0BEC"/>
    <w:rsid w:val="7EC02D84"/>
    <w:rsid w:val="7F1430D0"/>
    <w:rsid w:val="CAFE55AE"/>
    <w:rsid w:val="FBFE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spacing w:line="440" w:lineRule="exact"/>
      <w:jc w:val="center"/>
      <w:textAlignment w:val="baseline"/>
    </w:pPr>
    <w:rPr>
      <w:rFonts w:asciiTheme="minorEastAsia" w:hAnsiTheme="minorEastAsia" w:eastAsiaTheme="minorEastAsia" w:cstheme="minorEastAsia"/>
      <w:bCs/>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unhideWhenUsed/>
    <w:qFormat/>
    <w:uiPriority w:val="0"/>
    <w:pPr>
      <w:keepNext/>
      <w:keepLines/>
      <w:spacing w:line="360" w:lineRule="auto"/>
      <w:ind w:firstLine="964"/>
      <w:outlineLvl w:val="1"/>
    </w:pPr>
    <w:rPr>
      <w:rFonts w:ascii="Cambria" w:hAnsi="Cambria" w:eastAsia="仿宋"/>
      <w:b/>
      <w:sz w:val="30"/>
      <w:szCs w:val="32"/>
    </w:rPr>
  </w:style>
  <w:style w:type="paragraph" w:styleId="6">
    <w:name w:val="heading 3"/>
    <w:basedOn w:val="1"/>
    <w:next w:val="1"/>
    <w:qFormat/>
    <w:uiPriority w:val="9"/>
    <w:pPr>
      <w:keepNext/>
      <w:keepLines/>
      <w:spacing w:before="260" w:after="260" w:line="360" w:lineRule="auto"/>
      <w:jc w:val="left"/>
      <w:outlineLvl w:val="2"/>
    </w:pPr>
    <w:rPr>
      <w:rFonts w:eastAsia="黑体"/>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jc w:val="left"/>
      <w:outlineLvl w:val="4"/>
    </w:pPr>
    <w:rPr>
      <w:rFonts w:cs="黑体"/>
    </w:rPr>
  </w:style>
  <w:style w:type="paragraph" w:customStyle="1" w:styleId="3">
    <w:name w:val="正文（绿盟科技）"/>
    <w:qFormat/>
    <w:uiPriority w:val="0"/>
    <w:pPr>
      <w:spacing w:line="300" w:lineRule="auto"/>
      <w:ind w:firstLine="420"/>
    </w:pPr>
    <w:rPr>
      <w:rFonts w:cs="黑体" w:asciiTheme="minorEastAsia" w:hAnsiTheme="minorEastAsia" w:eastAsiaTheme="minorEastAsia"/>
      <w:sz w:val="21"/>
      <w:szCs w:val="21"/>
      <w:lang w:val="en-US" w:eastAsia="zh-CN" w:bidi="ar-SA"/>
    </w:rPr>
  </w:style>
  <w:style w:type="paragraph" w:styleId="7">
    <w:name w:val="annotation text"/>
    <w:basedOn w:val="1"/>
    <w:unhideWhenUsed/>
    <w:qFormat/>
    <w:uiPriority w:val="99"/>
    <w:pPr>
      <w:jc w:val="left"/>
    </w:pPr>
  </w:style>
  <w:style w:type="paragraph" w:styleId="8">
    <w:name w:val="Body Text"/>
    <w:basedOn w:val="1"/>
    <w:next w:val="1"/>
    <w:qFormat/>
    <w:uiPriority w:val="1"/>
    <w:rPr>
      <w:szCs w:val="24"/>
      <w:lang w:val="zh-CN"/>
    </w:rPr>
  </w:style>
  <w:style w:type="paragraph" w:styleId="9">
    <w:name w:val="Plain Text"/>
    <w:basedOn w:val="1"/>
    <w:next w:val="1"/>
    <w:unhideWhenUsed/>
    <w:qFormat/>
    <w:uiPriority w:val="99"/>
    <w:rPr>
      <w:rFonts w:ascii="宋体" w:hAnsi="Courier New" w:cs="Courier New"/>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tabs>
        <w:tab w:val="center" w:pos="4153"/>
        <w:tab w:val="right" w:pos="8306"/>
      </w:tabs>
      <w:spacing w:line="240" w:lineRule="auto"/>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spacing w:before="100" w:beforeAutospacing="1" w:after="100" w:afterAutospacing="1"/>
      <w:jc w:val="left"/>
    </w:pPr>
    <w:rPr>
      <w:rFonts w:ascii="宋体" w:hAnsi="宋体" w:cs="宋体"/>
      <w:sz w:val="24"/>
      <w:szCs w:val="24"/>
    </w:rPr>
  </w:style>
  <w:style w:type="paragraph" w:styleId="15">
    <w:name w:val="Title"/>
    <w:basedOn w:val="1"/>
    <w:next w:val="1"/>
    <w:qFormat/>
    <w:uiPriority w:val="0"/>
    <w:pPr>
      <w:spacing w:before="240" w:after="60"/>
      <w:jc w:val="center"/>
      <w:outlineLvl w:val="0"/>
    </w:pPr>
    <w:rPr>
      <w:rFonts w:ascii="Calibri Light" w:hAnsi="Calibri Light" w:eastAsia="宋体" w:cs="Times New Roman"/>
      <w:b/>
      <w:sz w:val="32"/>
      <w:szCs w:val="32"/>
    </w:rPr>
  </w:style>
  <w:style w:type="paragraph" w:styleId="16">
    <w:name w:val="Body Text First Indent"/>
    <w:basedOn w:val="8"/>
    <w:qFormat/>
    <w:uiPriority w:val="0"/>
    <w:pPr>
      <w:spacing w:line="380" w:lineRule="atLeast"/>
      <w:ind w:firstLine="420" w:firstLineChars="100"/>
    </w:pPr>
    <w:rPr>
      <w:rFonts w:ascii="宋体" w:hAnsi="Times New Roman"/>
      <w:sz w:val="20"/>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qFormat/>
    <w:uiPriority w:val="99"/>
  </w:style>
  <w:style w:type="character" w:styleId="22">
    <w:name w:val="Emphasis"/>
    <w:qFormat/>
    <w:uiPriority w:val="0"/>
    <w:rPr>
      <w:rFonts w:ascii="Tahoma" w:hAnsi="Tahoma"/>
      <w:sz w:val="24"/>
      <w:szCs w:val="20"/>
    </w:rPr>
  </w:style>
  <w:style w:type="character" w:styleId="23">
    <w:name w:val="Hyperlink"/>
    <w:unhideWhenUsed/>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null3"/>
    <w:qFormat/>
    <w:uiPriority w:val="0"/>
    <w:rPr>
      <w:rFonts w:hint="eastAsia" w:ascii="Calibri" w:hAnsi="Calibri" w:eastAsia="宋体" w:cs="Times New Roman"/>
      <w:lang w:val="en-US" w:eastAsia="zh-CN" w:bidi="ar-SA"/>
    </w:rPr>
  </w:style>
  <w:style w:type="paragraph" w:customStyle="1" w:styleId="26">
    <w:name w:val="_正文"/>
    <w:basedOn w:val="1"/>
    <w:qFormat/>
    <w:uiPriority w:val="0"/>
    <w:pPr>
      <w:snapToGrid w:val="0"/>
      <w:spacing w:line="360" w:lineRule="auto"/>
      <w:ind w:firstLine="200" w:firstLineChars="200"/>
    </w:pPr>
    <w:rPr>
      <w:rFonts w:ascii="Times New Roman" w:hAnsi="Times New Roman"/>
      <w:sz w:val="24"/>
      <w:szCs w:val="24"/>
    </w:rPr>
  </w:style>
  <w:style w:type="paragraph" w:customStyle="1" w:styleId="27">
    <w:name w:val="样式1"/>
    <w:basedOn w:val="1"/>
    <w:qFormat/>
    <w:uiPriority w:val="0"/>
    <w:rPr>
      <w:rFonts w:eastAsia="方正大标宋简体"/>
      <w:sz w:val="52"/>
    </w:rPr>
  </w:style>
  <w:style w:type="paragraph" w:customStyle="1" w:styleId="28">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styleId="29">
    <w:name w:val="List Paragraph"/>
    <w:basedOn w:val="1"/>
    <w:qFormat/>
    <w:uiPriority w:val="34"/>
    <w:pPr>
      <w:ind w:firstLine="420" w:firstLineChars="200"/>
    </w:pPr>
    <w:rPr>
      <w:rFonts w:ascii="Calibri" w:hAnsi="Calibri" w:eastAsia="宋体" w:cs="Times New Roman"/>
    </w:rPr>
  </w:style>
  <w:style w:type="paragraph" w:customStyle="1" w:styleId="30">
    <w:name w:val="方欣正文小四"/>
    <w:basedOn w:val="1"/>
    <w:qFormat/>
    <w:uiPriority w:val="0"/>
    <w:pPr>
      <w:spacing w:line="360" w:lineRule="auto"/>
      <w:ind w:firstLine="640" w:firstLineChars="200"/>
      <w:jc w:val="left"/>
    </w:pPr>
    <w:rPr>
      <w:rFonts w:ascii="Times New Roman" w:hAnsi="Times New Roman"/>
      <w:sz w:val="24"/>
      <w:szCs w:val="24"/>
    </w:rPr>
  </w:style>
  <w:style w:type="paragraph" w:customStyle="1" w:styleId="31">
    <w:name w:val="模板缩进正文"/>
    <w:basedOn w:val="1"/>
    <w:qFormat/>
    <w:uiPriority w:val="0"/>
    <w:pPr>
      <w:ind w:firstLine="480"/>
    </w:pPr>
  </w:style>
  <w:style w:type="character" w:customStyle="1" w:styleId="32">
    <w:name w:val="font11"/>
    <w:basedOn w:val="19"/>
    <w:qFormat/>
    <w:uiPriority w:val="0"/>
    <w:rPr>
      <w:rFonts w:hint="eastAsia" w:ascii="宋体" w:hAnsi="宋体" w:eastAsia="宋体" w:cs="宋体"/>
      <w:color w:val="000000"/>
      <w:sz w:val="28"/>
      <w:szCs w:val="28"/>
      <w:u w:val="none"/>
    </w:rPr>
  </w:style>
  <w:style w:type="paragraph" w:customStyle="1" w:styleId="33">
    <w:name w:val="Table Text"/>
    <w:basedOn w:val="1"/>
    <w:semiHidden/>
    <w:qFormat/>
    <w:uiPriority w:val="0"/>
    <w:rPr>
      <w:rFonts w:cs="宋体"/>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56598</Words>
  <Characters>59700</Characters>
  <Lines>0</Lines>
  <Paragraphs>0</Paragraphs>
  <TotalTime>95</TotalTime>
  <ScaleCrop>false</ScaleCrop>
  <LinksUpToDate>false</LinksUpToDate>
  <CharactersWithSpaces>61758</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2024-06-26T00:45:00Z</dcterms:created>
  <dc:creator>宁冰</dc:creator>
  <cp:lastModifiedBy>覃燕倩</cp:lastModifiedBy>
  <dcterms:modified xsi:type="dcterms:W3CDTF">2024-10-21T19:30:50Z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40355E1C6E9D42C59D5ED507E073818F_13</vt:lpwstr>
  </property>
</Properties>
</file>