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  <w:highlight w:val="none"/>
        </w:rPr>
        <w:t>项目采购需求</w:t>
      </w:r>
    </w:p>
    <w:p>
      <w:pPr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bookmarkStart w:id="0" w:name="_Toc457576272"/>
    </w:p>
    <w:p>
      <w:pPr>
        <w:spacing w:line="360" w:lineRule="auto"/>
        <w:ind w:firstLine="630" w:firstLineChars="196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第一节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技术服务需求及要求</w:t>
      </w:r>
    </w:p>
    <w:bookmarkEnd w:id="0"/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一、服务范围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国家税务总局贵港市覃塘区税务局（含东龙分局、石卡分局）的卫生保洁及会务服务工作。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服务内容</w:t>
      </w:r>
    </w:p>
    <w:p>
      <w:pPr>
        <w:pStyle w:val="4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  <w:lang w:eastAsia="zh-CN"/>
        </w:rPr>
        <w:t>（一）保洁服务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局机关办公区：</w:t>
      </w:r>
    </w:p>
    <w:p>
      <w:pPr>
        <w:spacing w:line="360" w:lineRule="auto"/>
        <w:jc w:val="left"/>
        <w:rPr>
          <w:rFonts w:hint="eastAsia" w:ascii="仿宋" w:hAnsi="仿宋"/>
          <w:szCs w:val="21"/>
        </w:rPr>
      </w:pPr>
      <w:r>
        <w:rPr>
          <w:rFonts w:hint="eastAsia" w:ascii="仿宋" w:hAnsi="仿宋"/>
          <w:szCs w:val="21"/>
        </w:rPr>
        <w:t>（1）办公楼层公共区域卫生清洁，包括：一楼大厅内外地面、天面、玻璃门；各楼层走廊、步梯、卫生间、大小会议室（接待室）、党员活动室、值班室、集中办公室等区域卫生清洁；</w:t>
      </w:r>
    </w:p>
    <w:p>
      <w:pPr>
        <w:spacing w:line="360" w:lineRule="auto"/>
        <w:jc w:val="left"/>
        <w:rPr>
          <w:rFonts w:hint="eastAsia" w:ascii="仿宋" w:hAnsi="仿宋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仿宋" w:hAnsi="仿宋"/>
          <w:szCs w:val="21"/>
        </w:rPr>
        <w:t>办公楼楼顶地面卫生；</w:t>
      </w:r>
    </w:p>
    <w:p>
      <w:pPr>
        <w:spacing w:line="360" w:lineRule="auto"/>
        <w:jc w:val="left"/>
        <w:rPr>
          <w:rFonts w:hint="eastAsia" w:ascii="仿宋" w:hAnsi="仿宋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hint="eastAsia" w:ascii="仿宋" w:hAnsi="仿宋"/>
          <w:szCs w:val="21"/>
        </w:rPr>
        <w:t>机关大院内所有地面区域卫生清洁。</w:t>
      </w:r>
    </w:p>
    <w:p>
      <w:pPr>
        <w:rPr>
          <w:rFonts w:hint="eastAsia" w:ascii="仿宋" w:hAnsi="仿宋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</w:t>
      </w:r>
      <w:r>
        <w:rPr>
          <w:rFonts w:hint="eastAsia" w:ascii="仿宋" w:hAnsi="仿宋"/>
          <w:b/>
          <w:szCs w:val="21"/>
        </w:rPr>
        <w:t>东龙税务分局、石卡税务分局：</w:t>
      </w:r>
    </w:p>
    <w:p>
      <w:pPr>
        <w:spacing w:line="360" w:lineRule="auto"/>
        <w:rPr>
          <w:rFonts w:hint="eastAsia" w:ascii="仿宋" w:hAnsi="仿宋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ascii="仿宋" w:hAnsi="仿宋"/>
          <w:szCs w:val="21"/>
        </w:rPr>
        <w:t>办公楼层公共区域卫生清洁，包括：一楼大厅内外地面、天面、玻璃门；各楼层走廊、步梯、卫生间、大小会议室（接待室）、党员活动室等区域卫生清洁。</w:t>
      </w:r>
    </w:p>
    <w:p>
      <w:pPr>
        <w:spacing w:line="360" w:lineRule="auto"/>
        <w:rPr>
          <w:rFonts w:hint="eastAsia" w:ascii="仿宋" w:hAnsi="仿宋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仿宋" w:hAnsi="仿宋"/>
          <w:szCs w:val="21"/>
        </w:rPr>
        <w:t>办公楼楼顶地面卫生。</w:t>
      </w:r>
    </w:p>
    <w:p>
      <w:pPr>
        <w:spacing w:line="360" w:lineRule="auto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color w:val="auto"/>
          <w:szCs w:val="21"/>
        </w:rPr>
        <w:t>3）</w:t>
      </w:r>
      <w:r>
        <w:rPr>
          <w:rFonts w:hint="eastAsia" w:ascii="仿宋" w:hAnsi="仿宋"/>
          <w:color w:val="auto"/>
          <w:szCs w:val="21"/>
        </w:rPr>
        <w:t>大院内所有地面区域卫生。</w:t>
      </w:r>
    </w:p>
    <w:p>
      <w:pPr>
        <w:spacing w:line="360" w:lineRule="auto"/>
        <w:jc w:val="left"/>
        <w:rPr>
          <w:rFonts w:hint="eastAsia" w:ascii="宋体" w:hAnsi="宋体" w:eastAsiaTheme="minorEastAsia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（二）会务服务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提供局机关的各类会议服务事项工作：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1.负责各会场、接待室的茶水服务和会场的会议用品准备工作。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2.每次会前必须提前一小时到达会场准备会议前的开水、会议用品等工作。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3.负责会中续水,按每15-20分钟／次。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4.负责及时将临时更改的会议信息通知、主办方临时提出的各项要求向相关工作人员反馈，会议期间做好紧急材料递送等工作。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5.会后，负责杯具的收纳、清理、消毒和茶水间整理等工作。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6.会后检查是否有遗留物品。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7.认真遵守会议管理的各项纪律及规章制度，主动接受采购人科室领导工作安排和监督。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8.积极与会议主办方进行会议信息的沟通，了解会议要求，根据会议主办方的要求进行相关准备工作。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9.多场会议同时召开时，积极主动配合做好各会场布置和会务工作。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10.清洁会议室周边通道卫生，清洁楼梯及楼梯扶手、垃圾桶等。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11.会议开始后安排保洁员每隔30分钟清洁一次会场周围通道及卫生间的卫生。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12.会议结束后清理会场及卫生间的卫生。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宋体" w:cs="Times New Roman"/>
          <w:kern w:val="2"/>
          <w:sz w:val="21"/>
          <w:szCs w:val="21"/>
          <w:lang w:val="en-US" w:eastAsia="zh-CN" w:bidi="ar-SA"/>
        </w:rPr>
        <w:t>13.清洁会场外走廊、过道及垃圾桶的垃圾。</w:t>
      </w:r>
    </w:p>
    <w:p>
      <w:pPr>
        <w:pStyle w:val="4"/>
        <w:spacing w:line="500" w:lineRule="exact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14.定期巡查各会议室，确保随时能正常使用。</w:t>
      </w:r>
    </w:p>
    <w:p>
      <w:pPr>
        <w:spacing w:line="360" w:lineRule="auto"/>
        <w:ind w:firstLine="420" w:firstLineChars="200"/>
        <w:rPr>
          <w:rFonts w:hint="eastAsia" w:ascii="仿宋" w:hAnsi="仿宋"/>
          <w:color w:val="FF0000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Theme="minorEastAsia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三、人员配置要求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共配备</w:t>
      </w:r>
      <w:r>
        <w:rPr>
          <w:rFonts w:hint="eastAsia" w:ascii="宋体" w:hAnsi="宋体"/>
          <w:color w:val="auto"/>
          <w:szCs w:val="21"/>
          <w:lang w:val="en-US" w:eastAsia="zh-CN"/>
        </w:rPr>
        <w:t>12名</w:t>
      </w:r>
      <w:r>
        <w:rPr>
          <w:rFonts w:hint="eastAsia" w:ascii="宋体" w:hAnsi="宋体"/>
          <w:color w:val="auto"/>
          <w:szCs w:val="21"/>
          <w:lang w:eastAsia="zh-CN"/>
        </w:rPr>
        <w:t>物业服务人员，其中项目经理</w:t>
      </w:r>
      <w:r>
        <w:rPr>
          <w:rFonts w:hint="eastAsia" w:ascii="宋体" w:hAnsi="宋体"/>
          <w:color w:val="auto"/>
          <w:szCs w:val="21"/>
          <w:lang w:val="en-US" w:eastAsia="zh-CN"/>
        </w:rPr>
        <w:t>1人、项目经理助理1人、保洁员7人、会务员3人。</w:t>
      </w:r>
    </w:p>
    <w:p>
      <w:pPr>
        <w:pStyle w:val="3"/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四、素质要求</w:t>
      </w:r>
    </w:p>
    <w:p>
      <w:pPr>
        <w:pStyle w:val="3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/>
          <w:szCs w:val="21"/>
        </w:rPr>
        <w:t>所派驻的服务人员年龄应控制在</w:t>
      </w:r>
      <w:r>
        <w:rPr>
          <w:szCs w:val="21"/>
        </w:rPr>
        <w:t>18--50</w:t>
      </w:r>
      <w:r>
        <w:rPr>
          <w:rFonts w:hint="eastAsia"/>
          <w:szCs w:val="21"/>
        </w:rPr>
        <w:t>周岁，</w:t>
      </w:r>
      <w:bookmarkStart w:id="1" w:name="_GoBack"/>
      <w:bookmarkEnd w:id="1"/>
      <w:r>
        <w:rPr>
          <w:rFonts w:hint="eastAsia"/>
          <w:szCs w:val="21"/>
        </w:rPr>
        <w:t>仪表端庄、品德兼优、具有良好的职业道德和爱岗敬业精神。</w:t>
      </w:r>
    </w:p>
    <w:p>
      <w:pPr>
        <w:pStyle w:val="3"/>
        <w:spacing w:line="360" w:lineRule="auto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五、质量要求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1、局办公室对成交</w:t>
      </w:r>
      <w:r>
        <w:rPr>
          <w:rFonts w:hint="eastAsia" w:ascii="宋体" w:hAnsi="宋体" w:cs="宋体"/>
          <w:szCs w:val="21"/>
          <w:lang w:eastAsia="zh-CN"/>
        </w:rPr>
        <w:t>供应商</w:t>
      </w:r>
      <w:r>
        <w:rPr>
          <w:rFonts w:hint="eastAsia" w:ascii="宋体" w:hAnsi="宋体" w:cs="宋体"/>
          <w:szCs w:val="21"/>
        </w:rPr>
        <w:t>的服务工作进行不定期抽查，并采取向</w:t>
      </w:r>
      <w:r>
        <w:rPr>
          <w:rFonts w:hint="eastAsia" w:ascii="宋体" w:hAnsi="宋体" w:cs="宋体"/>
          <w:szCs w:val="21"/>
          <w:lang w:eastAsia="zh-CN"/>
        </w:rPr>
        <w:t>采购人</w:t>
      </w:r>
      <w:r>
        <w:rPr>
          <w:rFonts w:hint="eastAsia" w:ascii="宋体" w:hAnsi="宋体" w:cs="宋体"/>
          <w:szCs w:val="21"/>
        </w:rPr>
        <w:t>干部职工发放测评表对成交</w:t>
      </w:r>
      <w:r>
        <w:rPr>
          <w:rFonts w:hint="eastAsia" w:ascii="宋体" w:hAnsi="宋体" w:cs="宋体"/>
          <w:szCs w:val="21"/>
          <w:lang w:eastAsia="zh-CN"/>
        </w:rPr>
        <w:t>供应商</w:t>
      </w:r>
      <w:r>
        <w:rPr>
          <w:rFonts w:hint="eastAsia" w:ascii="宋体" w:hAnsi="宋体" w:cs="宋体"/>
          <w:szCs w:val="21"/>
        </w:rPr>
        <w:t>提供的服务进行满意度测评。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2、满意度未达到90%，局办公室负责人应与成交</w:t>
      </w:r>
      <w:r>
        <w:rPr>
          <w:rFonts w:hint="eastAsia" w:ascii="宋体" w:hAnsi="宋体" w:cs="宋体"/>
          <w:szCs w:val="21"/>
          <w:lang w:eastAsia="zh-CN"/>
        </w:rPr>
        <w:t>供应商</w:t>
      </w:r>
      <w:r>
        <w:rPr>
          <w:rFonts w:hint="eastAsia" w:ascii="宋体" w:hAnsi="宋体" w:cs="宋体"/>
          <w:szCs w:val="21"/>
        </w:rPr>
        <w:t>沟通，说明存在问题并限时整改。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3、整改后服务满意度未达到90%，局办公室有权提出终止合同，由此发生一切后果由成交</w:t>
      </w:r>
      <w:r>
        <w:rPr>
          <w:rFonts w:hint="eastAsia" w:ascii="宋体" w:hAnsi="宋体" w:cs="宋体"/>
          <w:szCs w:val="21"/>
          <w:lang w:eastAsia="zh-CN"/>
        </w:rPr>
        <w:t>供应商</w:t>
      </w:r>
      <w:r>
        <w:rPr>
          <w:rFonts w:hint="eastAsia" w:ascii="宋体" w:hAnsi="宋体" w:cs="宋体"/>
          <w:szCs w:val="21"/>
        </w:rPr>
        <w:t>自行</w:t>
      </w:r>
      <w:r>
        <w:rPr>
          <w:rFonts w:hint="eastAsia" w:ascii="宋体" w:hAnsi="宋体" w:cs="宋体"/>
          <w:szCs w:val="21"/>
          <w:highlight w:val="none"/>
        </w:rPr>
        <w:t xml:space="preserve">负责。 </w:t>
      </w:r>
    </w:p>
    <w:p>
      <w:pPr>
        <w:spacing w:line="360" w:lineRule="auto"/>
        <w:rPr>
          <w:rFonts w:hint="eastAsia"/>
          <w:b/>
          <w:bCs/>
          <w:sz w:val="21"/>
          <w:szCs w:val="21"/>
          <w:highlight w:val="none"/>
          <w:lang w:eastAsia="zh-CN"/>
        </w:rPr>
      </w:pPr>
      <w:r>
        <w:rPr>
          <w:rFonts w:hint="eastAsia"/>
          <w:b/>
          <w:bCs/>
          <w:sz w:val="21"/>
          <w:szCs w:val="21"/>
          <w:highlight w:val="none"/>
          <w:lang w:eastAsia="zh-CN"/>
        </w:rPr>
        <w:t>六、报价要求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12名物业服务人员全年合计费用543600元，此费用不作竞争性报价，请供应商根据自身实际情况收取的服务管理费一起构成最终报价。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 xml:space="preserve">第二节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  <w:t>商务条款</w:t>
      </w:r>
    </w:p>
    <w:p>
      <w:pPr>
        <w:numPr>
          <w:ilvl w:val="-1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一、提供服务的时间、地点、方式、项目服务期限：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1、提供服务的时间：合同签订之日起至服务期届满之日止。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2、提供服务的地点：国家税务总局贵港市覃塘区税务局指定地点。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3、提供服务的方式：现场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4、项目服务期限：自合同签订开始服务之日起1年（以合同正式履约时间为准）。</w:t>
      </w:r>
    </w:p>
    <w:p>
      <w:pPr>
        <w:tabs>
          <w:tab w:val="left" w:pos="180"/>
          <w:tab w:val="left" w:pos="16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合同签订时间: 自成交通知书发出之日起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日内</w:t>
      </w:r>
    </w:p>
    <w:p>
      <w:pPr>
        <w:pStyle w:val="4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采购资金的支付方式和时间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highlight w:val="none"/>
        </w:rPr>
        <w:t>按月支付，从进驻之日起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highlight w:val="none"/>
        </w:rPr>
        <w:t>据实对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highlight w:val="none"/>
        </w:rPr>
        <w:t>进行每月考核并按实际工作情况计算服务费。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highlight w:val="none"/>
        </w:rPr>
        <w:t>在每月30日前开具发票给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highlight w:val="none"/>
        </w:rPr>
        <w:t>收到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highlight w:val="none"/>
        </w:rPr>
        <w:t>提供的发票后在 10 个工作日内向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highlight w:val="none"/>
        </w:rPr>
        <w:t>支付上一个月的服务费款项。</w:t>
      </w:r>
    </w:p>
    <w:p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四、验收标准：符合本项目采购需求及响应文件具体承诺内容。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134" w:bottom="1134" w:left="1134" w:header="680" w:footer="680" w:gutter="0"/>
      <w:pgNumType w:fmt="decimal"/>
      <w:cols w:space="720" w:num="1"/>
      <w:titlePg/>
      <w:docGrid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" cy="147955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4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allowincell="f" o:gfxdata="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VoKqm0wAAAAIBAAAPAAAAAAAAAAEAIAAAACIAAABkcnMvZG93bnJldi54bWxQSwECFAAUAAAA&#10;CACHTuJAFFJ9WroBAABw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980"/>
      <w:jc w:val="right"/>
      <w:rPr>
        <w:rFonts w:ascii="方正仿宋简体" w:hAnsi="方正仿宋简体" w:eastAsia="方正仿宋简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16440"/>
    <w:multiLevelType w:val="singleLevel"/>
    <w:tmpl w:val="89116440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7029C"/>
    <w:rsid w:val="413A0E45"/>
    <w:rsid w:val="638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ascii="宋体"/>
      <w:kern w:val="0"/>
      <w:sz w:val="2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/>
      <w:kern w:val="0"/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eastAsia="华文新魏"/>
      <w:sz w:val="18"/>
      <w:szCs w:val="20"/>
    </w:rPr>
  </w:style>
  <w:style w:type="character" w:styleId="9">
    <w:name w:val="page number"/>
    <w:basedOn w:val="8"/>
    <w:qFormat/>
    <w:uiPriority w:val="0"/>
    <w:rPr>
      <w:rFonts w:ascii="Times New Roman" w:hAnsi="Times New Roman" w:eastAsia="华文新魏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2022-02-23T08:21:26Z</dcterms:created>
  <dc:creator>Administrator.HXT-20200916FZM</dc:creator>
  <cp:lastModifiedBy>Administrator</cp:lastModifiedBy>
  <dcterms:modified xsi:type="dcterms:W3CDTF">2022-02-23T08:22:06Z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67A6760E4DCF4180A840021243E66EF2</vt:lpwstr>
  </property>
</Properties>
</file>