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olor w:val="auto"/>
          <w:sz w:val="44"/>
          <w:szCs w:val="44"/>
          <w:highlight w:val="none"/>
        </w:rPr>
      </w:pPr>
      <w:r>
        <w:rPr>
          <w:rFonts w:hint="eastAsia" w:ascii="宋体" w:hAnsi="宋体"/>
          <w:color w:val="auto"/>
          <w:sz w:val="44"/>
          <w:szCs w:val="44"/>
          <w:highlight w:val="none"/>
          <w:lang w:eastAsia="zh-CN"/>
        </w:rPr>
        <w:t>国家税务总局河池市税务局稽查局</w:t>
      </w:r>
    </w:p>
    <w:p>
      <w:pPr>
        <w:spacing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税务行政处罚事项告知书</w:t>
      </w:r>
    </w:p>
    <w:p>
      <w:pPr>
        <w:adjustRightInd w:val="0"/>
        <w:snapToGrid w:val="0"/>
        <w:spacing w:line="360" w:lineRule="auto"/>
        <w:ind w:firstLine="800"/>
        <w:jc w:val="center"/>
        <w:rPr>
          <w:rFonts w:ascii="仿宋_GB2312" w:eastAsia="仿宋_GB2312"/>
          <w:color w:val="auto"/>
          <w:spacing w:val="20"/>
          <w:sz w:val="32"/>
          <w:highlight w:val="none"/>
        </w:rPr>
      </w:pPr>
      <w:r>
        <w:rPr>
          <w:rFonts w:hint="eastAsia" w:ascii="仿宋_GB2312" w:eastAsia="仿宋_GB2312"/>
          <w:color w:val="auto"/>
          <w:spacing w:val="0"/>
          <w:sz w:val="32"/>
          <w:highlight w:val="none"/>
          <w:u w:val="none"/>
          <w:lang w:eastAsia="zh-CN"/>
        </w:rPr>
        <w:t>河市税稽罚告〔2026〕4号</w:t>
      </w:r>
    </w:p>
    <w:p>
      <w:pPr>
        <w:keepNext w:val="0"/>
        <w:keepLines w:val="0"/>
        <w:pageBreakBefore w:val="0"/>
        <w:kinsoku/>
        <w:wordWrap/>
        <w:overflowPunct/>
        <w:topLinePunct w:val="0"/>
        <w:autoSpaceDE/>
        <w:autoSpaceDN/>
        <w:bidi w:val="0"/>
        <w:adjustRightInd w:val="0"/>
        <w:snapToGrid w:val="0"/>
        <w:spacing w:line="560" w:lineRule="exact"/>
        <w:ind w:firstLine="800"/>
        <w:jc w:val="center"/>
        <w:textAlignment w:val="auto"/>
        <w:rPr>
          <w:rFonts w:hint="eastAsia" w:ascii="仿宋_GB2312" w:eastAsia="仿宋_GB2312"/>
          <w:color w:val="auto"/>
          <w:spacing w:val="20"/>
          <w:sz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color w:val="auto"/>
          <w:spacing w:val="-6"/>
          <w:w w:val="100"/>
          <w:sz w:val="32"/>
          <w:highlight w:val="none"/>
          <w:lang w:eastAsia="zh-CN"/>
        </w:rPr>
      </w:pPr>
      <w:r>
        <w:rPr>
          <w:rFonts w:hint="eastAsia" w:ascii="Arial" w:hAnsi="Arial" w:eastAsia="仿宋_GB2312" w:cs="Arial"/>
          <w:sz w:val="32"/>
          <w:u w:val="none"/>
          <w:lang w:val="en-US" w:eastAsia="zh-CN"/>
        </w:rPr>
        <w:t>广西钱疆贸易有限公司</w:t>
      </w:r>
      <w:r>
        <w:rPr>
          <w:rFonts w:hint="eastAsia" w:ascii="仿宋_GB2312" w:eastAsia="仿宋_GB2312"/>
          <w:color w:val="auto"/>
          <w:spacing w:val="-6"/>
          <w:w w:val="100"/>
          <w:sz w:val="32"/>
          <w:highlight w:val="none"/>
        </w:rPr>
        <w:t>（纳税人识别号：</w:t>
      </w:r>
      <w:r>
        <w:rPr>
          <w:rFonts w:hint="eastAsia" w:ascii="仿宋_GB2312" w:hAnsi="仿宋_GB2312" w:eastAsia="仿宋_GB2312" w:cs="仿宋_GB2312"/>
          <w:color w:val="auto"/>
          <w:spacing w:val="-10"/>
          <w:sz w:val="32"/>
          <w:szCs w:val="32"/>
          <w:lang w:eastAsia="zh-CN"/>
        </w:rPr>
        <w:t>91451203MAEHJN6L48</w:t>
      </w:r>
      <w:r>
        <w:rPr>
          <w:rFonts w:hint="eastAsia" w:ascii="仿宋_GB2312" w:eastAsia="仿宋_GB2312"/>
          <w:color w:val="auto"/>
          <w:spacing w:val="-6"/>
          <w:w w:val="100"/>
          <w:sz w:val="32"/>
          <w:highlight w:val="none"/>
        </w:rPr>
        <w:t>）</w:t>
      </w:r>
      <w:r>
        <w:rPr>
          <w:rFonts w:hint="eastAsia" w:ascii="仿宋_GB2312" w:eastAsia="仿宋_GB2312"/>
          <w:color w:val="auto"/>
          <w:spacing w:val="-6"/>
          <w:w w:val="100"/>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highlight w:val="none"/>
        </w:rPr>
      </w:pPr>
      <w:r>
        <w:rPr>
          <w:rFonts w:hint="eastAsia" w:ascii="仿宋_GB2312" w:eastAsia="仿宋_GB2312"/>
          <w:color w:val="auto"/>
          <w:sz w:val="32"/>
          <w:highlight w:val="none"/>
        </w:rPr>
        <w:t>对你</w:t>
      </w:r>
      <w:r>
        <w:rPr>
          <w:rFonts w:hint="eastAsia" w:ascii="仿宋_GB2312" w:eastAsia="仿宋_GB2312"/>
          <w:color w:val="auto"/>
          <w:sz w:val="32"/>
          <w:highlight w:val="none"/>
          <w:lang w:eastAsia="zh-CN"/>
        </w:rPr>
        <w:t>公司</w:t>
      </w:r>
      <w:r>
        <w:rPr>
          <w:rFonts w:hint="eastAsia" w:ascii="仿宋_GB2312" w:hAnsi="仿宋_GB2312" w:eastAsia="仿宋_GB2312" w:cs="仿宋_GB2312"/>
          <w:color w:val="auto"/>
          <w:sz w:val="32"/>
          <w:highlight w:val="none"/>
        </w:rPr>
        <w:t>［</w:t>
      </w:r>
      <w:r>
        <w:rPr>
          <w:rFonts w:hint="eastAsia" w:ascii="仿宋_GB2312" w:eastAsia="仿宋_GB2312"/>
          <w:color w:val="auto"/>
          <w:sz w:val="32"/>
          <w:highlight w:val="none"/>
        </w:rPr>
        <w:t>地址：</w:t>
      </w:r>
      <w:r>
        <w:rPr>
          <w:rFonts w:hint="eastAsia" w:ascii="仿宋_GB2312" w:hAnsi="仿宋_GB2312" w:eastAsia="仿宋_GB2312" w:cs="仿宋_GB2312"/>
          <w:color w:val="auto"/>
          <w:spacing w:val="-10"/>
          <w:sz w:val="32"/>
          <w:szCs w:val="32"/>
          <w:lang w:eastAsia="zh-CN"/>
        </w:rPr>
        <w:t>广西壮族自治区河池市宜州区庆远镇城西开发区(广西水工机械厂1栋5层502号房)5-1</w:t>
      </w:r>
      <w:r>
        <w:rPr>
          <w:rFonts w:hint="eastAsia" w:ascii="仿宋_GB2312" w:hAnsi="仿宋_GB2312" w:eastAsia="仿宋_GB2312" w:cs="仿宋_GB2312"/>
          <w:color w:val="auto"/>
          <w:sz w:val="32"/>
          <w:highlight w:val="none"/>
        </w:rPr>
        <w:t>］</w:t>
      </w:r>
      <w:r>
        <w:rPr>
          <w:rFonts w:hint="eastAsia" w:ascii="仿宋_GB2312" w:eastAsia="仿宋_GB2312"/>
          <w:color w:val="auto"/>
          <w:sz w:val="32"/>
          <w:highlight w:val="none"/>
        </w:rPr>
        <w:t>的税收违法行为拟于</w:t>
      </w:r>
      <w:r>
        <w:rPr>
          <w:rFonts w:hint="eastAsia" w:ascii="仿宋_GB2312" w:eastAsia="仿宋_GB2312"/>
          <w:color w:val="auto"/>
          <w:sz w:val="32"/>
          <w:highlight w:val="none"/>
          <w:u w:val="none"/>
          <w:lang w:val="en-US" w:eastAsia="zh-CN"/>
        </w:rPr>
        <w:t>2026</w:t>
      </w:r>
      <w:r>
        <w:rPr>
          <w:rFonts w:hint="eastAsia" w:ascii="仿宋_GB2312" w:eastAsia="仿宋_GB2312"/>
          <w:color w:val="auto"/>
          <w:sz w:val="32"/>
          <w:highlight w:val="none"/>
          <w:u w:val="none"/>
        </w:rPr>
        <w:t>年</w:t>
      </w:r>
      <w:r>
        <w:rPr>
          <w:rFonts w:hint="eastAsia" w:ascii="仿宋_GB2312" w:eastAsia="仿宋_GB2312"/>
          <w:color w:val="auto"/>
          <w:sz w:val="32"/>
          <w:highlight w:val="none"/>
          <w:u w:val="none"/>
          <w:lang w:val="en-US" w:eastAsia="zh-CN"/>
        </w:rPr>
        <w:t>5</w:t>
      </w:r>
      <w:r>
        <w:rPr>
          <w:rFonts w:hint="eastAsia" w:ascii="仿宋_GB2312" w:eastAsia="仿宋_GB2312"/>
          <w:color w:val="auto"/>
          <w:sz w:val="32"/>
          <w:highlight w:val="none"/>
          <w:u w:val="none"/>
        </w:rPr>
        <w:t>月</w:t>
      </w:r>
      <w:r>
        <w:rPr>
          <w:rFonts w:hint="eastAsia" w:ascii="仿宋_GB2312" w:eastAsia="仿宋_GB2312"/>
          <w:color w:val="auto"/>
          <w:sz w:val="32"/>
          <w:highlight w:val="none"/>
          <w:u w:val="none"/>
          <w:lang w:val="en-US" w:eastAsia="zh-CN"/>
        </w:rPr>
        <w:t>28</w:t>
      </w:r>
      <w:r>
        <w:rPr>
          <w:rFonts w:hint="eastAsia" w:ascii="仿宋_GB2312" w:eastAsia="仿宋_GB2312"/>
          <w:color w:val="auto"/>
          <w:sz w:val="32"/>
          <w:highlight w:val="none"/>
          <w:u w:val="none"/>
        </w:rPr>
        <w:t>日</w:t>
      </w:r>
      <w:r>
        <w:rPr>
          <w:rFonts w:hint="eastAsia" w:ascii="仿宋_GB2312" w:eastAsia="仿宋_GB2312"/>
          <w:color w:val="auto"/>
          <w:sz w:val="32"/>
          <w:highlight w:val="none"/>
        </w:rPr>
        <w:t>之前作出行政处罚决定，根据《中华人民共和国税收征收管理法》第八条、《中华人民共和国行政处罚法》第四十</w:t>
      </w:r>
      <w:r>
        <w:rPr>
          <w:rFonts w:ascii="仿宋_GB2312" w:eastAsia="仿宋_GB2312"/>
          <w:color w:val="auto"/>
          <w:sz w:val="32"/>
          <w:highlight w:val="none"/>
        </w:rPr>
        <w:t>四</w:t>
      </w:r>
      <w:r>
        <w:rPr>
          <w:rFonts w:hint="eastAsia" w:ascii="仿宋_GB2312" w:eastAsia="仿宋_GB2312"/>
          <w:color w:val="auto"/>
          <w:sz w:val="32"/>
          <w:highlight w:val="none"/>
        </w:rPr>
        <w:t>条、第六十三条、第六十四条规定，现将有关事项告知如下：</w:t>
      </w:r>
      <w:bookmarkStart w:id="0" w:name="_Toc73516670"/>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highlight w:val="none"/>
        </w:rPr>
        <w:t>税务行政处罚的事实、理由、依据及拟作出的处罚决定:</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rPr>
          <w:rFonts w:hint="eastAsia" w:ascii="仿宋_GB2312" w:hAnsi="仿宋" w:eastAsia="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（一）违法事实及证据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你公司存续情况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检查组根据税务登记信息，前往你公司注册地址：</w:t>
      </w:r>
      <w:r>
        <w:rPr>
          <w:rFonts w:hint="eastAsia" w:ascii="仿宋_GB2312" w:hAnsi="仿宋_GB2312" w:eastAsia="仿宋_GB2312" w:cs="仿宋_GB2312"/>
          <w:color w:val="auto"/>
          <w:spacing w:val="-10"/>
          <w:sz w:val="32"/>
          <w:szCs w:val="32"/>
          <w:lang w:eastAsia="zh-CN"/>
        </w:rPr>
        <w:t>广西壮族自治区河池市宜州区庆远镇城西开发区(广西水工机械厂1栋5层502号房)5-1进行</w:t>
      </w:r>
      <w:r>
        <w:rPr>
          <w:rFonts w:hint="eastAsia" w:ascii="仿宋_GB2312" w:hAnsi="仿宋_GB2312" w:eastAsia="仿宋_GB2312" w:cs="仿宋_GB2312"/>
          <w:color w:val="auto"/>
          <w:sz w:val="32"/>
          <w:szCs w:val="32"/>
          <w:highlight w:val="none"/>
          <w:lang w:eastAsia="zh-CN"/>
        </w:rPr>
        <w:t>实地核实，经检查人员使用高德地图搜索，未能在宜州区找到该地址。检查人员随即前往宜州区庆远镇城西开发区所属社区江头社区了解情况，社区工作人员表示广西水工机械厂早已搬迁至柳州市。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2025年10月14日</w:t>
      </w:r>
      <w:r>
        <w:rPr>
          <w:rFonts w:hint="eastAsia" w:ascii="仿宋_GB2312" w:hAnsi="仿宋_GB2312" w:eastAsia="仿宋_GB2312" w:cs="仿宋_GB2312"/>
          <w:color w:val="auto"/>
          <w:sz w:val="32"/>
          <w:szCs w:val="32"/>
          <w:highlight w:val="none"/>
          <w:lang w:eastAsia="zh-CN"/>
        </w:rPr>
        <w:t>检查人员在社区工作人员的见证下拨打该企业在税务机关报备的法定代表人、财务负责人杜建龙的电话</w:t>
      </w:r>
      <w:r>
        <w:rPr>
          <w:rFonts w:hint="eastAsia" w:ascii="仿宋_GB2312" w:hAnsi="仿宋_GB2312" w:eastAsia="仿宋_GB2312" w:cs="仿宋_GB2312"/>
          <w:color w:val="auto"/>
          <w:sz w:val="32"/>
          <w:szCs w:val="32"/>
          <w:highlight w:val="none"/>
          <w:lang w:val="en-US" w:eastAsia="zh-CN"/>
        </w:rPr>
        <w:t>时</w:t>
      </w:r>
      <w:r>
        <w:rPr>
          <w:rFonts w:hint="eastAsia" w:ascii="仿宋_GB2312" w:hAnsi="仿宋_GB2312" w:eastAsia="仿宋_GB2312" w:cs="仿宋_GB2312"/>
          <w:color w:val="auto"/>
          <w:sz w:val="32"/>
          <w:szCs w:val="32"/>
          <w:highlight w:val="none"/>
          <w:lang w:eastAsia="zh-CN"/>
        </w:rPr>
        <w:t>语音提示“您好，您拨打的电话暂时无人接听”。检查人员于</w:t>
      </w:r>
      <w:r>
        <w:rPr>
          <w:rFonts w:hint="eastAsia" w:ascii="仿宋_GB2312" w:hAnsi="仿宋_GB2312" w:eastAsia="仿宋_GB2312" w:cs="仿宋_GB2312"/>
          <w:color w:val="auto"/>
          <w:sz w:val="32"/>
          <w:szCs w:val="32"/>
          <w:highlight w:val="none"/>
          <w:lang w:val="en-US" w:eastAsia="zh-CN"/>
        </w:rPr>
        <w:t>2026年3月31日第二次拨打</w:t>
      </w:r>
      <w:r>
        <w:rPr>
          <w:rFonts w:hint="eastAsia" w:ascii="仿宋_GB2312" w:hAnsi="仿宋_GB2312" w:eastAsia="仿宋_GB2312" w:cs="仿宋_GB2312"/>
          <w:color w:val="auto"/>
          <w:sz w:val="32"/>
          <w:szCs w:val="32"/>
          <w:highlight w:val="none"/>
          <w:lang w:eastAsia="zh-CN"/>
        </w:rPr>
        <w:t>杜建龙的</w:t>
      </w:r>
      <w:r>
        <w:rPr>
          <w:rFonts w:hint="eastAsia" w:ascii="仿宋_GB2312" w:hAnsi="仿宋_GB2312" w:eastAsia="仿宋_GB2312" w:cs="仿宋_GB2312"/>
          <w:color w:val="auto"/>
          <w:sz w:val="32"/>
          <w:szCs w:val="32"/>
          <w:highlight w:val="none"/>
          <w:lang w:val="en-US" w:eastAsia="zh-CN"/>
        </w:rPr>
        <w:t>电话，杜建龙在电话中表示：</w:t>
      </w:r>
      <w:r>
        <w:rPr>
          <w:rFonts w:hint="eastAsia" w:ascii="仿宋_GB2312" w:hAnsi="仿宋" w:eastAsia="仿宋_GB2312"/>
          <w:sz w:val="32"/>
          <w:szCs w:val="32"/>
          <w:lang w:eastAsia="zh-CN"/>
        </w:rPr>
        <w:t>自己近期暂时不能回到广西河池市接受税务机关调查询问，自己是知道自己担任广西钱疆贸易有限公司法定代表人、财务负责人、办税员的事情，但是自己对广西钱疆贸易有限公司的生产经营情况是完全不知情的，这个公司的注册不是自己操作的，当时是为了办理贷款注册的这个企业，自己把身份证号发给一个叫赵君辉的，由他操作注册公司的事宜，据杜建龙交代具体的注册公司业务是由一个叫韩国春的人具体操作的，自己也接到过税务机关关于广西钱疆贸易有限公司涉嫌虚开增值税专用发票的通知，自己也通过电话报警了，自己对广西钱疆贸易有限公司涉嫌虚开增值税专用发票一事并不知情，这家公司成立以来自己都没实际参与过管理，也没到过广西河池市宜州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检查组于2026年1月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日在国家税务总局宜州区税务局办税大厅公告栏以及国家税务总局河池市税务局对外门户网站公告送达《税务检查通知书》（河市税稽检通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eastAsia="zh-CN"/>
        </w:rPr>
        <w:t>），你公司至今未与检查组联系，未向检查组提供任何涉税资料。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你公司申报情况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经核实，你公司仅对所属期为</w:t>
      </w:r>
      <w:r>
        <w:rPr>
          <w:rFonts w:hint="eastAsia" w:ascii="仿宋_GB2312" w:hAnsi="仿宋_GB2312" w:eastAsia="仿宋_GB2312" w:cs="仿宋_GB2312"/>
          <w:color w:val="auto"/>
          <w:sz w:val="32"/>
          <w:szCs w:val="32"/>
          <w:highlight w:val="none"/>
          <w:lang w:val="en-US" w:eastAsia="zh-CN"/>
        </w:rPr>
        <w:t>2025年5月的增值税进行了0申报，其他月份均未进行纳税申报。</w:t>
      </w:r>
      <w:r>
        <w:rPr>
          <w:rFonts w:hint="eastAsia" w:ascii="仿宋_GB2312" w:hAnsi="仿宋_GB2312" w:eastAsia="仿宋_GB2312" w:cs="仿宋_GB2312"/>
          <w:color w:val="auto"/>
          <w:sz w:val="32"/>
          <w:szCs w:val="32"/>
          <w:highlight w:val="none"/>
          <w:lang w:eastAsia="zh-CN"/>
        </w:rPr>
        <w:t>截止检查组开展立案检查时，你公司已被主管税务机关认定为非正常户。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你公司上下游票流情况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）进项方面：你公司2025年1月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2025年12月期间未取得任何进项发票。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）销项方面：你公司于2025年6月30日向上海炳兴实业有限公司开具增值税电子专用发票</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份，发票代码254520000000，发票号码62186742、62055922、62056456、62056316、62075876、62075458、62076073、62075291、62066084、62045687、62046417、62027819，货物或应税劳务、服务名称：*有色金属冶炼压延品*铝锭，金额3,592,920.35元，税额467,079.65元，价税合计4,060,000.00元。</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根据开票数据来看，你公司有销无进，且企业开具增值税电子专用发票的金额未在当月进行申报。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4.你公司资金流情况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经核实，你公司没有向税务机关报备银行存款账户，且在开具的增值税电子专用票面上均未备注银行账户，故检查组未能对你公司银行流水开展检查。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综上，根据《国家税务总局关于走逃(失联)企业开具增值税专用发票认定处理有关问题的公告》(税务总局公告〔2016〕76号)第一条的规定，你公司为走逃(失联)企业。综合你公司注册经营地址虚假、无生产经营情况、进销情况异常并进行虚假的纳税申报的情况，根据</w:t>
      </w:r>
      <w:r>
        <w:rPr>
          <w:rFonts w:hint="eastAsia" w:ascii="仿宋_GB2312" w:hAnsi="仿宋" w:eastAsia="仿宋_GB2312"/>
          <w:sz w:val="32"/>
          <w:szCs w:val="32"/>
          <w:lang w:eastAsia="zh-CN"/>
        </w:rPr>
        <w:t>《中华人民共和国发票管理办法》（财政部令第6号发布，国务院令第764号修订）第二十一条第二款第（一）项、《中华人民共和国发票管理办法实施细则》（国家税务总局令第56号）第二十九条第（一）项的规定，认定你公司开具的上述</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 w:eastAsia="仿宋_GB2312"/>
          <w:sz w:val="32"/>
          <w:szCs w:val="32"/>
          <w:lang w:eastAsia="zh-CN"/>
        </w:rPr>
        <w:t>份增值税电子专用发票为虚开</w:t>
      </w:r>
      <w:r>
        <w:rPr>
          <w:rFonts w:hint="eastAsia" w:ascii="仿宋_GB2312" w:hAnsi="仿宋_GB2312" w:eastAsia="仿宋_GB2312" w:cs="仿宋_GB2312"/>
          <w:color w:val="auto"/>
          <w:sz w:val="32"/>
          <w:szCs w:val="32"/>
          <w:highlight w:val="none"/>
          <w:lang w:eastAsia="zh-CN"/>
        </w:rPr>
        <w:t>发票。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lang w:eastAsia="zh-CN"/>
        </w:rPr>
        <w:t>证据指向：你公司非正常状态金三截图、你公司2025发票流向系统查询截图、开具增值税电子发票明细表、增值税申报表、现场笔录、你公司银行账户备案情况金三截图、国家税务总局河池市宜州区税务局风险核查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sz w:val="32"/>
          <w:szCs w:val="32"/>
          <w:highlight w:val="none"/>
          <w:lang w:eastAsia="zh-CN"/>
        </w:rPr>
        <w:t>（二）处罚依据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 w:eastAsia="仿宋_GB2312"/>
          <w:sz w:val="32"/>
          <w:szCs w:val="32"/>
          <w:highlight w:val="none"/>
          <w:lang w:val="en-US" w:eastAsia="zh-CN"/>
        </w:rPr>
        <w:t>根据《中华人民共和国发票管理办法》（</w:t>
      </w:r>
      <w:r>
        <w:rPr>
          <w:rFonts w:hint="eastAsia" w:ascii="仿宋_GB2312" w:hAnsi="仿宋" w:eastAsia="仿宋_GB2312"/>
          <w:sz w:val="32"/>
          <w:szCs w:val="32"/>
          <w:lang w:eastAsia="zh-CN"/>
        </w:rPr>
        <w:t>财政部令第6号发布，国务院令第764号修订</w:t>
      </w:r>
      <w:r>
        <w:rPr>
          <w:rFonts w:hint="eastAsia" w:ascii="仿宋_GB2312" w:hAnsi="仿宋" w:eastAsia="仿宋_GB2312"/>
          <w:sz w:val="32"/>
          <w:szCs w:val="32"/>
          <w:highlight w:val="none"/>
          <w:lang w:val="en-US" w:eastAsia="zh-CN"/>
        </w:rPr>
        <w:t>）第二十一条第二款第（一）项、</w:t>
      </w:r>
      <w:r>
        <w:rPr>
          <w:rFonts w:hint="eastAsia" w:ascii="仿宋_GB2312" w:hAnsi="仿宋" w:eastAsia="仿宋_GB2312"/>
          <w:sz w:val="32"/>
          <w:szCs w:val="32"/>
          <w:lang w:eastAsia="zh-CN"/>
        </w:rPr>
        <w:t>《中华人民共和国发票管理办法实施细则》（国家税务总局令第56号）第二十九条第（一）项</w:t>
      </w:r>
      <w:r>
        <w:rPr>
          <w:rFonts w:hint="eastAsia" w:ascii="仿宋_GB2312" w:hAnsi="仿宋" w:eastAsia="仿宋_GB2312"/>
          <w:sz w:val="32"/>
          <w:szCs w:val="32"/>
          <w:highlight w:val="none"/>
          <w:lang w:val="en-US" w:eastAsia="zh-CN"/>
        </w:rPr>
        <w:t>的规定，你公司上述为他人开具12份增值税电子专用发票的行为为虚开，虚开</w:t>
      </w:r>
      <w:r>
        <w:rPr>
          <w:rFonts w:hint="eastAsia" w:ascii="仿宋_GB2312" w:hAnsi="仿宋_GB2312" w:eastAsia="仿宋_GB2312" w:cs="仿宋_GB2312"/>
          <w:color w:val="auto"/>
          <w:sz w:val="32"/>
          <w:szCs w:val="32"/>
          <w:highlight w:val="none"/>
          <w:lang w:eastAsia="zh-CN"/>
        </w:rPr>
        <w:t>金额3,592,920.35元，税额467,079.65元，价税合计4,060,000.00元</w:t>
      </w:r>
      <w:r>
        <w:rPr>
          <w:rFonts w:hint="eastAsia" w:ascii="仿宋_GB2312" w:hAnsi="仿宋"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
          <w:color w:val="auto"/>
          <w:sz w:val="32"/>
          <w:szCs w:val="32"/>
          <w:highlight w:val="none"/>
          <w:lang w:val="en-US" w:eastAsia="zh-CN"/>
        </w:rPr>
        <w:t>2.</w:t>
      </w:r>
      <w:r>
        <w:rPr>
          <w:rFonts w:hint="eastAsia" w:ascii="仿宋_GB2312" w:hAnsi="仿宋" w:eastAsia="仿宋_GB2312"/>
          <w:sz w:val="32"/>
          <w:szCs w:val="32"/>
          <w:highlight w:val="none"/>
          <w:lang w:val="en-US" w:eastAsia="zh-CN"/>
        </w:rPr>
        <w:t>对你公司上述虚开12份增值税电子专用发票的行为，根据《中华人民共和国发票管理办法》（中华人民共和国国务院令第764号第三次修改）第三十五条、</w:t>
      </w:r>
      <w:r>
        <w:rPr>
          <w:rFonts w:hint="eastAsia" w:ascii="仿宋_GB2312" w:hAnsi="仿宋" w:eastAsia="仿宋_GB2312" w:cs="Times New Roman"/>
          <w:kern w:val="2"/>
          <w:sz w:val="32"/>
          <w:szCs w:val="32"/>
          <w:highlight w:val="none"/>
          <w:lang w:val="en-US" w:eastAsia="zh-CN" w:bidi="ar-SA"/>
        </w:rPr>
        <w:t>《中南区域税务行政处罚裁量基准》（国家税务总局广东省税务局 国家税务总局河南省税务局等税务局公告2023年第5号）</w:t>
      </w:r>
      <w:r>
        <w:rPr>
          <w:rFonts w:hint="eastAsia" w:ascii="仿宋_GB2312" w:hAnsi="仿宋" w:eastAsia="仿宋_GB2312"/>
          <w:sz w:val="32"/>
          <w:szCs w:val="32"/>
          <w:highlight w:val="none"/>
          <w:lang w:val="en-US" w:eastAsia="zh-CN"/>
        </w:rPr>
        <w:t>的规定，对你公司处罚款450,000.00元。</w:t>
      </w:r>
    </w:p>
    <w:p>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_GB2312" w:eastAsia="仿宋_GB2312"/>
          <w:color w:val="auto"/>
          <w:sz w:val="32"/>
          <w:highlight w:val="none"/>
        </w:rPr>
      </w:pPr>
      <w:r>
        <w:rPr>
          <w:rFonts w:hint="eastAsia" w:ascii="仿宋_GB2312" w:eastAsia="仿宋_GB2312"/>
          <w:color w:val="auto"/>
          <w:sz w:val="32"/>
          <w:highlight w:val="none"/>
        </w:rPr>
        <w:t>二、你</w:t>
      </w:r>
      <w:r>
        <w:rPr>
          <w:rFonts w:hint="eastAsia" w:ascii="仿宋_GB2312" w:eastAsia="仿宋_GB2312"/>
          <w:color w:val="auto"/>
          <w:sz w:val="32"/>
          <w:highlight w:val="none"/>
          <w:lang w:eastAsia="zh-CN"/>
        </w:rPr>
        <w:t>公司</w:t>
      </w:r>
      <w:r>
        <w:rPr>
          <w:rFonts w:hint="eastAsia" w:ascii="仿宋_GB2312" w:eastAsia="仿宋_GB2312"/>
          <w:color w:val="auto"/>
          <w:sz w:val="32"/>
          <w:highlight w:val="none"/>
        </w:rPr>
        <w:t>有陈述、申辩的权利。请在我局（所）作出税务行政处罚决定之前，到我局（所）进行陈述、申辩或自行提供陈述、申辩材料；逾期不进行陈述、申辩的，视同放弃权利。</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eastAsia="仿宋_GB2312"/>
          <w:color w:val="auto"/>
          <w:sz w:val="32"/>
          <w:highlight w:val="none"/>
        </w:rPr>
      </w:pPr>
      <w:r>
        <w:rPr>
          <w:rFonts w:hint="eastAsia" w:ascii="仿宋_GB2312" w:eastAsia="仿宋_GB2312"/>
          <w:color w:val="auto"/>
          <w:sz w:val="32"/>
          <w:highlight w:val="none"/>
        </w:rPr>
        <w:t>三、</w:t>
      </w:r>
      <w:r>
        <w:rPr>
          <w:rFonts w:hint="eastAsia" w:ascii="仿宋_GB2312" w:eastAsia="仿宋_GB2312"/>
          <w:color w:val="auto"/>
          <w:sz w:val="32"/>
          <w:lang w:eastAsia="zh-CN"/>
        </w:rPr>
        <w:t>拟对你公司罚款合计</w:t>
      </w:r>
      <w:r>
        <w:rPr>
          <w:rFonts w:hint="eastAsia" w:ascii="仿宋_GB2312" w:hAnsi="仿宋_GB2312" w:eastAsia="仿宋_GB2312" w:cs="仿宋_GB2312"/>
          <w:b/>
          <w:bCs/>
          <w:kern w:val="0"/>
          <w:sz w:val="32"/>
          <w:szCs w:val="32"/>
          <w:highlight w:val="none"/>
          <w:lang w:val="en-US" w:eastAsia="zh-CN" w:bidi="ar"/>
        </w:rPr>
        <w:t>450,000.00</w:t>
      </w:r>
      <w:r>
        <w:rPr>
          <w:rFonts w:hint="eastAsia" w:ascii="仿宋_GB2312" w:eastAsia="仿宋_GB2312"/>
          <w:color w:val="auto"/>
          <w:sz w:val="32"/>
          <w:lang w:val="en-US" w:eastAsia="zh-CN"/>
        </w:rPr>
        <w:t>元</w:t>
      </w:r>
      <w:r>
        <w:rPr>
          <w:rFonts w:hint="eastAsia" w:ascii="仿宋_GB2312" w:eastAsia="仿宋_GB2312"/>
          <w:color w:val="auto"/>
          <w:sz w:val="32"/>
          <w:highlight w:val="none"/>
        </w:rPr>
        <w:t>，你</w:t>
      </w:r>
      <w:r>
        <w:rPr>
          <w:rFonts w:hint="eastAsia" w:ascii="仿宋_GB2312" w:eastAsia="仿宋_GB2312"/>
          <w:color w:val="auto"/>
          <w:sz w:val="32"/>
          <w:highlight w:val="none"/>
          <w:lang w:eastAsia="zh-CN"/>
        </w:rPr>
        <w:t>公司</w:t>
      </w:r>
      <w:r>
        <w:rPr>
          <w:rFonts w:hint="eastAsia" w:ascii="仿宋_GB2312" w:eastAsia="仿宋_GB2312"/>
          <w:color w:val="auto"/>
          <w:sz w:val="32"/>
          <w:highlight w:val="none"/>
        </w:rPr>
        <w:t>有要求听证的权利。可自收到本告知书之日起五个</w:t>
      </w:r>
      <w:r>
        <w:rPr>
          <w:rFonts w:ascii="仿宋_GB2312" w:eastAsia="仿宋_GB2312"/>
          <w:color w:val="auto"/>
          <w:sz w:val="32"/>
          <w:highlight w:val="none"/>
        </w:rPr>
        <w:t>工作日</w:t>
      </w:r>
      <w:r>
        <w:rPr>
          <w:rFonts w:hint="eastAsia" w:ascii="仿宋_GB2312" w:eastAsia="仿宋_GB2312"/>
          <w:color w:val="auto"/>
          <w:sz w:val="32"/>
          <w:highlight w:val="none"/>
        </w:rPr>
        <w:t>内向我局书面提出听证申请；逾期不提出，视为放弃听证权利。</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 w:eastAsia="仿宋_GB2312"/>
          <w:color w:val="auto"/>
          <w:sz w:val="32"/>
          <w:szCs w:val="32"/>
          <w:highlight w:val="none"/>
          <w:lang w:eastAsia="zh-CN"/>
        </w:rPr>
      </w:pPr>
    </w:p>
    <w:p>
      <w:pPr>
        <w:pStyle w:val="9"/>
        <w:rPr>
          <w:rFonts w:hint="eastAsia"/>
          <w:highlight w:val="none"/>
          <w:lang w:eastAsia="zh-CN"/>
        </w:rPr>
      </w:pPr>
    </w:p>
    <w:p>
      <w:pPr>
        <w:keepNext w:val="0"/>
        <w:keepLines w:val="0"/>
        <w:pageBreakBefore w:val="0"/>
        <w:widowControl w:val="0"/>
        <w:kinsoku/>
        <w:overflowPunct/>
        <w:topLinePunct w:val="0"/>
        <w:autoSpaceDE/>
        <w:autoSpaceDN/>
        <w:bidi w:val="0"/>
        <w:adjustRightInd/>
        <w:snapToGrid/>
        <w:spacing w:line="600" w:lineRule="exact"/>
        <w:jc w:val="right"/>
        <w:textAlignment w:val="auto"/>
        <w:rPr>
          <w:color w:val="auto"/>
          <w:highlight w:val="none"/>
        </w:rPr>
      </w:pPr>
      <w:r>
        <w:rPr>
          <w:rFonts w:hint="eastAsia" w:ascii="仿宋_GB2312" w:hAnsi="仿宋" w:eastAsia="仿宋_GB2312"/>
          <w:color w:val="auto"/>
          <w:sz w:val="32"/>
          <w:szCs w:val="32"/>
          <w:highlight w:val="none"/>
          <w:lang w:eastAsia="zh-CN"/>
        </w:rPr>
        <w:t>二Ｏ二六年</w:t>
      </w:r>
      <w:bookmarkStart w:id="1" w:name="_GoBack"/>
      <w:bookmarkEnd w:id="1"/>
      <w:r>
        <w:rPr>
          <w:rFonts w:hint="eastAsia" w:ascii="仿宋_GB2312" w:hAnsi="仿宋" w:eastAsia="仿宋_GB2312"/>
          <w:color w:val="auto"/>
          <w:sz w:val="32"/>
          <w:szCs w:val="32"/>
          <w:highlight w:val="none"/>
          <w:lang w:eastAsia="zh-CN"/>
        </w:rPr>
        <w:t>四月三十日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DE4F8"/>
    <w:multiLevelType w:val="singleLevel"/>
    <w:tmpl w:val="BE1DE4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93A12"/>
    <w:rsid w:val="017039F9"/>
    <w:rsid w:val="02351D7A"/>
    <w:rsid w:val="059D738F"/>
    <w:rsid w:val="06D136FC"/>
    <w:rsid w:val="0A502AE3"/>
    <w:rsid w:val="0AE51BDD"/>
    <w:rsid w:val="0AFE677F"/>
    <w:rsid w:val="0B997891"/>
    <w:rsid w:val="0C6F5DE9"/>
    <w:rsid w:val="0DF64266"/>
    <w:rsid w:val="0FFA1453"/>
    <w:rsid w:val="13037F92"/>
    <w:rsid w:val="13BA3DEE"/>
    <w:rsid w:val="15445139"/>
    <w:rsid w:val="173C53DA"/>
    <w:rsid w:val="180E6212"/>
    <w:rsid w:val="1B4C512A"/>
    <w:rsid w:val="1FAC2B21"/>
    <w:rsid w:val="21E93041"/>
    <w:rsid w:val="223F38B5"/>
    <w:rsid w:val="22A55BF5"/>
    <w:rsid w:val="22AC39D6"/>
    <w:rsid w:val="24493A12"/>
    <w:rsid w:val="254C5C7B"/>
    <w:rsid w:val="258E167F"/>
    <w:rsid w:val="25925680"/>
    <w:rsid w:val="265D29F7"/>
    <w:rsid w:val="26674D3E"/>
    <w:rsid w:val="290A0DBB"/>
    <w:rsid w:val="2AC93340"/>
    <w:rsid w:val="2AF70CF7"/>
    <w:rsid w:val="2C7B51F4"/>
    <w:rsid w:val="2F1E30FA"/>
    <w:rsid w:val="30BD2CD3"/>
    <w:rsid w:val="31484A30"/>
    <w:rsid w:val="32DF4147"/>
    <w:rsid w:val="355F41A6"/>
    <w:rsid w:val="35AE6890"/>
    <w:rsid w:val="370E65B5"/>
    <w:rsid w:val="373D1FD0"/>
    <w:rsid w:val="3AEE3C6A"/>
    <w:rsid w:val="3BEA4638"/>
    <w:rsid w:val="3C542D40"/>
    <w:rsid w:val="3DCB23E8"/>
    <w:rsid w:val="3E883066"/>
    <w:rsid w:val="401506A9"/>
    <w:rsid w:val="40152A26"/>
    <w:rsid w:val="42AF77E6"/>
    <w:rsid w:val="42F95F6B"/>
    <w:rsid w:val="444C2D4E"/>
    <w:rsid w:val="447763BF"/>
    <w:rsid w:val="47072237"/>
    <w:rsid w:val="49327BD4"/>
    <w:rsid w:val="49BD090B"/>
    <w:rsid w:val="4D7B0BD2"/>
    <w:rsid w:val="4E4B7557"/>
    <w:rsid w:val="4E4D472A"/>
    <w:rsid w:val="4F923404"/>
    <w:rsid w:val="51312F8F"/>
    <w:rsid w:val="530E784A"/>
    <w:rsid w:val="54647D60"/>
    <w:rsid w:val="54696D3F"/>
    <w:rsid w:val="54697F2D"/>
    <w:rsid w:val="547A69BE"/>
    <w:rsid w:val="5709096E"/>
    <w:rsid w:val="5A79183A"/>
    <w:rsid w:val="5B001E69"/>
    <w:rsid w:val="5C3E7F61"/>
    <w:rsid w:val="5DDBCAE0"/>
    <w:rsid w:val="5FE13422"/>
    <w:rsid w:val="5FFB0FC1"/>
    <w:rsid w:val="62403CF2"/>
    <w:rsid w:val="64DB22C2"/>
    <w:rsid w:val="66234433"/>
    <w:rsid w:val="668968EA"/>
    <w:rsid w:val="668C3AE3"/>
    <w:rsid w:val="6745045C"/>
    <w:rsid w:val="676F31D8"/>
    <w:rsid w:val="68075694"/>
    <w:rsid w:val="6A0961A2"/>
    <w:rsid w:val="6A36565F"/>
    <w:rsid w:val="6B7D739B"/>
    <w:rsid w:val="6BAA5C95"/>
    <w:rsid w:val="6D5B39D3"/>
    <w:rsid w:val="6DBE71AC"/>
    <w:rsid w:val="712922CB"/>
    <w:rsid w:val="754D55C0"/>
    <w:rsid w:val="775D449C"/>
    <w:rsid w:val="77CE08F0"/>
    <w:rsid w:val="78027821"/>
    <w:rsid w:val="783A563D"/>
    <w:rsid w:val="78C466BE"/>
    <w:rsid w:val="79E34500"/>
    <w:rsid w:val="7BB736AB"/>
    <w:rsid w:val="7BEF1578"/>
    <w:rsid w:val="7C387DB4"/>
    <w:rsid w:val="7C437E6B"/>
    <w:rsid w:val="7C8E5D5F"/>
    <w:rsid w:val="7CA02A9F"/>
    <w:rsid w:val="7CEB01D4"/>
    <w:rsid w:val="7EF43357"/>
    <w:rsid w:val="B4FE4E81"/>
    <w:rsid w:val="DEEF69C8"/>
    <w:rsid w:val="DEFB9153"/>
    <w:rsid w:val="DFFBD61F"/>
    <w:rsid w:val="FF5B1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qFormat/>
    <w:uiPriority w:val="99"/>
    <w:rPr>
      <w:rFonts w:ascii="宋体" w:hAnsi="Courier New"/>
      <w:kern w:val="0"/>
      <w:sz w:val="20"/>
      <w:szCs w:val="20"/>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ind w:left="0" w:right="0"/>
      <w:jc w:val="left"/>
    </w:pPr>
    <w:rPr>
      <w:kern w:val="0"/>
      <w:sz w:val="24"/>
      <w:lang w:val="en-US" w:eastAsia="zh-CN" w:bidi="ar"/>
    </w:rPr>
  </w:style>
  <w:style w:type="paragraph" w:customStyle="1" w:styleId="9">
    <w:name w:val="Normal Indent1"/>
    <w:basedOn w:val="1"/>
    <w:qFormat/>
    <w:uiPriority w:val="0"/>
    <w:pPr>
      <w:spacing w:line="660" w:lineRule="exact"/>
      <w:ind w:firstLine="720" w:firstLineChars="200"/>
    </w:pPr>
    <w:rPr>
      <w:rFonts w:eastAsia="楷体_GB2312"/>
      <w:sz w:val="36"/>
      <w:szCs w:val="36"/>
    </w:rPr>
  </w:style>
  <w:style w:type="character" w:customStyle="1" w:styleId="10">
    <w:name w:val="ca-1"/>
    <w:basedOn w:val="8"/>
    <w:qFormat/>
    <w:uiPriority w:val="99"/>
  </w:style>
  <w:style w:type="paragraph" w:customStyle="1" w:styleId="11">
    <w:name w:val="bw1"/>
    <w:qFormat/>
    <w:uiPriority w:val="0"/>
    <w:pPr>
      <w:widowControl w:val="0"/>
      <w:adjustRightInd w:val="0"/>
      <w:spacing w:line="360" w:lineRule="atLeast"/>
    </w:pPr>
    <w:rPr>
      <w:rFonts w:hint="eastAsia"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2022-09-29T09:21:00Z</dcterms:created>
  <dc:creator>申双</dc:creator>
  <cp:lastModifiedBy>练耀宗</cp:lastModifiedBy>
  <cp:lastPrinted>2026-02-04T11:28:00Z</cp:lastPrinted>
  <dcterms:modified xsi:type="dcterms:W3CDTF">2026-05-18T08:54:23Z</dcterms:modified>
  <dc:title>国家税务总局河池市税务局第三稽查局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5AB5A01B70D1B8E79439086AC0464A6D_43</vt:lpwstr>
  </property>
</Properties>
</file>