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8E621">
      <w:pPr>
        <w:topLinePunct/>
        <w:autoSpaceDE w:val="0"/>
        <w:autoSpaceDN w:val="0"/>
        <w:jc w:val="center"/>
        <w:rPr>
          <w:rFonts w:ascii="宋体" w:hAnsi="宋体" w:cs="宋体"/>
          <w:b/>
          <w:color w:val="auto"/>
          <w:sz w:val="48"/>
          <w:szCs w:val="48"/>
          <w:highlight w:val="none"/>
        </w:rPr>
      </w:pPr>
    </w:p>
    <w:p w14:paraId="27989D2E">
      <w:pPr>
        <w:jc w:val="center"/>
        <w:rPr>
          <w:rFonts w:ascii="楷体_GB2312" w:eastAsia="楷体_GB2312"/>
          <w:b/>
          <w:bCs/>
          <w:color w:val="auto"/>
          <w:spacing w:val="100"/>
          <w:sz w:val="48"/>
          <w:szCs w:val="48"/>
          <w:highlight w:val="none"/>
        </w:rPr>
      </w:pPr>
    </w:p>
    <w:p w14:paraId="13BF90FA">
      <w:pPr>
        <w:jc w:val="center"/>
        <w:rPr>
          <w:rFonts w:ascii="宋体" w:hAnsi="宋体" w:cs="宋体"/>
          <w:color w:val="auto"/>
          <w:szCs w:val="84"/>
          <w:highlight w:val="none"/>
        </w:rPr>
      </w:pPr>
      <w:r>
        <w:rPr>
          <w:rFonts w:hint="eastAsia" w:ascii="宋体" w:hAnsi="宋体" w:cs="宋体"/>
          <w:b/>
          <w:bCs/>
          <w:color w:val="auto"/>
          <w:spacing w:val="100"/>
          <w:sz w:val="84"/>
          <w:szCs w:val="84"/>
          <w:highlight w:val="none"/>
        </w:rPr>
        <w:t>磋商文件</w:t>
      </w:r>
    </w:p>
    <w:p w14:paraId="6BCE5734">
      <w:pPr>
        <w:spacing w:line="480" w:lineRule="auto"/>
        <w:jc w:val="center"/>
        <w:rPr>
          <w:b/>
          <w:color w:val="auto"/>
          <w:sz w:val="32"/>
          <w:highlight w:val="none"/>
        </w:rPr>
      </w:pPr>
      <w:r>
        <w:rPr>
          <w:rFonts w:hint="eastAsia" w:ascii="宋体" w:hAnsi="宋体" w:eastAsia="宋体" w:cs="宋体"/>
          <w:b/>
          <w:bCs w:val="0"/>
          <w:color w:val="auto"/>
          <w:sz w:val="48"/>
          <w:szCs w:val="48"/>
          <w:highlight w:val="none"/>
        </w:rPr>
        <w:t>（商务部分）</w:t>
      </w:r>
    </w:p>
    <w:p w14:paraId="3DC6CB48">
      <w:pPr>
        <w:pStyle w:val="28"/>
        <w:rPr>
          <w:color w:val="auto"/>
          <w:highlight w:val="none"/>
        </w:rPr>
      </w:pPr>
    </w:p>
    <w:p w14:paraId="4E0AA0CE">
      <w:pPr>
        <w:pStyle w:val="29"/>
        <w:rPr>
          <w:b/>
          <w:color w:val="auto"/>
          <w:sz w:val="32"/>
          <w:highlight w:val="none"/>
        </w:rPr>
      </w:pPr>
    </w:p>
    <w:p w14:paraId="1A56B566">
      <w:pPr>
        <w:pStyle w:val="29"/>
        <w:rPr>
          <w:b/>
          <w:color w:val="auto"/>
          <w:sz w:val="32"/>
          <w:highlight w:val="none"/>
        </w:rPr>
      </w:pPr>
    </w:p>
    <w:p w14:paraId="6FCA4658">
      <w:pPr>
        <w:pStyle w:val="29"/>
        <w:rPr>
          <w:b/>
          <w:color w:val="auto"/>
          <w:sz w:val="32"/>
          <w:highlight w:val="none"/>
        </w:rPr>
      </w:pPr>
    </w:p>
    <w:p w14:paraId="004A9DE8">
      <w:pPr>
        <w:spacing w:line="480" w:lineRule="auto"/>
        <w:ind w:left="0" w:leftChars="0" w:firstLine="964" w:firstLineChars="300"/>
        <w:jc w:val="center"/>
        <w:rPr>
          <w:rFonts w:hint="eastAsia" w:asciiTheme="minorEastAsia" w:hAnsiTheme="minorEastAsia" w:eastAsiaTheme="minorEastAsia" w:cstheme="minorEastAsia"/>
          <w:b/>
          <w:color w:val="auto"/>
          <w:sz w:val="32"/>
          <w:szCs w:val="32"/>
          <w:highlight w:val="none"/>
          <w:u w:val="none"/>
          <w:lang w:eastAsia="zh-CN"/>
        </w:rPr>
      </w:pPr>
      <w:r>
        <w:rPr>
          <w:rFonts w:hint="eastAsia" w:asciiTheme="minorEastAsia" w:hAnsiTheme="minorEastAsia" w:eastAsiaTheme="minorEastAsia" w:cstheme="minorEastAsia"/>
          <w:b/>
          <w:color w:val="auto"/>
          <w:sz w:val="32"/>
          <w:szCs w:val="32"/>
          <w:highlight w:val="none"/>
        </w:rPr>
        <w:t>项目名称：</w:t>
      </w:r>
      <w:r>
        <w:rPr>
          <w:rFonts w:hint="eastAsia" w:asciiTheme="minorEastAsia" w:hAnsiTheme="minorEastAsia" w:eastAsiaTheme="minorEastAsia" w:cstheme="minorEastAsia"/>
          <w:b/>
          <w:color w:val="auto"/>
          <w:sz w:val="32"/>
          <w:szCs w:val="32"/>
          <w:highlight w:val="none"/>
          <w:u w:val="none"/>
        </w:rPr>
        <w:t>国家税务总局南丹县税务局2026</w:t>
      </w:r>
      <w:r>
        <w:rPr>
          <w:rFonts w:hint="eastAsia" w:asciiTheme="minorEastAsia" w:hAnsiTheme="minorEastAsia" w:eastAsiaTheme="minorEastAsia" w:cstheme="minorEastAsia"/>
          <w:b/>
          <w:color w:val="auto"/>
          <w:sz w:val="32"/>
          <w:szCs w:val="32"/>
          <w:highlight w:val="none"/>
          <w:u w:val="none"/>
          <w:lang w:eastAsia="zh-CN"/>
        </w:rPr>
        <w:t>年度</w:t>
      </w:r>
    </w:p>
    <w:p w14:paraId="513DD299">
      <w:pPr>
        <w:spacing w:line="480" w:lineRule="auto"/>
        <w:ind w:left="0" w:leftChars="0" w:firstLine="3213" w:firstLineChars="1000"/>
        <w:jc w:val="both"/>
        <w:rPr>
          <w:rFonts w:hint="eastAsia" w:asciiTheme="minorEastAsia" w:hAnsiTheme="minorEastAsia" w:eastAsiaTheme="minorEastAsia" w:cstheme="minorEastAsia"/>
          <w:b/>
          <w:color w:val="auto"/>
          <w:sz w:val="32"/>
          <w:szCs w:val="32"/>
          <w:highlight w:val="none"/>
          <w:lang w:val="en-US" w:eastAsia="zh-CN"/>
        </w:rPr>
      </w:pPr>
      <w:r>
        <w:rPr>
          <w:rFonts w:hint="eastAsia" w:asciiTheme="minorEastAsia" w:hAnsiTheme="minorEastAsia" w:eastAsiaTheme="minorEastAsia" w:cstheme="minorEastAsia"/>
          <w:b/>
          <w:color w:val="auto"/>
          <w:sz w:val="32"/>
          <w:szCs w:val="32"/>
          <w:highlight w:val="none"/>
          <w:u w:val="none"/>
        </w:rPr>
        <w:t>物业</w:t>
      </w:r>
      <w:r>
        <w:rPr>
          <w:rFonts w:hint="eastAsia" w:asciiTheme="minorEastAsia" w:hAnsiTheme="minorEastAsia" w:eastAsiaTheme="minorEastAsia" w:cstheme="minorEastAsia"/>
          <w:b/>
          <w:color w:val="auto"/>
          <w:sz w:val="32"/>
          <w:szCs w:val="32"/>
          <w:highlight w:val="none"/>
          <w:u w:val="none"/>
          <w:lang w:eastAsia="zh-CN"/>
        </w:rPr>
        <w:t>管理</w:t>
      </w:r>
      <w:r>
        <w:rPr>
          <w:rFonts w:hint="eastAsia" w:asciiTheme="minorEastAsia" w:hAnsiTheme="minorEastAsia" w:eastAsiaTheme="minorEastAsia" w:cstheme="minorEastAsia"/>
          <w:b/>
          <w:color w:val="auto"/>
          <w:sz w:val="32"/>
          <w:szCs w:val="32"/>
          <w:highlight w:val="none"/>
          <w:u w:val="none"/>
        </w:rPr>
        <w:t>服务</w:t>
      </w:r>
      <w:r>
        <w:rPr>
          <w:rFonts w:hint="eastAsia" w:asciiTheme="minorEastAsia" w:hAnsiTheme="minorEastAsia" w:eastAsiaTheme="minorEastAsia" w:cstheme="minorEastAsia"/>
          <w:b/>
          <w:color w:val="auto"/>
          <w:sz w:val="32"/>
          <w:szCs w:val="32"/>
          <w:highlight w:val="none"/>
          <w:u w:val="none"/>
          <w:lang w:eastAsia="zh-CN"/>
        </w:rPr>
        <w:t>采购</w:t>
      </w:r>
    </w:p>
    <w:p w14:paraId="4D315637">
      <w:pPr>
        <w:spacing w:line="480" w:lineRule="auto"/>
        <w:ind w:left="0" w:leftChars="0" w:firstLine="1564" w:firstLineChars="487"/>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rPr>
        <w:t>项目编号：</w:t>
      </w:r>
      <w:r>
        <w:rPr>
          <w:rFonts w:hint="eastAsia" w:asciiTheme="minorEastAsia" w:hAnsiTheme="minorEastAsia" w:eastAsiaTheme="minorEastAsia" w:cstheme="minorEastAsia"/>
          <w:b/>
          <w:color w:val="auto"/>
          <w:sz w:val="32"/>
          <w:szCs w:val="32"/>
          <w:highlight w:val="none"/>
          <w:lang w:eastAsia="zh-CN"/>
        </w:rPr>
        <w:t>ZB2026-199</w:t>
      </w:r>
    </w:p>
    <w:p w14:paraId="110FCE1E">
      <w:pPr>
        <w:spacing w:line="480" w:lineRule="auto"/>
        <w:ind w:left="0" w:leftChars="0" w:firstLine="1526" w:firstLineChars="475"/>
        <w:jc w:val="both"/>
        <w:rPr>
          <w:rFonts w:hint="eastAsia" w:asciiTheme="minorEastAsia" w:hAnsiTheme="minorEastAsia" w:eastAsiaTheme="minorEastAsia" w:cstheme="minorEastAsia"/>
          <w:b/>
          <w:color w:val="auto"/>
          <w:sz w:val="32"/>
          <w:highlight w:val="none"/>
          <w:lang w:eastAsia="zh-CN"/>
        </w:rPr>
      </w:pPr>
      <w:r>
        <w:rPr>
          <w:rFonts w:hint="eastAsia" w:asciiTheme="minorEastAsia" w:hAnsiTheme="minorEastAsia" w:eastAsiaTheme="minorEastAsia" w:cstheme="minorEastAsia"/>
          <w:b/>
          <w:color w:val="auto"/>
          <w:sz w:val="32"/>
          <w:szCs w:val="32"/>
          <w:highlight w:val="none"/>
        </w:rPr>
        <w:t>采</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rPr>
        <w:t>购</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rPr>
        <w:t>人：</w:t>
      </w:r>
      <w:r>
        <w:rPr>
          <w:rFonts w:hint="eastAsia" w:asciiTheme="minorEastAsia" w:hAnsiTheme="minorEastAsia" w:eastAsiaTheme="minorEastAsia" w:cstheme="minorEastAsia"/>
          <w:b/>
          <w:color w:val="auto"/>
          <w:sz w:val="32"/>
          <w:szCs w:val="32"/>
          <w:highlight w:val="none"/>
          <w:lang w:eastAsia="zh-CN"/>
        </w:rPr>
        <w:t>国家税务总局南丹县税务局</w:t>
      </w:r>
    </w:p>
    <w:p w14:paraId="11C5338B">
      <w:pPr>
        <w:spacing w:line="480" w:lineRule="auto"/>
        <w:ind w:left="0" w:leftChars="0" w:firstLine="1526" w:firstLineChars="475"/>
        <w:jc w:val="both"/>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采购代理机构：广西众联工程项目管理有限公司</w:t>
      </w:r>
    </w:p>
    <w:p w14:paraId="7A1E9AC0">
      <w:pPr>
        <w:jc w:val="center"/>
        <w:rPr>
          <w:rFonts w:hint="eastAsia" w:asciiTheme="minorEastAsia" w:hAnsiTheme="minorEastAsia" w:eastAsiaTheme="minorEastAsia" w:cstheme="minorEastAsia"/>
          <w:b/>
          <w:color w:val="auto"/>
          <w:sz w:val="32"/>
          <w:szCs w:val="32"/>
          <w:highlight w:val="none"/>
          <w:lang w:eastAsia="zh-CN"/>
        </w:rPr>
      </w:pPr>
    </w:p>
    <w:p w14:paraId="71B92B32">
      <w:pPr>
        <w:jc w:val="center"/>
        <w:rPr>
          <w:rFonts w:hint="eastAsia" w:asciiTheme="minorEastAsia" w:hAnsiTheme="minorEastAsia" w:eastAsiaTheme="minorEastAsia" w:cstheme="minorEastAsia"/>
          <w:b/>
          <w:color w:val="auto"/>
          <w:sz w:val="32"/>
          <w:szCs w:val="32"/>
          <w:highlight w:val="none"/>
          <w:lang w:eastAsia="zh-CN"/>
        </w:rPr>
      </w:pPr>
    </w:p>
    <w:p w14:paraId="4C4835A6">
      <w:pPr>
        <w:jc w:val="center"/>
        <w:rPr>
          <w:rFonts w:hint="eastAsia" w:asciiTheme="minorEastAsia" w:hAnsiTheme="minorEastAsia" w:eastAsiaTheme="minorEastAsia" w:cstheme="minorEastAsia"/>
          <w:b/>
          <w:color w:val="auto"/>
          <w:sz w:val="32"/>
          <w:szCs w:val="32"/>
          <w:highlight w:val="none"/>
          <w:lang w:eastAsia="zh-CN"/>
        </w:rPr>
      </w:pPr>
    </w:p>
    <w:p w14:paraId="78298523">
      <w:pPr>
        <w:jc w:val="center"/>
        <w:rPr>
          <w:rFonts w:hint="eastAsia" w:asciiTheme="minorEastAsia" w:hAnsiTheme="minorEastAsia" w:eastAsiaTheme="minorEastAsia" w:cstheme="minorEastAsia"/>
          <w:b/>
          <w:color w:val="auto"/>
          <w:sz w:val="32"/>
          <w:szCs w:val="32"/>
          <w:highlight w:val="none"/>
          <w:lang w:eastAsia="zh-CN"/>
        </w:rPr>
      </w:pPr>
    </w:p>
    <w:p w14:paraId="21C8A156">
      <w:pPr>
        <w:jc w:val="center"/>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lang w:eastAsia="zh-CN"/>
        </w:rPr>
        <w:t>国家税务总局南丹县税务局</w:t>
      </w:r>
    </w:p>
    <w:p w14:paraId="35527345">
      <w:pPr>
        <w:jc w:val="center"/>
        <w:rPr>
          <w:rFonts w:ascii="宋体" w:hAnsi="宋体" w:cs="宋体"/>
          <w:b/>
          <w:bCs/>
          <w:color w:val="auto"/>
          <w:sz w:val="32"/>
          <w:szCs w:val="32"/>
          <w:highlight w:val="none"/>
        </w:rPr>
      </w:pPr>
      <w:r>
        <w:rPr>
          <w:rFonts w:hint="eastAsia" w:asciiTheme="minorEastAsia" w:hAnsiTheme="minorEastAsia" w:eastAsiaTheme="minorEastAsia" w:cstheme="minorEastAsia"/>
          <w:b/>
          <w:color w:val="auto"/>
          <w:sz w:val="32"/>
          <w:szCs w:val="32"/>
          <w:highlight w:val="none"/>
          <w:lang w:eastAsia="zh-CN"/>
        </w:rPr>
        <w:t>2026年</w:t>
      </w:r>
      <w:r>
        <w:rPr>
          <w:rFonts w:hint="eastAsia" w:asciiTheme="minorEastAsia" w:hAnsiTheme="minorEastAsia" w:eastAsiaTheme="minorEastAsia" w:cstheme="minorEastAsia"/>
          <w:b/>
          <w:color w:val="auto"/>
          <w:sz w:val="32"/>
          <w:szCs w:val="32"/>
          <w:highlight w:val="none"/>
          <w:lang w:val="en-US" w:eastAsia="zh-CN"/>
        </w:rPr>
        <w:t>6</w:t>
      </w:r>
      <w:r>
        <w:rPr>
          <w:rFonts w:hint="eastAsia" w:asciiTheme="minorEastAsia" w:hAnsiTheme="minorEastAsia" w:eastAsiaTheme="minorEastAsia" w:cstheme="minorEastAsia"/>
          <w:b/>
          <w:color w:val="auto"/>
          <w:sz w:val="32"/>
          <w:szCs w:val="32"/>
          <w:highlight w:val="none"/>
          <w:lang w:eastAsia="zh-CN"/>
        </w:rPr>
        <w:t>月</w:t>
      </w:r>
      <w:r>
        <w:rPr>
          <w:rFonts w:hint="eastAsia" w:asciiTheme="minorEastAsia" w:hAnsiTheme="minorEastAsia" w:eastAsiaTheme="minorEastAsia" w:cstheme="minorEastAsia"/>
          <w:b/>
          <w:color w:val="auto"/>
          <w:sz w:val="32"/>
          <w:szCs w:val="32"/>
          <w:highlight w:val="none"/>
          <w:lang w:val="en-US" w:eastAsia="zh-CN"/>
        </w:rPr>
        <w:t>5</w:t>
      </w:r>
      <w:r>
        <w:rPr>
          <w:rFonts w:hint="eastAsia" w:asciiTheme="minorEastAsia" w:hAnsiTheme="minorEastAsia" w:eastAsiaTheme="minorEastAsia" w:cstheme="minorEastAsia"/>
          <w:b/>
          <w:color w:val="auto"/>
          <w:sz w:val="32"/>
          <w:szCs w:val="32"/>
          <w:highlight w:val="none"/>
          <w:lang w:eastAsia="zh-CN"/>
        </w:rPr>
        <w:t>日</w:t>
      </w:r>
    </w:p>
    <w:p w14:paraId="36DE08D9">
      <w:pPr>
        <w:rPr>
          <w:rFonts w:ascii="宋体" w:hAnsi="宋体" w:cs="宋体"/>
          <w:color w:val="auto"/>
          <w:highlight w:val="none"/>
        </w:rPr>
      </w:pPr>
    </w:p>
    <w:p w14:paraId="25A1468A">
      <w:pPr>
        <w:rPr>
          <w:rFonts w:ascii="宋体" w:hAnsi="宋体" w:cs="宋体"/>
          <w:color w:val="auto"/>
          <w:highlight w:val="none"/>
        </w:rPr>
        <w:sectPr>
          <w:footerReference r:id="rId3" w:type="default"/>
          <w:pgSz w:w="11906" w:h="16838"/>
          <w:pgMar w:top="1417" w:right="1418" w:bottom="1417" w:left="1417" w:header="851" w:footer="992" w:gutter="0"/>
          <w:pgNumType w:fmt="decimal" w:start="0"/>
          <w:cols w:space="720" w:num="1"/>
          <w:docGrid w:type="lines" w:linePitch="312" w:charSpace="0"/>
        </w:sectPr>
      </w:pPr>
    </w:p>
    <w:p w14:paraId="6A5C4332">
      <w:pPr>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lang w:val="zh-CN"/>
        </w:rPr>
        <w:t>目  录</w:t>
      </w:r>
    </w:p>
    <w:p w14:paraId="5D0E678A">
      <w:pPr>
        <w:pStyle w:val="15"/>
        <w:keepNext w:val="0"/>
        <w:keepLines w:val="0"/>
        <w:pageBreakBefore w:val="0"/>
        <w:widowControl w:val="0"/>
        <w:tabs>
          <w:tab w:val="right" w:leader="dot" w:pos="9072"/>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_Toc19502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磋商邀请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_Toc19502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1A1A2D2">
      <w:pPr>
        <w:pStyle w:val="15"/>
        <w:keepNext w:val="0"/>
        <w:keepLines w:val="0"/>
        <w:pageBreakBefore w:val="0"/>
        <w:widowControl w:val="0"/>
        <w:tabs>
          <w:tab w:val="right" w:leader="dot" w:pos="9072"/>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_Toc23978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_Toc23978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9496E22">
      <w:pPr>
        <w:pStyle w:val="15"/>
        <w:keepNext w:val="0"/>
        <w:keepLines w:val="0"/>
        <w:pageBreakBefore w:val="0"/>
        <w:widowControl w:val="0"/>
        <w:tabs>
          <w:tab w:val="right" w:leader="dot" w:pos="9072"/>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_Toc24348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第三章</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评审方法及标准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_Toc24348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B6CAABD">
      <w:pPr>
        <w:pStyle w:val="15"/>
        <w:keepNext w:val="0"/>
        <w:keepLines w:val="0"/>
        <w:pageBreakBefore w:val="0"/>
        <w:widowControl w:val="0"/>
        <w:tabs>
          <w:tab w:val="right" w:leader="dot" w:pos="9072"/>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_Toc5245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采购合同文本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_Toc5245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D3111D">
      <w:pPr>
        <w:pStyle w:val="15"/>
        <w:keepNext w:val="0"/>
        <w:keepLines w:val="0"/>
        <w:pageBreakBefore w:val="0"/>
        <w:widowControl w:val="0"/>
        <w:tabs>
          <w:tab w:val="right" w:leader="dot" w:pos="9072"/>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_Toc9695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_Toc9695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70B6817">
      <w:pPr>
        <w:pStyle w:val="15"/>
        <w:keepNext w:val="0"/>
        <w:keepLines w:val="0"/>
        <w:pageBreakBefore w:val="0"/>
        <w:widowControl w:val="0"/>
        <w:tabs>
          <w:tab w:val="right" w:leader="dot" w:pos="9072"/>
        </w:tabs>
        <w:kinsoku/>
        <w:wordWrap/>
        <w:overflowPunct/>
        <w:topLinePunct w:val="0"/>
        <w:autoSpaceDE/>
        <w:autoSpaceDN/>
        <w:bidi w:val="0"/>
        <w:adjustRightInd/>
        <w:snapToGrid/>
        <w:spacing w:line="480" w:lineRule="auto"/>
        <w:textAlignment w:val="auto"/>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_Toc24661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项目采购需求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_Toc24661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0DA910C">
      <w:pPr>
        <w:pStyle w:val="16"/>
        <w:tabs>
          <w:tab w:val="right" w:leader="dot" w:pos="9072"/>
        </w:tabs>
        <w:rPr>
          <w:color w:val="auto"/>
          <w:highlight w:val="none"/>
        </w:rPr>
      </w:pPr>
    </w:p>
    <w:p w14:paraId="7337DA95">
      <w:pPr>
        <w:spacing w:line="360" w:lineRule="auto"/>
        <w:rPr>
          <w:rFonts w:ascii="宋体" w:hAnsi="宋体" w:cs="宋体"/>
          <w:color w:val="auto"/>
          <w:highlight w:val="none"/>
        </w:rPr>
      </w:pPr>
      <w:r>
        <w:rPr>
          <w:rFonts w:hint="eastAsia" w:ascii="宋体" w:hAnsi="宋体" w:eastAsia="宋体" w:cs="宋体"/>
          <w:color w:val="auto"/>
          <w:szCs w:val="24"/>
          <w:highlight w:val="none"/>
        </w:rPr>
        <w:fldChar w:fldCharType="end"/>
      </w:r>
    </w:p>
    <w:p w14:paraId="652FA57C">
      <w:pPr>
        <w:rPr>
          <w:rFonts w:ascii="宋体" w:hAnsi="宋体" w:cs="宋体"/>
          <w:b/>
          <w:color w:val="auto"/>
          <w:sz w:val="44"/>
          <w:szCs w:val="44"/>
          <w:highlight w:val="none"/>
        </w:rPr>
      </w:pPr>
    </w:p>
    <w:p w14:paraId="698976A9">
      <w:pPr>
        <w:rPr>
          <w:rFonts w:ascii="宋体" w:hAnsi="宋体" w:cs="宋体"/>
          <w:color w:val="auto"/>
          <w:highlight w:val="none"/>
        </w:rPr>
      </w:pPr>
    </w:p>
    <w:p w14:paraId="00B8F024">
      <w:pPr>
        <w:spacing w:line="360" w:lineRule="auto"/>
        <w:jc w:val="center"/>
        <w:rPr>
          <w:rFonts w:ascii="宋体" w:hAnsi="宋体" w:cs="宋体"/>
          <w:color w:val="auto"/>
          <w:sz w:val="28"/>
          <w:szCs w:val="28"/>
          <w:highlight w:val="none"/>
        </w:rPr>
      </w:pPr>
    </w:p>
    <w:p w14:paraId="7B9AD7E1">
      <w:pPr>
        <w:spacing w:line="360" w:lineRule="auto"/>
        <w:jc w:val="center"/>
        <w:rPr>
          <w:rFonts w:ascii="宋体" w:hAnsi="宋体" w:cs="宋体"/>
          <w:color w:val="auto"/>
          <w:sz w:val="28"/>
          <w:szCs w:val="28"/>
          <w:highlight w:val="none"/>
        </w:rPr>
      </w:pPr>
    </w:p>
    <w:p w14:paraId="67C22303">
      <w:pPr>
        <w:spacing w:line="360" w:lineRule="auto"/>
        <w:jc w:val="center"/>
        <w:rPr>
          <w:rFonts w:ascii="宋体" w:hAnsi="宋体" w:cs="宋体"/>
          <w:color w:val="auto"/>
          <w:sz w:val="28"/>
          <w:szCs w:val="28"/>
          <w:highlight w:val="none"/>
        </w:rPr>
      </w:pPr>
    </w:p>
    <w:p w14:paraId="1C041E59">
      <w:pPr>
        <w:spacing w:line="360" w:lineRule="auto"/>
        <w:jc w:val="center"/>
        <w:rPr>
          <w:rFonts w:ascii="宋体" w:hAnsi="宋体" w:cs="宋体"/>
          <w:color w:val="auto"/>
          <w:sz w:val="28"/>
          <w:szCs w:val="28"/>
          <w:highlight w:val="none"/>
        </w:rPr>
      </w:pPr>
    </w:p>
    <w:p w14:paraId="7770B96A">
      <w:pPr>
        <w:spacing w:line="360" w:lineRule="auto"/>
        <w:jc w:val="center"/>
        <w:rPr>
          <w:rFonts w:ascii="宋体" w:hAnsi="宋体" w:cs="宋体"/>
          <w:color w:val="auto"/>
          <w:sz w:val="28"/>
          <w:szCs w:val="28"/>
          <w:highlight w:val="none"/>
        </w:rPr>
      </w:pPr>
    </w:p>
    <w:p w14:paraId="36C446BD">
      <w:pPr>
        <w:spacing w:line="360" w:lineRule="auto"/>
        <w:jc w:val="center"/>
        <w:rPr>
          <w:rFonts w:ascii="宋体" w:hAnsi="宋体" w:cs="宋体"/>
          <w:color w:val="auto"/>
          <w:sz w:val="28"/>
          <w:szCs w:val="28"/>
          <w:highlight w:val="none"/>
        </w:rPr>
      </w:pPr>
    </w:p>
    <w:p w14:paraId="3EB0E87A">
      <w:pPr>
        <w:spacing w:line="360" w:lineRule="auto"/>
        <w:jc w:val="center"/>
        <w:rPr>
          <w:rFonts w:ascii="宋体" w:hAnsi="宋体" w:cs="宋体"/>
          <w:color w:val="auto"/>
          <w:sz w:val="28"/>
          <w:szCs w:val="28"/>
          <w:highlight w:val="none"/>
        </w:rPr>
      </w:pPr>
    </w:p>
    <w:p w14:paraId="76C44500">
      <w:pPr>
        <w:spacing w:line="360" w:lineRule="auto"/>
        <w:jc w:val="center"/>
        <w:rPr>
          <w:rFonts w:ascii="宋体" w:hAnsi="宋体" w:cs="宋体"/>
          <w:color w:val="auto"/>
          <w:sz w:val="28"/>
          <w:szCs w:val="28"/>
          <w:highlight w:val="none"/>
        </w:rPr>
      </w:pPr>
    </w:p>
    <w:p w14:paraId="223DEF71">
      <w:pPr>
        <w:spacing w:line="360" w:lineRule="auto"/>
        <w:jc w:val="center"/>
        <w:rPr>
          <w:rFonts w:ascii="宋体" w:hAnsi="宋体" w:cs="宋体"/>
          <w:color w:val="auto"/>
          <w:sz w:val="28"/>
          <w:szCs w:val="28"/>
          <w:highlight w:val="none"/>
        </w:rPr>
      </w:pPr>
    </w:p>
    <w:p w14:paraId="410418BA">
      <w:pPr>
        <w:spacing w:line="360" w:lineRule="auto"/>
        <w:jc w:val="center"/>
        <w:rPr>
          <w:rFonts w:ascii="宋体" w:hAnsi="宋体" w:cs="宋体"/>
          <w:color w:val="auto"/>
          <w:sz w:val="28"/>
          <w:szCs w:val="28"/>
          <w:highlight w:val="none"/>
        </w:rPr>
      </w:pPr>
    </w:p>
    <w:p w14:paraId="05FAF1E0">
      <w:pPr>
        <w:spacing w:line="360" w:lineRule="auto"/>
        <w:jc w:val="center"/>
        <w:rPr>
          <w:rFonts w:ascii="宋体" w:hAnsi="宋体" w:cs="宋体"/>
          <w:color w:val="auto"/>
          <w:sz w:val="28"/>
          <w:szCs w:val="28"/>
          <w:highlight w:val="none"/>
        </w:rPr>
      </w:pPr>
    </w:p>
    <w:p w14:paraId="4BC46C82">
      <w:pPr>
        <w:bidi w:val="0"/>
        <w:rPr>
          <w:color w:val="auto"/>
          <w:highlight w:val="none"/>
        </w:rPr>
      </w:pPr>
    </w:p>
    <w:p w14:paraId="1A587323">
      <w:pPr>
        <w:spacing w:line="360" w:lineRule="auto"/>
        <w:jc w:val="center"/>
        <w:rPr>
          <w:rFonts w:ascii="宋体" w:hAnsi="宋体" w:cs="宋体"/>
          <w:color w:val="auto"/>
          <w:sz w:val="28"/>
          <w:szCs w:val="28"/>
          <w:highlight w:val="none"/>
        </w:rPr>
      </w:pPr>
    </w:p>
    <w:p w14:paraId="262E3FCC">
      <w:pPr>
        <w:pStyle w:val="3"/>
        <w:jc w:val="center"/>
        <w:rPr>
          <w:rFonts w:hint="default" w:cs="宋体"/>
          <w:color w:val="auto"/>
          <w:sz w:val="30"/>
          <w:szCs w:val="30"/>
          <w:highlight w:val="none"/>
        </w:rPr>
      </w:pPr>
      <w:bookmarkStart w:id="0" w:name="_Toc19502"/>
      <w:r>
        <w:rPr>
          <w:rFonts w:cs="宋体"/>
          <w:color w:val="auto"/>
          <w:sz w:val="30"/>
          <w:szCs w:val="30"/>
          <w:highlight w:val="none"/>
        </w:rPr>
        <w:t>第一章  磋商邀请</w:t>
      </w:r>
      <w:bookmarkEnd w:id="0"/>
    </w:p>
    <w:p w14:paraId="5821A99E">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atLeast"/>
        <w:textAlignment w:val="auto"/>
        <w:rPr>
          <w:rFonts w:ascii="宋体" w:hAnsi="宋体" w:cs="宋体"/>
          <w:color w:val="auto"/>
          <w:szCs w:val="21"/>
          <w:highlight w:val="none"/>
        </w:rPr>
      </w:pPr>
      <w:r>
        <w:rPr>
          <w:rFonts w:hint="eastAsia" w:ascii="宋体" w:hAnsi="宋体" w:cs="宋体"/>
          <w:color w:val="auto"/>
          <w:szCs w:val="21"/>
          <w:highlight w:val="none"/>
        </w:rPr>
        <w:t>项目概况</w:t>
      </w:r>
    </w:p>
    <w:p w14:paraId="53CD78F3">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atLeas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u w:val="single"/>
          <w:lang w:eastAsia="zh-CN"/>
        </w:rPr>
        <w:t>国家税务总局南丹县税务局2026年度物业管理服务采购</w:t>
      </w:r>
      <w:r>
        <w:rPr>
          <w:rFonts w:hint="eastAsia" w:ascii="宋体" w:hAnsi="宋体" w:cs="宋体"/>
          <w:color w:val="auto"/>
          <w:szCs w:val="21"/>
          <w:highlight w:val="none"/>
        </w:rPr>
        <w:t>的潜在供应商应在</w:t>
      </w:r>
      <w:r>
        <w:rPr>
          <w:rFonts w:hint="eastAsia" w:ascii="宋体" w:hAnsi="宋体" w:cs="宋体"/>
          <w:color w:val="auto"/>
          <w:szCs w:val="21"/>
          <w:highlight w:val="none"/>
          <w:u w:val="single"/>
        </w:rPr>
        <w:t>广西众联工程项目管理有限公司（南宁市江南区白沙大道53号松宇时代14A层）财务部</w:t>
      </w:r>
      <w:r>
        <w:rPr>
          <w:rFonts w:hint="eastAsia" w:ascii="宋体" w:hAnsi="宋体" w:cs="宋体"/>
          <w:color w:val="auto"/>
          <w:szCs w:val="21"/>
          <w:highlight w:val="none"/>
          <w:u w:val="single"/>
          <w:lang w:val="en-US" w:eastAsia="zh-CN"/>
        </w:rPr>
        <w:t>或采用电子邮件方式</w:t>
      </w:r>
      <w:r>
        <w:rPr>
          <w:rFonts w:hint="eastAsia" w:ascii="宋体" w:hAnsi="宋体" w:cs="宋体"/>
          <w:color w:val="auto"/>
          <w:szCs w:val="21"/>
          <w:highlight w:val="none"/>
        </w:rPr>
        <w:t>获取磋商文件，并于</w:t>
      </w:r>
      <w:r>
        <w:rPr>
          <w:rFonts w:hint="eastAsia" w:ascii="宋体" w:hAnsi="宋体" w:cs="宋体"/>
          <w:color w:val="auto"/>
          <w:szCs w:val="21"/>
          <w:highlight w:val="none"/>
          <w:u w:val="single"/>
          <w:lang w:eastAsia="zh-CN"/>
        </w:rPr>
        <w:t>2026年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18</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9时30分</w:t>
      </w:r>
      <w:r>
        <w:rPr>
          <w:rFonts w:hint="eastAsia" w:ascii="宋体" w:hAnsi="宋体" w:cs="宋体"/>
          <w:bCs/>
          <w:color w:val="auto"/>
          <w:szCs w:val="21"/>
          <w:highlight w:val="none"/>
        </w:rPr>
        <w:t>（北京时间）前</w:t>
      </w:r>
      <w:r>
        <w:rPr>
          <w:rFonts w:hint="eastAsia" w:ascii="宋体" w:hAnsi="宋体" w:cs="宋体"/>
          <w:bCs/>
          <w:color w:val="auto"/>
          <w:szCs w:val="21"/>
          <w:highlight w:val="none"/>
          <w:lang w:val="en-US" w:eastAsia="zh-CN"/>
        </w:rPr>
        <w:t>提</w:t>
      </w:r>
      <w:r>
        <w:rPr>
          <w:rFonts w:hint="eastAsia" w:ascii="宋体" w:hAnsi="宋体" w:cs="宋体"/>
          <w:bCs/>
          <w:color w:val="auto"/>
          <w:szCs w:val="21"/>
          <w:highlight w:val="none"/>
        </w:rPr>
        <w:t>交响应文件</w:t>
      </w:r>
      <w:r>
        <w:rPr>
          <w:rFonts w:hint="eastAsia" w:ascii="宋体" w:hAnsi="宋体" w:cs="宋体"/>
          <w:color w:val="auto"/>
          <w:szCs w:val="21"/>
          <w:highlight w:val="none"/>
        </w:rPr>
        <w:t>。</w:t>
      </w:r>
    </w:p>
    <w:p w14:paraId="5749C072">
      <w:pPr>
        <w:keepNext w:val="0"/>
        <w:keepLines w:val="0"/>
        <w:pageBreakBefore w:val="0"/>
        <w:kinsoku/>
        <w:wordWrap/>
        <w:overflowPunct/>
        <w:topLinePunct w:val="0"/>
        <w:autoSpaceDE/>
        <w:autoSpaceDN/>
        <w:bidi w:val="0"/>
        <w:adjustRightInd/>
        <w:snapToGrid/>
        <w:spacing w:line="440" w:lineRule="atLeast"/>
        <w:textAlignment w:val="auto"/>
        <w:rPr>
          <w:rFonts w:ascii="宋体" w:hAnsi="宋体" w:cs="宋体"/>
          <w:b/>
          <w:bCs/>
          <w:color w:val="auto"/>
          <w:szCs w:val="21"/>
          <w:highlight w:val="none"/>
        </w:rPr>
      </w:pPr>
      <w:r>
        <w:rPr>
          <w:rFonts w:hint="eastAsia" w:ascii="宋体" w:hAnsi="宋体" w:cs="宋体"/>
          <w:b/>
          <w:bCs/>
          <w:color w:val="auto"/>
          <w:szCs w:val="21"/>
          <w:highlight w:val="none"/>
        </w:rPr>
        <w:t>一、项目基本情况</w:t>
      </w:r>
    </w:p>
    <w:p w14:paraId="18702634">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ZB2026-199</w:t>
      </w:r>
    </w:p>
    <w:p w14:paraId="67F23596">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国家税务总局南丹县税务局2026年度物业管理服务采购</w:t>
      </w:r>
    </w:p>
    <w:p w14:paraId="653B3835">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采购方式：磋商</w:t>
      </w:r>
    </w:p>
    <w:p w14:paraId="79F3DCAD">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预算金额：人民币（大写）玖拾捌万元整（¥</w:t>
      </w:r>
      <w:r>
        <w:rPr>
          <w:rFonts w:hint="eastAsia" w:ascii="宋体" w:hAnsi="宋体"/>
          <w:color w:val="auto"/>
          <w:szCs w:val="21"/>
          <w:highlight w:val="none"/>
        </w:rPr>
        <w:t>980000.00</w:t>
      </w:r>
      <w:r>
        <w:rPr>
          <w:rFonts w:hint="eastAsia" w:ascii="宋体" w:hAnsi="宋体" w:cs="宋体"/>
          <w:color w:val="auto"/>
          <w:szCs w:val="21"/>
          <w:highlight w:val="none"/>
        </w:rPr>
        <w:t>）</w:t>
      </w:r>
    </w:p>
    <w:p w14:paraId="64670D9B">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最高限价：人民币（大写）玖拾捌万元整（¥</w:t>
      </w:r>
      <w:r>
        <w:rPr>
          <w:rFonts w:hint="eastAsia" w:ascii="宋体" w:hAnsi="宋体"/>
          <w:color w:val="auto"/>
          <w:szCs w:val="21"/>
          <w:highlight w:val="none"/>
        </w:rPr>
        <w:t>980000.00</w:t>
      </w:r>
      <w:r>
        <w:rPr>
          <w:rFonts w:hint="eastAsia" w:ascii="宋体" w:hAnsi="宋体" w:cs="宋体"/>
          <w:color w:val="auto"/>
          <w:szCs w:val="21"/>
          <w:highlight w:val="none"/>
        </w:rPr>
        <w:t>）</w:t>
      </w:r>
    </w:p>
    <w:p w14:paraId="750B2A3D">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cs="宋体"/>
          <w:color w:val="auto"/>
          <w:highlight w:val="none"/>
          <w:lang w:eastAsia="zh-CN"/>
        </w:rPr>
      </w:pPr>
      <w:r>
        <w:rPr>
          <w:rFonts w:hint="eastAsia" w:ascii="宋体" w:hAnsi="宋体" w:cs="宋体"/>
          <w:color w:val="auto"/>
          <w:szCs w:val="21"/>
          <w:highlight w:val="none"/>
        </w:rPr>
        <w:t>采购需求：</w:t>
      </w:r>
      <w:r>
        <w:rPr>
          <w:rFonts w:hint="eastAsia" w:ascii="宋体" w:hAnsi="宋体" w:cs="宋体"/>
          <w:color w:val="auto"/>
          <w:szCs w:val="21"/>
          <w:highlight w:val="none"/>
          <w:lang w:eastAsia="zh-CN"/>
        </w:rPr>
        <w:t>国家税务总局南丹县税务局2026年度物业管理服务采购</w:t>
      </w:r>
      <w:r>
        <w:rPr>
          <w:rFonts w:hint="eastAsia" w:ascii="宋体" w:hAnsi="宋体" w:cs="宋体"/>
          <w:color w:val="auto"/>
          <w:szCs w:val="21"/>
          <w:highlight w:val="none"/>
        </w:rPr>
        <w:t>主要</w:t>
      </w:r>
      <w:r>
        <w:rPr>
          <w:rFonts w:hint="eastAsia" w:ascii="宋体" w:hAnsi="宋体" w:cs="宋体"/>
          <w:color w:val="auto"/>
          <w:szCs w:val="21"/>
          <w:highlight w:val="none"/>
          <w:lang w:val="en-US" w:eastAsia="zh-CN"/>
        </w:rPr>
        <w:t>服务内容</w:t>
      </w:r>
      <w:r>
        <w:rPr>
          <w:rFonts w:hint="eastAsia" w:ascii="宋体" w:hAnsi="宋体" w:cs="宋体"/>
          <w:color w:val="auto"/>
          <w:szCs w:val="21"/>
          <w:highlight w:val="none"/>
        </w:rPr>
        <w:t>包括：</w:t>
      </w:r>
      <w:r>
        <w:rPr>
          <w:rFonts w:hint="eastAsia" w:hAnsi="宋体" w:cs="宋体"/>
          <w:color w:val="auto"/>
          <w:highlight w:val="none"/>
        </w:rPr>
        <w:t>保安服务、保洁服务、供</w:t>
      </w:r>
      <w:r>
        <w:rPr>
          <w:rFonts w:hint="eastAsia" w:hAnsi="宋体" w:cs="宋体"/>
          <w:color w:val="auto"/>
          <w:highlight w:val="none"/>
          <w:lang w:val="en-US" w:eastAsia="zh-CN"/>
        </w:rPr>
        <w:t>电设备监控</w:t>
      </w:r>
      <w:r>
        <w:rPr>
          <w:rFonts w:hint="eastAsia" w:hAnsi="宋体" w:cs="宋体"/>
          <w:color w:val="auto"/>
          <w:highlight w:val="none"/>
        </w:rPr>
        <w:t>维护服务、食堂</w:t>
      </w:r>
      <w:r>
        <w:rPr>
          <w:rFonts w:hint="eastAsia" w:hAnsi="宋体" w:cs="宋体"/>
          <w:color w:val="auto"/>
          <w:highlight w:val="none"/>
          <w:lang w:val="en-US" w:eastAsia="zh-CN"/>
        </w:rPr>
        <w:t>餐饮</w:t>
      </w:r>
      <w:r>
        <w:rPr>
          <w:rFonts w:hint="eastAsia" w:hAnsi="宋体" w:cs="宋体"/>
          <w:color w:val="auto"/>
          <w:highlight w:val="none"/>
        </w:rPr>
        <w:t>服务、会务及收发服务</w:t>
      </w:r>
      <w:r>
        <w:rPr>
          <w:rFonts w:hint="eastAsia" w:hAnsi="宋体"/>
          <w:bCs/>
          <w:color w:val="auto"/>
          <w:highlight w:val="none"/>
        </w:rPr>
        <w:t>等综合物业服务</w:t>
      </w:r>
      <w:r>
        <w:rPr>
          <w:rFonts w:hint="eastAsia" w:ascii="宋体" w:hAnsi="宋体" w:cs="宋体"/>
          <w:color w:val="auto"/>
          <w:szCs w:val="21"/>
          <w:highlight w:val="none"/>
        </w:rPr>
        <w:t>等。</w:t>
      </w:r>
      <w:r>
        <w:rPr>
          <w:rFonts w:hint="eastAsia" w:ascii="宋体" w:hAnsi="宋体" w:cs="宋体"/>
          <w:color w:val="auto"/>
          <w:highlight w:val="none"/>
          <w:lang w:eastAsia="zh-CN"/>
        </w:rPr>
        <w:t>具体要求详见本项目</w:t>
      </w:r>
      <w:r>
        <w:rPr>
          <w:rFonts w:hint="eastAsia" w:ascii="宋体" w:hAnsi="宋体" w:cs="宋体"/>
          <w:color w:val="auto"/>
          <w:highlight w:val="none"/>
          <w:lang w:val="en-US" w:eastAsia="zh-CN"/>
        </w:rPr>
        <w:t>磋商</w:t>
      </w:r>
      <w:r>
        <w:rPr>
          <w:rFonts w:hint="eastAsia" w:ascii="宋体" w:hAnsi="宋体" w:cs="宋体"/>
          <w:color w:val="auto"/>
          <w:highlight w:val="none"/>
          <w:lang w:eastAsia="zh-CN"/>
        </w:rPr>
        <w:t>文件第六章《项目采购需求》。</w:t>
      </w:r>
    </w:p>
    <w:p w14:paraId="72A19787">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eastAsia="宋体" w:cs="Times New Roman"/>
          <w:color w:val="auto"/>
          <w:kern w:val="2"/>
          <w:sz w:val="21"/>
          <w:szCs w:val="22"/>
          <w:highlight w:val="none"/>
          <w:lang w:val="en-US" w:eastAsia="zh-CN" w:bidi="ar-SA"/>
        </w:rPr>
      </w:pPr>
      <w:r>
        <w:rPr>
          <w:rFonts w:hint="eastAsia" w:ascii="宋体" w:hAnsi="宋体" w:cs="宋体"/>
          <w:color w:val="auto"/>
          <w:szCs w:val="21"/>
          <w:highlight w:val="none"/>
        </w:rPr>
        <w:t>合同履行期限：</w:t>
      </w:r>
      <w:r>
        <w:rPr>
          <w:rFonts w:hint="eastAsia" w:ascii="宋体" w:hAnsi="宋体" w:cs="宋体"/>
          <w:b w:val="0"/>
          <w:bCs/>
          <w:color w:val="auto"/>
          <w:sz w:val="21"/>
          <w:szCs w:val="21"/>
          <w:highlight w:val="none"/>
          <w:lang w:val="en-US" w:eastAsia="zh-CN"/>
        </w:rPr>
        <w:t>1</w:t>
      </w:r>
      <w:r>
        <w:rPr>
          <w:rFonts w:hint="eastAsia" w:hAnsi="宋体"/>
          <w:b w:val="0"/>
          <w:bCs/>
          <w:color w:val="auto"/>
          <w:sz w:val="21"/>
          <w:szCs w:val="21"/>
          <w:highlight w:val="none"/>
        </w:rPr>
        <w:t>年</w:t>
      </w:r>
      <w:r>
        <w:rPr>
          <w:rFonts w:hint="eastAsia" w:eastAsia="宋体" w:cs="Times New Roman"/>
          <w:color w:val="auto"/>
          <w:kern w:val="2"/>
          <w:sz w:val="21"/>
          <w:szCs w:val="22"/>
          <w:highlight w:val="none"/>
          <w:lang w:val="en-US" w:eastAsia="zh-CN" w:bidi="ar-SA"/>
        </w:rPr>
        <w:t>。</w:t>
      </w:r>
    </w:p>
    <w:p w14:paraId="38427288">
      <w:pPr>
        <w:keepNext w:val="0"/>
        <w:keepLines w:val="0"/>
        <w:pageBreakBefore w:val="0"/>
        <w:kinsoku/>
        <w:wordWrap/>
        <w:overflowPunct/>
        <w:topLinePunct w:val="0"/>
        <w:autoSpaceDE/>
        <w:autoSpaceDN/>
        <w:bidi w:val="0"/>
        <w:adjustRightInd/>
        <w:snapToGrid/>
        <w:spacing w:line="440" w:lineRule="atLeast"/>
        <w:ind w:firstLine="422" w:firstLineChars="200"/>
        <w:textAlignment w:val="auto"/>
        <w:rPr>
          <w:rFonts w:hint="eastAsia" w:eastAsia="宋体" w:cs="Times New Roman"/>
          <w:b/>
          <w:bCs/>
          <w:color w:val="auto"/>
          <w:kern w:val="2"/>
          <w:sz w:val="21"/>
          <w:szCs w:val="22"/>
          <w:highlight w:val="none"/>
          <w:lang w:val="en-US" w:eastAsia="zh-CN" w:bidi="ar-SA"/>
        </w:rPr>
      </w:pPr>
      <w:r>
        <w:rPr>
          <w:rFonts w:hint="eastAsia" w:eastAsia="宋体" w:cs="Times New Roman"/>
          <w:b/>
          <w:bCs/>
          <w:color w:val="auto"/>
          <w:kern w:val="2"/>
          <w:sz w:val="21"/>
          <w:szCs w:val="22"/>
          <w:highlight w:val="none"/>
          <w:lang w:val="en-US" w:eastAsia="zh-CN" w:bidi="ar-SA"/>
        </w:rPr>
        <w:t>本项目属于目录外标准下项目。</w:t>
      </w:r>
    </w:p>
    <w:p w14:paraId="3198092D">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本项目不接受联合体</w:t>
      </w:r>
    </w:p>
    <w:p w14:paraId="1B4FBBE6">
      <w:pPr>
        <w:keepNext w:val="0"/>
        <w:keepLines w:val="0"/>
        <w:pageBreakBefore w:val="0"/>
        <w:kinsoku/>
        <w:wordWrap/>
        <w:overflowPunct/>
        <w:topLinePunct w:val="0"/>
        <w:autoSpaceDE/>
        <w:autoSpaceDN/>
        <w:bidi w:val="0"/>
        <w:adjustRightInd/>
        <w:snapToGrid/>
        <w:spacing w:line="440" w:lineRule="atLeast"/>
        <w:textAlignment w:val="auto"/>
        <w:rPr>
          <w:rFonts w:ascii="宋体" w:hAnsi="宋体" w:cs="宋体"/>
          <w:b/>
          <w:bCs/>
          <w:color w:val="auto"/>
          <w:szCs w:val="21"/>
          <w:highlight w:val="none"/>
        </w:rPr>
      </w:pPr>
      <w:r>
        <w:rPr>
          <w:rFonts w:hint="eastAsia" w:ascii="宋体" w:hAnsi="宋体" w:cs="宋体"/>
          <w:b/>
          <w:bCs/>
          <w:color w:val="auto"/>
          <w:szCs w:val="21"/>
          <w:highlight w:val="none"/>
        </w:rPr>
        <w:t>二、申请人的资格要求：</w:t>
      </w:r>
    </w:p>
    <w:p w14:paraId="254463D9">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1.本项目由符合国家有关法律法规规定、同时满足本项目资格要求、在中国境内的供应商参加磋商。</w:t>
      </w:r>
    </w:p>
    <w:p w14:paraId="0E4BE411">
      <w:pPr>
        <w:keepNext w:val="0"/>
        <w:keepLines w:val="0"/>
        <w:pageBreakBefore w:val="0"/>
        <w:widowControl/>
        <w:numPr>
          <w:ilvl w:val="255"/>
          <w:numId w:val="0"/>
        </w:numPr>
        <w:kinsoku/>
        <w:wordWrap/>
        <w:overflowPunct/>
        <w:topLinePunct w:val="0"/>
        <w:autoSpaceDE/>
        <w:autoSpaceDN/>
        <w:bidi w:val="0"/>
        <w:adjustRightInd/>
        <w:snapToGrid/>
        <w:spacing w:line="440" w:lineRule="atLeas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供应商参加本采购活动应当具备下列条件：（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w:t>
      </w:r>
      <w:r>
        <w:rPr>
          <w:rFonts w:hint="eastAsia" w:ascii="宋体" w:hAnsi="宋体" w:cs="宋体"/>
          <w:color w:val="auto"/>
          <w:szCs w:val="21"/>
          <w:highlight w:val="none"/>
          <w:lang w:val="en-US" w:eastAsia="zh-CN"/>
        </w:rPr>
        <w:t>；</w:t>
      </w:r>
      <w:r>
        <w:rPr>
          <w:rFonts w:hint="eastAsia" w:asciiTheme="minorEastAsia" w:hAnsiTheme="minorEastAsia" w:eastAsiaTheme="minorEastAsia" w:cstheme="minorEastAsia"/>
          <w:color w:val="auto"/>
          <w:sz w:val="21"/>
          <w:szCs w:val="21"/>
          <w:highlight w:val="none"/>
          <w:lang w:val="zh-CN"/>
        </w:rPr>
        <w:t>（6）法律、行政法规规定的其他条件</w:t>
      </w:r>
      <w:r>
        <w:rPr>
          <w:rFonts w:hint="eastAsia" w:ascii="宋体" w:hAnsi="宋体" w:cs="宋体"/>
          <w:color w:val="auto"/>
          <w:szCs w:val="21"/>
          <w:highlight w:val="none"/>
        </w:rPr>
        <w:t>。</w:t>
      </w:r>
    </w:p>
    <w:p w14:paraId="366DC8BE">
      <w:pPr>
        <w:keepNext w:val="0"/>
        <w:keepLines w:val="0"/>
        <w:pageBreakBefore w:val="0"/>
        <w:widowControl/>
        <w:numPr>
          <w:ilvl w:val="255"/>
          <w:numId w:val="0"/>
        </w:numPr>
        <w:kinsoku/>
        <w:wordWrap/>
        <w:overflowPunct/>
        <w:topLinePunct w:val="0"/>
        <w:autoSpaceDE/>
        <w:autoSpaceDN/>
        <w:bidi w:val="0"/>
        <w:adjustRightInd/>
        <w:snapToGrid/>
        <w:spacing w:line="440" w:lineRule="atLeas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3.落实采购政策需满足的资格要求：</w:t>
      </w:r>
      <w:r>
        <w:rPr>
          <w:rFonts w:hint="eastAsia"/>
          <w:color w:val="auto"/>
          <w:highlight w:val="none"/>
        </w:rPr>
        <w:t>本项目属于专门面向中小企业采购的项目</w:t>
      </w:r>
      <w:r>
        <w:rPr>
          <w:rFonts w:hint="eastAsia"/>
          <w:color w:val="auto"/>
          <w:szCs w:val="21"/>
          <w:highlight w:val="none"/>
          <w:lang w:eastAsia="zh-CN"/>
        </w:rPr>
        <w:t>（</w:t>
      </w:r>
      <w:r>
        <w:rPr>
          <w:rFonts w:hint="eastAsia" w:asciiTheme="minorEastAsia" w:hAnsiTheme="minorEastAsia"/>
          <w:color w:val="auto"/>
          <w:szCs w:val="21"/>
          <w:highlight w:val="none"/>
        </w:rPr>
        <w:t>监狱企业、残疾人福利性单位视同小型、微型企业</w:t>
      </w:r>
      <w:r>
        <w:rPr>
          <w:rFonts w:hint="eastAsia"/>
          <w:color w:val="auto"/>
          <w:szCs w:val="21"/>
          <w:highlight w:val="none"/>
          <w:lang w:eastAsia="zh-CN"/>
        </w:rPr>
        <w:t>）</w:t>
      </w:r>
      <w:r>
        <w:rPr>
          <w:rFonts w:hint="eastAsia" w:ascii="宋体" w:hAnsi="宋体"/>
          <w:color w:val="auto"/>
          <w:highlight w:val="none"/>
        </w:rPr>
        <w:t>。</w:t>
      </w:r>
      <w:r>
        <w:rPr>
          <w:rFonts w:hint="eastAsia" w:ascii="宋体" w:hAnsi="宋体"/>
          <w:color w:val="auto"/>
          <w:szCs w:val="21"/>
          <w:highlight w:val="none"/>
        </w:rPr>
        <w:t>本项目采购标的对应的中小企业划分标准所属行业为“</w:t>
      </w:r>
      <w:r>
        <w:rPr>
          <w:rFonts w:hint="eastAsia"/>
          <w:color w:val="auto"/>
          <w:highlight w:val="none"/>
          <w:lang w:eastAsia="zh-CN"/>
        </w:rPr>
        <w:t>物业管理</w:t>
      </w:r>
      <w:r>
        <w:rPr>
          <w:rFonts w:hint="eastAsia" w:ascii="宋体" w:hAnsi="宋体"/>
          <w:color w:val="auto"/>
          <w:szCs w:val="21"/>
          <w:highlight w:val="none"/>
        </w:rPr>
        <w:t>”。</w:t>
      </w:r>
    </w:p>
    <w:p w14:paraId="24170781">
      <w:pPr>
        <w:keepNext w:val="0"/>
        <w:keepLines w:val="0"/>
        <w:pageBreakBefore w:val="0"/>
        <w:widowControl/>
        <w:numPr>
          <w:ilvl w:val="255"/>
          <w:numId w:val="0"/>
        </w:numPr>
        <w:kinsoku/>
        <w:wordWrap/>
        <w:overflowPunct/>
        <w:topLinePunct w:val="0"/>
        <w:autoSpaceDE/>
        <w:autoSpaceDN/>
        <w:bidi w:val="0"/>
        <w:adjustRightInd/>
        <w:snapToGrid/>
        <w:spacing w:line="440" w:lineRule="atLeas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4.本项目的特定资格要求：</w:t>
      </w:r>
      <w:r>
        <w:rPr>
          <w:rFonts w:hint="eastAsia" w:ascii="宋体" w:hAnsi="宋体" w:cs="宋体"/>
          <w:color w:val="auto"/>
          <w:sz w:val="21"/>
          <w:szCs w:val="21"/>
          <w:highlight w:val="none"/>
          <w:lang w:val="en-US" w:eastAsia="zh-CN"/>
        </w:rPr>
        <w:t>无</w:t>
      </w:r>
      <w:r>
        <w:rPr>
          <w:rFonts w:hint="eastAsia" w:ascii="宋体" w:hAnsi="宋体" w:cs="宋体"/>
          <w:color w:val="auto"/>
          <w:szCs w:val="21"/>
          <w:highlight w:val="none"/>
        </w:rPr>
        <w:t>。</w:t>
      </w:r>
    </w:p>
    <w:p w14:paraId="14523FF1">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5.对在“信用中国”网站〈www.creditchina.gov.cn〉、中国政府采购网〈www.ccgp.gov.cn〉等渠道被列入失信被执行人、重大税收违法失信主体、政府采购严重违法失信行为记录名单</w:t>
      </w:r>
      <w:r>
        <w:rPr>
          <w:rFonts w:hint="eastAsia" w:ascii="宋体" w:hAnsi="宋体" w:cs="宋体"/>
          <w:color w:val="auto"/>
          <w:szCs w:val="21"/>
          <w:highlight w:val="none"/>
          <w:lang w:val="en-US" w:eastAsia="zh-CN"/>
        </w:rPr>
        <w:t>以</w:t>
      </w:r>
      <w:r>
        <w:rPr>
          <w:rFonts w:hint="eastAsia" w:ascii="宋体" w:hAnsi="宋体" w:cs="宋体"/>
          <w:color w:val="auto"/>
          <w:szCs w:val="21"/>
          <w:highlight w:val="none"/>
        </w:rPr>
        <w:t>及其他不符合《中华人民共和国政府采购法》第二十二条规定条件的供应商，不得参与本项目采购活动。</w:t>
      </w:r>
    </w:p>
    <w:p w14:paraId="65129DE1">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6.单位负责人为同一人或者存在直接控股、管理关系的不同供应商，不得参加同一合同项下的采购活动。</w:t>
      </w:r>
    </w:p>
    <w:p w14:paraId="06E74EA6">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7.为本项目提供整体设计、规范编制或者项目管理、监理、检测等服务的供应商，不得再参加本次磋商活动。</w:t>
      </w:r>
    </w:p>
    <w:p w14:paraId="371E8719">
      <w:pPr>
        <w:keepNext w:val="0"/>
        <w:keepLines w:val="0"/>
        <w:pageBreakBefore w:val="0"/>
        <w:kinsoku/>
        <w:wordWrap/>
        <w:overflowPunct/>
        <w:topLinePunct w:val="0"/>
        <w:autoSpaceDE/>
        <w:autoSpaceDN/>
        <w:bidi w:val="0"/>
        <w:adjustRightInd/>
        <w:snapToGrid/>
        <w:spacing w:line="440" w:lineRule="atLeast"/>
        <w:textAlignment w:val="auto"/>
        <w:rPr>
          <w:rFonts w:ascii="宋体" w:hAnsi="宋体" w:cs="宋体"/>
          <w:b/>
          <w:bCs/>
          <w:color w:val="auto"/>
          <w:szCs w:val="21"/>
          <w:highlight w:val="none"/>
        </w:rPr>
      </w:pPr>
      <w:r>
        <w:rPr>
          <w:rFonts w:hint="eastAsia" w:ascii="宋体" w:hAnsi="宋体" w:cs="宋体"/>
          <w:b/>
          <w:bCs/>
          <w:color w:val="auto"/>
          <w:szCs w:val="21"/>
          <w:highlight w:val="none"/>
        </w:rPr>
        <w:t>三、获取磋商文件</w:t>
      </w:r>
    </w:p>
    <w:p w14:paraId="510D7D8F">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lang w:eastAsia="zh-CN"/>
        </w:rPr>
        <w:t>2026年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rPr>
        <w:t>至202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日止</w:t>
      </w:r>
      <w:r>
        <w:rPr>
          <w:rFonts w:hint="eastAsia" w:ascii="宋体" w:hAnsi="宋体" w:cs="宋体"/>
          <w:color w:val="auto"/>
          <w:szCs w:val="21"/>
          <w:highlight w:val="none"/>
        </w:rPr>
        <w:t>，工作日每天上午8时30分至12时00分，下午2时30分至5时30分（北京时间，法定节假日除外）。</w:t>
      </w:r>
    </w:p>
    <w:p w14:paraId="39DC5CA2">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rPr>
        <w:t>地点：广西众联工程项目管理有限公司财务部（南宁市江南区白沙大道53号松宇时代14A层）。</w:t>
      </w:r>
    </w:p>
    <w:p w14:paraId="13FC4B0D">
      <w:pPr>
        <w:keepNext w:val="0"/>
        <w:keepLines w:val="0"/>
        <w:pageBreakBefore w:val="0"/>
        <w:kinsoku/>
        <w:wordWrap/>
        <w:overflowPunct/>
        <w:topLinePunct w:val="0"/>
        <w:autoSpaceDE/>
        <w:autoSpaceDN/>
        <w:bidi w:val="0"/>
        <w:adjustRightInd/>
        <w:snapToGrid/>
        <w:spacing w:line="440" w:lineRule="atLeast"/>
        <w:ind w:firstLine="424" w:firstLineChars="202"/>
        <w:jc w:val="both"/>
        <w:textAlignment w:val="auto"/>
        <w:rPr>
          <w:rFonts w:ascii="宋体" w:hAnsi="宋体" w:cs="宋体"/>
          <w:color w:val="auto"/>
          <w:szCs w:val="21"/>
          <w:highlight w:val="none"/>
        </w:rPr>
      </w:pPr>
      <w:r>
        <w:rPr>
          <w:rFonts w:hint="eastAsia" w:ascii="宋体" w:hAnsi="宋体" w:cs="宋体"/>
          <w:color w:val="auto"/>
          <w:szCs w:val="21"/>
          <w:highlight w:val="none"/>
        </w:rPr>
        <w:t>方式（可以采用以下方式之一获取磋商文件）：①现场获取：供应商无需携带报名资料，到广西众联工程项目管理有限公司财务部获取磋商文件。②电子邮件方式</w:t>
      </w:r>
      <w:r>
        <w:rPr>
          <w:rFonts w:hint="eastAsia" w:ascii="宋体" w:hAnsi="宋体" w:cs="宋体"/>
          <w:color w:val="auto"/>
          <w:szCs w:val="21"/>
          <w:highlight w:val="none"/>
          <w:lang w:val="en-US" w:eastAsia="zh-CN"/>
        </w:rPr>
        <w:t>获取</w:t>
      </w:r>
      <w:r>
        <w:rPr>
          <w:rFonts w:hint="eastAsia" w:ascii="宋体" w:hAnsi="宋体" w:cs="宋体"/>
          <w:color w:val="auto"/>
          <w:szCs w:val="21"/>
          <w:highlight w:val="none"/>
        </w:rPr>
        <w:t>：</w:t>
      </w:r>
      <w:r>
        <w:rPr>
          <w:color w:val="auto"/>
          <w:highlight w:val="none"/>
        </w:rPr>
        <w:fldChar w:fldCharType="begin"/>
      </w:r>
      <w:r>
        <w:rPr>
          <w:color w:val="auto"/>
          <w:highlight w:val="none"/>
        </w:rPr>
        <w:instrText xml:space="preserve"> HYPERLINK "mailto:供应商需于招标文件获取时间内将法定代表人（企业负责人）或委托代理人本人身份证复印件、法定代表人（企业负责人）授权书原件（委托代理时）、招标文件工本费转帐底单（以上材料须加盖单位公章）扫描发邮件至348978712@qq.com邮箱，代理机构收到材料核验信息无误后，1个工作日内向供应商发送电子版招标文件。" </w:instrText>
      </w:r>
      <w:r>
        <w:rPr>
          <w:color w:val="auto"/>
          <w:highlight w:val="none"/>
        </w:rPr>
        <w:fldChar w:fldCharType="separate"/>
      </w:r>
      <w:r>
        <w:rPr>
          <w:rFonts w:hint="eastAsia" w:ascii="宋体" w:hAnsi="宋体" w:cs="宋体"/>
          <w:color w:val="auto"/>
          <w:szCs w:val="21"/>
          <w:highlight w:val="none"/>
        </w:rPr>
        <w:t>供应商需于磋商文件获取时间内将文件工本费（只接受公对公转账，不接受私人账号转账，并备注项目编号）转账底单（并附上项目名称、项目编号、收件人姓名、联系电话、收件地址、开票信息）扫描发邮件至zhonglianxmgl@</w:t>
      </w:r>
      <w:r>
        <w:rPr>
          <w:rFonts w:hint="eastAsia" w:ascii="宋体" w:hAnsi="宋体" w:cs="宋体"/>
          <w:color w:val="auto"/>
          <w:szCs w:val="21"/>
          <w:highlight w:val="none"/>
          <w:lang w:val="en-US" w:eastAsia="zh-CN"/>
        </w:rPr>
        <w:t>163</w:t>
      </w:r>
      <w:r>
        <w:rPr>
          <w:rFonts w:hint="eastAsia" w:ascii="宋体" w:hAnsi="宋体" w:cs="宋体"/>
          <w:color w:val="auto"/>
          <w:szCs w:val="21"/>
          <w:highlight w:val="none"/>
        </w:rPr>
        <w:t>.com邮箱，代理机构查收后当日向供应商发送获取文件登记表及电子版磋商文件并办理纸质版磋商文件邮寄事宜</w:t>
      </w:r>
      <w:r>
        <w:rPr>
          <w:rFonts w:hint="eastAsia" w:ascii="宋体" w:hAnsi="宋体" w:cs="宋体"/>
          <w:color w:val="auto"/>
          <w:szCs w:val="21"/>
          <w:highlight w:val="none"/>
        </w:rPr>
        <w:fldChar w:fldCharType="end"/>
      </w:r>
      <w:r>
        <w:rPr>
          <w:rFonts w:hint="eastAsia" w:ascii="宋体" w:hAnsi="宋体" w:cs="宋体"/>
          <w:color w:val="auto"/>
          <w:szCs w:val="21"/>
          <w:highlight w:val="none"/>
        </w:rPr>
        <w:t>（供应商未提供联系方式，由此造成供应商无法按时获取纸质版磋商文件的，责任由供应商承担）。</w:t>
      </w:r>
    </w:p>
    <w:p w14:paraId="72439B62">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收款人户名：广西众联工程项目管理有限公司</w:t>
      </w:r>
    </w:p>
    <w:p w14:paraId="6919FAE1">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开户银行：中国光大银行股份有限公司南宁民主支行</w:t>
      </w:r>
    </w:p>
    <w:p w14:paraId="6769B198">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rPr>
        <w:t>银行账号：78900188000167866</w:t>
      </w:r>
    </w:p>
    <w:p w14:paraId="09A9D080">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售价：¥300.00元，本公告包含的磋商文件售价总和。</w:t>
      </w:r>
    </w:p>
    <w:p w14:paraId="2ACDDA84">
      <w:pPr>
        <w:keepNext w:val="0"/>
        <w:keepLines w:val="0"/>
        <w:pageBreakBefore w:val="0"/>
        <w:kinsoku/>
        <w:wordWrap/>
        <w:overflowPunct/>
        <w:topLinePunct w:val="0"/>
        <w:autoSpaceDE/>
        <w:autoSpaceDN/>
        <w:bidi w:val="0"/>
        <w:adjustRightInd/>
        <w:snapToGrid/>
        <w:spacing w:line="440" w:lineRule="atLeast"/>
        <w:textAlignment w:val="auto"/>
        <w:rPr>
          <w:rFonts w:ascii="宋体" w:hAnsi="宋体" w:cs="宋体"/>
          <w:b/>
          <w:bCs/>
          <w:color w:val="auto"/>
          <w:szCs w:val="21"/>
          <w:highlight w:val="none"/>
        </w:rPr>
      </w:pPr>
      <w:r>
        <w:rPr>
          <w:rFonts w:hint="eastAsia" w:ascii="宋体" w:hAnsi="宋体" w:cs="宋体"/>
          <w:b/>
          <w:bCs/>
          <w:color w:val="auto"/>
          <w:szCs w:val="21"/>
          <w:highlight w:val="none"/>
        </w:rPr>
        <w:t>四、响应文件</w:t>
      </w:r>
      <w:r>
        <w:rPr>
          <w:rFonts w:hint="eastAsia" w:ascii="宋体" w:hAnsi="宋体" w:cs="宋体"/>
          <w:b/>
          <w:bCs/>
          <w:color w:val="auto"/>
          <w:szCs w:val="21"/>
          <w:highlight w:val="none"/>
          <w:lang w:val="en-US" w:eastAsia="zh-CN"/>
        </w:rPr>
        <w:t>提</w:t>
      </w:r>
      <w:r>
        <w:rPr>
          <w:rFonts w:hint="eastAsia" w:ascii="宋体" w:hAnsi="宋体" w:cs="宋体"/>
          <w:b/>
          <w:bCs/>
          <w:color w:val="auto"/>
          <w:szCs w:val="21"/>
          <w:highlight w:val="none"/>
        </w:rPr>
        <w:t>交</w:t>
      </w:r>
    </w:p>
    <w:p w14:paraId="3AC818DC">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ascii="宋体" w:hAnsi="宋体" w:cs="宋体"/>
          <w:bCs/>
          <w:color w:val="auto"/>
          <w:szCs w:val="21"/>
          <w:highlight w:val="none"/>
        </w:rPr>
      </w:pPr>
      <w:r>
        <w:rPr>
          <w:rFonts w:hint="eastAsia" w:ascii="宋体" w:hAnsi="宋体" w:cs="宋体"/>
          <w:color w:val="auto"/>
          <w:szCs w:val="21"/>
          <w:highlight w:val="none"/>
        </w:rPr>
        <w:t>截止时间：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9时30分</w:t>
      </w:r>
      <w:r>
        <w:rPr>
          <w:rFonts w:hint="eastAsia" w:ascii="宋体" w:hAnsi="宋体" w:cs="宋体"/>
          <w:color w:val="auto"/>
          <w:szCs w:val="21"/>
          <w:highlight w:val="none"/>
        </w:rPr>
        <w:t>（北京时间）</w:t>
      </w:r>
    </w:p>
    <w:p w14:paraId="5C0ACAF8">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ascii="宋体" w:hAnsi="宋体" w:cs="宋体" w:eastAsiaTheme="minorEastAsia"/>
          <w:bCs/>
          <w:color w:val="auto"/>
          <w:szCs w:val="21"/>
          <w:highlight w:val="none"/>
          <w:u w:val="single"/>
        </w:rPr>
      </w:pPr>
      <w:r>
        <w:rPr>
          <w:rFonts w:hint="eastAsia" w:ascii="宋体" w:hAnsi="宋体" w:cs="宋体"/>
          <w:color w:val="auto"/>
          <w:szCs w:val="21"/>
          <w:highlight w:val="none"/>
        </w:rPr>
        <w:t>地点：</w:t>
      </w:r>
      <w:r>
        <w:rPr>
          <w:rFonts w:hint="eastAsia" w:ascii="宋体" w:hAnsi="宋体" w:cs="宋体"/>
          <w:b/>
          <w:bCs/>
          <w:color w:val="auto"/>
          <w:szCs w:val="21"/>
          <w:highlight w:val="none"/>
          <w:lang w:eastAsia="zh-CN"/>
        </w:rPr>
        <w:t>广西众联工程项目管理有限公司开标厅（南宁市江南区白沙大道53号松宇时代14层）</w:t>
      </w:r>
      <w:r>
        <w:rPr>
          <w:rFonts w:hint="eastAsia" w:asciiTheme="minorEastAsia" w:hAnsiTheme="minorEastAsia" w:eastAsiaTheme="minorEastAsia" w:cstheme="minorEastAsia"/>
          <w:color w:val="auto"/>
          <w:szCs w:val="21"/>
          <w:highlight w:val="none"/>
        </w:rPr>
        <w:t>，逾期送达或未密封的响应文件将予以拒收。</w:t>
      </w:r>
    </w:p>
    <w:p w14:paraId="021895C5">
      <w:pPr>
        <w:keepNext w:val="0"/>
        <w:keepLines w:val="0"/>
        <w:pageBreakBefore w:val="0"/>
        <w:kinsoku/>
        <w:wordWrap/>
        <w:overflowPunct/>
        <w:topLinePunct w:val="0"/>
        <w:autoSpaceDE/>
        <w:autoSpaceDN/>
        <w:bidi w:val="0"/>
        <w:adjustRightInd/>
        <w:snapToGrid/>
        <w:spacing w:line="440" w:lineRule="atLeast"/>
        <w:textAlignment w:val="auto"/>
        <w:rPr>
          <w:rFonts w:ascii="宋体" w:hAnsi="宋体" w:cs="宋体"/>
          <w:b/>
          <w:bCs/>
          <w:color w:val="auto"/>
          <w:szCs w:val="21"/>
          <w:highlight w:val="none"/>
        </w:rPr>
      </w:pPr>
      <w:r>
        <w:rPr>
          <w:rFonts w:hint="eastAsia" w:ascii="宋体" w:hAnsi="宋体" w:cs="宋体"/>
          <w:b/>
          <w:bCs/>
          <w:color w:val="auto"/>
          <w:szCs w:val="21"/>
          <w:highlight w:val="none"/>
        </w:rPr>
        <w:t>五、开启</w:t>
      </w:r>
    </w:p>
    <w:p w14:paraId="2E66C7BB">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ascii="宋体" w:hAnsi="宋体" w:cs="宋体"/>
          <w:bCs/>
          <w:color w:val="auto"/>
          <w:szCs w:val="21"/>
          <w:highlight w:val="none"/>
          <w:u w:val="single"/>
        </w:rPr>
      </w:pP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9时30分</w:t>
      </w:r>
      <w:r>
        <w:rPr>
          <w:rFonts w:hint="eastAsia" w:ascii="宋体" w:hAnsi="宋体" w:cs="宋体"/>
          <w:color w:val="auto"/>
          <w:szCs w:val="21"/>
          <w:highlight w:val="none"/>
        </w:rPr>
        <w:t>（北京时间）</w:t>
      </w:r>
    </w:p>
    <w:p w14:paraId="5C7D9AAD">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b/>
          <w:bCs/>
          <w:color w:val="auto"/>
          <w:szCs w:val="21"/>
          <w:highlight w:val="none"/>
          <w:u w:val="single"/>
          <w:lang w:eastAsia="zh-CN"/>
        </w:rPr>
      </w:pPr>
      <w:r>
        <w:rPr>
          <w:rFonts w:hint="eastAsia" w:ascii="宋体" w:hAnsi="宋体" w:cs="宋体"/>
          <w:color w:val="auto"/>
          <w:szCs w:val="21"/>
          <w:highlight w:val="none"/>
        </w:rPr>
        <w:t>地点：</w:t>
      </w:r>
      <w:r>
        <w:rPr>
          <w:rFonts w:hint="eastAsia" w:ascii="宋体" w:hAnsi="宋体" w:cs="宋体"/>
          <w:b/>
          <w:bCs/>
          <w:color w:val="auto"/>
          <w:szCs w:val="21"/>
          <w:highlight w:val="none"/>
          <w:lang w:eastAsia="zh-CN"/>
        </w:rPr>
        <w:t>广西众联工程项目管理有限公司评标室（南宁市江南区白沙大道53号松宇时代14层）。</w:t>
      </w:r>
    </w:p>
    <w:p w14:paraId="176B179F">
      <w:pPr>
        <w:keepNext w:val="0"/>
        <w:keepLines w:val="0"/>
        <w:pageBreakBefore w:val="0"/>
        <w:widowControl w:val="0"/>
        <w:kinsoku/>
        <w:wordWrap/>
        <w:overflowPunct/>
        <w:topLinePunct w:val="0"/>
        <w:autoSpaceDE/>
        <w:autoSpaceDN/>
        <w:bidi w:val="0"/>
        <w:adjustRightInd/>
        <w:snapToGrid/>
        <w:spacing w:line="440" w:lineRule="atLeast"/>
        <w:textAlignment w:val="auto"/>
        <w:rPr>
          <w:rFonts w:ascii="宋体" w:hAnsi="宋体" w:cs="宋体"/>
          <w:b/>
          <w:bCs/>
          <w:color w:val="auto"/>
          <w:szCs w:val="21"/>
          <w:highlight w:val="none"/>
        </w:rPr>
      </w:pPr>
      <w:r>
        <w:rPr>
          <w:rFonts w:hint="eastAsia" w:ascii="宋体" w:hAnsi="宋体" w:cs="宋体"/>
          <w:b/>
          <w:bCs/>
          <w:color w:val="auto"/>
          <w:szCs w:val="21"/>
          <w:highlight w:val="none"/>
        </w:rPr>
        <w:t>六、公告期限</w:t>
      </w:r>
    </w:p>
    <w:p w14:paraId="2885225B">
      <w:pPr>
        <w:keepNext w:val="0"/>
        <w:keepLines w:val="0"/>
        <w:pageBreakBefore w:val="0"/>
        <w:widowControl w:val="0"/>
        <w:kinsoku/>
        <w:wordWrap/>
        <w:overflowPunct/>
        <w:topLinePunct w:val="0"/>
        <w:autoSpaceDE/>
        <w:autoSpaceDN/>
        <w:bidi w:val="0"/>
        <w:adjustRightInd/>
        <w:snapToGrid/>
        <w:spacing w:line="440" w:lineRule="atLeas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w:t>
      </w:r>
    </w:p>
    <w:p w14:paraId="2421E69C">
      <w:pPr>
        <w:keepNext w:val="0"/>
        <w:keepLines w:val="0"/>
        <w:pageBreakBefore w:val="0"/>
        <w:widowControl w:val="0"/>
        <w:kinsoku/>
        <w:wordWrap/>
        <w:overflowPunct/>
        <w:topLinePunct w:val="0"/>
        <w:autoSpaceDE/>
        <w:autoSpaceDN/>
        <w:bidi w:val="0"/>
        <w:adjustRightInd/>
        <w:snapToGrid/>
        <w:spacing w:line="440" w:lineRule="atLeast"/>
        <w:textAlignment w:val="auto"/>
        <w:rPr>
          <w:rFonts w:ascii="宋体" w:hAnsi="宋体" w:cs="宋体"/>
          <w:b/>
          <w:bCs/>
          <w:color w:val="auto"/>
          <w:szCs w:val="21"/>
          <w:highlight w:val="none"/>
        </w:rPr>
      </w:pPr>
      <w:r>
        <w:rPr>
          <w:rFonts w:hint="eastAsia" w:ascii="宋体" w:hAnsi="宋体" w:cs="宋体"/>
          <w:b/>
          <w:bCs/>
          <w:color w:val="auto"/>
          <w:szCs w:val="21"/>
          <w:highlight w:val="none"/>
        </w:rPr>
        <w:t>七、其他补充事宜</w:t>
      </w:r>
    </w:p>
    <w:p w14:paraId="4354FEC2">
      <w:pPr>
        <w:keepNext w:val="0"/>
        <w:keepLines w:val="0"/>
        <w:pageBreakBefore w:val="0"/>
        <w:widowControl w:val="0"/>
        <w:kinsoku/>
        <w:wordWrap/>
        <w:overflowPunct/>
        <w:topLinePunct w:val="0"/>
        <w:autoSpaceDE/>
        <w:autoSpaceDN/>
        <w:bidi w:val="0"/>
        <w:adjustRightInd/>
        <w:snapToGrid/>
        <w:spacing w:line="440" w:lineRule="atLeas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1.磋商时间及地点：于</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9时30分</w:t>
      </w:r>
      <w:r>
        <w:rPr>
          <w:rFonts w:hint="eastAsia" w:ascii="宋体" w:hAnsi="宋体" w:cs="宋体"/>
          <w:color w:val="auto"/>
          <w:szCs w:val="21"/>
          <w:highlight w:val="none"/>
        </w:rPr>
        <w:t>截标后为磋商小组与供应商磋商时间，具体时间由采购代理机构另行通知。地点：</w:t>
      </w:r>
      <w:r>
        <w:rPr>
          <w:rFonts w:hint="eastAsia" w:ascii="宋体" w:hAnsi="宋体" w:cs="宋体"/>
          <w:b/>
          <w:bCs/>
          <w:color w:val="auto"/>
          <w:szCs w:val="21"/>
          <w:highlight w:val="none"/>
          <w:lang w:eastAsia="zh-CN"/>
        </w:rPr>
        <w:t>广西众联工程项目管理有限公司评标室（南宁市江南区白沙大道53号松宇时代14层）</w:t>
      </w:r>
      <w:r>
        <w:rPr>
          <w:rFonts w:hint="eastAsia" w:ascii="宋体" w:hAnsi="宋体" w:cs="宋体"/>
          <w:color w:val="auto"/>
          <w:szCs w:val="21"/>
          <w:highlight w:val="none"/>
        </w:rPr>
        <w:t>（以</w:t>
      </w:r>
      <w:r>
        <w:rPr>
          <w:rFonts w:hint="eastAsia" w:ascii="宋体" w:hAnsi="宋体" w:cs="宋体"/>
          <w:color w:val="auto"/>
          <w:szCs w:val="21"/>
          <w:highlight w:val="none"/>
          <w:lang w:val="en-US" w:eastAsia="zh-CN"/>
        </w:rPr>
        <w:t>采购代理机构</w:t>
      </w:r>
      <w:r>
        <w:rPr>
          <w:rFonts w:hint="eastAsia" w:ascii="宋体" w:hAnsi="宋体" w:cs="宋体"/>
          <w:color w:val="auto"/>
          <w:szCs w:val="21"/>
          <w:highlight w:val="none"/>
        </w:rPr>
        <w:t>具体通知为准），参加磋商的法定代表人（负责人） 或委托代理人必须持有效证件[法定代表人（负责人）凭身份证或委托代理人凭法人授权委托书原件和身份证]依时</w:t>
      </w:r>
      <w:r>
        <w:rPr>
          <w:rFonts w:hint="eastAsia" w:ascii="宋体" w:hAnsi="宋体" w:cs="宋体"/>
          <w:color w:val="auto"/>
          <w:szCs w:val="21"/>
          <w:highlight w:val="none"/>
          <w:lang w:eastAsia="zh-CN"/>
        </w:rPr>
        <w:t>到达</w:t>
      </w:r>
      <w:r>
        <w:rPr>
          <w:rFonts w:hint="eastAsia" w:ascii="宋体" w:hAnsi="宋体" w:cs="宋体"/>
          <w:color w:val="auto"/>
          <w:szCs w:val="21"/>
          <w:highlight w:val="none"/>
        </w:rPr>
        <w:t>指定地点等候当面磋商。</w:t>
      </w:r>
    </w:p>
    <w:p w14:paraId="7D8143A4">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2.公告媒体：</w:t>
      </w:r>
      <w:r>
        <w:rPr>
          <w:rFonts w:hint="eastAsia" w:ascii="宋体" w:hAnsi="宋体" w:cs="宋体"/>
          <w:color w:val="auto"/>
          <w:szCs w:val="21"/>
          <w:highlight w:val="none"/>
          <w:lang w:eastAsia="zh-CN"/>
        </w:rPr>
        <w:t>国家税务总局广西壮族自治区税务局</w:t>
      </w:r>
      <w:r>
        <w:rPr>
          <w:rFonts w:hint="eastAsia" w:ascii="宋体" w:hAnsi="宋体" w:cs="宋体"/>
          <w:color w:val="auto"/>
          <w:szCs w:val="21"/>
          <w:highlight w:val="none"/>
          <w:lang w:val="en-US" w:eastAsia="zh-CN"/>
        </w:rPr>
        <w:t>河池</w:t>
      </w:r>
      <w:r>
        <w:rPr>
          <w:rFonts w:hint="eastAsia" w:ascii="宋体" w:hAnsi="宋体" w:cs="宋体"/>
          <w:color w:val="auto"/>
          <w:szCs w:val="21"/>
          <w:highlight w:val="none"/>
          <w:lang w:eastAsia="zh-CN"/>
        </w:rPr>
        <w:t>频道</w:t>
      </w:r>
      <w:r>
        <w:rPr>
          <w:rFonts w:hint="eastAsia" w:ascii="宋体" w:hAnsi="宋体" w:cs="宋体"/>
          <w:color w:val="auto"/>
          <w:szCs w:val="21"/>
          <w:highlight w:val="none"/>
        </w:rPr>
        <w:t>（</w:t>
      </w:r>
      <w:r>
        <w:rPr>
          <w:rFonts w:hint="eastAsia" w:ascii="宋体" w:hAnsi="宋体" w:cs="宋体"/>
          <w:color w:val="auto"/>
          <w:szCs w:val="21"/>
          <w:highlight w:val="none"/>
          <w:lang w:eastAsia="zh-CN"/>
        </w:rPr>
        <w:t>https://guangxi.chinatax.gov.cn/</w:t>
      </w:r>
      <w:r>
        <w:rPr>
          <w:rFonts w:hint="eastAsia" w:ascii="宋体" w:hAnsi="宋体" w:cs="宋体"/>
          <w:color w:val="auto"/>
          <w:szCs w:val="21"/>
          <w:highlight w:val="none"/>
          <w:lang w:val="en-US" w:eastAsia="zh-CN"/>
        </w:rPr>
        <w:t>hechi</w:t>
      </w:r>
      <w:r>
        <w:rPr>
          <w:rFonts w:hint="eastAsia" w:ascii="宋体" w:hAnsi="宋体" w:cs="宋体"/>
          <w:color w:val="auto"/>
          <w:szCs w:val="21"/>
          <w:highlight w:val="none"/>
          <w:lang w:eastAsia="zh-CN"/>
        </w:rPr>
        <w:t>/</w:t>
      </w:r>
      <w:r>
        <w:rPr>
          <w:rFonts w:hint="eastAsia" w:ascii="宋体" w:hAnsi="宋体" w:cs="宋体"/>
          <w:color w:val="auto"/>
          <w:szCs w:val="21"/>
          <w:highlight w:val="none"/>
        </w:rPr>
        <w:t>）、广西众联工程项目管理有限公司网站（http://www.gxzhonglian.cn/default.aspx）。</w:t>
      </w:r>
    </w:p>
    <w:p w14:paraId="0AD19A9C">
      <w:pPr>
        <w:keepNext w:val="0"/>
        <w:keepLines w:val="0"/>
        <w:pageBreakBefore w:val="0"/>
        <w:widowControl w:val="0"/>
        <w:kinsoku/>
        <w:wordWrap/>
        <w:overflowPunct/>
        <w:topLinePunct w:val="0"/>
        <w:autoSpaceDE/>
        <w:autoSpaceDN/>
        <w:bidi w:val="0"/>
        <w:adjustRightInd/>
        <w:snapToGrid/>
        <w:spacing w:line="440" w:lineRule="atLeast"/>
        <w:textAlignment w:val="auto"/>
        <w:rPr>
          <w:rFonts w:ascii="宋体" w:hAnsi="宋体" w:cs="宋体"/>
          <w:b/>
          <w:bCs/>
          <w:color w:val="auto"/>
          <w:szCs w:val="21"/>
          <w:highlight w:val="none"/>
        </w:rPr>
      </w:pPr>
      <w:r>
        <w:rPr>
          <w:rFonts w:hint="eastAsia" w:ascii="宋体" w:hAnsi="宋体" w:cs="宋体"/>
          <w:b/>
          <w:bCs/>
          <w:color w:val="auto"/>
          <w:szCs w:val="21"/>
          <w:highlight w:val="none"/>
        </w:rPr>
        <w:t>八、凡对本次采购提出询问，请按以下方式联系</w:t>
      </w:r>
    </w:p>
    <w:p w14:paraId="6AD18ACE">
      <w:pPr>
        <w:keepNext w:val="0"/>
        <w:keepLines w:val="0"/>
        <w:pageBreakBefore w:val="0"/>
        <w:widowControl w:val="0"/>
        <w:kinsoku/>
        <w:wordWrap/>
        <w:overflowPunct/>
        <w:topLinePunct w:val="0"/>
        <w:autoSpaceDE/>
        <w:autoSpaceDN/>
        <w:bidi w:val="0"/>
        <w:adjustRightInd/>
        <w:snapToGrid/>
        <w:spacing w:line="440" w:lineRule="atLeas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1.采购人信息</w:t>
      </w:r>
    </w:p>
    <w:p w14:paraId="1344D1E5">
      <w:pPr>
        <w:keepNext w:val="0"/>
        <w:keepLines w:val="0"/>
        <w:pageBreakBefore w:val="0"/>
        <w:widowControl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国家税务总局南丹县税务局</w:t>
      </w:r>
    </w:p>
    <w:p w14:paraId="5E894AC6">
      <w:pPr>
        <w:keepNext w:val="0"/>
        <w:keepLines w:val="0"/>
        <w:pageBreakBefore w:val="0"/>
        <w:widowControl w:val="0"/>
        <w:kinsoku/>
        <w:wordWrap/>
        <w:overflowPunct/>
        <w:topLinePunct w:val="0"/>
        <w:autoSpaceDE/>
        <w:autoSpaceDN/>
        <w:bidi w:val="0"/>
        <w:adjustRightInd/>
        <w:snapToGrid/>
        <w:spacing w:line="440" w:lineRule="atLeast"/>
        <w:ind w:firstLine="420" w:firstLineChars="200"/>
        <w:textAlignment w:val="auto"/>
        <w:rPr>
          <w:rFonts w:hint="default" w:ascii="宋体" w:hAnsi="宋体" w:cs="宋体"/>
          <w:color w:val="auto"/>
          <w:szCs w:val="21"/>
          <w:highlight w:val="none"/>
          <w:lang w:val="en-US"/>
        </w:rPr>
      </w:pPr>
      <w:r>
        <w:rPr>
          <w:rFonts w:hint="default" w:ascii="宋体" w:hAnsi="宋体" w:cs="宋体"/>
          <w:color w:val="auto"/>
          <w:szCs w:val="21"/>
          <w:highlight w:val="none"/>
          <w:lang w:val="en-US"/>
        </w:rPr>
        <w:t>地    址：南丹县城关镇锡都路86号</w:t>
      </w:r>
    </w:p>
    <w:p w14:paraId="78C29BAD">
      <w:pPr>
        <w:keepNext w:val="0"/>
        <w:keepLines w:val="0"/>
        <w:pageBreakBefore w:val="0"/>
        <w:widowControl w:val="0"/>
        <w:kinsoku/>
        <w:wordWrap/>
        <w:overflowPunct/>
        <w:topLinePunct w:val="0"/>
        <w:autoSpaceDE/>
        <w:autoSpaceDN/>
        <w:bidi w:val="0"/>
        <w:adjustRightInd/>
        <w:snapToGrid/>
        <w:spacing w:line="440" w:lineRule="atLeast"/>
        <w:ind w:firstLine="420" w:firstLineChars="200"/>
        <w:textAlignment w:val="auto"/>
        <w:rPr>
          <w:rFonts w:hint="default" w:ascii="宋体" w:hAnsi="宋体" w:eastAsia="宋体" w:cs="宋体"/>
          <w:color w:val="auto"/>
          <w:szCs w:val="21"/>
          <w:highlight w:val="none"/>
          <w:lang w:val="en-US" w:eastAsia="zh-CN"/>
        </w:rPr>
      </w:pPr>
      <w:r>
        <w:rPr>
          <w:rFonts w:hint="default" w:ascii="宋体" w:hAnsi="宋体" w:cs="宋体"/>
          <w:color w:val="auto"/>
          <w:szCs w:val="21"/>
          <w:highlight w:val="none"/>
          <w:lang w:val="en-US"/>
        </w:rPr>
        <w:t>联系方式：</w:t>
      </w:r>
      <w:r>
        <w:rPr>
          <w:rFonts w:hint="eastAsia" w:ascii="宋体" w:hAnsi="宋体" w:cs="宋体"/>
          <w:color w:val="auto"/>
          <w:szCs w:val="21"/>
          <w:highlight w:val="none"/>
          <w:lang w:val="en-US" w:eastAsia="zh-CN"/>
        </w:rPr>
        <w:t>张媛</w:t>
      </w:r>
      <w:r>
        <w:rPr>
          <w:rFonts w:hint="default" w:ascii="宋体" w:hAnsi="宋体" w:cs="宋体"/>
          <w:color w:val="auto"/>
          <w:szCs w:val="21"/>
          <w:highlight w:val="none"/>
          <w:lang w:val="en-US"/>
        </w:rPr>
        <w:t xml:space="preserve">  0778-</w:t>
      </w:r>
      <w:r>
        <w:rPr>
          <w:rFonts w:hint="eastAsia" w:ascii="宋体" w:hAnsi="宋体" w:cs="宋体"/>
          <w:color w:val="auto"/>
          <w:szCs w:val="21"/>
          <w:highlight w:val="none"/>
          <w:lang w:val="en-US" w:eastAsia="zh-CN"/>
        </w:rPr>
        <w:t>7237252</w:t>
      </w:r>
    </w:p>
    <w:p w14:paraId="5C0E9CF2">
      <w:pPr>
        <w:keepNext w:val="0"/>
        <w:keepLines w:val="0"/>
        <w:pageBreakBefore w:val="0"/>
        <w:widowControl w:val="0"/>
        <w:kinsoku/>
        <w:wordWrap/>
        <w:overflowPunct/>
        <w:topLinePunct w:val="0"/>
        <w:autoSpaceDE/>
        <w:autoSpaceDN/>
        <w:bidi w:val="0"/>
        <w:adjustRightInd/>
        <w:snapToGrid/>
        <w:spacing w:line="440" w:lineRule="atLeas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2.采购代理机构信息</w:t>
      </w:r>
    </w:p>
    <w:p w14:paraId="1BA936C6">
      <w:pPr>
        <w:keepNext w:val="0"/>
        <w:keepLines w:val="0"/>
        <w:pageBreakBefore w:val="0"/>
        <w:widowControl w:val="0"/>
        <w:kinsoku/>
        <w:wordWrap/>
        <w:overflowPunct/>
        <w:topLinePunct w:val="0"/>
        <w:autoSpaceDE/>
        <w:autoSpaceDN/>
        <w:bidi w:val="0"/>
        <w:adjustRightInd/>
        <w:snapToGrid/>
        <w:spacing w:line="440" w:lineRule="atLeas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名    称：广西众联工程项目管理有限公司</w:t>
      </w:r>
    </w:p>
    <w:p w14:paraId="484F3DCD">
      <w:pPr>
        <w:keepNext w:val="0"/>
        <w:keepLines w:val="0"/>
        <w:pageBreakBefore w:val="0"/>
        <w:widowControl w:val="0"/>
        <w:kinsoku/>
        <w:wordWrap/>
        <w:overflowPunct/>
        <w:topLinePunct w:val="0"/>
        <w:autoSpaceDE/>
        <w:autoSpaceDN/>
        <w:bidi w:val="0"/>
        <w:adjustRightInd/>
        <w:snapToGrid/>
        <w:spacing w:line="440" w:lineRule="atLeas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地　　址：南宁市江南区白沙大道53号松宇时代14A层</w:t>
      </w:r>
    </w:p>
    <w:p w14:paraId="6AD4408F">
      <w:pPr>
        <w:keepNext w:val="0"/>
        <w:keepLines w:val="0"/>
        <w:pageBreakBefore w:val="0"/>
        <w:widowControl w:val="0"/>
        <w:kinsoku/>
        <w:wordWrap/>
        <w:overflowPunct/>
        <w:topLinePunct w:val="0"/>
        <w:autoSpaceDE/>
        <w:autoSpaceDN/>
        <w:bidi w:val="0"/>
        <w:adjustRightInd/>
        <w:snapToGrid/>
        <w:spacing w:line="440" w:lineRule="atLeas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联系方式：姚茜、戚程、包鹏  0771-4308370、0771-4308713</w:t>
      </w:r>
    </w:p>
    <w:p w14:paraId="2BD4A666">
      <w:pPr>
        <w:keepNext w:val="0"/>
        <w:keepLines w:val="0"/>
        <w:pageBreakBefore w:val="0"/>
        <w:widowControl w:val="0"/>
        <w:kinsoku/>
        <w:wordWrap/>
        <w:overflowPunct/>
        <w:topLinePunct w:val="0"/>
        <w:autoSpaceDE/>
        <w:autoSpaceDN/>
        <w:bidi w:val="0"/>
        <w:adjustRightInd/>
        <w:snapToGrid/>
        <w:spacing w:line="440" w:lineRule="atLeas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3.项目联系方式</w:t>
      </w:r>
    </w:p>
    <w:p w14:paraId="73126502">
      <w:pPr>
        <w:keepNext w:val="0"/>
        <w:keepLines w:val="0"/>
        <w:pageBreakBefore w:val="0"/>
        <w:widowControl w:val="0"/>
        <w:kinsoku/>
        <w:wordWrap/>
        <w:overflowPunct/>
        <w:topLinePunct w:val="0"/>
        <w:autoSpaceDE/>
        <w:autoSpaceDN/>
        <w:bidi w:val="0"/>
        <w:adjustRightInd/>
        <w:snapToGrid/>
        <w:spacing w:line="440" w:lineRule="atLeas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项目联系人：姚茜、戚程、包鹏 </w:t>
      </w:r>
    </w:p>
    <w:p w14:paraId="346BAE94">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电　 　 话：0771-4308370、0771-4308713</w:t>
      </w:r>
    </w:p>
    <w:p w14:paraId="61FE7847">
      <w:pPr>
        <w:spacing w:line="400" w:lineRule="exact"/>
        <w:ind w:firstLine="420" w:firstLineChars="200"/>
        <w:rPr>
          <w:rFonts w:ascii="宋体" w:hAnsi="宋体" w:cs="宋体"/>
          <w:color w:val="auto"/>
          <w:szCs w:val="21"/>
          <w:highlight w:val="none"/>
        </w:rPr>
        <w:sectPr>
          <w:footerReference r:id="rId5" w:type="first"/>
          <w:footerReference r:id="rId4" w:type="default"/>
          <w:pgSz w:w="11906" w:h="16838"/>
          <w:pgMar w:top="1440" w:right="1417" w:bottom="1440" w:left="1417" w:header="851" w:footer="992" w:gutter="0"/>
          <w:pgNumType w:fmt="decimal" w:start="1"/>
          <w:cols w:space="720" w:num="1"/>
          <w:docGrid w:type="lines" w:linePitch="312" w:charSpace="0"/>
        </w:sectPr>
      </w:pPr>
    </w:p>
    <w:p w14:paraId="6FCFE4EC">
      <w:pPr>
        <w:pStyle w:val="3"/>
        <w:jc w:val="center"/>
        <w:rPr>
          <w:rFonts w:hint="default" w:cs="宋体"/>
          <w:color w:val="auto"/>
          <w:sz w:val="30"/>
          <w:szCs w:val="30"/>
          <w:highlight w:val="none"/>
        </w:rPr>
      </w:pPr>
      <w:bookmarkStart w:id="1" w:name="_Toc23978"/>
      <w:r>
        <w:rPr>
          <w:rFonts w:cs="宋体"/>
          <w:color w:val="auto"/>
          <w:sz w:val="30"/>
          <w:szCs w:val="30"/>
          <w:highlight w:val="none"/>
        </w:rPr>
        <w:t>第二章　供应商须知</w:t>
      </w:r>
      <w:bookmarkEnd w:id="1"/>
    </w:p>
    <w:p w14:paraId="73176AAD">
      <w:pPr>
        <w:pStyle w:val="4"/>
        <w:jc w:val="center"/>
        <w:rPr>
          <w:rFonts w:ascii="宋体" w:hAnsi="宋体" w:eastAsia="宋体" w:cs="宋体"/>
          <w:color w:val="auto"/>
          <w:sz w:val="28"/>
          <w:szCs w:val="28"/>
          <w:highlight w:val="none"/>
        </w:rPr>
      </w:pPr>
      <w:bookmarkStart w:id="2" w:name="_Toc20587"/>
      <w:bookmarkStart w:id="3" w:name="_Toc32100"/>
      <w:bookmarkStart w:id="4" w:name="_Toc6669"/>
      <w:r>
        <w:rPr>
          <w:rFonts w:hint="eastAsia" w:ascii="宋体" w:hAnsi="宋体" w:eastAsia="宋体" w:cs="宋体"/>
          <w:color w:val="auto"/>
          <w:sz w:val="28"/>
          <w:szCs w:val="28"/>
          <w:highlight w:val="none"/>
        </w:rPr>
        <w:t>供应商须知前附表</w:t>
      </w:r>
      <w:bookmarkEnd w:id="2"/>
      <w:bookmarkEnd w:id="3"/>
      <w:bookmarkEnd w:id="4"/>
    </w:p>
    <w:tbl>
      <w:tblPr>
        <w:tblStyle w:val="20"/>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859"/>
        <w:gridCol w:w="976"/>
        <w:gridCol w:w="5367"/>
      </w:tblGrid>
      <w:tr w14:paraId="3F1E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14:paraId="4878C9CC">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 号</w:t>
            </w:r>
          </w:p>
        </w:tc>
        <w:tc>
          <w:tcPr>
            <w:tcW w:w="1859" w:type="dxa"/>
            <w:tcBorders>
              <w:top w:val="single" w:color="auto" w:sz="4" w:space="0"/>
              <w:left w:val="single" w:color="auto" w:sz="4" w:space="0"/>
              <w:bottom w:val="single" w:color="auto" w:sz="4" w:space="0"/>
              <w:right w:val="single" w:color="auto" w:sz="4" w:space="0"/>
            </w:tcBorders>
            <w:vAlign w:val="center"/>
          </w:tcPr>
          <w:p w14:paraId="10FCEA98">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类  别</w:t>
            </w:r>
          </w:p>
        </w:tc>
        <w:tc>
          <w:tcPr>
            <w:tcW w:w="6343" w:type="dxa"/>
            <w:gridSpan w:val="2"/>
            <w:tcBorders>
              <w:top w:val="single" w:color="auto" w:sz="4" w:space="0"/>
              <w:left w:val="single" w:color="auto" w:sz="4" w:space="0"/>
              <w:bottom w:val="single" w:color="auto" w:sz="4" w:space="0"/>
              <w:right w:val="single" w:color="auto" w:sz="4" w:space="0"/>
            </w:tcBorders>
            <w:vAlign w:val="center"/>
          </w:tcPr>
          <w:p w14:paraId="6399601F">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55C3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35" w:type="dxa"/>
            <w:vMerge w:val="restart"/>
            <w:tcBorders>
              <w:top w:val="single" w:color="auto" w:sz="4" w:space="0"/>
              <w:left w:val="single" w:color="auto" w:sz="4" w:space="0"/>
              <w:right w:val="single" w:color="auto" w:sz="4" w:space="0"/>
            </w:tcBorders>
            <w:vAlign w:val="center"/>
          </w:tcPr>
          <w:p w14:paraId="07F047F5">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859" w:type="dxa"/>
            <w:vMerge w:val="restart"/>
            <w:tcBorders>
              <w:top w:val="single" w:color="auto" w:sz="4" w:space="0"/>
              <w:left w:val="single" w:color="auto" w:sz="4" w:space="0"/>
              <w:right w:val="single" w:color="auto" w:sz="4" w:space="0"/>
            </w:tcBorders>
            <w:vAlign w:val="center"/>
          </w:tcPr>
          <w:p w14:paraId="165759E2">
            <w:pPr>
              <w:adjustRightInd w:val="0"/>
              <w:snapToGrid w:val="0"/>
              <w:spacing w:line="360" w:lineRule="auto"/>
              <w:jc w:val="center"/>
              <w:rPr>
                <w:rFonts w:ascii="宋体" w:hAnsi="宋体" w:cs="宋体"/>
                <w:b/>
                <w:color w:val="auto"/>
                <w:szCs w:val="21"/>
                <w:highlight w:val="none"/>
              </w:rPr>
            </w:pPr>
            <w:r>
              <w:rPr>
                <w:rFonts w:hint="eastAsia" w:ascii="宋体" w:hAnsi="宋体" w:cs="宋体"/>
                <w:color w:val="auto"/>
                <w:szCs w:val="21"/>
                <w:highlight w:val="none"/>
              </w:rPr>
              <w:t>项目名称、编号、预算及最高限价</w:t>
            </w:r>
          </w:p>
        </w:tc>
        <w:tc>
          <w:tcPr>
            <w:tcW w:w="6343" w:type="dxa"/>
            <w:gridSpan w:val="2"/>
            <w:tcBorders>
              <w:top w:val="single" w:color="auto" w:sz="4" w:space="0"/>
              <w:left w:val="single" w:color="auto" w:sz="4" w:space="0"/>
              <w:bottom w:val="single" w:color="auto" w:sz="4" w:space="0"/>
              <w:right w:val="single" w:color="auto" w:sz="4" w:space="0"/>
            </w:tcBorders>
            <w:vAlign w:val="center"/>
          </w:tcPr>
          <w:p w14:paraId="3E32A8E9">
            <w:pPr>
              <w:adjustRightInd w:val="0"/>
              <w:snapToGrid w:val="0"/>
              <w:spacing w:line="360" w:lineRule="auto"/>
              <w:jc w:val="both"/>
              <w:rPr>
                <w:rFonts w:hint="eastAsia" w:ascii="宋体" w:hAnsi="宋体" w:eastAsia="宋体" w:cs="宋体"/>
                <w:b/>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国家税务总局南丹县税务局2026年度物业管理服务采购</w:t>
            </w:r>
          </w:p>
        </w:tc>
      </w:tr>
      <w:tr w14:paraId="7602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tcBorders>
              <w:left w:val="single" w:color="auto" w:sz="4" w:space="0"/>
              <w:right w:val="single" w:color="auto" w:sz="4" w:space="0"/>
            </w:tcBorders>
            <w:vAlign w:val="center"/>
          </w:tcPr>
          <w:p w14:paraId="0B847D85">
            <w:pPr>
              <w:adjustRightInd w:val="0"/>
              <w:snapToGrid w:val="0"/>
              <w:spacing w:line="360" w:lineRule="auto"/>
              <w:jc w:val="center"/>
              <w:rPr>
                <w:rFonts w:ascii="宋体" w:hAnsi="宋体" w:cs="宋体"/>
                <w:color w:val="auto"/>
                <w:szCs w:val="21"/>
                <w:highlight w:val="none"/>
              </w:rPr>
            </w:pPr>
          </w:p>
        </w:tc>
        <w:tc>
          <w:tcPr>
            <w:tcW w:w="1859" w:type="dxa"/>
            <w:vMerge w:val="continue"/>
            <w:tcBorders>
              <w:left w:val="single" w:color="auto" w:sz="4" w:space="0"/>
              <w:right w:val="single" w:color="auto" w:sz="4" w:space="0"/>
            </w:tcBorders>
            <w:vAlign w:val="center"/>
          </w:tcPr>
          <w:p w14:paraId="7FD0BA97">
            <w:pPr>
              <w:adjustRightInd w:val="0"/>
              <w:snapToGrid w:val="0"/>
              <w:spacing w:line="360" w:lineRule="auto"/>
              <w:jc w:val="center"/>
              <w:rPr>
                <w:rFonts w:ascii="宋体" w:hAnsi="宋体" w:cs="宋体"/>
                <w:color w:val="auto"/>
                <w:szCs w:val="21"/>
                <w:highlight w:val="none"/>
              </w:rPr>
            </w:pPr>
          </w:p>
        </w:tc>
        <w:tc>
          <w:tcPr>
            <w:tcW w:w="6343" w:type="dxa"/>
            <w:gridSpan w:val="2"/>
            <w:tcBorders>
              <w:top w:val="single" w:color="auto" w:sz="4" w:space="0"/>
              <w:left w:val="single" w:color="auto" w:sz="4" w:space="0"/>
              <w:bottom w:val="single" w:color="auto" w:sz="4" w:space="0"/>
              <w:right w:val="single" w:color="auto" w:sz="4" w:space="0"/>
            </w:tcBorders>
            <w:vAlign w:val="center"/>
          </w:tcPr>
          <w:p w14:paraId="2921171B">
            <w:pPr>
              <w:adjustRightInd w:val="0"/>
              <w:snapToGrid w:val="0"/>
              <w:spacing w:line="360" w:lineRule="auto"/>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ZB2026-199</w:t>
            </w:r>
          </w:p>
        </w:tc>
      </w:tr>
      <w:tr w14:paraId="301F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tcBorders>
              <w:left w:val="single" w:color="auto" w:sz="4" w:space="0"/>
              <w:right w:val="single" w:color="auto" w:sz="4" w:space="0"/>
            </w:tcBorders>
            <w:vAlign w:val="center"/>
          </w:tcPr>
          <w:p w14:paraId="3930DF79">
            <w:pPr>
              <w:adjustRightInd w:val="0"/>
              <w:snapToGrid w:val="0"/>
              <w:spacing w:line="360" w:lineRule="auto"/>
              <w:jc w:val="center"/>
              <w:rPr>
                <w:rFonts w:ascii="宋体" w:hAnsi="宋体" w:cs="宋体"/>
                <w:color w:val="auto"/>
                <w:szCs w:val="21"/>
                <w:highlight w:val="none"/>
              </w:rPr>
            </w:pPr>
          </w:p>
        </w:tc>
        <w:tc>
          <w:tcPr>
            <w:tcW w:w="1859" w:type="dxa"/>
            <w:vMerge w:val="continue"/>
            <w:tcBorders>
              <w:left w:val="single" w:color="auto" w:sz="4" w:space="0"/>
              <w:right w:val="single" w:color="auto" w:sz="4" w:space="0"/>
            </w:tcBorders>
            <w:vAlign w:val="center"/>
          </w:tcPr>
          <w:p w14:paraId="769FA2E4">
            <w:pPr>
              <w:adjustRightInd w:val="0"/>
              <w:snapToGrid w:val="0"/>
              <w:spacing w:line="360" w:lineRule="auto"/>
              <w:jc w:val="center"/>
              <w:rPr>
                <w:rFonts w:ascii="宋体" w:hAnsi="宋体" w:cs="宋体"/>
                <w:color w:val="auto"/>
                <w:szCs w:val="21"/>
                <w:highlight w:val="none"/>
              </w:rPr>
            </w:pPr>
          </w:p>
        </w:tc>
        <w:tc>
          <w:tcPr>
            <w:tcW w:w="6343" w:type="dxa"/>
            <w:gridSpan w:val="2"/>
            <w:tcBorders>
              <w:top w:val="single" w:color="auto" w:sz="4" w:space="0"/>
              <w:left w:val="single" w:color="auto" w:sz="4" w:space="0"/>
              <w:bottom w:val="single" w:color="auto" w:sz="4" w:space="0"/>
              <w:right w:val="single" w:color="auto" w:sz="4" w:space="0"/>
            </w:tcBorders>
            <w:vAlign w:val="center"/>
          </w:tcPr>
          <w:p w14:paraId="4D02CA10">
            <w:pPr>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项目预算</w:t>
            </w:r>
            <w:r>
              <w:rPr>
                <w:rFonts w:hint="eastAsia" w:ascii="宋体" w:hAnsi="宋体" w:cs="宋体"/>
                <w:color w:val="auto"/>
                <w:szCs w:val="21"/>
                <w:highlight w:val="none"/>
                <w:lang w:eastAsia="zh-CN"/>
              </w:rPr>
              <w:t>：</w:t>
            </w:r>
            <w:r>
              <w:rPr>
                <w:rFonts w:hint="eastAsia" w:ascii="宋体" w:hAnsi="宋体" w:cs="宋体"/>
                <w:color w:val="auto"/>
                <w:szCs w:val="21"/>
                <w:highlight w:val="none"/>
              </w:rPr>
              <w:t>人民币（大写）玖拾捌万元整（¥</w:t>
            </w:r>
            <w:r>
              <w:rPr>
                <w:rFonts w:hint="eastAsia" w:ascii="宋体" w:hAnsi="宋体"/>
                <w:color w:val="auto"/>
                <w:szCs w:val="21"/>
                <w:highlight w:val="none"/>
              </w:rPr>
              <w:t>980000.00</w:t>
            </w:r>
            <w:r>
              <w:rPr>
                <w:rFonts w:hint="eastAsia" w:ascii="宋体" w:hAnsi="宋体" w:cs="宋体"/>
                <w:color w:val="auto"/>
                <w:szCs w:val="21"/>
                <w:highlight w:val="none"/>
              </w:rPr>
              <w:t>）</w:t>
            </w:r>
          </w:p>
          <w:p w14:paraId="0640FBF2">
            <w:pPr>
              <w:adjustRightInd w:val="0"/>
              <w:snapToGrid w:val="0"/>
              <w:spacing w:line="360" w:lineRule="auto"/>
              <w:jc w:val="both"/>
              <w:rPr>
                <w:rFonts w:ascii="宋体" w:hAnsi="宋体" w:cs="宋体"/>
                <w:color w:val="auto"/>
                <w:szCs w:val="21"/>
                <w:highlight w:val="none"/>
              </w:rPr>
            </w:pPr>
            <w:r>
              <w:rPr>
                <w:rFonts w:hint="eastAsia" w:ascii="宋体" w:hAnsi="宋体" w:cs="宋体"/>
                <w:color w:val="auto"/>
                <w:szCs w:val="21"/>
                <w:highlight w:val="none"/>
              </w:rPr>
              <w:t>最高限价：人民币（大写）玖拾捌万元整（¥</w:t>
            </w:r>
            <w:r>
              <w:rPr>
                <w:rFonts w:hint="eastAsia" w:ascii="宋体" w:hAnsi="宋体"/>
                <w:color w:val="auto"/>
                <w:szCs w:val="21"/>
                <w:highlight w:val="none"/>
              </w:rPr>
              <w:t>980000.00</w:t>
            </w:r>
            <w:r>
              <w:rPr>
                <w:rFonts w:hint="eastAsia" w:ascii="宋体" w:hAnsi="宋体" w:cs="宋体"/>
                <w:color w:val="auto"/>
                <w:szCs w:val="21"/>
                <w:highlight w:val="none"/>
              </w:rPr>
              <w:t>）</w:t>
            </w:r>
          </w:p>
        </w:tc>
      </w:tr>
      <w:tr w14:paraId="4F01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14:paraId="2226172A">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859" w:type="dxa"/>
            <w:tcBorders>
              <w:top w:val="single" w:color="auto" w:sz="4" w:space="0"/>
              <w:left w:val="single" w:color="auto" w:sz="4" w:space="0"/>
              <w:bottom w:val="single" w:color="auto" w:sz="4" w:space="0"/>
              <w:right w:val="single" w:color="auto" w:sz="4" w:space="0"/>
            </w:tcBorders>
            <w:vAlign w:val="center"/>
          </w:tcPr>
          <w:p w14:paraId="18067A6B">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采购需求</w:t>
            </w:r>
          </w:p>
        </w:tc>
        <w:tc>
          <w:tcPr>
            <w:tcW w:w="6343" w:type="dxa"/>
            <w:gridSpan w:val="2"/>
            <w:tcBorders>
              <w:top w:val="single" w:color="auto" w:sz="4" w:space="0"/>
              <w:left w:val="single" w:color="auto" w:sz="4" w:space="0"/>
              <w:bottom w:val="single" w:color="auto" w:sz="4" w:space="0"/>
              <w:right w:val="single" w:color="auto" w:sz="4" w:space="0"/>
            </w:tcBorders>
            <w:vAlign w:val="center"/>
          </w:tcPr>
          <w:p w14:paraId="6A411884">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详见《磋商文件（技术部分）》</w:t>
            </w:r>
          </w:p>
        </w:tc>
      </w:tr>
      <w:tr w14:paraId="58D6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14:paraId="640876B5">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859" w:type="dxa"/>
            <w:tcBorders>
              <w:top w:val="single" w:color="auto" w:sz="4" w:space="0"/>
              <w:left w:val="single" w:color="auto" w:sz="4" w:space="0"/>
              <w:bottom w:val="single" w:color="auto" w:sz="4" w:space="0"/>
              <w:right w:val="single" w:color="auto" w:sz="4" w:space="0"/>
            </w:tcBorders>
            <w:vAlign w:val="center"/>
          </w:tcPr>
          <w:p w14:paraId="5C30BFF7">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项目属性、类别等</w:t>
            </w:r>
          </w:p>
        </w:tc>
        <w:tc>
          <w:tcPr>
            <w:tcW w:w="6343" w:type="dxa"/>
            <w:gridSpan w:val="2"/>
            <w:tcBorders>
              <w:top w:val="single" w:color="auto" w:sz="4" w:space="0"/>
              <w:left w:val="single" w:color="auto" w:sz="4" w:space="0"/>
              <w:bottom w:val="single" w:color="auto" w:sz="4" w:space="0"/>
              <w:right w:val="single" w:color="auto" w:sz="4" w:space="0"/>
            </w:tcBorders>
            <w:vAlign w:val="center"/>
          </w:tcPr>
          <w:p w14:paraId="2FE2DF50">
            <w:pPr>
              <w:adjustRightInd w:val="0"/>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项目属性：</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货物         </w:t>
            </w:r>
            <w:r>
              <w:rPr>
                <w:rFonts w:hint="eastAsia" w:ascii="宋体" w:hAnsi="宋体" w:cs="宋体"/>
                <w:color w:val="auto"/>
                <w:szCs w:val="21"/>
                <w:highlight w:val="none"/>
              </w:rPr>
              <w:sym w:font="Wingdings 2" w:char="0052"/>
            </w:r>
            <w:r>
              <w:rPr>
                <w:rFonts w:hint="eastAsia" w:ascii="宋体" w:hAnsi="宋体" w:cs="宋体"/>
                <w:color w:val="auto"/>
                <w:szCs w:val="21"/>
                <w:highlight w:val="none"/>
              </w:rPr>
              <w:t xml:space="preserve">服务         </w:t>
            </w:r>
            <w:r>
              <w:rPr>
                <w:rFonts w:hint="eastAsia" w:ascii="宋体" w:hAnsi="宋体" w:cs="宋体"/>
                <w:color w:val="auto"/>
                <w:szCs w:val="21"/>
                <w:highlight w:val="none"/>
              </w:rPr>
              <w:sym w:font="Wingdings 2" w:char="F0A3"/>
            </w:r>
            <w:r>
              <w:rPr>
                <w:rFonts w:hint="eastAsia" w:ascii="宋体" w:hAnsi="宋体" w:cs="宋体"/>
                <w:color w:val="auto"/>
                <w:szCs w:val="21"/>
                <w:highlight w:val="none"/>
              </w:rPr>
              <w:t>工程</w:t>
            </w:r>
          </w:p>
          <w:p w14:paraId="28E31DFC">
            <w:pPr>
              <w:adjustRightInd w:val="0"/>
              <w:snapToGrid w:val="0"/>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项目类别：</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信息化项目   </w:t>
            </w:r>
            <w:r>
              <w:rPr>
                <w:rFonts w:hint="eastAsia" w:ascii="宋体" w:hAnsi="宋体" w:cs="宋体"/>
                <w:color w:val="auto"/>
                <w:szCs w:val="21"/>
                <w:highlight w:val="none"/>
              </w:rPr>
              <w:sym w:font="Wingdings 2" w:char="0052"/>
            </w:r>
            <w:r>
              <w:rPr>
                <w:rFonts w:hint="eastAsia" w:ascii="宋体" w:hAnsi="宋体" w:cs="宋体"/>
                <w:color w:val="auto"/>
                <w:szCs w:val="21"/>
                <w:highlight w:val="none"/>
              </w:rPr>
              <w:t>非信息化项目</w:t>
            </w:r>
          </w:p>
          <w:p w14:paraId="2593ACB7">
            <w:pPr>
              <w:pStyle w:val="2"/>
              <w:spacing w:line="360" w:lineRule="auto"/>
              <w:rPr>
                <w:rFonts w:ascii="宋体" w:hAnsi="宋体" w:cs="宋体"/>
                <w:color w:val="auto"/>
                <w:highlight w:val="none"/>
              </w:rPr>
            </w:pPr>
            <w:r>
              <w:rPr>
                <w:rFonts w:hint="eastAsia" w:ascii="宋体" w:hAnsi="宋体" w:cs="宋体"/>
                <w:color w:val="auto"/>
                <w:highlight w:val="none"/>
              </w:rPr>
              <w:t>本项目属于</w:t>
            </w:r>
            <w:r>
              <w:rPr>
                <w:rFonts w:hint="eastAsia" w:ascii="宋体" w:hAnsi="宋体" w:cs="宋体"/>
                <w:color w:val="auto"/>
                <w:szCs w:val="21"/>
                <w:highlight w:val="none"/>
              </w:rPr>
              <w:t>目录外标准下项目</w:t>
            </w:r>
          </w:p>
        </w:tc>
      </w:tr>
      <w:tr w14:paraId="3B53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14:paraId="167DA7BF">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859" w:type="dxa"/>
            <w:tcBorders>
              <w:top w:val="single" w:color="auto" w:sz="4" w:space="0"/>
              <w:left w:val="single" w:color="auto" w:sz="4" w:space="0"/>
              <w:bottom w:val="single" w:color="auto" w:sz="4" w:space="0"/>
              <w:right w:val="single" w:color="auto" w:sz="4" w:space="0"/>
            </w:tcBorders>
            <w:vAlign w:val="center"/>
          </w:tcPr>
          <w:p w14:paraId="6DC30966">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采购人</w:t>
            </w:r>
          </w:p>
        </w:tc>
        <w:tc>
          <w:tcPr>
            <w:tcW w:w="6343" w:type="dxa"/>
            <w:gridSpan w:val="2"/>
            <w:tcBorders>
              <w:top w:val="single" w:color="auto" w:sz="4" w:space="0"/>
              <w:left w:val="single" w:color="auto" w:sz="4" w:space="0"/>
              <w:bottom w:val="single" w:color="auto" w:sz="4" w:space="0"/>
              <w:right w:val="single" w:color="auto" w:sz="4" w:space="0"/>
            </w:tcBorders>
            <w:vAlign w:val="center"/>
          </w:tcPr>
          <w:p w14:paraId="5B24B7FF">
            <w:pPr>
              <w:adjustRightInd w:val="0"/>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国家税务总局南丹县税务局</w:t>
            </w:r>
          </w:p>
          <w:p w14:paraId="078D32E5">
            <w:pPr>
              <w:adjustRightInd w:val="0"/>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地    址：南丹县城关镇锡都路86号</w:t>
            </w:r>
          </w:p>
          <w:p w14:paraId="28D91C78">
            <w:pPr>
              <w:adjustRightInd w:val="0"/>
              <w:snapToGrid w:val="0"/>
              <w:spacing w:line="360" w:lineRule="auto"/>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联系方式：</w:t>
            </w:r>
            <w:r>
              <w:rPr>
                <w:rFonts w:hint="default" w:ascii="宋体" w:hAnsi="宋体" w:cs="宋体"/>
                <w:color w:val="auto"/>
                <w:szCs w:val="21"/>
                <w:highlight w:val="none"/>
                <w:lang w:val="en-US"/>
              </w:rPr>
              <w:t>0778-</w:t>
            </w:r>
            <w:r>
              <w:rPr>
                <w:rFonts w:hint="eastAsia" w:ascii="宋体" w:hAnsi="宋体" w:cs="宋体"/>
                <w:color w:val="auto"/>
                <w:szCs w:val="21"/>
                <w:highlight w:val="none"/>
                <w:lang w:val="en-US" w:eastAsia="zh-CN"/>
              </w:rPr>
              <w:t>7237252</w:t>
            </w:r>
          </w:p>
          <w:p w14:paraId="7613C3D5">
            <w:pPr>
              <w:adjustRightInd w:val="0"/>
              <w:snapToGrid w:val="0"/>
              <w:spacing w:line="360" w:lineRule="auto"/>
              <w:jc w:val="left"/>
              <w:rPr>
                <w:rFonts w:hint="default" w:ascii="宋体" w:hAnsi="宋体" w:cs="宋体"/>
                <w:color w:val="auto"/>
                <w:szCs w:val="21"/>
                <w:highlight w:val="none"/>
                <w:lang w:val="en-US"/>
              </w:rPr>
            </w:pPr>
            <w:r>
              <w:rPr>
                <w:rFonts w:hint="eastAsia" w:ascii="宋体" w:hAnsi="宋体" w:eastAsia="宋体" w:cs="宋体"/>
                <w:color w:val="auto"/>
                <w:highlight w:val="none"/>
              </w:rPr>
              <w:t>联系</w:t>
            </w:r>
            <w:r>
              <w:rPr>
                <w:rFonts w:hint="eastAsia" w:ascii="宋体" w:hAnsi="宋体" w:cs="宋体"/>
                <w:color w:val="auto"/>
                <w:highlight w:val="none"/>
                <w:lang w:eastAsia="zh-CN"/>
              </w:rPr>
              <w:t>人</w:t>
            </w:r>
            <w:r>
              <w:rPr>
                <w:rFonts w:hint="eastAsia" w:ascii="宋体" w:hAnsi="宋体" w:eastAsia="宋体" w:cs="宋体"/>
                <w:color w:val="auto"/>
                <w:highlight w:val="none"/>
              </w:rPr>
              <w:t>：</w:t>
            </w:r>
            <w:r>
              <w:rPr>
                <w:rFonts w:hint="eastAsia" w:ascii="宋体" w:hAnsi="宋体" w:cs="宋体"/>
                <w:color w:val="auto"/>
                <w:highlight w:val="none"/>
                <w:lang w:val="en-US" w:eastAsia="zh-CN"/>
              </w:rPr>
              <w:t>张媛</w:t>
            </w:r>
          </w:p>
        </w:tc>
      </w:tr>
      <w:tr w14:paraId="583B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14:paraId="3B2A379F">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859" w:type="dxa"/>
            <w:tcBorders>
              <w:top w:val="single" w:color="auto" w:sz="4" w:space="0"/>
              <w:left w:val="single" w:color="auto" w:sz="4" w:space="0"/>
              <w:bottom w:val="single" w:color="auto" w:sz="4" w:space="0"/>
              <w:right w:val="single" w:color="auto" w:sz="4" w:space="0"/>
            </w:tcBorders>
            <w:vAlign w:val="center"/>
          </w:tcPr>
          <w:p w14:paraId="39930EDA">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采购代理机构</w:t>
            </w:r>
          </w:p>
        </w:tc>
        <w:tc>
          <w:tcPr>
            <w:tcW w:w="6343" w:type="dxa"/>
            <w:gridSpan w:val="2"/>
            <w:tcBorders>
              <w:top w:val="single" w:color="auto" w:sz="4" w:space="0"/>
              <w:left w:val="single" w:color="auto" w:sz="4" w:space="0"/>
              <w:bottom w:val="single" w:color="auto" w:sz="4" w:space="0"/>
              <w:right w:val="single" w:color="auto" w:sz="4" w:space="0"/>
            </w:tcBorders>
            <w:vAlign w:val="center"/>
          </w:tcPr>
          <w:p w14:paraId="03874E7A">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名称：广西众联工程项目管理有限公司</w:t>
            </w:r>
          </w:p>
          <w:p w14:paraId="722B0DC5">
            <w:pPr>
              <w:adjustRightInd w:val="0"/>
              <w:snapToGrid w:val="0"/>
              <w:spacing w:line="360" w:lineRule="auto"/>
              <w:jc w:val="left"/>
              <w:rPr>
                <w:rFonts w:ascii="宋体" w:hAnsi="宋体" w:cs="宋体"/>
                <w:bCs/>
                <w:color w:val="auto"/>
                <w:szCs w:val="21"/>
                <w:highlight w:val="none"/>
              </w:rPr>
            </w:pPr>
            <w:r>
              <w:rPr>
                <w:rFonts w:hint="eastAsia" w:ascii="宋体" w:hAnsi="宋体" w:cs="宋体"/>
                <w:color w:val="auto"/>
                <w:szCs w:val="21"/>
                <w:highlight w:val="none"/>
              </w:rPr>
              <w:t>地址：南宁市江南区白沙大道53号松宇时代14A层</w:t>
            </w:r>
          </w:p>
          <w:p w14:paraId="246B9918">
            <w:pPr>
              <w:adjustRightInd w:val="0"/>
              <w:snapToGrid w:val="0"/>
              <w:spacing w:line="360" w:lineRule="auto"/>
              <w:jc w:val="left"/>
              <w:rPr>
                <w:rFonts w:ascii="宋体" w:hAnsi="宋体" w:cs="宋体"/>
                <w:bCs/>
                <w:color w:val="auto"/>
                <w:szCs w:val="21"/>
                <w:highlight w:val="none"/>
                <w:u w:val="single"/>
              </w:rPr>
            </w:pPr>
            <w:r>
              <w:rPr>
                <w:rFonts w:hint="eastAsia" w:ascii="宋体" w:hAnsi="宋体" w:cs="宋体"/>
                <w:color w:val="auto"/>
                <w:szCs w:val="21"/>
                <w:highlight w:val="none"/>
              </w:rPr>
              <w:t>联系</w:t>
            </w:r>
            <w:r>
              <w:rPr>
                <w:rFonts w:hint="eastAsia" w:ascii="宋体" w:hAnsi="宋体" w:cs="宋体"/>
                <w:bCs/>
                <w:color w:val="auto"/>
                <w:szCs w:val="21"/>
                <w:highlight w:val="none"/>
              </w:rPr>
              <w:t>电话：</w:t>
            </w:r>
            <w:r>
              <w:rPr>
                <w:rFonts w:hint="eastAsia" w:ascii="宋体" w:hAnsi="宋体" w:cs="宋体"/>
                <w:color w:val="auto"/>
                <w:szCs w:val="21"/>
                <w:highlight w:val="none"/>
              </w:rPr>
              <w:t>0771-4308370、0771-4308713</w:t>
            </w:r>
          </w:p>
          <w:p w14:paraId="07C4B0ED">
            <w:pPr>
              <w:adjustRightInd w:val="0"/>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联系方式：姚茜、戚程、包鹏</w:t>
            </w:r>
          </w:p>
          <w:p w14:paraId="247B1966">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邮箱：zhonglianxmgl@</w:t>
            </w:r>
            <w:r>
              <w:rPr>
                <w:rFonts w:hint="eastAsia" w:ascii="宋体" w:hAnsi="宋体" w:cs="宋体"/>
                <w:color w:val="auto"/>
                <w:szCs w:val="21"/>
                <w:highlight w:val="none"/>
                <w:lang w:val="en-US" w:eastAsia="zh-CN"/>
              </w:rPr>
              <w:t>163</w:t>
            </w:r>
            <w:r>
              <w:rPr>
                <w:rFonts w:hint="eastAsia" w:ascii="宋体" w:hAnsi="宋体" w:cs="宋体"/>
                <w:color w:val="auto"/>
                <w:szCs w:val="21"/>
                <w:highlight w:val="none"/>
              </w:rPr>
              <w:t>.com</w:t>
            </w:r>
          </w:p>
        </w:tc>
      </w:tr>
      <w:tr w14:paraId="7D19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14:paraId="6368FB6A">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859" w:type="dxa"/>
            <w:tcBorders>
              <w:top w:val="single" w:color="auto" w:sz="4" w:space="0"/>
              <w:left w:val="single" w:color="auto" w:sz="4" w:space="0"/>
              <w:bottom w:val="single" w:color="auto" w:sz="4" w:space="0"/>
              <w:right w:val="single" w:color="auto" w:sz="4" w:space="0"/>
            </w:tcBorders>
            <w:vAlign w:val="center"/>
          </w:tcPr>
          <w:p w14:paraId="4418155C">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供应商产生方法</w:t>
            </w:r>
          </w:p>
        </w:tc>
        <w:tc>
          <w:tcPr>
            <w:tcW w:w="6343" w:type="dxa"/>
            <w:gridSpan w:val="2"/>
            <w:tcBorders>
              <w:top w:val="single" w:color="auto" w:sz="4" w:space="0"/>
              <w:left w:val="single" w:color="auto" w:sz="4" w:space="0"/>
              <w:bottom w:val="single" w:color="auto" w:sz="4" w:space="0"/>
              <w:right w:val="single" w:color="auto" w:sz="4" w:space="0"/>
            </w:tcBorders>
            <w:vAlign w:val="center"/>
          </w:tcPr>
          <w:p w14:paraId="06C84881">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 公告</w:t>
            </w:r>
          </w:p>
          <w:p w14:paraId="710BB445">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 供应商库抽取</w:t>
            </w:r>
          </w:p>
          <w:p w14:paraId="291753D8">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 专家和采购人推荐</w:t>
            </w:r>
          </w:p>
        </w:tc>
      </w:tr>
      <w:tr w14:paraId="4B95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14:paraId="2FCE0F81">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1859" w:type="dxa"/>
            <w:tcBorders>
              <w:top w:val="single" w:color="auto" w:sz="4" w:space="0"/>
              <w:left w:val="single" w:color="auto" w:sz="4" w:space="0"/>
              <w:bottom w:val="single" w:color="auto" w:sz="4" w:space="0"/>
              <w:right w:val="single" w:color="auto" w:sz="4" w:space="0"/>
            </w:tcBorders>
            <w:vAlign w:val="center"/>
          </w:tcPr>
          <w:p w14:paraId="27AC76F9">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供应商资格要求</w:t>
            </w:r>
          </w:p>
        </w:tc>
        <w:tc>
          <w:tcPr>
            <w:tcW w:w="6343" w:type="dxa"/>
            <w:gridSpan w:val="2"/>
            <w:tcBorders>
              <w:top w:val="single" w:color="auto" w:sz="4" w:space="0"/>
              <w:left w:val="single" w:color="auto" w:sz="4" w:space="0"/>
              <w:bottom w:val="single" w:color="auto" w:sz="4" w:space="0"/>
              <w:right w:val="single" w:color="auto" w:sz="4" w:space="0"/>
            </w:tcBorders>
            <w:vAlign w:val="center"/>
          </w:tcPr>
          <w:p w14:paraId="272029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1.本项目由符合国家有关法律法规规定、同时满足本项目资格要求、在中国境内的供应商参加磋商。</w:t>
            </w:r>
          </w:p>
          <w:p w14:paraId="6D486719">
            <w:pPr>
              <w:widowControl/>
              <w:numPr>
                <w:ilvl w:val="255"/>
                <w:numId w:val="0"/>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参加本采购活动应当具备下列条件：（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w:t>
            </w:r>
            <w:r>
              <w:rPr>
                <w:rFonts w:hint="eastAsia" w:ascii="宋体" w:hAnsi="宋体" w:cs="宋体"/>
                <w:color w:val="auto"/>
                <w:szCs w:val="21"/>
                <w:highlight w:val="none"/>
                <w:lang w:val="en-US" w:eastAsia="zh-CN"/>
              </w:rPr>
              <w:t>；</w:t>
            </w:r>
            <w:r>
              <w:rPr>
                <w:rFonts w:hint="eastAsia" w:asciiTheme="minorEastAsia" w:hAnsiTheme="minorEastAsia" w:eastAsiaTheme="minorEastAsia" w:cstheme="minorEastAsia"/>
                <w:color w:val="auto"/>
                <w:sz w:val="21"/>
                <w:szCs w:val="21"/>
                <w:highlight w:val="none"/>
                <w:lang w:val="zh-CN"/>
              </w:rPr>
              <w:t>（6）法律、行政法规规定的其他条件</w:t>
            </w:r>
            <w:r>
              <w:rPr>
                <w:rFonts w:hint="eastAsia" w:ascii="宋体" w:hAnsi="宋体" w:cs="宋体"/>
                <w:color w:val="auto"/>
                <w:szCs w:val="21"/>
                <w:highlight w:val="none"/>
              </w:rPr>
              <w:t>。</w:t>
            </w:r>
          </w:p>
          <w:p w14:paraId="3F25E73C">
            <w:pPr>
              <w:widowControl/>
              <w:numPr>
                <w:ilvl w:val="255"/>
                <w:numId w:val="0"/>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3.落实采购政策需满足的资格要求：</w:t>
            </w:r>
            <w:r>
              <w:rPr>
                <w:rFonts w:hint="eastAsia"/>
                <w:color w:val="auto"/>
                <w:highlight w:val="none"/>
              </w:rPr>
              <w:t>本项目属于专门面向中小企业采购的项目</w:t>
            </w:r>
            <w:r>
              <w:rPr>
                <w:rFonts w:hint="eastAsia"/>
                <w:color w:val="auto"/>
                <w:szCs w:val="21"/>
                <w:highlight w:val="none"/>
                <w:lang w:eastAsia="zh-CN"/>
              </w:rPr>
              <w:t>（</w:t>
            </w:r>
            <w:r>
              <w:rPr>
                <w:rFonts w:hint="eastAsia" w:asciiTheme="minorEastAsia" w:hAnsiTheme="minorEastAsia"/>
                <w:color w:val="auto"/>
                <w:szCs w:val="21"/>
                <w:highlight w:val="none"/>
              </w:rPr>
              <w:t>监狱企业、残疾人福利性单位视同小型、微型企业</w:t>
            </w:r>
            <w:r>
              <w:rPr>
                <w:rFonts w:hint="eastAsia"/>
                <w:color w:val="auto"/>
                <w:szCs w:val="21"/>
                <w:highlight w:val="none"/>
                <w:lang w:eastAsia="zh-CN"/>
              </w:rPr>
              <w:t>）</w:t>
            </w:r>
            <w:r>
              <w:rPr>
                <w:rFonts w:hint="eastAsia" w:ascii="宋体" w:hAnsi="宋体"/>
                <w:color w:val="auto"/>
                <w:highlight w:val="none"/>
              </w:rPr>
              <w:t>。</w:t>
            </w:r>
            <w:r>
              <w:rPr>
                <w:rFonts w:hint="eastAsia" w:ascii="宋体" w:hAnsi="宋体"/>
                <w:color w:val="auto"/>
                <w:szCs w:val="21"/>
                <w:highlight w:val="none"/>
              </w:rPr>
              <w:t>本项目采购标的对应的中小企业划分标准所属行业为“</w:t>
            </w:r>
            <w:r>
              <w:rPr>
                <w:rFonts w:hint="eastAsia"/>
                <w:color w:val="auto"/>
                <w:highlight w:val="none"/>
                <w:lang w:eastAsia="zh-CN"/>
              </w:rPr>
              <w:t>物业管理</w:t>
            </w:r>
            <w:r>
              <w:rPr>
                <w:rFonts w:hint="eastAsia" w:ascii="宋体" w:hAnsi="宋体"/>
                <w:color w:val="auto"/>
                <w:szCs w:val="21"/>
                <w:highlight w:val="none"/>
              </w:rPr>
              <w:t>”。</w:t>
            </w:r>
          </w:p>
          <w:p w14:paraId="2B7997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4.本项目的特定资格要求：</w:t>
            </w:r>
            <w:r>
              <w:rPr>
                <w:rFonts w:hint="eastAsia" w:ascii="宋体" w:hAnsi="宋体" w:cs="宋体"/>
                <w:color w:val="auto"/>
                <w:sz w:val="21"/>
                <w:szCs w:val="21"/>
                <w:highlight w:val="none"/>
                <w:lang w:val="en-US" w:eastAsia="zh-CN"/>
              </w:rPr>
              <w:t>无</w:t>
            </w:r>
            <w:r>
              <w:rPr>
                <w:rFonts w:hint="eastAsia" w:ascii="宋体" w:hAnsi="宋体" w:cs="宋体"/>
                <w:color w:val="auto"/>
                <w:szCs w:val="21"/>
                <w:highlight w:val="none"/>
              </w:rPr>
              <w:t>。</w:t>
            </w:r>
          </w:p>
          <w:p w14:paraId="70EFA0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对在“信用中国”网站〈www.creditchina.gov.cn〉、中国政府采购网〈www.ccgp.gov.cn〉等渠道被列入失信被执行人、重大税收违法失信主体、政府采购严重违法失信行为记录名单及其他不符合《中华人民共和国政府采购法》第二十二条规定条件的供应商，不得参与本项目采购活动。</w:t>
            </w:r>
          </w:p>
          <w:p w14:paraId="278815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6.单位负责人为同一人或者存在直接控股、管理关系的不同供应商，不得参加同一合同项下的采购活动。</w:t>
            </w:r>
          </w:p>
          <w:p w14:paraId="518908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7.为本项目提供整体设计、规范编制或者项目管理、监理、检测等服务的供应商，不得再参加本次采购活动。</w:t>
            </w:r>
          </w:p>
        </w:tc>
      </w:tr>
      <w:tr w14:paraId="0B52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14:paraId="6C208BCC">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1859" w:type="dxa"/>
            <w:tcBorders>
              <w:top w:val="single" w:color="auto" w:sz="4" w:space="0"/>
              <w:left w:val="single" w:color="auto" w:sz="4" w:space="0"/>
              <w:bottom w:val="single" w:color="auto" w:sz="4" w:space="0"/>
              <w:right w:val="single" w:color="auto" w:sz="4" w:space="0"/>
            </w:tcBorders>
            <w:vAlign w:val="center"/>
          </w:tcPr>
          <w:p w14:paraId="6E1AF19B">
            <w:pPr>
              <w:topLinePunct/>
              <w:autoSpaceDE w:val="0"/>
              <w:autoSpaceDN w:val="0"/>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是否接受联合体磋商</w:t>
            </w:r>
          </w:p>
        </w:tc>
        <w:tc>
          <w:tcPr>
            <w:tcW w:w="6343" w:type="dxa"/>
            <w:gridSpan w:val="2"/>
            <w:tcBorders>
              <w:top w:val="single" w:color="auto" w:sz="4" w:space="0"/>
              <w:left w:val="single" w:color="auto" w:sz="4" w:space="0"/>
              <w:bottom w:val="single" w:color="auto" w:sz="4" w:space="0"/>
              <w:right w:val="single" w:color="auto" w:sz="4" w:space="0"/>
            </w:tcBorders>
            <w:vAlign w:val="center"/>
          </w:tcPr>
          <w:p w14:paraId="1523FA91">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不接受</w:t>
            </w:r>
          </w:p>
          <w:p w14:paraId="5E0C2BAA">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sym w:font="Wingdings 2" w:char="F0A3"/>
            </w:r>
            <w:r>
              <w:rPr>
                <w:rFonts w:hint="eastAsia" w:ascii="宋体" w:hAnsi="宋体" w:cs="宋体"/>
                <w:color w:val="auto"/>
                <w:szCs w:val="21"/>
                <w:highlight w:val="none"/>
              </w:rPr>
              <w:t>接受（接受联合体且供应商为联合体的，供应商应提供联合体协议；否则无须提供）</w:t>
            </w:r>
          </w:p>
        </w:tc>
      </w:tr>
      <w:tr w14:paraId="6006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14:paraId="3FDEA478">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1859" w:type="dxa"/>
            <w:tcBorders>
              <w:top w:val="single" w:color="auto" w:sz="4" w:space="0"/>
              <w:left w:val="single" w:color="auto" w:sz="4" w:space="0"/>
              <w:bottom w:val="single" w:color="auto" w:sz="4" w:space="0"/>
              <w:right w:val="single" w:color="auto" w:sz="4" w:space="0"/>
            </w:tcBorders>
            <w:vAlign w:val="center"/>
          </w:tcPr>
          <w:p w14:paraId="37322F88">
            <w:pPr>
              <w:topLinePunct/>
              <w:autoSpaceDE w:val="0"/>
              <w:autoSpaceDN w:val="0"/>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采购标的对应的中小企业划分标准所属行业</w:t>
            </w:r>
          </w:p>
        </w:tc>
        <w:tc>
          <w:tcPr>
            <w:tcW w:w="6343" w:type="dxa"/>
            <w:gridSpan w:val="2"/>
            <w:tcBorders>
              <w:top w:val="single" w:color="auto" w:sz="4" w:space="0"/>
              <w:left w:val="single" w:color="auto" w:sz="4" w:space="0"/>
              <w:bottom w:val="single" w:color="auto" w:sz="4" w:space="0"/>
              <w:right w:val="single" w:color="auto" w:sz="4" w:space="0"/>
            </w:tcBorders>
            <w:vAlign w:val="center"/>
          </w:tcPr>
          <w:p w14:paraId="265FE3D7">
            <w:pPr>
              <w:adjustRightInd w:val="0"/>
              <w:snapToGrid w:val="0"/>
              <w:spacing w:line="360" w:lineRule="auto"/>
              <w:jc w:val="left"/>
              <w:rPr>
                <w:rFonts w:ascii="宋体" w:hAnsi="宋体" w:cs="宋体"/>
                <w:color w:val="auto"/>
                <w:szCs w:val="21"/>
                <w:highlight w:val="none"/>
              </w:rPr>
            </w:pPr>
            <w:r>
              <w:rPr>
                <w:rFonts w:hint="eastAsia" w:ascii="宋体" w:hAnsi="宋体"/>
                <w:color w:val="auto"/>
                <w:szCs w:val="21"/>
                <w:highlight w:val="none"/>
                <w:lang w:val="en-US" w:eastAsia="zh-CN"/>
              </w:rPr>
              <w:t>物业管理</w:t>
            </w:r>
            <w:r>
              <w:rPr>
                <w:rFonts w:hint="eastAsia" w:ascii="宋体" w:hAnsi="宋体"/>
                <w:color w:val="auto"/>
                <w:szCs w:val="21"/>
                <w:highlight w:val="none"/>
              </w:rPr>
              <w:t>。</w:t>
            </w:r>
          </w:p>
        </w:tc>
      </w:tr>
      <w:tr w14:paraId="30A9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14:paraId="735457EB">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c>
          <w:tcPr>
            <w:tcW w:w="1859" w:type="dxa"/>
            <w:tcBorders>
              <w:top w:val="single" w:color="auto" w:sz="4" w:space="0"/>
              <w:left w:val="single" w:color="auto" w:sz="4" w:space="0"/>
              <w:bottom w:val="single" w:color="auto" w:sz="4" w:space="0"/>
              <w:right w:val="single" w:color="auto" w:sz="4" w:space="0"/>
            </w:tcBorders>
            <w:vAlign w:val="center"/>
          </w:tcPr>
          <w:p w14:paraId="4EB9C6DA">
            <w:pPr>
              <w:topLinePunct/>
              <w:autoSpaceDE w:val="0"/>
              <w:autoSpaceDN w:val="0"/>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非主体、非关键性工作分包</w:t>
            </w:r>
          </w:p>
        </w:tc>
        <w:tc>
          <w:tcPr>
            <w:tcW w:w="6343" w:type="dxa"/>
            <w:gridSpan w:val="2"/>
            <w:tcBorders>
              <w:top w:val="single" w:color="auto" w:sz="4" w:space="0"/>
              <w:left w:val="single" w:color="auto" w:sz="4" w:space="0"/>
              <w:bottom w:val="single" w:color="auto" w:sz="4" w:space="0"/>
              <w:right w:val="single" w:color="auto" w:sz="4" w:space="0"/>
            </w:tcBorders>
            <w:vAlign w:val="center"/>
          </w:tcPr>
          <w:p w14:paraId="46E46460">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是否允许供应商将本项目的非主体、非关键性工作进行分包：</w:t>
            </w:r>
          </w:p>
          <w:p w14:paraId="72E55FE6">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采购包1：</w:t>
            </w:r>
          </w:p>
          <w:p w14:paraId="5EF1FA16">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☑不允许</w:t>
            </w:r>
          </w:p>
          <w:p w14:paraId="70A9A4B2">
            <w:pPr>
              <w:adjustRightInd w:val="0"/>
              <w:snapToGrid w:val="0"/>
              <w:spacing w:line="360" w:lineRule="auto"/>
              <w:jc w:val="left"/>
              <w:rPr>
                <w:rFonts w:ascii="宋体" w:hAnsi="宋体" w:cs="宋体"/>
                <w:i/>
                <w:color w:val="auto"/>
                <w:szCs w:val="21"/>
                <w:highlight w:val="none"/>
                <w:u w:val="single"/>
              </w:rPr>
            </w:pPr>
            <w:r>
              <w:rPr>
                <w:rFonts w:hint="eastAsia" w:ascii="宋体" w:hAnsi="宋体" w:cs="宋体"/>
                <w:color w:val="auto"/>
                <w:szCs w:val="21"/>
                <w:highlight w:val="none"/>
              </w:rPr>
              <w:t>□允许，</w:t>
            </w:r>
            <w:r>
              <w:rPr>
                <w:rFonts w:hint="eastAsia" w:ascii="宋体" w:hAnsi="宋体" w:cs="宋体"/>
                <w:i/>
                <w:color w:val="auto"/>
                <w:szCs w:val="21"/>
                <w:highlight w:val="none"/>
                <w:u w:val="single"/>
              </w:rPr>
              <w:t>（写明可以分包履行的具体内容、金额或者比例）</w:t>
            </w:r>
          </w:p>
          <w:p w14:paraId="7B2F189A">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采购包2：</w:t>
            </w:r>
            <w:r>
              <w:rPr>
                <w:rFonts w:hint="eastAsia" w:ascii="宋体" w:hAnsi="宋体" w:cs="宋体"/>
                <w:color w:val="auto"/>
                <w:szCs w:val="21"/>
                <w:highlight w:val="none"/>
                <w:u w:val="single"/>
              </w:rPr>
              <w:t xml:space="preserve">                 </w:t>
            </w:r>
          </w:p>
        </w:tc>
      </w:tr>
      <w:tr w14:paraId="456C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196F8F75">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w:t>
            </w:r>
          </w:p>
        </w:tc>
        <w:tc>
          <w:tcPr>
            <w:tcW w:w="1859" w:type="dxa"/>
            <w:vAlign w:val="center"/>
          </w:tcPr>
          <w:p w14:paraId="7BA7F786">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核心产品</w:t>
            </w:r>
          </w:p>
        </w:tc>
        <w:tc>
          <w:tcPr>
            <w:tcW w:w="6343" w:type="dxa"/>
            <w:gridSpan w:val="2"/>
            <w:vAlign w:val="center"/>
          </w:tcPr>
          <w:p w14:paraId="4D46A4AE">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无</w:t>
            </w:r>
          </w:p>
          <w:p w14:paraId="2E172068">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有</w:t>
            </w:r>
          </w:p>
          <w:p w14:paraId="01A914BC">
            <w:pPr>
              <w:adjustRightInd w:val="0"/>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产品名称：</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p>
          <w:p w14:paraId="2DF94C1A">
            <w:pPr>
              <w:adjustRightInd w:val="0"/>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在本采购项目中，</w:t>
            </w:r>
            <w:r>
              <w:rPr>
                <w:rFonts w:hint="eastAsia" w:ascii="宋体" w:hAnsi="宋体" w:cs="宋体"/>
                <w:b/>
                <w:bCs/>
                <w:color w:val="auto"/>
                <w:szCs w:val="21"/>
                <w:highlight w:val="none"/>
                <w:lang w:val="en-US" w:eastAsia="zh-CN"/>
              </w:rPr>
              <w:t>核心产品</w:t>
            </w:r>
            <w:r>
              <w:rPr>
                <w:rFonts w:hint="eastAsia" w:ascii="宋体" w:hAnsi="宋体" w:cs="宋体"/>
                <w:b/>
                <w:bCs/>
                <w:color w:val="auto"/>
                <w:szCs w:val="21"/>
                <w:highlight w:val="none"/>
              </w:rPr>
              <w:t>提供相同品牌产品且通过资格审查、实质性响应审查的不同供应商参加同一合同项下磋商的，按一家供应商计算，评审后得分最高的同品牌供应商获得成交供应商推荐资格；评审得分相同的，由采购人或者采购人委托磋商小组按照</w:t>
            </w:r>
            <w:r>
              <w:rPr>
                <w:rFonts w:hint="eastAsia" w:ascii="宋体" w:hAnsi="宋体" w:cs="宋体"/>
                <w:b/>
                <w:bCs/>
                <w:color w:val="auto"/>
                <w:szCs w:val="21"/>
                <w:highlight w:val="none"/>
                <w:u w:val="single"/>
                <w:lang w:val="en-US" w:eastAsia="zh-CN"/>
              </w:rPr>
              <w:t xml:space="preserve"> </w:t>
            </w:r>
            <w:r>
              <w:rPr>
                <w:rFonts w:hint="eastAsia" w:ascii="Times New Roman" w:hAnsi="Times New Roman"/>
                <w:b/>
                <w:bCs/>
                <w:color w:val="auto"/>
                <w:szCs w:val="21"/>
                <w:highlight w:val="none"/>
                <w:u w:val="single"/>
                <w:lang w:val="en-US" w:eastAsia="zh-CN"/>
              </w:rPr>
              <w:t xml:space="preserve">/   </w:t>
            </w:r>
            <w:r>
              <w:rPr>
                <w:rFonts w:hint="eastAsia" w:ascii="宋体" w:hAnsi="宋体" w:cs="宋体"/>
                <w:b/>
                <w:color w:val="auto"/>
                <w:szCs w:val="21"/>
                <w:highlight w:val="none"/>
              </w:rPr>
              <w:t>的方式</w:t>
            </w:r>
            <w:r>
              <w:rPr>
                <w:rFonts w:hint="eastAsia" w:ascii="宋体" w:hAnsi="宋体" w:cs="宋体"/>
                <w:b/>
                <w:bCs/>
                <w:color w:val="auto"/>
                <w:szCs w:val="21"/>
                <w:highlight w:val="none"/>
              </w:rPr>
              <w:t>确定一个供应商获得成交供应商推荐资格，磋商文件未规定的采取随机抽取方式确定，其他同品牌供应商不作为成交候选人。</w:t>
            </w:r>
          </w:p>
          <w:p w14:paraId="6CB22538">
            <w:pPr>
              <w:adjustRightInd w:val="0"/>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单个采购包按以上条款计算的供应商家数不足规定家数的，则该采购包的采购活动结束。</w:t>
            </w:r>
          </w:p>
        </w:tc>
      </w:tr>
      <w:tr w14:paraId="2712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1EA4F418">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p>
        </w:tc>
        <w:tc>
          <w:tcPr>
            <w:tcW w:w="1859" w:type="dxa"/>
            <w:vAlign w:val="center"/>
          </w:tcPr>
          <w:p w14:paraId="3C7A2ADC">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采购进口产品</w:t>
            </w:r>
          </w:p>
        </w:tc>
        <w:tc>
          <w:tcPr>
            <w:tcW w:w="6343" w:type="dxa"/>
            <w:gridSpan w:val="2"/>
            <w:vAlign w:val="center"/>
          </w:tcPr>
          <w:p w14:paraId="5A458A4F">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sym w:font="Wingdings 2" w:char="F0A3"/>
            </w:r>
            <w:r>
              <w:rPr>
                <w:rFonts w:hint="eastAsia" w:ascii="宋体" w:hAnsi="宋体" w:cs="宋体"/>
                <w:color w:val="auto"/>
                <w:szCs w:val="21"/>
                <w:highlight w:val="none"/>
              </w:rPr>
              <w:t>本采购项目拒绝进口产品参加磋商</w:t>
            </w:r>
          </w:p>
          <w:p w14:paraId="00AAF7C2">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□本采购项目已经财政部审核同意购买进口产品</w:t>
            </w:r>
          </w:p>
          <w:p w14:paraId="15AD56B1">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☑其他：</w:t>
            </w:r>
            <w:r>
              <w:rPr>
                <w:rFonts w:hint="eastAsia" w:ascii="宋体" w:hAnsi="宋体" w:cs="宋体"/>
                <w:color w:val="auto"/>
                <w:szCs w:val="21"/>
                <w:highlight w:val="none"/>
                <w:u w:val="single"/>
              </w:rPr>
              <w:t>本项目不适用</w:t>
            </w:r>
          </w:p>
        </w:tc>
      </w:tr>
      <w:tr w14:paraId="6B17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1C038C39">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13</w:t>
            </w:r>
          </w:p>
        </w:tc>
        <w:tc>
          <w:tcPr>
            <w:tcW w:w="1859" w:type="dxa"/>
            <w:vAlign w:val="center"/>
          </w:tcPr>
          <w:p w14:paraId="79740059">
            <w:pPr>
              <w:adjustRightInd w:val="0"/>
              <w:snapToGrid w:val="0"/>
              <w:spacing w:line="360" w:lineRule="auto"/>
              <w:jc w:val="center"/>
              <w:rPr>
                <w:rFonts w:ascii="宋体" w:hAnsi="宋体" w:cs="宋体"/>
                <w:b/>
                <w:color w:val="auto"/>
                <w:szCs w:val="21"/>
                <w:highlight w:val="none"/>
              </w:rPr>
            </w:pPr>
            <w:r>
              <w:rPr>
                <w:rFonts w:hint="eastAsia" w:ascii="宋体" w:hAnsi="宋体" w:cs="宋体"/>
                <w:color w:val="auto"/>
                <w:szCs w:val="21"/>
                <w:highlight w:val="none"/>
              </w:rPr>
              <w:t>信息发布媒体</w:t>
            </w:r>
          </w:p>
        </w:tc>
        <w:tc>
          <w:tcPr>
            <w:tcW w:w="6343" w:type="dxa"/>
            <w:gridSpan w:val="2"/>
            <w:vAlign w:val="center"/>
          </w:tcPr>
          <w:p w14:paraId="657DBECC">
            <w:pPr>
              <w:adjustRightInd w:val="0"/>
              <w:snapToGrid w:val="0"/>
              <w:spacing w:line="360" w:lineRule="auto"/>
              <w:jc w:val="left"/>
              <w:rPr>
                <w:rFonts w:ascii="宋体" w:hAnsi="宋体" w:cs="宋体"/>
                <w:color w:val="auto"/>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国家税务总局广西壮族自治区税务局</w:t>
            </w:r>
            <w:r>
              <w:rPr>
                <w:rFonts w:hint="eastAsia" w:ascii="宋体" w:hAnsi="宋体" w:cs="宋体"/>
                <w:color w:val="auto"/>
                <w:szCs w:val="21"/>
                <w:highlight w:val="none"/>
                <w:lang w:val="en-US" w:eastAsia="zh-CN"/>
              </w:rPr>
              <w:t>河池</w:t>
            </w:r>
            <w:r>
              <w:rPr>
                <w:rFonts w:hint="eastAsia" w:ascii="宋体" w:hAnsi="宋体" w:cs="宋体"/>
                <w:color w:val="auto"/>
                <w:szCs w:val="21"/>
                <w:highlight w:val="none"/>
                <w:lang w:eastAsia="zh-CN"/>
              </w:rPr>
              <w:t>频道</w:t>
            </w:r>
            <w:r>
              <w:rPr>
                <w:rFonts w:hint="eastAsia" w:ascii="宋体" w:hAnsi="宋体" w:cs="宋体"/>
                <w:color w:val="auto"/>
                <w:szCs w:val="21"/>
                <w:highlight w:val="none"/>
              </w:rPr>
              <w:t>（</w:t>
            </w:r>
            <w:r>
              <w:rPr>
                <w:rFonts w:hint="eastAsia" w:ascii="宋体" w:hAnsi="宋体" w:cs="宋体"/>
                <w:color w:val="auto"/>
                <w:szCs w:val="21"/>
                <w:highlight w:val="none"/>
                <w:lang w:eastAsia="zh-CN"/>
              </w:rPr>
              <w:t>https://guangxi.chinatax.gov.cn/</w:t>
            </w:r>
            <w:r>
              <w:rPr>
                <w:rFonts w:hint="eastAsia" w:ascii="宋体" w:hAnsi="宋体" w:cs="宋体"/>
                <w:color w:val="auto"/>
                <w:szCs w:val="21"/>
                <w:highlight w:val="none"/>
                <w:lang w:val="en-US" w:eastAsia="zh-CN"/>
              </w:rPr>
              <w:t>hechi</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2BF7E6CE">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highlight w:val="none"/>
              </w:rPr>
              <w:t>（2）</w:t>
            </w:r>
            <w:r>
              <w:rPr>
                <w:rFonts w:hint="eastAsia" w:ascii="宋体" w:hAnsi="宋体" w:cs="宋体"/>
                <w:color w:val="auto"/>
                <w:szCs w:val="21"/>
                <w:highlight w:val="none"/>
              </w:rPr>
              <w:t>广西众联工程项目管理有限公司网站（http://www.gxzhonglian.cn/default.aspx）</w:t>
            </w:r>
          </w:p>
        </w:tc>
      </w:tr>
      <w:tr w14:paraId="6E0A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3305D9A7">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14</w:t>
            </w:r>
          </w:p>
        </w:tc>
        <w:tc>
          <w:tcPr>
            <w:tcW w:w="1859" w:type="dxa"/>
            <w:vAlign w:val="center"/>
          </w:tcPr>
          <w:p w14:paraId="1EA9048E">
            <w:pPr>
              <w:topLinePunct/>
              <w:autoSpaceDE w:val="0"/>
              <w:autoSpaceDN w:val="0"/>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获取磋商文件</w:t>
            </w:r>
          </w:p>
          <w:p w14:paraId="48546120">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时间、地点和</w:t>
            </w:r>
          </w:p>
          <w:p w14:paraId="7236E4F5">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方式等</w:t>
            </w:r>
          </w:p>
        </w:tc>
        <w:tc>
          <w:tcPr>
            <w:tcW w:w="6343" w:type="dxa"/>
            <w:gridSpan w:val="2"/>
            <w:vAlign w:val="center"/>
          </w:tcPr>
          <w:p w14:paraId="2985CDB2">
            <w:pPr>
              <w:spacing w:line="360" w:lineRule="auto"/>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lang w:eastAsia="zh-CN"/>
              </w:rPr>
              <w:t>2026年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rPr>
              <w:t>至202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日止，</w:t>
            </w:r>
            <w:r>
              <w:rPr>
                <w:rFonts w:hint="eastAsia" w:ascii="宋体" w:hAnsi="宋体" w:cs="宋体"/>
                <w:color w:val="auto"/>
                <w:szCs w:val="21"/>
                <w:highlight w:val="none"/>
              </w:rPr>
              <w:t>工作日每天上午8时30分至12时00分，下午2时30分至5时30分（北京时间，法定节假日除外）。</w:t>
            </w:r>
          </w:p>
          <w:p w14:paraId="2004B9E4">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地点：广西众联工程项目管理有限公司财务部（南宁市江南区白沙大道53号松宇时代14A层）。</w:t>
            </w:r>
          </w:p>
          <w:p w14:paraId="2D88DC77">
            <w:pPr>
              <w:spacing w:line="360" w:lineRule="auto"/>
              <w:jc w:val="both"/>
              <w:rPr>
                <w:rFonts w:ascii="宋体" w:hAnsi="宋体" w:cs="宋体"/>
                <w:color w:val="auto"/>
                <w:szCs w:val="21"/>
                <w:highlight w:val="none"/>
              </w:rPr>
            </w:pPr>
            <w:r>
              <w:rPr>
                <w:rFonts w:hint="eastAsia" w:ascii="宋体" w:hAnsi="宋体" w:cs="宋体"/>
                <w:color w:val="auto"/>
                <w:szCs w:val="21"/>
                <w:highlight w:val="none"/>
              </w:rPr>
              <w:t>方式（可以采用以下方式之一获取磋商文件）：①现场</w:t>
            </w:r>
            <w:r>
              <w:rPr>
                <w:rFonts w:hint="eastAsia" w:ascii="宋体" w:hAnsi="宋体" w:cs="宋体"/>
                <w:color w:val="auto"/>
                <w:szCs w:val="21"/>
                <w:highlight w:val="none"/>
                <w:lang w:eastAsia="zh-CN"/>
              </w:rPr>
              <w:t>获取</w:t>
            </w:r>
            <w:r>
              <w:rPr>
                <w:rFonts w:hint="eastAsia" w:ascii="宋体" w:hAnsi="宋体" w:cs="宋体"/>
                <w:color w:val="auto"/>
                <w:szCs w:val="21"/>
                <w:highlight w:val="none"/>
              </w:rPr>
              <w:t>：供应商无需携带报名资料，到广西众联工程项目管理有限公司财务部获取磋商文件。②电子邮件方式：</w:t>
            </w:r>
            <w:r>
              <w:rPr>
                <w:color w:val="auto"/>
                <w:highlight w:val="none"/>
              </w:rPr>
              <w:fldChar w:fldCharType="begin"/>
            </w:r>
            <w:r>
              <w:rPr>
                <w:color w:val="auto"/>
                <w:highlight w:val="none"/>
              </w:rPr>
              <w:instrText xml:space="preserve"> HYPERLINK "mailto:供应商需于招标文件获取时间内将法定代表人（企业负责人）或委托代理人本人身份证复印件、法定代表人（企业负责人）授权书原件（委托代理时）、招标文件工本费转帐底单（以上材料须加盖单位公章）扫描发邮件至348978712@qq.com邮箱，代理机构收到材料核验信息无误后，1个工作日内向供应商发送电子版招标文件。" </w:instrText>
            </w:r>
            <w:r>
              <w:rPr>
                <w:color w:val="auto"/>
                <w:highlight w:val="none"/>
              </w:rPr>
              <w:fldChar w:fldCharType="separate"/>
            </w:r>
            <w:r>
              <w:rPr>
                <w:rFonts w:hint="eastAsia" w:ascii="宋体" w:hAnsi="宋体" w:cs="宋体"/>
                <w:color w:val="auto"/>
                <w:szCs w:val="21"/>
                <w:highlight w:val="none"/>
              </w:rPr>
              <w:t>供应商需于磋商文件获取时间内将文件工本费（只接受公对公转账，不接受私人账号转账，并备注项目编号）转账底单（并附上项目名称、项目编号、收件人姓名、联系电话、收件地址、开票信息）扫描发邮件至zhonglianxmgl@</w:t>
            </w:r>
            <w:r>
              <w:rPr>
                <w:rFonts w:hint="eastAsia" w:ascii="宋体" w:hAnsi="宋体" w:cs="宋体"/>
                <w:color w:val="auto"/>
                <w:szCs w:val="21"/>
                <w:highlight w:val="none"/>
                <w:lang w:val="en-US" w:eastAsia="zh-CN"/>
              </w:rPr>
              <w:t>163</w:t>
            </w:r>
            <w:r>
              <w:rPr>
                <w:rFonts w:hint="eastAsia" w:ascii="宋体" w:hAnsi="宋体" w:cs="宋体"/>
                <w:color w:val="auto"/>
                <w:szCs w:val="21"/>
                <w:highlight w:val="none"/>
              </w:rPr>
              <w:t>.com邮箱，代理机构查收后当日向供应商发送获取文件登记表及电子版磋商文件并办理纸质版磋商文件邮寄事宜</w:t>
            </w:r>
            <w:r>
              <w:rPr>
                <w:rFonts w:hint="eastAsia" w:ascii="宋体" w:hAnsi="宋体" w:cs="宋体"/>
                <w:color w:val="auto"/>
                <w:szCs w:val="21"/>
                <w:highlight w:val="none"/>
              </w:rPr>
              <w:fldChar w:fldCharType="end"/>
            </w:r>
            <w:r>
              <w:rPr>
                <w:rFonts w:hint="eastAsia" w:ascii="宋体" w:hAnsi="宋体" w:cs="宋体"/>
                <w:color w:val="auto"/>
                <w:szCs w:val="21"/>
                <w:highlight w:val="none"/>
              </w:rPr>
              <w:t>（供应商未提供联系方式，由此造成供应商无法按时获取纸质版磋商文件的，责任由供应商承担）。</w:t>
            </w:r>
          </w:p>
          <w:p w14:paraId="3D900B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收款人户名：广西众联工程项目管理有限公司</w:t>
            </w:r>
          </w:p>
          <w:p w14:paraId="63F3C7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开户银行：中国光大银行股份有限公司南宁民主支行</w:t>
            </w:r>
          </w:p>
          <w:p w14:paraId="3ED99F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银行账号：78900188000167866</w:t>
            </w:r>
          </w:p>
        </w:tc>
      </w:tr>
      <w:tr w14:paraId="41086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20DF9B7D">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w:t>
            </w:r>
          </w:p>
        </w:tc>
        <w:tc>
          <w:tcPr>
            <w:tcW w:w="1859" w:type="dxa"/>
            <w:vAlign w:val="center"/>
          </w:tcPr>
          <w:p w14:paraId="52309ADB">
            <w:pPr>
              <w:topLinePunct/>
              <w:autoSpaceDE w:val="0"/>
              <w:autoSpaceDN w:val="0"/>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现场考察</w:t>
            </w:r>
          </w:p>
        </w:tc>
        <w:tc>
          <w:tcPr>
            <w:tcW w:w="6343" w:type="dxa"/>
            <w:gridSpan w:val="2"/>
            <w:vAlign w:val="center"/>
          </w:tcPr>
          <w:p w14:paraId="1F949663">
            <w:pPr>
              <w:tabs>
                <w:tab w:val="left" w:pos="0"/>
                <w:tab w:val="left" w:pos="420"/>
              </w:tabs>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不组织现场考察</w:t>
            </w:r>
          </w:p>
          <w:p w14:paraId="012089B3">
            <w:pPr>
              <w:tabs>
                <w:tab w:val="left" w:pos="0"/>
                <w:tab w:val="left" w:pos="420"/>
              </w:tabs>
              <w:adjustRightInd w:val="0"/>
              <w:snapToGrid w:val="0"/>
              <w:spacing w:line="360" w:lineRule="auto"/>
              <w:rPr>
                <w:rFonts w:ascii="宋体" w:hAnsi="宋体" w:cs="宋体"/>
                <w:bCs/>
                <w:color w:val="auto"/>
                <w:szCs w:val="21"/>
                <w:highlight w:val="none"/>
              </w:rPr>
            </w:pPr>
            <w:r>
              <w:rPr>
                <w:rFonts w:hint="eastAsia" w:ascii="宋体" w:hAnsi="宋体" w:cs="宋体"/>
                <w:color w:val="auto"/>
                <w:szCs w:val="21"/>
                <w:highlight w:val="none"/>
              </w:rPr>
              <w:sym w:font="Wingdings 2" w:char="F0A3"/>
            </w:r>
            <w:r>
              <w:rPr>
                <w:rFonts w:hint="eastAsia" w:ascii="宋体" w:hAnsi="宋体" w:cs="宋体"/>
                <w:bCs/>
                <w:color w:val="auto"/>
                <w:szCs w:val="21"/>
                <w:highlight w:val="none"/>
              </w:rPr>
              <w:t>组织现场考察：</w:t>
            </w:r>
          </w:p>
          <w:p w14:paraId="75F0F718">
            <w:pPr>
              <w:tabs>
                <w:tab w:val="left" w:pos="0"/>
                <w:tab w:val="left" w:pos="420"/>
              </w:tabs>
              <w:adjustRightInd w:val="0"/>
              <w:snapToGrid w:val="0"/>
              <w:spacing w:line="360" w:lineRule="auto"/>
              <w:rPr>
                <w:rFonts w:ascii="宋体" w:hAnsi="宋体" w:cs="宋体"/>
                <w:bCs/>
                <w:color w:val="auto"/>
                <w:szCs w:val="21"/>
                <w:highlight w:val="none"/>
              </w:rPr>
            </w:pPr>
            <w:r>
              <w:rPr>
                <w:rFonts w:hint="eastAsia" w:ascii="宋体" w:hAnsi="宋体" w:cs="宋体"/>
                <w:b/>
                <w:color w:val="auto"/>
                <w:szCs w:val="21"/>
                <w:highlight w:val="none"/>
              </w:rPr>
              <w:t>时间：</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（北京时间）</w:t>
            </w:r>
          </w:p>
          <w:p w14:paraId="347CE71A">
            <w:pPr>
              <w:tabs>
                <w:tab w:val="left" w:pos="0"/>
                <w:tab w:val="left" w:pos="420"/>
              </w:tabs>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地点：</w:t>
            </w:r>
            <w:r>
              <w:rPr>
                <w:rFonts w:hint="eastAsia" w:ascii="宋体" w:hAnsi="宋体" w:cs="宋体"/>
                <w:b/>
                <w:color w:val="auto"/>
                <w:szCs w:val="21"/>
                <w:highlight w:val="none"/>
                <w:u w:val="single"/>
              </w:rPr>
              <w:t xml:space="preserve">                 </w:t>
            </w:r>
          </w:p>
          <w:p w14:paraId="5D26BB7E">
            <w:pPr>
              <w:tabs>
                <w:tab w:val="left" w:pos="0"/>
                <w:tab w:val="left" w:pos="420"/>
              </w:tabs>
              <w:adjustRightInd w:val="0"/>
              <w:snapToGrid w:val="0"/>
              <w:spacing w:line="360" w:lineRule="auto"/>
              <w:rPr>
                <w:rFonts w:ascii="宋体" w:hAnsi="宋体" w:cs="宋体"/>
                <w:b/>
                <w:bCs/>
                <w:color w:val="auto"/>
                <w:szCs w:val="21"/>
                <w:highlight w:val="none"/>
              </w:rPr>
            </w:pPr>
            <w:r>
              <w:rPr>
                <w:rFonts w:hint="eastAsia" w:ascii="宋体" w:hAnsi="宋体" w:cs="宋体"/>
                <w:b/>
                <w:color w:val="auto"/>
                <w:szCs w:val="21"/>
                <w:highlight w:val="none"/>
              </w:rPr>
              <w:t>联系人：</w:t>
            </w:r>
            <w:r>
              <w:rPr>
                <w:rFonts w:hint="eastAsia" w:ascii="宋体" w:hAnsi="宋体" w:cs="宋体"/>
                <w:b/>
                <w:color w:val="auto"/>
                <w:szCs w:val="21"/>
                <w:highlight w:val="none"/>
                <w:u w:val="single"/>
              </w:rPr>
              <w:t xml:space="preserve">               </w:t>
            </w:r>
          </w:p>
          <w:p w14:paraId="451F3ADB">
            <w:pPr>
              <w:tabs>
                <w:tab w:val="left" w:pos="0"/>
                <w:tab w:val="left" w:pos="420"/>
              </w:tabs>
              <w:adjustRightInd w:val="0"/>
              <w:snapToGrid w:val="0"/>
              <w:spacing w:line="360" w:lineRule="auto"/>
              <w:rPr>
                <w:rFonts w:ascii="宋体" w:hAnsi="宋体" w:cs="宋体"/>
                <w:bCs/>
                <w:color w:val="auto"/>
                <w:szCs w:val="21"/>
                <w:highlight w:val="none"/>
                <w:u w:val="single"/>
              </w:rPr>
            </w:pPr>
            <w:r>
              <w:rPr>
                <w:rFonts w:hint="eastAsia" w:ascii="宋体" w:hAnsi="宋体" w:cs="宋体"/>
                <w:b/>
                <w:color w:val="auto"/>
                <w:szCs w:val="21"/>
                <w:highlight w:val="none"/>
              </w:rPr>
              <w:t>联系电话：</w:t>
            </w:r>
            <w:r>
              <w:rPr>
                <w:rFonts w:hint="eastAsia" w:ascii="宋体" w:hAnsi="宋体" w:cs="宋体"/>
                <w:color w:val="auto"/>
                <w:szCs w:val="21"/>
                <w:highlight w:val="none"/>
                <w:u w:val="single"/>
              </w:rPr>
              <w:t xml:space="preserve">             </w:t>
            </w:r>
          </w:p>
          <w:p w14:paraId="4C4BB733">
            <w:pPr>
              <w:tabs>
                <w:tab w:val="left" w:pos="0"/>
                <w:tab w:val="left" w:pos="420"/>
              </w:tabs>
              <w:adjustRightInd w:val="0"/>
              <w:snapToGrid w:val="0"/>
              <w:spacing w:line="360" w:lineRule="auto"/>
              <w:rPr>
                <w:rFonts w:ascii="宋体" w:hAnsi="宋体" w:cs="宋体"/>
                <w:color w:val="auto"/>
                <w:szCs w:val="21"/>
                <w:highlight w:val="none"/>
              </w:rPr>
            </w:pPr>
            <w:r>
              <w:rPr>
                <w:rFonts w:hint="eastAsia" w:ascii="宋体" w:hAnsi="宋体" w:cs="宋体"/>
                <w:b/>
                <w:color w:val="auto"/>
                <w:szCs w:val="21"/>
                <w:highlight w:val="none"/>
              </w:rPr>
              <w:t>要求：</w:t>
            </w:r>
            <w:r>
              <w:rPr>
                <w:rFonts w:hint="eastAsia" w:ascii="宋体" w:hAnsi="宋体" w:cs="宋体"/>
                <w:color w:val="auto"/>
                <w:szCs w:val="21"/>
                <w:highlight w:val="none"/>
                <w:u w:val="single"/>
              </w:rPr>
              <w:t xml:space="preserve">                 </w:t>
            </w:r>
          </w:p>
        </w:tc>
      </w:tr>
      <w:tr w14:paraId="5C65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6ECB5526">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p>
        </w:tc>
        <w:tc>
          <w:tcPr>
            <w:tcW w:w="1859" w:type="dxa"/>
            <w:vAlign w:val="center"/>
          </w:tcPr>
          <w:p w14:paraId="1D089E18">
            <w:pPr>
              <w:topLinePunct/>
              <w:autoSpaceDE w:val="0"/>
              <w:autoSpaceDN w:val="0"/>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样品</w:t>
            </w:r>
          </w:p>
        </w:tc>
        <w:tc>
          <w:tcPr>
            <w:tcW w:w="6343" w:type="dxa"/>
            <w:gridSpan w:val="2"/>
            <w:vAlign w:val="center"/>
          </w:tcPr>
          <w:p w14:paraId="15879983">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不要求提供</w:t>
            </w:r>
          </w:p>
          <w:p w14:paraId="045A9C4C">
            <w:pPr>
              <w:adjustRightInd w:val="0"/>
              <w:snapToGrid w:val="0"/>
              <w:spacing w:line="360" w:lineRule="auto"/>
              <w:jc w:val="left"/>
              <w:rPr>
                <w:rFonts w:ascii="宋体" w:hAnsi="宋体" w:cs="宋体"/>
                <w:bCs/>
                <w:color w:val="auto"/>
                <w:szCs w:val="21"/>
                <w:highlight w:val="none"/>
              </w:rPr>
            </w:pPr>
            <w:r>
              <w:rPr>
                <w:rFonts w:hint="eastAsia" w:ascii="宋体" w:hAnsi="宋体" w:cs="宋体"/>
                <w:color w:val="auto"/>
                <w:szCs w:val="21"/>
                <w:highlight w:val="none"/>
              </w:rPr>
              <w:sym w:font="Wingdings 2" w:char="F0A3"/>
            </w:r>
            <w:r>
              <w:rPr>
                <w:rFonts w:hint="eastAsia" w:ascii="宋体" w:hAnsi="宋体" w:cs="宋体"/>
                <w:bCs/>
                <w:color w:val="auto"/>
                <w:szCs w:val="21"/>
                <w:highlight w:val="none"/>
              </w:rPr>
              <w:t>要求提供：</w:t>
            </w:r>
          </w:p>
          <w:p w14:paraId="6005F115">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1.样品制作的标准和要求：____________________</w:t>
            </w:r>
          </w:p>
          <w:p w14:paraId="3A1B90FD">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2.样品检测报告：（□否；□是，检测机构的要求、检测内容详见第六章项目采购需求）</w:t>
            </w:r>
          </w:p>
          <w:p w14:paraId="63A4C010">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3.样品的评审方法及评审标准：内容详见第三章评审办法及标准</w:t>
            </w:r>
          </w:p>
        </w:tc>
      </w:tr>
      <w:tr w14:paraId="4F41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restart"/>
            <w:vAlign w:val="center"/>
          </w:tcPr>
          <w:p w14:paraId="70D02777">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w:t>
            </w:r>
          </w:p>
        </w:tc>
        <w:tc>
          <w:tcPr>
            <w:tcW w:w="1859" w:type="dxa"/>
            <w:vMerge w:val="restart"/>
            <w:vAlign w:val="center"/>
          </w:tcPr>
          <w:p w14:paraId="15D1DB5D">
            <w:pPr>
              <w:topLinePunct/>
              <w:autoSpaceDE w:val="0"/>
              <w:autoSpaceDN w:val="0"/>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响应文件组成</w:t>
            </w:r>
          </w:p>
        </w:tc>
        <w:tc>
          <w:tcPr>
            <w:tcW w:w="976" w:type="dxa"/>
            <w:vMerge w:val="restart"/>
            <w:vAlign w:val="center"/>
          </w:tcPr>
          <w:p w14:paraId="2D07DD0A">
            <w:pPr>
              <w:topLinePunct/>
              <w:autoSpaceDE w:val="0"/>
              <w:autoSpaceDN w:val="0"/>
              <w:adjustRightInd w:val="0"/>
              <w:snapToGrid w:val="0"/>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商务部</w:t>
            </w:r>
            <w:r>
              <w:rPr>
                <w:rFonts w:hint="eastAsia" w:ascii="宋体" w:hAnsi="宋体" w:cs="宋体"/>
                <w:bCs/>
                <w:color w:val="auto"/>
                <w:szCs w:val="21"/>
                <w:highlight w:val="none"/>
              </w:rPr>
              <w:t>分</w:t>
            </w:r>
          </w:p>
        </w:tc>
        <w:tc>
          <w:tcPr>
            <w:tcW w:w="5367" w:type="dxa"/>
            <w:vAlign w:val="center"/>
          </w:tcPr>
          <w:p w14:paraId="234B682E">
            <w:pPr>
              <w:widowControl/>
              <w:tabs>
                <w:tab w:val="left" w:pos="0"/>
                <w:tab w:val="left" w:pos="420"/>
              </w:tabs>
              <w:adjustRightInd w:val="0"/>
              <w:snapToGrid w:val="0"/>
              <w:spacing w:line="360" w:lineRule="auto"/>
              <w:jc w:val="left"/>
              <w:rPr>
                <w:rFonts w:ascii="宋体" w:hAnsi="宋体" w:cs="宋体"/>
                <w:color w:val="auto"/>
                <w:szCs w:val="21"/>
                <w:highlight w:val="none"/>
              </w:rPr>
            </w:pPr>
            <w:r>
              <w:rPr>
                <w:rFonts w:hint="eastAsia" w:ascii="宋体" w:hAnsi="宋体" w:cs="宋体"/>
                <w:b/>
                <w:color w:val="auto"/>
                <w:szCs w:val="21"/>
                <w:highlight w:val="none"/>
              </w:rPr>
              <w:t>一、资格证明文件：</w:t>
            </w:r>
          </w:p>
          <w:p w14:paraId="343982F7">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1.供应商基本情况</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供应商还须</w:t>
            </w:r>
            <w:r>
              <w:rPr>
                <w:rFonts w:hint="eastAsia" w:asciiTheme="minorEastAsia" w:hAnsiTheme="minorEastAsia" w:eastAsiaTheme="minorEastAsia" w:cstheme="minorEastAsia"/>
                <w:b/>
                <w:bCs/>
                <w:color w:val="auto"/>
                <w:sz w:val="21"/>
                <w:szCs w:val="21"/>
                <w:highlight w:val="none"/>
              </w:rPr>
              <w:t>提供法人或者其他组织的营业执照等证明文件复印件；</w:t>
            </w:r>
            <w:r>
              <w:rPr>
                <w:rFonts w:hint="eastAsia" w:asciiTheme="minorEastAsia" w:hAnsiTheme="minorEastAsia" w:eastAsiaTheme="minorEastAsia" w:cstheme="minorEastAsia"/>
                <w:b/>
                <w:bCs/>
                <w:color w:val="auto"/>
                <w:sz w:val="21"/>
                <w:szCs w:val="21"/>
                <w:highlight w:val="none"/>
                <w:lang w:val="en-US" w:eastAsia="zh-CN"/>
              </w:rPr>
              <w:t>供应商</w:t>
            </w:r>
            <w:r>
              <w:rPr>
                <w:rFonts w:hint="eastAsia" w:asciiTheme="minorEastAsia" w:hAnsiTheme="minorEastAsia" w:eastAsiaTheme="minorEastAsia" w:cstheme="minorEastAsia"/>
                <w:b/>
                <w:bCs/>
                <w:color w:val="auto"/>
                <w:sz w:val="21"/>
                <w:szCs w:val="21"/>
                <w:highlight w:val="none"/>
              </w:rPr>
              <w:t>如为自然人，提供自然人的身份证明复印件</w:t>
            </w:r>
            <w:r>
              <w:rPr>
                <w:rFonts w:hint="eastAsia" w:ascii="宋体" w:hAnsi="宋体" w:cs="宋体"/>
                <w:b/>
                <w:bCs/>
                <w:color w:val="auto"/>
                <w:szCs w:val="21"/>
                <w:highlight w:val="none"/>
              </w:rPr>
              <w:t>）</w:t>
            </w:r>
            <w:r>
              <w:rPr>
                <w:rFonts w:hint="eastAsia" w:ascii="宋体" w:hAnsi="宋体" w:cs="宋体"/>
                <w:color w:val="auto"/>
                <w:szCs w:val="21"/>
                <w:highlight w:val="none"/>
              </w:rPr>
              <w:t>；</w:t>
            </w:r>
          </w:p>
          <w:p w14:paraId="30164561">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2.财务状况报告：</w:t>
            </w:r>
            <w:r>
              <w:rPr>
                <w:rFonts w:hint="eastAsia" w:ascii="宋体" w:hAnsi="宋体" w:eastAsia="宋体" w:cs="宋体"/>
                <w:color w:val="auto"/>
                <w:highlight w:val="none"/>
              </w:rPr>
              <w:t>上一年度</w:t>
            </w:r>
            <w:r>
              <w:rPr>
                <w:rFonts w:hint="eastAsia" w:ascii="宋体" w:hAnsi="宋体" w:cs="宋体"/>
                <w:color w:val="auto"/>
                <w:highlight w:val="none"/>
                <w:lang w:eastAsia="zh-CN"/>
              </w:rPr>
              <w:t>（</w:t>
            </w:r>
            <w:r>
              <w:rPr>
                <w:rFonts w:hint="eastAsia" w:ascii="宋体" w:hAnsi="宋体" w:cs="宋体"/>
                <w:color w:val="auto"/>
                <w:highlight w:val="none"/>
                <w:lang w:val="en-US" w:eastAsia="zh-CN"/>
              </w:rPr>
              <w:t>2025年）</w:t>
            </w:r>
            <w:r>
              <w:rPr>
                <w:rFonts w:hint="eastAsia" w:ascii="宋体" w:hAnsi="宋体" w:eastAsia="宋体" w:cs="宋体"/>
                <w:color w:val="auto"/>
                <w:highlight w:val="none"/>
                <w:lang w:eastAsia="zh-CN"/>
              </w:rPr>
              <w:t>的</w:t>
            </w:r>
            <w:r>
              <w:rPr>
                <w:rFonts w:hint="eastAsia" w:ascii="宋体" w:hAnsi="宋体" w:eastAsia="宋体" w:cs="宋体"/>
                <w:color w:val="auto"/>
                <w:sz w:val="21"/>
                <w:szCs w:val="21"/>
                <w:highlight w:val="none"/>
              </w:rPr>
              <w:t>财务报告（须</w:t>
            </w:r>
            <w:r>
              <w:rPr>
                <w:rFonts w:hint="eastAsia" w:ascii="宋体" w:hAnsi="宋体" w:eastAsia="宋体" w:cs="宋体"/>
                <w:color w:val="auto"/>
                <w:sz w:val="21"/>
                <w:szCs w:val="21"/>
                <w:highlight w:val="none"/>
                <w:lang w:eastAsia="zh-CN"/>
              </w:rPr>
              <w:t>提供复印</w:t>
            </w:r>
            <w:r>
              <w:rPr>
                <w:rFonts w:hint="eastAsia" w:ascii="宋体" w:hAnsi="宋体" w:eastAsia="宋体" w:cs="宋体"/>
                <w:color w:val="auto"/>
                <w:sz w:val="21"/>
                <w:szCs w:val="21"/>
                <w:highlight w:val="none"/>
              </w:rPr>
              <w:t>件）；没有财务报告的，可以提供基本开户银行出具的资信证明复印件；</w:t>
            </w:r>
            <w:r>
              <w:rPr>
                <w:rFonts w:hint="eastAsia" w:ascii="宋体" w:hAnsi="宋体" w:eastAsia="宋体" w:cs="宋体"/>
                <w:color w:val="auto"/>
                <w:szCs w:val="21"/>
                <w:highlight w:val="none"/>
              </w:rPr>
              <w:t>如供应商为</w:t>
            </w:r>
            <w:r>
              <w:rPr>
                <w:rFonts w:hint="eastAsia" w:ascii="宋体" w:hAnsi="宋体" w:cs="宋体"/>
                <w:color w:val="auto"/>
                <w:szCs w:val="21"/>
                <w:highlight w:val="none"/>
                <w:lang w:val="en-US" w:eastAsia="zh-CN"/>
              </w:rPr>
              <w:t>2025年</w:t>
            </w:r>
            <w:r>
              <w:rPr>
                <w:rFonts w:hint="eastAsia" w:ascii="宋体" w:hAnsi="宋体" w:eastAsia="宋体" w:cs="宋体"/>
                <w:color w:val="auto"/>
                <w:szCs w:val="21"/>
                <w:highlight w:val="none"/>
              </w:rPr>
              <w:t>新成立公司的，应提供于公司成立之日后的财务状况报告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其中，上述财务状况报告包括：</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执行《企业会计准则》的，提供资产负债表、利润表、现金流量表、所有者权益变动表及其附注（以下称“四表一注”）；</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执行《小企业会计准则》的，提供资产负债表、利润表、现金流量表及其附注（以下称“三表一注”）；</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执行《政府会计制度》的，提供资产负债表、收入费用表和净资产变动表及其附注</w:t>
            </w:r>
            <w:r>
              <w:rPr>
                <w:rFonts w:hint="eastAsia" w:ascii="宋体" w:hAnsi="宋体" w:cs="宋体"/>
                <w:color w:val="auto"/>
                <w:szCs w:val="21"/>
                <w:highlight w:val="none"/>
              </w:rPr>
              <w:t>；</w:t>
            </w:r>
          </w:p>
          <w:p w14:paraId="75981B69">
            <w:pPr>
              <w:adjustRightInd w:val="0"/>
              <w:snapToGrid w:val="0"/>
              <w:spacing w:line="360" w:lineRule="auto"/>
              <w:jc w:val="left"/>
              <w:rPr>
                <w:rFonts w:hint="eastAsia" w:ascii="宋体" w:hAnsi="宋体" w:cs="宋体" w:eastAsiaTheme="minorEastAsia"/>
                <w:color w:val="auto"/>
                <w:szCs w:val="21"/>
                <w:highlight w:val="none"/>
                <w:lang w:eastAsia="zh-CN"/>
              </w:rPr>
            </w:pPr>
            <w:r>
              <w:rPr>
                <w:rFonts w:hint="eastAsia" w:ascii="宋体" w:hAnsi="宋体" w:cs="宋体"/>
                <w:color w:val="auto"/>
                <w:highlight w:val="none"/>
              </w:rPr>
              <w:t>★</w:t>
            </w:r>
            <w:r>
              <w:rPr>
                <w:rFonts w:hint="eastAsia" w:ascii="宋体" w:hAnsi="宋体" w:cs="宋体"/>
                <w:color w:val="auto"/>
                <w:szCs w:val="21"/>
                <w:highlight w:val="none"/>
              </w:rPr>
              <w:t>3.依法缴纳税收：</w:t>
            </w:r>
            <w:r>
              <w:rPr>
                <w:rFonts w:hint="eastAsia" w:asciiTheme="minorEastAsia" w:hAnsiTheme="minorEastAsia" w:eastAsiaTheme="minorEastAsia" w:cstheme="minorEastAsia"/>
                <w:color w:val="auto"/>
                <w:sz w:val="21"/>
                <w:szCs w:val="21"/>
                <w:highlight w:val="none"/>
                <w:lang w:val="en-US" w:eastAsia="zh-CN"/>
              </w:rPr>
              <w:t>2025年6月以来不少于2个月</w:t>
            </w:r>
            <w:r>
              <w:rPr>
                <w:rFonts w:hint="eastAsia" w:asciiTheme="minorEastAsia" w:hAnsiTheme="minorEastAsia" w:eastAsiaTheme="minorEastAsia" w:cstheme="minorEastAsia"/>
                <w:color w:val="auto"/>
                <w:szCs w:val="21"/>
                <w:highlight w:val="none"/>
              </w:rPr>
              <w:t>供应商</w:t>
            </w:r>
            <w:r>
              <w:rPr>
                <w:rFonts w:hint="eastAsia" w:asciiTheme="minorEastAsia" w:hAnsiTheme="minorEastAsia" w:eastAsiaTheme="minorEastAsia" w:cstheme="minorEastAsia"/>
                <w:color w:val="auto"/>
                <w:highlight w:val="none"/>
              </w:rPr>
              <w:t>依法缴纳税收（不包括个人所得税）的相关材料，如依法免税或不需要纳税的，应提供相应证明材料复印件（复印件）</w:t>
            </w:r>
            <w:r>
              <w:rPr>
                <w:rFonts w:hint="eastAsia" w:ascii="宋体" w:hAnsi="宋体" w:cs="宋体" w:eastAsiaTheme="minorEastAsia"/>
                <w:color w:val="auto"/>
                <w:szCs w:val="21"/>
                <w:highlight w:val="none"/>
                <w:lang w:eastAsia="zh-CN"/>
              </w:rPr>
              <w:t>。</w:t>
            </w:r>
            <w:r>
              <w:rPr>
                <w:rFonts w:hint="eastAsia" w:asciiTheme="minorEastAsia" w:hAnsiTheme="minorEastAsia" w:eastAsiaTheme="minorEastAsia" w:cstheme="minorEastAsia"/>
                <w:color w:val="auto"/>
                <w:highlight w:val="none"/>
                <w:lang w:eastAsia="zh-CN"/>
              </w:rPr>
              <w:t>如</w:t>
            </w:r>
            <w:r>
              <w:rPr>
                <w:rFonts w:hint="eastAsia" w:asciiTheme="minorEastAsia" w:hAnsiTheme="minorEastAsia" w:eastAsiaTheme="minorEastAsia" w:cstheme="minorEastAsia"/>
                <w:color w:val="auto"/>
                <w:highlight w:val="none"/>
                <w:lang w:val="en-US" w:eastAsia="zh-CN"/>
              </w:rPr>
              <w:t>供应商</w:t>
            </w:r>
            <w:r>
              <w:rPr>
                <w:rFonts w:hint="eastAsia" w:asciiTheme="minorEastAsia" w:hAnsiTheme="minorEastAsia" w:eastAsiaTheme="minorEastAsia" w:cstheme="minorEastAsia"/>
                <w:color w:val="auto"/>
                <w:highlight w:val="none"/>
                <w:lang w:eastAsia="zh-CN"/>
              </w:rPr>
              <w:t>成立时间不足</w:t>
            </w:r>
            <w:r>
              <w:rPr>
                <w:rFonts w:hint="eastAsia" w:asciiTheme="minorEastAsia" w:hAnsiTheme="minorEastAsia" w:eastAsiaTheme="minorEastAsia" w:cstheme="minorEastAsia"/>
                <w:color w:val="auto"/>
                <w:highlight w:val="none"/>
                <w:lang w:val="en-US" w:eastAsia="zh-CN"/>
              </w:rPr>
              <w:t>2个月的，按照实际提供证明材料</w:t>
            </w:r>
            <w:r>
              <w:rPr>
                <w:rFonts w:hint="eastAsia" w:cstheme="minorEastAsia"/>
                <w:color w:val="auto"/>
                <w:highlight w:val="none"/>
                <w:lang w:val="en-US" w:eastAsia="zh-CN"/>
              </w:rPr>
              <w:t>；</w:t>
            </w:r>
          </w:p>
          <w:p w14:paraId="49B3C1E8">
            <w:pPr>
              <w:pStyle w:val="11"/>
              <w:spacing w:line="360" w:lineRule="auto"/>
              <w:rPr>
                <w:rFonts w:hAnsi="宋体" w:cs="宋体"/>
                <w:color w:val="auto"/>
                <w:highlight w:val="none"/>
              </w:rPr>
            </w:pPr>
            <w:r>
              <w:rPr>
                <w:rFonts w:hint="eastAsia" w:hAnsi="宋体" w:cs="宋体"/>
                <w:color w:val="auto"/>
                <w:highlight w:val="none"/>
              </w:rPr>
              <w:t>★4.社会保障资金：</w:t>
            </w:r>
            <w:r>
              <w:rPr>
                <w:rFonts w:hint="eastAsia" w:asciiTheme="minorEastAsia" w:hAnsiTheme="minorEastAsia" w:eastAsiaTheme="minorEastAsia" w:cstheme="minorEastAsia"/>
                <w:color w:val="auto"/>
                <w:sz w:val="21"/>
                <w:szCs w:val="21"/>
                <w:highlight w:val="none"/>
                <w:lang w:val="en-US" w:eastAsia="zh-CN"/>
              </w:rPr>
              <w:t>2025年6月以来不少于2个月</w:t>
            </w:r>
            <w:r>
              <w:rPr>
                <w:rFonts w:hint="eastAsia" w:asciiTheme="minorEastAsia" w:hAnsiTheme="minorEastAsia" w:eastAsiaTheme="minorEastAsia" w:cstheme="minorEastAsia"/>
                <w:color w:val="auto"/>
                <w:highlight w:val="none"/>
              </w:rPr>
              <w:t>供应商依法缴纳社会保障资金的相关材料，如依法不需要缴纳社会保障资金的，则应提供相应证明材料</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复印件</w:t>
            </w:r>
            <w:r>
              <w:rPr>
                <w:rFonts w:hint="eastAsia" w:asciiTheme="minorEastAsia" w:hAnsiTheme="minorEastAsia" w:eastAsiaTheme="minorEastAsia" w:cstheme="minorEastAsia"/>
                <w:color w:val="auto"/>
                <w:highlight w:val="none"/>
                <w:lang w:eastAsia="zh-CN"/>
              </w:rPr>
              <w:t>）</w:t>
            </w:r>
            <w:r>
              <w:rPr>
                <w:rFonts w:hint="eastAsia" w:hAnsi="宋体" w:cs="宋体"/>
                <w:color w:val="auto"/>
                <w:highlight w:val="none"/>
              </w:rPr>
              <w:t>；</w:t>
            </w:r>
            <w:r>
              <w:rPr>
                <w:rFonts w:hint="eastAsia" w:asciiTheme="minorEastAsia" w:hAnsiTheme="minorEastAsia" w:eastAsiaTheme="minorEastAsia" w:cstheme="minorEastAsia"/>
                <w:color w:val="auto"/>
                <w:highlight w:val="none"/>
                <w:lang w:eastAsia="zh-CN"/>
              </w:rPr>
              <w:t>如</w:t>
            </w:r>
            <w:r>
              <w:rPr>
                <w:rFonts w:hint="eastAsia" w:asciiTheme="minorEastAsia" w:hAnsiTheme="minorEastAsia" w:eastAsiaTheme="minorEastAsia" w:cstheme="minorEastAsia"/>
                <w:color w:val="auto"/>
                <w:highlight w:val="none"/>
                <w:lang w:val="en-US" w:eastAsia="zh-CN"/>
              </w:rPr>
              <w:t>供应商</w:t>
            </w:r>
            <w:r>
              <w:rPr>
                <w:rFonts w:hint="eastAsia" w:asciiTheme="minorEastAsia" w:hAnsiTheme="minorEastAsia" w:eastAsiaTheme="minorEastAsia" w:cstheme="minorEastAsia"/>
                <w:color w:val="auto"/>
                <w:highlight w:val="none"/>
                <w:lang w:eastAsia="zh-CN"/>
              </w:rPr>
              <w:t>成立时间不足</w:t>
            </w:r>
            <w:r>
              <w:rPr>
                <w:rFonts w:hint="eastAsia" w:asciiTheme="minorEastAsia" w:hAnsiTheme="minorEastAsia" w:eastAsiaTheme="minorEastAsia" w:cstheme="minorEastAsia"/>
                <w:color w:val="auto"/>
                <w:highlight w:val="none"/>
                <w:lang w:val="en-US" w:eastAsia="zh-CN"/>
              </w:rPr>
              <w:t>2个月的，按照实际提供证明材料</w:t>
            </w:r>
            <w:r>
              <w:rPr>
                <w:rFonts w:hint="eastAsia" w:cstheme="minorEastAsia"/>
                <w:color w:val="auto"/>
                <w:highlight w:val="none"/>
                <w:lang w:val="en-US" w:eastAsia="zh-CN"/>
              </w:rPr>
              <w:t>；</w:t>
            </w:r>
          </w:p>
          <w:p w14:paraId="3BD26AFE">
            <w:pPr>
              <w:pStyle w:val="11"/>
              <w:spacing w:line="360" w:lineRule="auto"/>
              <w:rPr>
                <w:rFonts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5.</w:t>
            </w:r>
            <w:r>
              <w:rPr>
                <w:rFonts w:hint="eastAsia" w:hAnsi="宋体" w:cs="宋体"/>
                <w:color w:val="auto"/>
                <w:highlight w:val="none"/>
              </w:rPr>
              <w:t>具备履行合同所必需的设备和专业技术能力的书面声明；</w:t>
            </w:r>
          </w:p>
          <w:p w14:paraId="74D4B5E0">
            <w:pPr>
              <w:pStyle w:val="11"/>
              <w:spacing w:line="360" w:lineRule="auto"/>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6</w:t>
            </w:r>
            <w:r>
              <w:rPr>
                <w:rFonts w:hint="eastAsia" w:hAnsi="宋体" w:cs="宋体"/>
                <w:color w:val="auto"/>
                <w:highlight w:val="none"/>
              </w:rPr>
              <w:t>.参加采购活动前3年内在经营活动中没有重大违法记录的书面声明；</w:t>
            </w:r>
          </w:p>
          <w:p w14:paraId="5CBCC486">
            <w:pPr>
              <w:pStyle w:val="11"/>
              <w:spacing w:line="360" w:lineRule="auto"/>
              <w:rPr>
                <w:rFonts w:hint="eastAsia" w:hAnsi="宋体" w:eastAsia="宋体" w:cs="宋体"/>
                <w:color w:val="auto"/>
                <w:highlight w:val="none"/>
                <w:lang w:eastAsia="zh-CN"/>
              </w:rPr>
            </w:pPr>
            <w:r>
              <w:rPr>
                <w:rFonts w:hint="eastAsia" w:hAnsi="宋体" w:cs="宋体"/>
                <w:color w:val="auto"/>
                <w:highlight w:val="none"/>
              </w:rPr>
              <w:t>★</w:t>
            </w:r>
            <w:r>
              <w:rPr>
                <w:rFonts w:hint="eastAsia" w:hAnsi="宋体" w:cs="Times New Roman"/>
                <w:color w:val="auto"/>
                <w:highlight w:val="none"/>
                <w:lang w:val="en-US" w:eastAsia="zh-CN"/>
              </w:rPr>
              <w:t>7.</w:t>
            </w:r>
            <w:r>
              <w:rPr>
                <w:rFonts w:hint="eastAsia" w:hAnsi="宋体" w:eastAsia="宋体" w:cs="Times New Roman"/>
                <w:color w:val="auto"/>
                <w:highlight w:val="none"/>
                <w:lang w:val="en-US" w:eastAsia="zh-CN"/>
              </w:rPr>
              <w:t>中小企业声明函（中小微企业参加磋商的，按照《政府采购促进中小企业发展管理办法》（财库﹝2020﹞46 号印发）《关于印发中小企业划型标准规定的通知》 （工信部联企业〔2011〕300号）如实填写并提交此函）；监狱企业证明文件[监狱企业参加磋商的，提交省级以上监狱管理局、戒毒管理局（含新疆生产建设兵团）出具的证明文件]；残疾人福利性单位声明函（残疾人福利性单位参加磋商的，提交此函）</w:t>
            </w:r>
            <w:r>
              <w:rPr>
                <w:rFonts w:hint="eastAsia" w:hAnsi="宋体" w:cs="宋体"/>
                <w:color w:val="auto"/>
                <w:sz w:val="21"/>
                <w:szCs w:val="21"/>
                <w:highlight w:val="none"/>
                <w:lang w:eastAsia="zh-CN"/>
              </w:rPr>
              <w:t>；</w:t>
            </w:r>
          </w:p>
          <w:p w14:paraId="75C5D89A">
            <w:pPr>
              <w:pStyle w:val="11"/>
              <w:spacing w:line="360" w:lineRule="auto"/>
              <w:rPr>
                <w:rFonts w:hAnsi="宋体" w:cs="宋体"/>
                <w:color w:val="auto"/>
                <w:highlight w:val="none"/>
              </w:rPr>
            </w:pPr>
            <w:r>
              <w:rPr>
                <w:rFonts w:hint="eastAsia" w:hAnsi="宋体" w:cs="宋体"/>
                <w:color w:val="auto"/>
                <w:highlight w:val="none"/>
                <w:lang w:val="en-US" w:eastAsia="zh-CN"/>
              </w:rPr>
              <w:t>8.</w:t>
            </w:r>
            <w:r>
              <w:rPr>
                <w:rFonts w:hint="eastAsia" w:hAnsi="宋体" w:cs="宋体"/>
                <w:color w:val="auto"/>
                <w:highlight w:val="none"/>
              </w:rPr>
              <w:t>供应商认为需提供的其他资格证明资料</w:t>
            </w:r>
            <w:r>
              <w:rPr>
                <w:rFonts w:hint="eastAsia" w:hAnsi="宋体" w:cs="宋体"/>
                <w:color w:val="auto"/>
                <w:kern w:val="0"/>
                <w:highlight w:val="none"/>
              </w:rPr>
              <w:t>。</w:t>
            </w:r>
          </w:p>
        </w:tc>
      </w:tr>
      <w:tr w14:paraId="0C92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vAlign w:val="center"/>
          </w:tcPr>
          <w:p w14:paraId="07A70CF9">
            <w:pPr>
              <w:adjustRightInd w:val="0"/>
              <w:snapToGrid w:val="0"/>
              <w:spacing w:line="360" w:lineRule="auto"/>
              <w:jc w:val="center"/>
              <w:rPr>
                <w:rFonts w:ascii="宋体" w:hAnsi="宋体" w:cs="宋体"/>
                <w:b/>
                <w:color w:val="auto"/>
                <w:szCs w:val="21"/>
                <w:highlight w:val="none"/>
              </w:rPr>
            </w:pPr>
          </w:p>
        </w:tc>
        <w:tc>
          <w:tcPr>
            <w:tcW w:w="1859" w:type="dxa"/>
            <w:vMerge w:val="continue"/>
            <w:vAlign w:val="center"/>
          </w:tcPr>
          <w:p w14:paraId="21E82796">
            <w:pPr>
              <w:topLinePunct/>
              <w:autoSpaceDE w:val="0"/>
              <w:autoSpaceDN w:val="0"/>
              <w:adjustRightInd w:val="0"/>
              <w:snapToGrid w:val="0"/>
              <w:spacing w:line="360" w:lineRule="auto"/>
              <w:jc w:val="center"/>
              <w:rPr>
                <w:rFonts w:ascii="宋体" w:hAnsi="宋体" w:cs="宋体"/>
                <w:b/>
                <w:color w:val="auto"/>
                <w:szCs w:val="21"/>
                <w:highlight w:val="none"/>
              </w:rPr>
            </w:pPr>
          </w:p>
        </w:tc>
        <w:tc>
          <w:tcPr>
            <w:tcW w:w="976" w:type="dxa"/>
            <w:vMerge w:val="continue"/>
            <w:vAlign w:val="center"/>
          </w:tcPr>
          <w:p w14:paraId="603D3F6F">
            <w:pPr>
              <w:topLinePunct/>
              <w:autoSpaceDE w:val="0"/>
              <w:autoSpaceDN w:val="0"/>
              <w:adjustRightInd w:val="0"/>
              <w:snapToGrid w:val="0"/>
              <w:spacing w:line="360" w:lineRule="auto"/>
              <w:rPr>
                <w:rFonts w:ascii="宋体" w:hAnsi="宋体" w:cs="宋体"/>
                <w:b/>
                <w:bCs/>
                <w:color w:val="auto"/>
                <w:szCs w:val="21"/>
                <w:highlight w:val="none"/>
              </w:rPr>
            </w:pPr>
          </w:p>
        </w:tc>
        <w:tc>
          <w:tcPr>
            <w:tcW w:w="5367" w:type="dxa"/>
            <w:vAlign w:val="center"/>
          </w:tcPr>
          <w:p w14:paraId="5316FA3A">
            <w:pPr>
              <w:adjustRightInd w:val="0"/>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二、</w:t>
            </w:r>
            <w:r>
              <w:rPr>
                <w:rFonts w:hint="eastAsia" w:ascii="宋体" w:hAnsi="宋体" w:cs="宋体"/>
                <w:b/>
                <w:color w:val="auto"/>
                <w:szCs w:val="21"/>
                <w:highlight w:val="none"/>
              </w:rPr>
              <w:t>报价一览表</w:t>
            </w:r>
            <w:r>
              <w:rPr>
                <w:rFonts w:hint="eastAsia" w:ascii="宋体" w:hAnsi="宋体" w:cs="宋体"/>
                <w:b/>
                <w:bCs/>
                <w:color w:val="auto"/>
                <w:szCs w:val="21"/>
                <w:highlight w:val="none"/>
              </w:rPr>
              <w:t>：</w:t>
            </w:r>
          </w:p>
          <w:p w14:paraId="78C64397">
            <w:pPr>
              <w:adjustRightInd w:val="0"/>
              <w:snapToGrid w:val="0"/>
              <w:spacing w:line="360" w:lineRule="auto"/>
              <w:jc w:val="left"/>
              <w:rPr>
                <w:rFonts w:hAnsi="宋体"/>
                <w:color w:val="auto"/>
                <w:highlight w:val="none"/>
              </w:rPr>
            </w:pPr>
            <w:r>
              <w:rPr>
                <w:rFonts w:hint="eastAsia" w:ascii="宋体" w:hAnsi="宋体" w:cs="宋体"/>
                <w:color w:val="auto"/>
                <w:szCs w:val="21"/>
                <w:highlight w:val="none"/>
              </w:rPr>
              <w:t>1.★</w:t>
            </w:r>
            <w:r>
              <w:rPr>
                <w:rFonts w:hint="eastAsia" w:hAnsi="宋体"/>
                <w:color w:val="auto"/>
                <w:highlight w:val="none"/>
              </w:rPr>
              <w:t>报价一览表；</w:t>
            </w:r>
          </w:p>
          <w:p w14:paraId="6DB614F5">
            <w:pPr>
              <w:adjustRightInd w:val="0"/>
              <w:snapToGrid w:val="0"/>
              <w:spacing w:line="360" w:lineRule="auto"/>
              <w:jc w:val="left"/>
              <w:rPr>
                <w:rFonts w:hint="default" w:eastAsia="宋体"/>
                <w:color w:val="auto"/>
                <w:highlight w:val="none"/>
                <w:lang w:val="en-US" w:eastAsia="zh-CN"/>
              </w:rPr>
            </w:pPr>
            <w:r>
              <w:rPr>
                <w:rFonts w:hint="eastAsia" w:hAnsi="宋体"/>
                <w:color w:val="auto"/>
                <w:highlight w:val="none"/>
              </w:rPr>
              <w:t>2.</w:t>
            </w:r>
            <w:r>
              <w:rPr>
                <w:rFonts w:hint="eastAsia" w:ascii="宋体" w:hAnsi="宋体" w:cs="宋体"/>
                <w:color w:val="auto"/>
                <w:szCs w:val="21"/>
                <w:highlight w:val="none"/>
              </w:rPr>
              <w:t>★</w:t>
            </w:r>
            <w:r>
              <w:rPr>
                <w:rFonts w:hint="eastAsia" w:hAnsi="宋体"/>
                <w:color w:val="auto"/>
                <w:highlight w:val="none"/>
              </w:rPr>
              <w:t>分项</w:t>
            </w:r>
            <w:r>
              <w:rPr>
                <w:rFonts w:hint="eastAsia" w:hAnsi="宋体" w:eastAsia="宋体" w:cs="Times New Roman"/>
                <w:color w:val="auto"/>
                <w:highlight w:val="none"/>
              </w:rPr>
              <w:t>价格表</w:t>
            </w:r>
            <w:r>
              <w:rPr>
                <w:rFonts w:hint="eastAsia" w:hAnsi="宋体" w:cs="Times New Roman"/>
                <w:color w:val="auto"/>
                <w:highlight w:val="none"/>
                <w:lang w:val="en-US" w:eastAsia="zh-CN"/>
              </w:rPr>
              <w:t>；</w:t>
            </w:r>
          </w:p>
        </w:tc>
      </w:tr>
      <w:tr w14:paraId="4609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vAlign w:val="center"/>
          </w:tcPr>
          <w:p w14:paraId="6EAC9A5A">
            <w:pPr>
              <w:adjustRightInd w:val="0"/>
              <w:snapToGrid w:val="0"/>
              <w:spacing w:line="360" w:lineRule="auto"/>
              <w:jc w:val="center"/>
              <w:rPr>
                <w:rFonts w:ascii="宋体" w:hAnsi="宋体" w:cs="宋体"/>
                <w:b/>
                <w:color w:val="auto"/>
                <w:szCs w:val="21"/>
                <w:highlight w:val="none"/>
              </w:rPr>
            </w:pPr>
          </w:p>
        </w:tc>
        <w:tc>
          <w:tcPr>
            <w:tcW w:w="1859" w:type="dxa"/>
            <w:vMerge w:val="continue"/>
            <w:vAlign w:val="center"/>
          </w:tcPr>
          <w:p w14:paraId="350F7857">
            <w:pPr>
              <w:topLinePunct/>
              <w:autoSpaceDE w:val="0"/>
              <w:autoSpaceDN w:val="0"/>
              <w:adjustRightInd w:val="0"/>
              <w:snapToGrid w:val="0"/>
              <w:spacing w:line="360" w:lineRule="auto"/>
              <w:jc w:val="center"/>
              <w:rPr>
                <w:rFonts w:ascii="宋体" w:hAnsi="宋体" w:cs="宋体"/>
                <w:b/>
                <w:color w:val="auto"/>
                <w:szCs w:val="21"/>
                <w:highlight w:val="none"/>
              </w:rPr>
            </w:pPr>
          </w:p>
        </w:tc>
        <w:tc>
          <w:tcPr>
            <w:tcW w:w="976" w:type="dxa"/>
            <w:vMerge w:val="continue"/>
            <w:vAlign w:val="center"/>
          </w:tcPr>
          <w:p w14:paraId="5A6DCB78">
            <w:pPr>
              <w:topLinePunct/>
              <w:autoSpaceDE w:val="0"/>
              <w:autoSpaceDN w:val="0"/>
              <w:adjustRightInd w:val="0"/>
              <w:snapToGrid w:val="0"/>
              <w:spacing w:line="360" w:lineRule="auto"/>
              <w:rPr>
                <w:rFonts w:ascii="宋体" w:hAnsi="宋体" w:cs="宋体"/>
                <w:b/>
                <w:bCs/>
                <w:color w:val="auto"/>
                <w:szCs w:val="21"/>
                <w:highlight w:val="none"/>
              </w:rPr>
            </w:pPr>
          </w:p>
        </w:tc>
        <w:tc>
          <w:tcPr>
            <w:tcW w:w="5367" w:type="dxa"/>
            <w:vAlign w:val="center"/>
          </w:tcPr>
          <w:p w14:paraId="56B3B056">
            <w:pPr>
              <w:widowControl/>
              <w:shd w:val="clear" w:color="auto" w:fill="FFFFFF"/>
              <w:tabs>
                <w:tab w:val="left" w:pos="475"/>
                <w:tab w:val="left" w:pos="617"/>
              </w:tabs>
              <w:adjustRightInd w:val="0"/>
              <w:snapToGrid w:val="0"/>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三、其他文件及资料：</w:t>
            </w:r>
          </w:p>
          <w:p w14:paraId="56E3C60A">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1.★授权委托书；</w:t>
            </w:r>
          </w:p>
          <w:p w14:paraId="2247663E">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2.★磋商响应函；</w:t>
            </w:r>
          </w:p>
          <w:p w14:paraId="24422C84">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3.★商务条款偏离表；</w:t>
            </w:r>
          </w:p>
          <w:p w14:paraId="01DFDFC8">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4.★磋商保证金缴纳证明；</w:t>
            </w:r>
          </w:p>
          <w:p w14:paraId="118A3493">
            <w:pPr>
              <w:widowControl/>
              <w:tabs>
                <w:tab w:val="left" w:pos="0"/>
                <w:tab w:val="left" w:pos="220"/>
              </w:tabs>
              <w:adjustRightInd w:val="0"/>
              <w:snapToGrid w:val="0"/>
              <w:spacing w:line="360" w:lineRule="auto"/>
              <w:jc w:val="left"/>
              <w:rPr>
                <w:rFonts w:ascii="宋体" w:hAnsi="宋体" w:cs="宋体"/>
                <w:bCs/>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供应商认为需要提供的其他说明和材料（如成功案例，</w:t>
            </w:r>
            <w:r>
              <w:rPr>
                <w:rFonts w:hint="eastAsia"/>
                <w:color w:val="auto"/>
                <w:szCs w:val="21"/>
                <w:highlight w:val="none"/>
              </w:rPr>
              <w:t>获奖证明</w:t>
            </w:r>
            <w:r>
              <w:rPr>
                <w:rFonts w:hint="eastAsia" w:ascii="宋体" w:hAnsi="宋体" w:cs="宋体"/>
                <w:color w:val="auto"/>
                <w:szCs w:val="21"/>
                <w:highlight w:val="none"/>
              </w:rPr>
              <w:t>等）。</w:t>
            </w:r>
          </w:p>
        </w:tc>
      </w:tr>
      <w:tr w14:paraId="23F5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vAlign w:val="center"/>
          </w:tcPr>
          <w:p w14:paraId="7D32BC72">
            <w:pPr>
              <w:adjustRightInd w:val="0"/>
              <w:snapToGrid w:val="0"/>
              <w:spacing w:line="360" w:lineRule="auto"/>
              <w:jc w:val="center"/>
              <w:rPr>
                <w:rFonts w:ascii="宋体" w:hAnsi="宋体" w:cs="宋体"/>
                <w:color w:val="auto"/>
                <w:szCs w:val="21"/>
                <w:highlight w:val="none"/>
              </w:rPr>
            </w:pPr>
          </w:p>
        </w:tc>
        <w:tc>
          <w:tcPr>
            <w:tcW w:w="1859" w:type="dxa"/>
            <w:vMerge w:val="continue"/>
            <w:vAlign w:val="center"/>
          </w:tcPr>
          <w:p w14:paraId="0BB0719A">
            <w:pPr>
              <w:topLinePunct/>
              <w:autoSpaceDE w:val="0"/>
              <w:autoSpaceDN w:val="0"/>
              <w:adjustRightInd w:val="0"/>
              <w:snapToGrid w:val="0"/>
              <w:spacing w:line="360" w:lineRule="auto"/>
              <w:jc w:val="center"/>
              <w:rPr>
                <w:rFonts w:ascii="宋体" w:hAnsi="宋体" w:cs="宋体"/>
                <w:color w:val="auto"/>
                <w:szCs w:val="21"/>
                <w:highlight w:val="none"/>
              </w:rPr>
            </w:pPr>
          </w:p>
        </w:tc>
        <w:tc>
          <w:tcPr>
            <w:tcW w:w="976" w:type="dxa"/>
            <w:vAlign w:val="center"/>
          </w:tcPr>
          <w:p w14:paraId="1B54B699">
            <w:pPr>
              <w:topLinePunct/>
              <w:autoSpaceDE w:val="0"/>
              <w:autoSpaceDN w:val="0"/>
              <w:adjustRightInd w:val="0"/>
              <w:snapToGrid w:val="0"/>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技术部分</w:t>
            </w:r>
          </w:p>
        </w:tc>
        <w:tc>
          <w:tcPr>
            <w:tcW w:w="5367" w:type="dxa"/>
            <w:vAlign w:val="center"/>
          </w:tcPr>
          <w:p w14:paraId="5BDC8462">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1.★技术条款偏离表；</w:t>
            </w:r>
          </w:p>
          <w:p w14:paraId="69A7149F">
            <w:pPr>
              <w:widowControl/>
              <w:overflowPunct w:val="0"/>
              <w:autoSpaceDE w:val="0"/>
              <w:autoSpaceDN w:val="0"/>
              <w:adjustRightInd w:val="0"/>
              <w:spacing w:after="0" w:line="360" w:lineRule="auto"/>
              <w:jc w:val="left"/>
              <w:textAlignment w:val="baseline"/>
              <w:rPr>
                <w:rFonts w:ascii="宋体" w:hAnsi="宋体" w:cs="宋体"/>
                <w:bCs/>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8"/>
                <w:szCs w:val="21"/>
                <w:highlight w:val="none"/>
              </w:rPr>
              <w:t>服务方案（</w:t>
            </w:r>
            <w:r>
              <w:rPr>
                <w:rFonts w:hint="eastAsia"/>
                <w:color w:val="auto"/>
                <w:highlight w:val="none"/>
                <w:lang w:val="en-US" w:eastAsia="zh-CN"/>
              </w:rPr>
              <w:t>包括但不限于保安服务方案、保洁服务方案、档案管理及会议服务方案、供电设备监控维护管理方案、食堂餐饮服务方案</w:t>
            </w:r>
            <w:r>
              <w:rPr>
                <w:rFonts w:hint="eastAsia" w:ascii="宋体" w:hAnsi="宋体" w:cs="宋体"/>
                <w:color w:val="auto"/>
                <w:spacing w:val="8"/>
                <w:szCs w:val="21"/>
                <w:highlight w:val="none"/>
              </w:rPr>
              <w:t>）</w:t>
            </w:r>
            <w:r>
              <w:rPr>
                <w:rFonts w:hint="eastAsia" w:ascii="宋体" w:hAnsi="宋体" w:cs="宋体"/>
                <w:color w:val="auto"/>
                <w:szCs w:val="21"/>
                <w:highlight w:val="none"/>
              </w:rPr>
              <w:t>；</w:t>
            </w:r>
          </w:p>
          <w:p w14:paraId="4E0230DC">
            <w:pPr>
              <w:adjustRightInd w:val="0"/>
              <w:snapToGrid w:val="0"/>
              <w:spacing w:line="360" w:lineRule="auto"/>
              <w:jc w:val="left"/>
              <w:rPr>
                <w:rFonts w:ascii="宋体" w:hAnsi="宋体" w:cs="宋体"/>
                <w:color w:val="auto"/>
                <w:szCs w:val="21"/>
                <w:highlight w:val="none"/>
                <w:lang w:val="zh-CN"/>
              </w:rPr>
            </w:pPr>
            <w:r>
              <w:rPr>
                <w:rFonts w:hint="eastAsia" w:ascii="宋体" w:hAnsi="宋体" w:cs="宋体"/>
                <w:color w:val="auto"/>
                <w:szCs w:val="21"/>
                <w:highlight w:val="none"/>
              </w:rPr>
              <w:t>3.拟投入</w:t>
            </w:r>
            <w:r>
              <w:rPr>
                <w:rFonts w:hint="eastAsia"/>
                <w:color w:val="auto"/>
                <w:highlight w:val="none"/>
              </w:rPr>
              <w:t>项目技术力量</w:t>
            </w:r>
            <w:r>
              <w:rPr>
                <w:rFonts w:hint="eastAsia" w:ascii="宋体" w:hAnsi="宋体" w:cs="宋体"/>
                <w:color w:val="auto"/>
                <w:szCs w:val="21"/>
                <w:highlight w:val="none"/>
              </w:rPr>
              <w:t>一览表</w:t>
            </w:r>
            <w:r>
              <w:rPr>
                <w:rFonts w:hint="eastAsia" w:ascii="宋体" w:hAnsi="宋体" w:cs="宋体"/>
                <w:color w:val="auto"/>
                <w:szCs w:val="21"/>
                <w:highlight w:val="none"/>
                <w:lang w:val="zh-CN"/>
              </w:rPr>
              <w:t>；</w:t>
            </w:r>
          </w:p>
          <w:p w14:paraId="764EA1A7">
            <w:pPr>
              <w:widowControl/>
              <w:tabs>
                <w:tab w:val="left" w:pos="0"/>
                <w:tab w:val="left" w:pos="220"/>
              </w:tabs>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.供应商认为需要提供的其他说明和资料。</w:t>
            </w:r>
          </w:p>
        </w:tc>
      </w:tr>
      <w:tr w14:paraId="3FB0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vAlign w:val="center"/>
          </w:tcPr>
          <w:p w14:paraId="01B064E1">
            <w:pPr>
              <w:adjustRightInd w:val="0"/>
              <w:snapToGrid w:val="0"/>
              <w:spacing w:line="360" w:lineRule="auto"/>
              <w:jc w:val="center"/>
              <w:rPr>
                <w:rFonts w:ascii="宋体" w:hAnsi="宋体" w:cs="宋体"/>
                <w:b/>
                <w:color w:val="auto"/>
                <w:szCs w:val="21"/>
                <w:highlight w:val="none"/>
              </w:rPr>
            </w:pPr>
          </w:p>
        </w:tc>
        <w:tc>
          <w:tcPr>
            <w:tcW w:w="1859" w:type="dxa"/>
            <w:vMerge w:val="continue"/>
            <w:vAlign w:val="center"/>
          </w:tcPr>
          <w:p w14:paraId="6C05A2F9">
            <w:pPr>
              <w:topLinePunct/>
              <w:autoSpaceDE w:val="0"/>
              <w:autoSpaceDN w:val="0"/>
              <w:adjustRightInd w:val="0"/>
              <w:snapToGrid w:val="0"/>
              <w:spacing w:line="360" w:lineRule="auto"/>
              <w:jc w:val="center"/>
              <w:rPr>
                <w:rFonts w:ascii="宋体" w:hAnsi="宋体" w:cs="宋体"/>
                <w:b/>
                <w:color w:val="auto"/>
                <w:szCs w:val="21"/>
                <w:highlight w:val="none"/>
              </w:rPr>
            </w:pPr>
          </w:p>
        </w:tc>
        <w:tc>
          <w:tcPr>
            <w:tcW w:w="6343" w:type="dxa"/>
            <w:gridSpan w:val="2"/>
            <w:vAlign w:val="center"/>
          </w:tcPr>
          <w:p w14:paraId="53D51102">
            <w:pPr>
              <w:adjustRightInd w:val="0"/>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1.以上带★的文件及资料未提供或提供的无效，则响应无效。</w:t>
            </w:r>
          </w:p>
          <w:p w14:paraId="6AFD256F">
            <w:pPr>
              <w:topLinePunct/>
              <w:autoSpaceDE w:val="0"/>
              <w:autoSpaceDN w:val="0"/>
              <w:adjustRightInd w:val="0"/>
              <w:snapToGrid w:val="0"/>
              <w:spacing w:line="360" w:lineRule="auto"/>
              <w:rPr>
                <w:rFonts w:ascii="宋体" w:hAnsi="宋体" w:cs="宋体"/>
                <w:color w:val="auto"/>
                <w:szCs w:val="21"/>
                <w:highlight w:val="none"/>
                <w:u w:val="single"/>
              </w:rPr>
            </w:pPr>
            <w:r>
              <w:rPr>
                <w:rFonts w:hint="eastAsia" w:ascii="宋体" w:hAnsi="宋体" w:cs="宋体"/>
                <w:b/>
                <w:bCs/>
                <w:color w:val="auto"/>
                <w:szCs w:val="21"/>
                <w:highlight w:val="none"/>
              </w:rPr>
              <w:t>2.</w:t>
            </w:r>
            <w:r>
              <w:rPr>
                <w:rFonts w:hint="eastAsia" w:ascii="宋体" w:hAnsi="宋体" w:cs="宋体"/>
                <w:b/>
                <w:color w:val="auto"/>
                <w:szCs w:val="21"/>
                <w:highlight w:val="none"/>
              </w:rPr>
              <w:t>以上带★的文件，必须加盖供应商公章，否则响应无效。</w:t>
            </w:r>
          </w:p>
        </w:tc>
      </w:tr>
      <w:tr w14:paraId="46DF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51DC5D00">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18</w:t>
            </w:r>
          </w:p>
        </w:tc>
        <w:tc>
          <w:tcPr>
            <w:tcW w:w="1859" w:type="dxa"/>
            <w:vAlign w:val="center"/>
          </w:tcPr>
          <w:p w14:paraId="0B935AC3">
            <w:pPr>
              <w:topLinePunct/>
              <w:autoSpaceDE w:val="0"/>
              <w:autoSpaceDN w:val="0"/>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磋商响应有效期</w:t>
            </w:r>
          </w:p>
        </w:tc>
        <w:tc>
          <w:tcPr>
            <w:tcW w:w="6343" w:type="dxa"/>
            <w:gridSpan w:val="2"/>
            <w:vAlign w:val="center"/>
          </w:tcPr>
          <w:p w14:paraId="5662C5FD">
            <w:pPr>
              <w:topLinePunct/>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从提交响应文件的截止之日起计算</w:t>
            </w:r>
            <w:r>
              <w:rPr>
                <w:rFonts w:hint="eastAsia" w:ascii="宋体" w:hAnsi="宋体" w:cs="宋体"/>
                <w:color w:val="auto"/>
                <w:szCs w:val="21"/>
                <w:highlight w:val="none"/>
                <w:u w:val="single"/>
              </w:rPr>
              <w:t>90</w:t>
            </w:r>
            <w:r>
              <w:rPr>
                <w:rFonts w:hint="eastAsia" w:ascii="宋体" w:hAnsi="宋体" w:cs="宋体"/>
                <w:color w:val="auto"/>
                <w:szCs w:val="21"/>
                <w:highlight w:val="none"/>
              </w:rPr>
              <w:t>日历日。</w:t>
            </w:r>
          </w:p>
        </w:tc>
      </w:tr>
      <w:tr w14:paraId="057C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655757A9">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w:t>
            </w:r>
          </w:p>
        </w:tc>
        <w:tc>
          <w:tcPr>
            <w:tcW w:w="1859" w:type="dxa"/>
            <w:vAlign w:val="center"/>
          </w:tcPr>
          <w:p w14:paraId="49914A47">
            <w:pPr>
              <w:topLinePunct/>
              <w:autoSpaceDE w:val="0"/>
              <w:autoSpaceDN w:val="0"/>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提交响应文件方式、截止时间、地点</w:t>
            </w:r>
          </w:p>
        </w:tc>
        <w:tc>
          <w:tcPr>
            <w:tcW w:w="6343" w:type="dxa"/>
            <w:gridSpan w:val="2"/>
            <w:vAlign w:val="center"/>
          </w:tcPr>
          <w:p w14:paraId="43168886">
            <w:pPr>
              <w:topLinePunct/>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b/>
                <w:color w:val="auto"/>
                <w:szCs w:val="21"/>
                <w:highlight w:val="none"/>
              </w:rPr>
              <w:t>提交方式：</w:t>
            </w:r>
            <w:r>
              <w:rPr>
                <w:rFonts w:hint="eastAsia" w:ascii="宋体" w:hAnsi="宋体" w:cs="宋体"/>
                <w:color w:val="auto"/>
                <w:szCs w:val="21"/>
                <w:highlight w:val="none"/>
                <w:u w:val="single"/>
              </w:rPr>
              <w:t>纸质文件提交</w:t>
            </w:r>
          </w:p>
          <w:p w14:paraId="5397441B">
            <w:pPr>
              <w:topLinePunct/>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b/>
                <w:color w:val="auto"/>
                <w:szCs w:val="21"/>
                <w:highlight w:val="none"/>
              </w:rPr>
              <w:t>提交响应文件截止时间：</w:t>
            </w:r>
            <w:r>
              <w:rPr>
                <w:rFonts w:hint="eastAsia" w:ascii="宋体" w:hAnsi="宋体" w:cs="宋体"/>
                <w:color w:val="auto"/>
                <w:szCs w:val="21"/>
                <w:highlight w:val="none"/>
                <w:u w:val="single"/>
                <w:lang w:eastAsia="zh-CN"/>
              </w:rPr>
              <w:t>2026年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18</w:t>
            </w:r>
            <w:r>
              <w:rPr>
                <w:rFonts w:hint="eastAsia" w:ascii="宋体" w:hAnsi="宋体" w:cs="宋体"/>
                <w:color w:val="auto"/>
                <w:szCs w:val="21"/>
                <w:highlight w:val="none"/>
                <w:u w:val="single"/>
                <w:lang w:eastAsia="zh-CN"/>
              </w:rPr>
              <w:t>日</w:t>
            </w:r>
            <w:r>
              <w:rPr>
                <w:rFonts w:hint="eastAsia" w:ascii="宋体" w:hAnsi="宋体" w:cs="宋体"/>
                <w:bCs/>
                <w:color w:val="auto"/>
                <w:szCs w:val="21"/>
                <w:highlight w:val="none"/>
                <w:u w:val="single"/>
                <w:lang w:val="en-US" w:eastAsia="zh-CN"/>
              </w:rPr>
              <w:t>9时30分</w:t>
            </w:r>
            <w:r>
              <w:rPr>
                <w:rFonts w:hint="eastAsia" w:ascii="宋体" w:hAnsi="宋体" w:cs="宋体"/>
                <w:color w:val="auto"/>
                <w:szCs w:val="21"/>
                <w:highlight w:val="none"/>
              </w:rPr>
              <w:t>（北京时间）</w:t>
            </w:r>
          </w:p>
          <w:p w14:paraId="0AA71B95">
            <w:pPr>
              <w:spacing w:line="360" w:lineRule="auto"/>
              <w:rPr>
                <w:rFonts w:hint="eastAsia" w:ascii="宋体" w:hAnsi="宋体" w:eastAsia="宋体" w:cs="宋体"/>
                <w:b w:val="0"/>
                <w:bCs/>
                <w:color w:val="auto"/>
                <w:szCs w:val="21"/>
                <w:highlight w:val="none"/>
                <w:u w:val="single"/>
                <w:lang w:eastAsia="zh-CN"/>
              </w:rPr>
            </w:pPr>
            <w:r>
              <w:rPr>
                <w:rFonts w:hint="eastAsia" w:ascii="宋体" w:hAnsi="宋体" w:cs="宋体"/>
                <w:b/>
                <w:color w:val="auto"/>
                <w:szCs w:val="21"/>
                <w:highlight w:val="none"/>
              </w:rPr>
              <w:t>地点：</w:t>
            </w:r>
            <w:r>
              <w:rPr>
                <w:rFonts w:hint="eastAsia" w:ascii="宋体" w:hAnsi="宋体" w:cs="宋体"/>
                <w:b/>
                <w:bCs/>
                <w:color w:val="auto"/>
                <w:szCs w:val="21"/>
                <w:highlight w:val="none"/>
                <w:lang w:eastAsia="zh-CN"/>
              </w:rPr>
              <w:t>广西众联工程项目管理有限公司开标厅（南宁市江南区白沙大道53号松宇时代14层）</w:t>
            </w:r>
          </w:p>
          <w:p w14:paraId="10FC684F">
            <w:pPr>
              <w:topLinePunct/>
              <w:autoSpaceDE w:val="0"/>
              <w:autoSpaceDN w:val="0"/>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联系电话：</w:t>
            </w:r>
            <w:r>
              <w:rPr>
                <w:rFonts w:hint="eastAsia" w:ascii="宋体" w:hAnsi="宋体" w:cs="宋体"/>
                <w:bCs/>
                <w:color w:val="auto"/>
                <w:szCs w:val="21"/>
                <w:highlight w:val="none"/>
                <w:u w:val="single"/>
              </w:rPr>
              <w:t>0771-4308370、0771-4308713</w:t>
            </w:r>
          </w:p>
        </w:tc>
      </w:tr>
      <w:tr w14:paraId="6679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136A2223">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w:t>
            </w:r>
          </w:p>
        </w:tc>
        <w:tc>
          <w:tcPr>
            <w:tcW w:w="1859" w:type="dxa"/>
            <w:vAlign w:val="center"/>
          </w:tcPr>
          <w:p w14:paraId="60750060">
            <w:pPr>
              <w:topLinePunct/>
              <w:autoSpaceDE w:val="0"/>
              <w:autoSpaceDN w:val="0"/>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响应文件开启时间和地点</w:t>
            </w:r>
          </w:p>
        </w:tc>
        <w:tc>
          <w:tcPr>
            <w:tcW w:w="6343" w:type="dxa"/>
            <w:gridSpan w:val="2"/>
            <w:vAlign w:val="center"/>
          </w:tcPr>
          <w:p w14:paraId="60522EC3">
            <w:pPr>
              <w:topLinePunct/>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b/>
                <w:color w:val="auto"/>
                <w:szCs w:val="21"/>
                <w:highlight w:val="none"/>
              </w:rPr>
              <w:t>时间：</w:t>
            </w:r>
            <w:r>
              <w:rPr>
                <w:rFonts w:hint="eastAsia" w:ascii="宋体" w:hAnsi="宋体" w:cs="宋体"/>
                <w:color w:val="auto"/>
                <w:szCs w:val="21"/>
                <w:highlight w:val="none"/>
                <w:u w:val="single"/>
                <w:lang w:eastAsia="zh-CN"/>
              </w:rPr>
              <w:t>2026年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18</w:t>
            </w:r>
            <w:r>
              <w:rPr>
                <w:rFonts w:hint="eastAsia" w:ascii="宋体" w:hAnsi="宋体" w:cs="宋体"/>
                <w:color w:val="auto"/>
                <w:szCs w:val="21"/>
                <w:highlight w:val="none"/>
                <w:u w:val="single"/>
                <w:lang w:eastAsia="zh-CN"/>
              </w:rPr>
              <w:t>日</w:t>
            </w:r>
            <w:r>
              <w:rPr>
                <w:rFonts w:hint="eastAsia" w:ascii="宋体" w:hAnsi="宋体" w:cs="宋体"/>
                <w:bCs/>
                <w:color w:val="auto"/>
                <w:szCs w:val="21"/>
                <w:highlight w:val="none"/>
                <w:u w:val="single"/>
                <w:lang w:val="en-US" w:eastAsia="zh-CN"/>
              </w:rPr>
              <w:t>9时30分</w:t>
            </w:r>
            <w:r>
              <w:rPr>
                <w:rFonts w:hint="eastAsia" w:ascii="宋体" w:hAnsi="宋体" w:cs="宋体"/>
                <w:color w:val="auto"/>
                <w:szCs w:val="21"/>
                <w:highlight w:val="none"/>
              </w:rPr>
              <w:t>（北京时间）</w:t>
            </w:r>
          </w:p>
          <w:p w14:paraId="3DE75322">
            <w:pPr>
              <w:topLinePunct/>
              <w:autoSpaceDE w:val="0"/>
              <w:autoSpaceDN w:val="0"/>
              <w:adjustRightInd w:val="0"/>
              <w:snapToGrid w:val="0"/>
              <w:spacing w:line="360" w:lineRule="auto"/>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地点：</w:t>
            </w:r>
            <w:r>
              <w:rPr>
                <w:rFonts w:hint="eastAsia" w:ascii="宋体" w:hAnsi="宋体" w:cs="宋体"/>
                <w:b/>
                <w:bCs/>
                <w:color w:val="auto"/>
                <w:szCs w:val="21"/>
                <w:highlight w:val="none"/>
                <w:lang w:eastAsia="zh-CN"/>
              </w:rPr>
              <w:t>广西众联工程项目管理有限公司评标室（南宁市江南区白沙大道53号松宇时代14层）</w:t>
            </w:r>
          </w:p>
        </w:tc>
      </w:tr>
      <w:tr w14:paraId="498C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4CC4A2C3">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1859" w:type="dxa"/>
            <w:vAlign w:val="center"/>
          </w:tcPr>
          <w:p w14:paraId="5F0557B9">
            <w:pPr>
              <w:tabs>
                <w:tab w:val="left" w:pos="1875"/>
              </w:tabs>
              <w:adjustRightInd w:val="0"/>
              <w:snapToGrid w:val="0"/>
              <w:spacing w:line="360" w:lineRule="auto"/>
              <w:jc w:val="center"/>
              <w:rPr>
                <w:rFonts w:ascii="宋体" w:hAnsi="宋体" w:cs="宋体"/>
                <w:b/>
                <w:color w:val="auto"/>
                <w:szCs w:val="21"/>
                <w:highlight w:val="none"/>
              </w:rPr>
            </w:pPr>
            <w:r>
              <w:rPr>
                <w:rFonts w:hint="eastAsia" w:ascii="宋体" w:hAnsi="宋体" w:cs="宋体"/>
                <w:color w:val="auto"/>
                <w:szCs w:val="21"/>
                <w:highlight w:val="none"/>
              </w:rPr>
              <w:t>磋商保证金</w:t>
            </w:r>
          </w:p>
        </w:tc>
        <w:tc>
          <w:tcPr>
            <w:tcW w:w="6343" w:type="dxa"/>
            <w:gridSpan w:val="2"/>
            <w:vAlign w:val="center"/>
          </w:tcPr>
          <w:p w14:paraId="74F130FE">
            <w:pPr>
              <w:topLinePunct/>
              <w:autoSpaceDE w:val="0"/>
              <w:autoSpaceDN w:val="0"/>
              <w:adjustRightInd w:val="0"/>
              <w:snapToGrid w:val="0"/>
              <w:spacing w:line="360" w:lineRule="auto"/>
              <w:rPr>
                <w:rFonts w:ascii="宋体" w:hAnsi="宋体" w:cs="宋体"/>
                <w:snapToGrid w:val="0"/>
                <w:color w:val="auto"/>
                <w:szCs w:val="21"/>
                <w:highlight w:val="none"/>
                <w:lang w:val="zh-CN"/>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不要求提供</w:t>
            </w:r>
          </w:p>
          <w:p w14:paraId="131419BA">
            <w:pPr>
              <w:topLinePunct/>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要求提供：</w:t>
            </w:r>
          </w:p>
          <w:p w14:paraId="01D36A66">
            <w:pPr>
              <w:topLinePunct/>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（1）金额：人民币</w:t>
            </w:r>
            <w:r>
              <w:rPr>
                <w:rFonts w:hint="eastAsia" w:ascii="宋体" w:hAnsi="宋体" w:cs="宋体"/>
                <w:color w:val="auto"/>
                <w:szCs w:val="21"/>
                <w:highlight w:val="none"/>
                <w:lang w:eastAsia="zh-CN"/>
              </w:rPr>
              <w:t>（大写）</w:t>
            </w:r>
            <w:r>
              <w:rPr>
                <w:rFonts w:hint="eastAsia" w:ascii="宋体" w:hAnsi="宋体" w:cs="宋体"/>
                <w:color w:val="auto"/>
                <w:szCs w:val="21"/>
                <w:highlight w:val="none"/>
                <w:u w:val="single"/>
                <w:lang w:val="en-US" w:eastAsia="zh-CN"/>
              </w:rPr>
              <w:t>玖</w:t>
            </w:r>
            <w:r>
              <w:rPr>
                <w:rFonts w:hint="eastAsia" w:ascii="宋体" w:hAnsi="宋体" w:cs="宋体"/>
                <w:color w:val="auto"/>
                <w:szCs w:val="21"/>
                <w:highlight w:val="none"/>
                <w:u w:val="single"/>
                <w:lang w:eastAsia="zh-CN"/>
              </w:rPr>
              <w:t>仟元整（¥</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lang w:eastAsia="zh-CN"/>
              </w:rPr>
              <w:t>000.00）</w:t>
            </w:r>
            <w:r>
              <w:rPr>
                <w:rFonts w:hint="eastAsia" w:ascii="宋体" w:hAnsi="宋体" w:cs="宋体"/>
                <w:color w:val="auto"/>
                <w:szCs w:val="21"/>
                <w:highlight w:val="none"/>
              </w:rPr>
              <w:t>。</w:t>
            </w:r>
          </w:p>
          <w:p w14:paraId="21155EA1">
            <w:pPr>
              <w:topLinePunct/>
              <w:autoSpaceDE w:val="0"/>
              <w:autoSpaceDN w:val="0"/>
              <w:adjustRightInd w:val="0"/>
              <w:snapToGrid w:val="0"/>
              <w:spacing w:line="360" w:lineRule="auto"/>
              <w:rPr>
                <w:rFonts w:ascii="宋体" w:hAnsi="宋体" w:cs="宋体"/>
                <w:color w:val="auto"/>
                <w:highlight w:val="none"/>
              </w:rPr>
            </w:pPr>
            <w:r>
              <w:rPr>
                <w:rFonts w:hint="eastAsia" w:ascii="宋体" w:hAnsi="宋体" w:cs="宋体"/>
                <w:color w:val="auto"/>
                <w:szCs w:val="21"/>
                <w:highlight w:val="none"/>
              </w:rPr>
              <w:t>（2）提交方式：</w:t>
            </w:r>
            <w:r>
              <w:rPr>
                <w:rFonts w:hint="eastAsia" w:ascii="宋体" w:hAnsi="宋体" w:cs="宋体"/>
                <w:color w:val="auto"/>
                <w:highlight w:val="none"/>
              </w:rPr>
              <w:t>银行转账、支票、汇票、本票或者金融、担保机构出具的保函，禁止采用现钞方式。采用银行转账方式的，在响应文件</w:t>
            </w:r>
            <w:r>
              <w:rPr>
                <w:rFonts w:hint="eastAsia" w:ascii="宋体" w:hAnsi="宋体" w:cs="宋体"/>
                <w:color w:val="auto"/>
                <w:highlight w:val="none"/>
                <w:lang w:val="en-US" w:eastAsia="zh-CN"/>
              </w:rPr>
              <w:t>提</w:t>
            </w:r>
            <w:r>
              <w:rPr>
                <w:rFonts w:hint="eastAsia" w:ascii="宋体" w:hAnsi="宋体" w:cs="宋体"/>
                <w:color w:val="auto"/>
                <w:highlight w:val="none"/>
              </w:rPr>
              <w:t>交截止时间前交至采购人或采购代理机构指定账户并且到账；采用支票、汇票、本票或者保函等方式的，在响应文件</w:t>
            </w:r>
            <w:r>
              <w:rPr>
                <w:rFonts w:hint="eastAsia" w:ascii="宋体" w:hAnsi="宋体" w:cs="宋体"/>
                <w:color w:val="auto"/>
                <w:highlight w:val="none"/>
                <w:lang w:val="en-US" w:eastAsia="zh-CN"/>
              </w:rPr>
              <w:t>提</w:t>
            </w:r>
            <w:r>
              <w:rPr>
                <w:rFonts w:hint="eastAsia" w:ascii="宋体" w:hAnsi="宋体" w:cs="宋体"/>
                <w:color w:val="auto"/>
                <w:highlight w:val="none"/>
              </w:rPr>
              <w:t>交截止时间前，供应商必须递交单独密封的支票、汇票、本票或者保函原件。否则视为无效保证金。</w:t>
            </w:r>
          </w:p>
          <w:p w14:paraId="6DCCB5E6">
            <w:pPr>
              <w:topLinePunct/>
              <w:autoSpaceDE w:val="0"/>
              <w:autoSpaceDN w:val="0"/>
              <w:adjustRightInd w:val="0"/>
              <w:snapToGrid w:val="0"/>
              <w:spacing w:line="360" w:lineRule="auto"/>
              <w:rPr>
                <w:rFonts w:ascii="宋体" w:hAnsi="宋体" w:cs="宋体"/>
                <w:color w:val="auto"/>
                <w:highlight w:val="none"/>
              </w:rPr>
            </w:pPr>
            <w:r>
              <w:rPr>
                <w:rFonts w:hint="eastAsia" w:ascii="宋体" w:hAnsi="宋体" w:cs="宋体"/>
                <w:color w:val="auto"/>
                <w:highlight w:val="none"/>
              </w:rPr>
              <w:t>收款人户名：</w:t>
            </w:r>
            <w:r>
              <w:rPr>
                <w:rFonts w:hint="eastAsia" w:ascii="宋体" w:hAnsi="宋体" w:cs="宋体"/>
                <w:color w:val="auto"/>
                <w:szCs w:val="21"/>
                <w:highlight w:val="none"/>
              </w:rPr>
              <w:t>广西众联工程项目管理有限公司</w:t>
            </w:r>
          </w:p>
          <w:p w14:paraId="12736572">
            <w:pPr>
              <w:topLinePunct/>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highlight w:val="none"/>
              </w:rPr>
              <w:t>开户银行：</w:t>
            </w:r>
            <w:r>
              <w:rPr>
                <w:rFonts w:hint="eastAsia" w:ascii="宋体" w:hAnsi="宋体" w:cs="宋体"/>
                <w:color w:val="auto"/>
                <w:szCs w:val="21"/>
                <w:highlight w:val="none"/>
              </w:rPr>
              <w:t>中国光大银行股份有限公司南宁民主支行</w:t>
            </w:r>
          </w:p>
          <w:p w14:paraId="0825099C">
            <w:pPr>
              <w:topLinePunct/>
              <w:autoSpaceDE w:val="0"/>
              <w:autoSpaceDN w:val="0"/>
              <w:adjustRightInd w:val="0"/>
              <w:snapToGrid w:val="0"/>
              <w:spacing w:line="360" w:lineRule="auto"/>
              <w:rPr>
                <w:rFonts w:ascii="宋体" w:hAnsi="宋体" w:cs="宋体"/>
                <w:color w:val="auto"/>
                <w:highlight w:val="none"/>
              </w:rPr>
            </w:pPr>
            <w:r>
              <w:rPr>
                <w:rFonts w:hint="eastAsia" w:ascii="宋体" w:hAnsi="宋体" w:cs="宋体"/>
                <w:color w:val="auto"/>
                <w:highlight w:val="none"/>
              </w:rPr>
              <w:t>银行账号：</w:t>
            </w:r>
            <w:r>
              <w:rPr>
                <w:rFonts w:hint="eastAsia" w:ascii="宋体" w:hAnsi="宋体" w:cs="宋体"/>
                <w:color w:val="auto"/>
                <w:szCs w:val="21"/>
                <w:highlight w:val="none"/>
              </w:rPr>
              <w:t>78900188000167866</w:t>
            </w:r>
          </w:p>
          <w:p w14:paraId="5E37DD27">
            <w:pPr>
              <w:topLinePunct/>
              <w:autoSpaceDE w:val="0"/>
              <w:autoSpaceDN w:val="0"/>
              <w:adjustRightInd w:val="0"/>
              <w:snapToGrid w:val="0"/>
              <w:spacing w:line="360" w:lineRule="auto"/>
              <w:rPr>
                <w:rFonts w:ascii="宋体" w:hAnsi="宋体" w:cs="宋体"/>
                <w:b/>
                <w:color w:val="auto"/>
                <w:szCs w:val="21"/>
                <w:highlight w:val="none"/>
              </w:rPr>
            </w:pPr>
            <w:r>
              <w:rPr>
                <w:rFonts w:hint="eastAsia" w:ascii="宋体" w:hAnsi="宋体" w:cs="宋体"/>
                <w:color w:val="auto"/>
                <w:highlight w:val="none"/>
              </w:rPr>
              <w:t>注：以电汇方式递交保证金须在电汇凭据附言栏中写明项目名称或项目编号、用途（</w:t>
            </w:r>
            <w:r>
              <w:rPr>
                <w:rFonts w:hint="eastAsia" w:ascii="宋体" w:hAnsi="宋体" w:cs="宋体"/>
                <w:color w:val="auto"/>
                <w:szCs w:val="21"/>
                <w:highlight w:val="none"/>
              </w:rPr>
              <w:t>磋商</w:t>
            </w:r>
            <w:r>
              <w:rPr>
                <w:rFonts w:hint="eastAsia" w:ascii="宋体" w:hAnsi="宋体" w:cs="宋体"/>
                <w:color w:val="auto"/>
                <w:highlight w:val="none"/>
              </w:rPr>
              <w:t>保证金）。</w:t>
            </w:r>
          </w:p>
        </w:tc>
      </w:tr>
      <w:tr w14:paraId="15FC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42885C1B">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22</w:t>
            </w:r>
          </w:p>
        </w:tc>
        <w:tc>
          <w:tcPr>
            <w:tcW w:w="1859" w:type="dxa"/>
            <w:vAlign w:val="center"/>
          </w:tcPr>
          <w:p w14:paraId="6B21EBF8">
            <w:pPr>
              <w:tabs>
                <w:tab w:val="left" w:pos="1875"/>
              </w:tabs>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磋商保证金退还方式以及不予退还磋商保证金的情形</w:t>
            </w:r>
          </w:p>
        </w:tc>
        <w:tc>
          <w:tcPr>
            <w:tcW w:w="6343" w:type="dxa"/>
            <w:gridSpan w:val="2"/>
            <w:vAlign w:val="center"/>
          </w:tcPr>
          <w:p w14:paraId="3EB45FE7">
            <w:pPr>
              <w:spacing w:line="360" w:lineRule="auto"/>
              <w:rPr>
                <w:rFonts w:ascii="宋体" w:hAnsi="宋体" w:cs="宋体"/>
                <w:color w:val="auto"/>
                <w:szCs w:val="21"/>
                <w:highlight w:val="none"/>
              </w:rPr>
            </w:pPr>
            <w:r>
              <w:rPr>
                <w:rFonts w:hint="eastAsia" w:ascii="宋体" w:hAnsi="宋体" w:cs="宋体"/>
                <w:color w:val="auto"/>
                <w:szCs w:val="21"/>
                <w:highlight w:val="none"/>
              </w:rPr>
              <w:t>未成交的供应商的磋商保</w:t>
            </w:r>
            <w:r>
              <w:rPr>
                <w:rFonts w:hint="eastAsia" w:ascii="Times New Roman" w:hAnsi="Times New Roman" w:cs="宋体"/>
                <w:color w:val="auto"/>
                <w:highlight w:val="none"/>
              </w:rPr>
              <w:t>证金，将在成交通知书发出之日起5个工作日内退还，但因</w:t>
            </w:r>
            <w:r>
              <w:rPr>
                <w:rFonts w:hint="eastAsia" w:ascii="宋体" w:hAnsi="宋体" w:cs="宋体"/>
                <w:color w:val="auto"/>
                <w:szCs w:val="21"/>
                <w:highlight w:val="none"/>
              </w:rPr>
              <w:t>供应商</w:t>
            </w:r>
            <w:r>
              <w:rPr>
                <w:rFonts w:hint="eastAsia" w:ascii="Times New Roman" w:hAnsi="Times New Roman" w:cs="宋体"/>
                <w:color w:val="auto"/>
                <w:highlight w:val="none"/>
              </w:rPr>
              <w:t>自身原因导致无法及时退还的除外；成交的</w:t>
            </w:r>
            <w:r>
              <w:rPr>
                <w:rFonts w:hint="eastAsia" w:ascii="宋体" w:hAnsi="宋体" w:cs="宋体"/>
                <w:color w:val="auto"/>
                <w:szCs w:val="21"/>
                <w:highlight w:val="none"/>
              </w:rPr>
              <w:t>供应商</w:t>
            </w:r>
            <w:r>
              <w:rPr>
                <w:rFonts w:hint="eastAsia" w:ascii="Times New Roman" w:hAnsi="Times New Roman" w:cs="宋体"/>
                <w:color w:val="auto"/>
                <w:highlight w:val="none"/>
              </w:rPr>
              <w:t>的</w:t>
            </w:r>
            <w:r>
              <w:rPr>
                <w:rFonts w:hint="eastAsia" w:ascii="宋体" w:hAnsi="宋体" w:cs="宋体"/>
                <w:color w:val="auto"/>
                <w:szCs w:val="21"/>
                <w:highlight w:val="none"/>
              </w:rPr>
              <w:t>磋商</w:t>
            </w:r>
            <w:r>
              <w:rPr>
                <w:rFonts w:hint="eastAsia" w:ascii="Times New Roman" w:hAnsi="Times New Roman" w:cs="宋体"/>
                <w:color w:val="auto"/>
                <w:highlight w:val="none"/>
              </w:rPr>
              <w:t>保证金，将在采购合同签订</w:t>
            </w:r>
            <w:r>
              <w:rPr>
                <w:rFonts w:ascii="Arial" w:hAnsi="Arial" w:cs="Arial"/>
                <w:color w:val="auto"/>
                <w:kern w:val="0"/>
                <w:szCs w:val="21"/>
                <w:highlight w:val="none"/>
              </w:rPr>
              <w:t>之日起</w:t>
            </w:r>
            <w:r>
              <w:rPr>
                <w:rFonts w:hint="eastAsia" w:ascii="Times New Roman" w:hAnsi="Times New Roman" w:cs="宋体"/>
                <w:color w:val="auto"/>
                <w:highlight w:val="none"/>
              </w:rPr>
              <w:t>5个工作日内退还。</w:t>
            </w:r>
          </w:p>
          <w:p w14:paraId="04CA6547">
            <w:pPr>
              <w:topLinePunct/>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有下列情形之一的，磋商保证金将不予退还：</w:t>
            </w:r>
          </w:p>
          <w:p w14:paraId="6EA910DE">
            <w:pPr>
              <w:topLinePunct/>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23403C6B">
            <w:pPr>
              <w:topLinePunct/>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14:paraId="1255847E">
            <w:pPr>
              <w:topLinePunct/>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（3）除因不可抗力或磋商文件认可的情形以外，成交供应商不与采购人签订合同的；</w:t>
            </w:r>
          </w:p>
          <w:p w14:paraId="76E94EA7">
            <w:pPr>
              <w:topLinePunct/>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（4）供应商与采购人、其他供应商或者采购代理机构恶意串通的； </w:t>
            </w:r>
          </w:p>
          <w:p w14:paraId="53839464">
            <w:pPr>
              <w:topLinePunct/>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（5）其他不予退还磋商保证金的情形：</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 xml:space="preserve"> 。</w:t>
            </w:r>
          </w:p>
        </w:tc>
      </w:tr>
      <w:tr w14:paraId="47D9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1247E5FB">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23</w:t>
            </w:r>
          </w:p>
        </w:tc>
        <w:tc>
          <w:tcPr>
            <w:tcW w:w="1859" w:type="dxa"/>
            <w:vAlign w:val="center"/>
          </w:tcPr>
          <w:p w14:paraId="1E39F773">
            <w:pPr>
              <w:adjustRightInd w:val="0"/>
              <w:snapToGrid w:val="0"/>
              <w:spacing w:line="360" w:lineRule="auto"/>
              <w:jc w:val="center"/>
              <w:rPr>
                <w:rFonts w:ascii="宋体" w:hAnsi="宋体" w:cs="宋体"/>
                <w:b/>
                <w:color w:val="auto"/>
                <w:szCs w:val="21"/>
                <w:highlight w:val="none"/>
              </w:rPr>
            </w:pPr>
            <w:r>
              <w:rPr>
                <w:rFonts w:hint="eastAsia" w:ascii="宋体" w:hAnsi="宋体" w:cs="宋体"/>
                <w:color w:val="auto"/>
                <w:szCs w:val="21"/>
                <w:highlight w:val="none"/>
              </w:rPr>
              <w:t>信用记录审查</w:t>
            </w:r>
          </w:p>
        </w:tc>
        <w:tc>
          <w:tcPr>
            <w:tcW w:w="6343" w:type="dxa"/>
            <w:gridSpan w:val="2"/>
            <w:vAlign w:val="center"/>
          </w:tcPr>
          <w:p w14:paraId="089B0981">
            <w:pPr>
              <w:adjustRightInd w:val="0"/>
              <w:snapToGrid w:val="0"/>
              <w:spacing w:line="360" w:lineRule="auto"/>
              <w:jc w:val="both"/>
              <w:rPr>
                <w:rFonts w:ascii="宋体" w:hAnsi="宋体" w:cs="宋体"/>
                <w:color w:val="auto"/>
                <w:szCs w:val="21"/>
                <w:highlight w:val="none"/>
              </w:rPr>
            </w:pPr>
            <w:r>
              <w:rPr>
                <w:rFonts w:hint="eastAsia" w:ascii="宋体" w:hAnsi="宋体" w:cs="宋体"/>
                <w:color w:val="auto"/>
                <w:szCs w:val="21"/>
                <w:highlight w:val="none"/>
              </w:rPr>
              <w:t>根据《财政部关于在政府采购活动中查询及使用信用记录有关问题的通知》（财库〔2016〕125号）规定，磋商小组将通过“信用中国”网站（www.creditchina.gov.cn）、中国政府采购网（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Cs w:val="21"/>
                <w:highlight w:val="none"/>
              </w:rPr>
              <w:t>www.ccgp.gov.cn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r>
              <w:rPr>
                <w:rFonts w:hint="eastAsia" w:ascii="宋体" w:hAnsi="宋体" w:cs="宋体"/>
                <w:bCs/>
                <w:color w:val="auto"/>
                <w:szCs w:val="21"/>
                <w:highlight w:val="none"/>
              </w:rPr>
              <w:t>由磋商小组</w:t>
            </w:r>
            <w:r>
              <w:rPr>
                <w:rFonts w:hint="eastAsia" w:ascii="宋体" w:hAnsi="宋体" w:cs="宋体"/>
                <w:color w:val="auto"/>
                <w:szCs w:val="21"/>
                <w:highlight w:val="none"/>
              </w:rPr>
              <w:t>对供应商截止到提交响应文件截止时间的信用记录进行审查，对列入失信被执行人、重大税收违法案件当事人名单、政府采购严重违法失信行为记录名单及其他不符合《中华人民共和国政府采购法》第二十二条规定条件的供应商，其磋商响应将被拒绝。</w:t>
            </w:r>
          </w:p>
          <w:p w14:paraId="3C496090">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本次查询的信用记录仅限于本项目使用，查询结果将留存在采购档案中。</w:t>
            </w:r>
          </w:p>
          <w:p w14:paraId="4F22490A">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在上述指定网站不能查询信用信息的供应商，应提供相关证明材料（原件加盖公章）。</w:t>
            </w:r>
          </w:p>
        </w:tc>
      </w:tr>
      <w:tr w14:paraId="4F03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5BAD66BD">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w:t>
            </w:r>
          </w:p>
        </w:tc>
        <w:tc>
          <w:tcPr>
            <w:tcW w:w="1859" w:type="dxa"/>
            <w:vAlign w:val="center"/>
          </w:tcPr>
          <w:p w14:paraId="7D0555A9">
            <w:pPr>
              <w:topLinePunct/>
              <w:autoSpaceDE w:val="0"/>
              <w:autoSpaceDN w:val="0"/>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支持中小型</w:t>
            </w:r>
          </w:p>
          <w:p w14:paraId="42C15433">
            <w:pPr>
              <w:topLinePunct/>
              <w:autoSpaceDE w:val="0"/>
              <w:autoSpaceDN w:val="0"/>
              <w:adjustRightInd w:val="0"/>
              <w:snapToGrid w:val="0"/>
              <w:spacing w:line="360" w:lineRule="auto"/>
              <w:jc w:val="center"/>
              <w:rPr>
                <w:rFonts w:ascii="宋体" w:hAnsi="宋体" w:cs="宋体"/>
                <w:b/>
                <w:color w:val="auto"/>
                <w:szCs w:val="21"/>
                <w:highlight w:val="none"/>
              </w:rPr>
            </w:pPr>
            <w:r>
              <w:rPr>
                <w:rFonts w:hint="eastAsia" w:ascii="宋体" w:hAnsi="宋体" w:cs="宋体"/>
                <w:color w:val="auto"/>
                <w:szCs w:val="21"/>
                <w:highlight w:val="none"/>
              </w:rPr>
              <w:t>企业发展</w:t>
            </w:r>
          </w:p>
        </w:tc>
        <w:tc>
          <w:tcPr>
            <w:tcW w:w="6343" w:type="dxa"/>
            <w:gridSpan w:val="2"/>
            <w:vAlign w:val="center"/>
          </w:tcPr>
          <w:p w14:paraId="47830319">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根据《政府采购促进中小型企业发展管理办法》（财库〔2020〕46号），鼓励中小企业参加本项目采购活动。</w:t>
            </w:r>
          </w:p>
          <w:p w14:paraId="0C07F355">
            <w:pPr>
              <w:adjustRightInd w:val="0"/>
              <w:snapToGrid w:val="0"/>
              <w:spacing w:line="360" w:lineRule="auto"/>
              <w:rPr>
                <w:rFonts w:ascii="宋体" w:hAnsi="宋体" w:cs="宋体"/>
                <w:color w:val="auto"/>
                <w:szCs w:val="21"/>
                <w:highlight w:val="none"/>
              </w:rPr>
            </w:pPr>
            <w:r>
              <w:rPr>
                <w:rFonts w:hint="eastAsia" w:ascii="宋体" w:hAnsi="宋体" w:cs="宋体"/>
                <w:b/>
                <w:color w:val="auto"/>
                <w:szCs w:val="21"/>
                <w:highlight w:val="none"/>
              </w:rPr>
              <w:t>在货物采购项目中，</w:t>
            </w:r>
            <w:r>
              <w:rPr>
                <w:rFonts w:hint="eastAsia" w:ascii="宋体" w:hAnsi="宋体" w:cs="宋体"/>
                <w:color w:val="auto"/>
                <w:szCs w:val="21"/>
                <w:highlight w:val="none"/>
              </w:rPr>
              <w:t>满足所有标的均由中小企业制造，即所有标的均由中小企业生产且使用该中小企业商号或者注册商标的，可享受中小企业扶持政策。</w:t>
            </w:r>
          </w:p>
          <w:p w14:paraId="61C030D1">
            <w:pPr>
              <w:adjustRightInd w:val="0"/>
              <w:snapToGrid w:val="0"/>
              <w:spacing w:line="360" w:lineRule="auto"/>
              <w:rPr>
                <w:rFonts w:ascii="宋体" w:hAnsi="宋体" w:cs="宋体"/>
                <w:color w:val="auto"/>
                <w:szCs w:val="21"/>
                <w:highlight w:val="none"/>
              </w:rPr>
            </w:pPr>
            <w:r>
              <w:rPr>
                <w:rFonts w:hint="eastAsia" w:ascii="宋体" w:hAnsi="宋体" w:cs="宋体"/>
                <w:b/>
                <w:color w:val="auto"/>
                <w:szCs w:val="21"/>
                <w:highlight w:val="none"/>
              </w:rPr>
              <w:t>在服务采购项目中，</w:t>
            </w:r>
            <w:r>
              <w:rPr>
                <w:rFonts w:hint="eastAsia" w:ascii="宋体" w:hAnsi="宋体" w:cs="宋体"/>
                <w:color w:val="auto"/>
                <w:szCs w:val="21"/>
                <w:highlight w:val="none"/>
              </w:rPr>
              <w:t>满足服务由中小企业承接，即提供服务的人员为中小企业依照《中华人民共和国劳动合同法》订立劳动合同的从业人员的，可享受中小企业扶持政策。</w:t>
            </w:r>
          </w:p>
          <w:p w14:paraId="0AD2D69E">
            <w:pPr>
              <w:adjustRightInd w:val="0"/>
              <w:snapToGrid w:val="0"/>
              <w:spacing w:line="360" w:lineRule="auto"/>
              <w:rPr>
                <w:rFonts w:ascii="宋体" w:hAnsi="宋体" w:cs="宋体"/>
                <w:color w:val="auto"/>
                <w:szCs w:val="21"/>
                <w:highlight w:val="none"/>
              </w:rPr>
            </w:pPr>
            <w:r>
              <w:rPr>
                <w:rFonts w:hint="eastAsia" w:ascii="宋体" w:hAnsi="宋体" w:cs="宋体"/>
                <w:b/>
                <w:color w:val="auto"/>
                <w:szCs w:val="21"/>
                <w:highlight w:val="none"/>
              </w:rPr>
              <w:t>在工程采购项目中，</w:t>
            </w:r>
            <w:r>
              <w:rPr>
                <w:rFonts w:hint="eastAsia" w:ascii="宋体" w:hAnsi="宋体" w:cs="宋体"/>
                <w:color w:val="auto"/>
                <w:szCs w:val="21"/>
                <w:highlight w:val="none"/>
              </w:rPr>
              <w:t>满足工程由中小企业承建，即工程施工单位为中小企业，可享受中小企业扶持政策。</w:t>
            </w:r>
          </w:p>
          <w:p w14:paraId="3ABE3A08">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本项目：</w:t>
            </w:r>
          </w:p>
          <w:p w14:paraId="4F50B7E0">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专门面向中小企业采购项目。</w:t>
            </w:r>
          </w:p>
          <w:p w14:paraId="7405A7F4">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预留份额面向中小企业采购项目（说明：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FA66364">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非专门面向中小企业采购项目。对小型和微型企业的报价给予</w:t>
            </w:r>
            <w:r>
              <w:rPr>
                <w:rFonts w:hint="eastAsia" w:ascii="宋体" w:hAnsi="宋体" w:cs="宋体"/>
                <w:color w:val="auto"/>
                <w:szCs w:val="21"/>
                <w:highlight w:val="none"/>
                <w:u w:val="single"/>
              </w:rPr>
              <w:t>15</w:t>
            </w:r>
            <w:r>
              <w:rPr>
                <w:rFonts w:hint="eastAsia" w:ascii="宋体" w:hAnsi="宋体" w:cs="宋体"/>
                <w:color w:val="auto"/>
                <w:szCs w:val="21"/>
                <w:highlight w:val="none"/>
              </w:rPr>
              <w:t>%的扣除，用扣除后的价格参与评审。</w:t>
            </w:r>
          </w:p>
        </w:tc>
      </w:tr>
      <w:tr w14:paraId="4B3F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Align w:val="center"/>
          </w:tcPr>
          <w:p w14:paraId="54902389">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25</w:t>
            </w:r>
          </w:p>
        </w:tc>
        <w:tc>
          <w:tcPr>
            <w:tcW w:w="1859" w:type="dxa"/>
            <w:vAlign w:val="center"/>
          </w:tcPr>
          <w:p w14:paraId="591CF13C">
            <w:pPr>
              <w:topLinePunct/>
              <w:autoSpaceDE w:val="0"/>
              <w:autoSpaceDN w:val="0"/>
              <w:adjustRightInd w:val="0"/>
              <w:snapToGrid w:val="0"/>
              <w:spacing w:line="360" w:lineRule="auto"/>
              <w:jc w:val="center"/>
              <w:rPr>
                <w:rFonts w:ascii="宋体" w:hAnsi="宋体" w:cs="宋体"/>
                <w:b/>
                <w:color w:val="auto"/>
                <w:szCs w:val="21"/>
                <w:highlight w:val="none"/>
              </w:rPr>
            </w:pPr>
            <w:r>
              <w:rPr>
                <w:rFonts w:hint="eastAsia" w:ascii="宋体" w:hAnsi="宋体" w:cs="宋体"/>
                <w:color w:val="auto"/>
                <w:szCs w:val="21"/>
                <w:highlight w:val="none"/>
              </w:rPr>
              <w:t>支持监狱企业发展</w:t>
            </w:r>
          </w:p>
        </w:tc>
        <w:tc>
          <w:tcPr>
            <w:tcW w:w="6343" w:type="dxa"/>
            <w:gridSpan w:val="2"/>
            <w:vAlign w:val="center"/>
          </w:tcPr>
          <w:p w14:paraId="0A52F353">
            <w:pPr>
              <w:adjustRightInd w:val="0"/>
              <w:snapToGrid w:val="0"/>
              <w:spacing w:line="360" w:lineRule="auto"/>
              <w:jc w:val="left"/>
              <w:rPr>
                <w:rFonts w:ascii="宋体" w:hAnsi="宋体" w:cs="宋体"/>
                <w:b/>
                <w:color w:val="auto"/>
                <w:szCs w:val="21"/>
                <w:highlight w:val="none"/>
              </w:rPr>
            </w:pPr>
            <w:r>
              <w:rPr>
                <w:rFonts w:hint="eastAsia" w:ascii="宋体" w:hAnsi="宋体" w:cs="宋体"/>
                <w:color w:val="auto"/>
                <w:szCs w:val="21"/>
                <w:highlight w:val="none"/>
              </w:rPr>
              <w:t>根据《关于政府采购支持监狱企业发展有关问题的通知》（财库〔2014〕68号），监狱企业视同小型、微型企业，按照</w:t>
            </w:r>
            <w:r>
              <w:rPr>
                <w:rFonts w:hint="eastAsia" w:ascii="宋体" w:hAnsi="宋体" w:cs="宋体"/>
                <w:b/>
                <w:bCs/>
                <w:color w:val="auto"/>
                <w:szCs w:val="21"/>
                <w:highlight w:val="none"/>
              </w:rPr>
              <w:t>供应商须知前附表第24项</w:t>
            </w:r>
            <w:r>
              <w:rPr>
                <w:rFonts w:hint="eastAsia" w:ascii="宋体" w:hAnsi="宋体" w:cs="宋体"/>
                <w:color w:val="auto"/>
                <w:szCs w:val="21"/>
                <w:highlight w:val="none"/>
              </w:rPr>
              <w:t>享受价格扣除政策。</w:t>
            </w:r>
          </w:p>
        </w:tc>
      </w:tr>
      <w:tr w14:paraId="0E2B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32CBB791">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w:t>
            </w:r>
          </w:p>
        </w:tc>
        <w:tc>
          <w:tcPr>
            <w:tcW w:w="1859" w:type="dxa"/>
            <w:vAlign w:val="center"/>
          </w:tcPr>
          <w:p w14:paraId="08FCDCE0">
            <w:pPr>
              <w:topLinePunct/>
              <w:autoSpaceDE w:val="0"/>
              <w:autoSpaceDN w:val="0"/>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促进残疾人</w:t>
            </w:r>
          </w:p>
          <w:p w14:paraId="20EB85DC">
            <w:pPr>
              <w:topLinePunct/>
              <w:autoSpaceDE w:val="0"/>
              <w:autoSpaceDN w:val="0"/>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就业</w:t>
            </w:r>
          </w:p>
        </w:tc>
        <w:tc>
          <w:tcPr>
            <w:tcW w:w="6343" w:type="dxa"/>
            <w:gridSpan w:val="2"/>
            <w:vAlign w:val="center"/>
          </w:tcPr>
          <w:p w14:paraId="12B27800">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根据《关于促进残疾人就业政府采购政策的通知》（财库〔2017〕141号），残疾人福利性单位视同小型、微型企业，按照</w:t>
            </w:r>
            <w:r>
              <w:rPr>
                <w:rFonts w:hint="eastAsia" w:ascii="宋体" w:hAnsi="宋体" w:cs="宋体"/>
                <w:b/>
                <w:bCs/>
                <w:color w:val="auto"/>
                <w:szCs w:val="21"/>
                <w:highlight w:val="none"/>
              </w:rPr>
              <w:t>供应商须知前附表第24项</w:t>
            </w:r>
            <w:r>
              <w:rPr>
                <w:rFonts w:hint="eastAsia" w:ascii="宋体" w:hAnsi="宋体" w:cs="宋体"/>
                <w:color w:val="auto"/>
                <w:szCs w:val="21"/>
                <w:highlight w:val="none"/>
              </w:rPr>
              <w:t>享受价格扣除政策。</w:t>
            </w:r>
          </w:p>
        </w:tc>
      </w:tr>
      <w:tr w14:paraId="27C3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restart"/>
            <w:vAlign w:val="center"/>
          </w:tcPr>
          <w:p w14:paraId="4148B3D0">
            <w:pPr>
              <w:topLinePunct/>
              <w:autoSpaceDE w:val="0"/>
              <w:autoSpaceDN w:val="0"/>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27</w:t>
            </w:r>
          </w:p>
        </w:tc>
        <w:tc>
          <w:tcPr>
            <w:tcW w:w="1859" w:type="dxa"/>
            <w:vMerge w:val="restart"/>
            <w:vAlign w:val="center"/>
          </w:tcPr>
          <w:p w14:paraId="022C56DA">
            <w:pPr>
              <w:topLinePunct/>
              <w:autoSpaceDE w:val="0"/>
              <w:autoSpaceDN w:val="0"/>
              <w:adjustRightInd w:val="0"/>
              <w:snapToGrid w:val="0"/>
              <w:spacing w:line="360" w:lineRule="auto"/>
              <w:jc w:val="center"/>
              <w:rPr>
                <w:rFonts w:ascii="宋体" w:hAnsi="宋体" w:cs="宋体"/>
                <w:b/>
                <w:color w:val="auto"/>
                <w:szCs w:val="21"/>
                <w:highlight w:val="none"/>
              </w:rPr>
            </w:pPr>
            <w:r>
              <w:rPr>
                <w:rFonts w:hint="eastAsia" w:ascii="宋体" w:hAnsi="宋体" w:cs="宋体"/>
                <w:color w:val="auto"/>
                <w:szCs w:val="21"/>
                <w:highlight w:val="none"/>
              </w:rPr>
              <w:t>其他法律法规强制性规定或扶持政策</w:t>
            </w:r>
          </w:p>
        </w:tc>
        <w:tc>
          <w:tcPr>
            <w:tcW w:w="6343" w:type="dxa"/>
            <w:gridSpan w:val="2"/>
            <w:vAlign w:val="center"/>
          </w:tcPr>
          <w:p w14:paraId="20C31324">
            <w:pPr>
              <w:spacing w:line="360" w:lineRule="auto"/>
              <w:rPr>
                <w:rFonts w:ascii="宋体" w:hAnsi="宋体" w:cs="宋体"/>
                <w:color w:val="auto"/>
                <w:szCs w:val="21"/>
                <w:highlight w:val="none"/>
              </w:rPr>
            </w:pPr>
            <w:r>
              <w:rPr>
                <w:rFonts w:hint="eastAsia" w:ascii="宋体" w:hAnsi="宋体" w:cs="宋体"/>
                <w:color w:val="auto"/>
                <w:szCs w:val="21"/>
                <w:highlight w:val="none"/>
              </w:rPr>
              <w:t>本项目中强制采购节能产品的货物名称：</w:t>
            </w:r>
          </w:p>
          <w:p w14:paraId="0B7DA01B">
            <w:pPr>
              <w:spacing w:line="360" w:lineRule="auto"/>
              <w:rPr>
                <w:rFonts w:ascii="宋体" w:hAnsi="宋体" w:cs="宋体"/>
                <w:color w:val="auto"/>
                <w:szCs w:val="21"/>
                <w:highlight w:val="none"/>
              </w:rPr>
            </w:pPr>
            <w:r>
              <w:rPr>
                <w:rFonts w:hint="eastAsia" w:ascii="宋体" w:hAnsi="宋体" w:cs="宋体"/>
                <w:color w:val="auto"/>
                <w:szCs w:val="21"/>
                <w:highlight w:val="none"/>
              </w:rPr>
              <w:t>采购包1：</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5D1D3B0">
            <w:pPr>
              <w:topLinePunct/>
              <w:autoSpaceDE w:val="0"/>
              <w:autoSpaceDN w:val="0"/>
              <w:adjustRightInd w:val="0"/>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注：供应商所投上述产品必须具有节能产品认证证书，并提供依据国家确定的认证机构出具的、处于有效期之内的节能产品认证证书复印件，否则响应无效。</w:t>
            </w:r>
          </w:p>
        </w:tc>
      </w:tr>
      <w:tr w14:paraId="4A03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vAlign w:val="center"/>
          </w:tcPr>
          <w:p w14:paraId="21FC242A">
            <w:pPr>
              <w:topLinePunct/>
              <w:autoSpaceDE w:val="0"/>
              <w:autoSpaceDN w:val="0"/>
              <w:adjustRightInd w:val="0"/>
              <w:snapToGrid w:val="0"/>
              <w:spacing w:before="62" w:after="62" w:line="360" w:lineRule="auto"/>
              <w:jc w:val="center"/>
              <w:rPr>
                <w:rFonts w:ascii="宋体" w:hAnsi="宋体" w:cs="宋体"/>
                <w:color w:val="auto"/>
                <w:szCs w:val="21"/>
                <w:highlight w:val="none"/>
              </w:rPr>
            </w:pPr>
          </w:p>
        </w:tc>
        <w:tc>
          <w:tcPr>
            <w:tcW w:w="1859" w:type="dxa"/>
            <w:vMerge w:val="continue"/>
            <w:vAlign w:val="center"/>
          </w:tcPr>
          <w:p w14:paraId="628D2E86">
            <w:pPr>
              <w:topLinePunct/>
              <w:autoSpaceDE w:val="0"/>
              <w:autoSpaceDN w:val="0"/>
              <w:adjustRightInd w:val="0"/>
              <w:snapToGrid w:val="0"/>
              <w:spacing w:line="360" w:lineRule="auto"/>
              <w:jc w:val="center"/>
              <w:rPr>
                <w:rFonts w:ascii="宋体" w:hAnsi="宋体" w:cs="宋体"/>
                <w:color w:val="auto"/>
                <w:szCs w:val="21"/>
                <w:highlight w:val="none"/>
              </w:rPr>
            </w:pPr>
          </w:p>
        </w:tc>
        <w:tc>
          <w:tcPr>
            <w:tcW w:w="6343" w:type="dxa"/>
            <w:gridSpan w:val="2"/>
            <w:vAlign w:val="center"/>
          </w:tcPr>
          <w:p w14:paraId="20C0226A">
            <w:pPr>
              <w:spacing w:line="360" w:lineRule="auto"/>
              <w:rPr>
                <w:rFonts w:ascii="宋体" w:hAnsi="宋体" w:cs="宋体"/>
                <w:color w:val="auto"/>
                <w:szCs w:val="21"/>
                <w:highlight w:val="none"/>
              </w:rPr>
            </w:pPr>
            <w:r>
              <w:rPr>
                <w:rFonts w:hint="eastAsia" w:ascii="宋体" w:hAnsi="宋体" w:cs="宋体"/>
                <w:color w:val="auto"/>
                <w:szCs w:val="21"/>
                <w:highlight w:val="none"/>
              </w:rPr>
              <w:t>本项目中采购信息安全产品的货物名称：</w:t>
            </w:r>
          </w:p>
          <w:p w14:paraId="14E28459">
            <w:pPr>
              <w:spacing w:line="360" w:lineRule="auto"/>
              <w:rPr>
                <w:rFonts w:ascii="宋体" w:hAnsi="宋体" w:cs="宋体"/>
                <w:color w:val="auto"/>
                <w:szCs w:val="21"/>
                <w:highlight w:val="none"/>
              </w:rPr>
            </w:pPr>
            <w:r>
              <w:rPr>
                <w:rFonts w:hint="eastAsia" w:ascii="宋体" w:hAnsi="宋体" w:cs="宋体"/>
                <w:color w:val="auto"/>
                <w:szCs w:val="21"/>
                <w:highlight w:val="none"/>
              </w:rPr>
              <w:t>采购包1：</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6C197AC4">
            <w:pPr>
              <w:topLinePunct/>
              <w:autoSpaceDE w:val="0"/>
              <w:autoSpaceDN w:val="0"/>
              <w:adjustRightInd w:val="0"/>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注：依据《中华人民共和国网络安全法》、《关于调整网络安全专用产品安全管理有关事项的公告》（2023年第1号）、《关于调整&lt;网络关键设备和网络安全专用产品目录&gt;的公告》（2023年第2号）、《国家认监委 工业和信息化部 公安部 国家互联网信息办公室关于发布承担网络关键设备和网络安全专用产品安全认证和安全检测任务机构名录（第一批）的公告》（2018年第12号）、《关于统一发布网络关键设备和网络安全专用产品安全认证和安全检测结果的公告》（2022年第1号）：自2023年7月1日起，列入《网络关键设备和网络安全专用产品目录》的“网络安全专用产品”，应当按照《信息安全技术网络安全专用产品安全技术要求》等相关国家标准的强制性要求，对网络安全专用产品进行安全认证或安全检测，</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必须在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文件中提供由具备资格的机构出具的安全认证合格证书或者安全检测合格证书（加盖</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公章）；已获得《计算机信息系统安全专用产品销售许可证》的产品，在有效期内可继续销售或者提供。如属于《网络关键设备和网络安全专用产品目录》中“二、网络安全专用产品”内“产品类别”中的所描述的产品，但不属于所列“产品描述”情形的，应提供相应的说明及证明材料，否则响应无效。</w:t>
            </w:r>
          </w:p>
        </w:tc>
      </w:tr>
      <w:tr w14:paraId="36B7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vAlign w:val="center"/>
          </w:tcPr>
          <w:p w14:paraId="2D4984CD">
            <w:pPr>
              <w:topLinePunct/>
              <w:autoSpaceDE w:val="0"/>
              <w:autoSpaceDN w:val="0"/>
              <w:adjustRightInd w:val="0"/>
              <w:snapToGrid w:val="0"/>
              <w:spacing w:line="360" w:lineRule="auto"/>
              <w:jc w:val="center"/>
              <w:rPr>
                <w:rFonts w:ascii="宋体" w:hAnsi="宋体" w:cs="宋体"/>
                <w:color w:val="auto"/>
                <w:szCs w:val="21"/>
                <w:highlight w:val="none"/>
              </w:rPr>
            </w:pPr>
          </w:p>
        </w:tc>
        <w:tc>
          <w:tcPr>
            <w:tcW w:w="1859" w:type="dxa"/>
            <w:vMerge w:val="continue"/>
            <w:vAlign w:val="center"/>
          </w:tcPr>
          <w:p w14:paraId="04899E4F">
            <w:pPr>
              <w:topLinePunct/>
              <w:autoSpaceDE w:val="0"/>
              <w:autoSpaceDN w:val="0"/>
              <w:adjustRightInd w:val="0"/>
              <w:snapToGrid w:val="0"/>
              <w:spacing w:line="360" w:lineRule="auto"/>
              <w:jc w:val="center"/>
              <w:rPr>
                <w:rFonts w:ascii="宋体" w:hAnsi="宋体" w:cs="宋体"/>
                <w:color w:val="auto"/>
                <w:szCs w:val="21"/>
                <w:highlight w:val="none"/>
              </w:rPr>
            </w:pPr>
          </w:p>
        </w:tc>
        <w:tc>
          <w:tcPr>
            <w:tcW w:w="6343" w:type="dxa"/>
            <w:gridSpan w:val="2"/>
            <w:vAlign w:val="center"/>
          </w:tcPr>
          <w:p w14:paraId="7113FC96">
            <w:pPr>
              <w:topLinePunct/>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其他法律法规强制性规定或扶持政策：</w:t>
            </w:r>
          </w:p>
          <w:p w14:paraId="6B3557D0">
            <w:pPr>
              <w:topLinePunct/>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采购包1：</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tc>
      </w:tr>
      <w:tr w14:paraId="663E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109C65B7">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1859" w:type="dxa"/>
            <w:vAlign w:val="center"/>
          </w:tcPr>
          <w:p w14:paraId="1A4C4C55">
            <w:pPr>
              <w:tabs>
                <w:tab w:val="left" w:pos="1875"/>
              </w:tabs>
              <w:adjustRightInd w:val="0"/>
              <w:snapToGrid w:val="0"/>
              <w:spacing w:line="360" w:lineRule="auto"/>
              <w:jc w:val="center"/>
              <w:rPr>
                <w:rFonts w:ascii="宋体" w:hAnsi="宋体" w:cs="宋体"/>
                <w:b/>
                <w:color w:val="auto"/>
                <w:szCs w:val="21"/>
                <w:highlight w:val="none"/>
              </w:rPr>
            </w:pPr>
            <w:r>
              <w:rPr>
                <w:rFonts w:hint="eastAsia" w:ascii="宋体" w:hAnsi="宋体" w:cs="宋体"/>
                <w:color w:val="auto"/>
                <w:szCs w:val="21"/>
                <w:highlight w:val="none"/>
              </w:rPr>
              <w:t>评审方法及分值</w:t>
            </w:r>
          </w:p>
        </w:tc>
        <w:tc>
          <w:tcPr>
            <w:tcW w:w="6343" w:type="dxa"/>
            <w:gridSpan w:val="2"/>
            <w:vAlign w:val="center"/>
          </w:tcPr>
          <w:p w14:paraId="6E42CFCD">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详见磋商文件商务部分第三章。</w:t>
            </w:r>
          </w:p>
        </w:tc>
      </w:tr>
      <w:tr w14:paraId="137A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1491561F">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w:t>
            </w:r>
          </w:p>
        </w:tc>
        <w:tc>
          <w:tcPr>
            <w:tcW w:w="1859" w:type="dxa"/>
            <w:vAlign w:val="center"/>
          </w:tcPr>
          <w:p w14:paraId="6AE3B7F6">
            <w:pPr>
              <w:topLinePunct/>
              <w:autoSpaceDE w:val="0"/>
              <w:autoSpaceDN w:val="0"/>
              <w:adjustRightInd w:val="0"/>
              <w:snapToGrid w:val="0"/>
              <w:spacing w:line="360" w:lineRule="auto"/>
              <w:jc w:val="center"/>
              <w:rPr>
                <w:rFonts w:ascii="宋体" w:hAnsi="宋体" w:cs="宋体"/>
                <w:b/>
                <w:color w:val="auto"/>
                <w:szCs w:val="21"/>
                <w:highlight w:val="none"/>
              </w:rPr>
            </w:pPr>
            <w:r>
              <w:rPr>
                <w:rFonts w:hint="eastAsia" w:ascii="宋体" w:hAnsi="宋体" w:cs="宋体"/>
                <w:color w:val="auto"/>
                <w:szCs w:val="21"/>
                <w:highlight w:val="none"/>
              </w:rPr>
              <w:t>履约保证金</w:t>
            </w:r>
          </w:p>
        </w:tc>
        <w:tc>
          <w:tcPr>
            <w:tcW w:w="6343" w:type="dxa"/>
            <w:gridSpan w:val="2"/>
            <w:vAlign w:val="center"/>
          </w:tcPr>
          <w:p w14:paraId="7D42FBB3">
            <w:pPr>
              <w:topLinePunct/>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不要求提供</w:t>
            </w:r>
          </w:p>
          <w:p w14:paraId="5A2646B4">
            <w:pPr>
              <w:pStyle w:val="11"/>
              <w:spacing w:line="360" w:lineRule="auto"/>
              <w:jc w:val="left"/>
              <w:rPr>
                <w:rFonts w:hAnsi="宋体"/>
                <w:color w:val="auto"/>
                <w:szCs w:val="24"/>
                <w:highlight w:val="none"/>
              </w:rPr>
            </w:pPr>
            <w:r>
              <w:rPr>
                <w:rFonts w:hint="eastAsia" w:hAnsi="宋体" w:cs="宋体"/>
                <w:color w:val="auto"/>
                <w:highlight w:val="none"/>
              </w:rPr>
              <w:sym w:font="Wingdings 2" w:char="00A3"/>
            </w:r>
            <w:r>
              <w:rPr>
                <w:rFonts w:hint="eastAsia" w:hAnsi="宋体" w:cs="Times New Roman"/>
                <w:color w:val="auto"/>
                <w:highlight w:val="none"/>
              </w:rPr>
              <w:t>要求提供，履约保证金的数额不得超过采购合同总金额的</w:t>
            </w:r>
            <w:r>
              <w:rPr>
                <w:rFonts w:hAnsi="宋体" w:cs="Times New Roman"/>
                <w:color w:val="auto"/>
                <w:highlight w:val="none"/>
              </w:rPr>
              <w:t>10%</w:t>
            </w:r>
            <w:r>
              <w:rPr>
                <w:rFonts w:hint="eastAsia" w:hAnsi="宋体" w:cs="Times New Roman"/>
                <w:color w:val="auto"/>
                <w:highlight w:val="none"/>
              </w:rPr>
              <w:t>，本项目履约保证金为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hAnsi="宋体" w:cs="Times New Roman"/>
                <w:color w:val="auto"/>
                <w:highlight w:val="none"/>
              </w:rPr>
              <w:t>，</w:t>
            </w:r>
            <w:r>
              <w:rPr>
                <w:rFonts w:hint="eastAsia" w:hAnsi="宋体"/>
                <w:color w:val="auto"/>
                <w:szCs w:val="24"/>
                <w:highlight w:val="none"/>
                <w:lang w:val="en-US" w:eastAsia="zh-CN"/>
              </w:rPr>
              <w:t>成交供应商</w:t>
            </w:r>
            <w:r>
              <w:rPr>
                <w:rFonts w:hint="eastAsia" w:hAnsi="宋体"/>
                <w:color w:val="auto"/>
                <w:szCs w:val="24"/>
                <w:highlight w:val="none"/>
              </w:rPr>
              <w:t>在签订合同前应提交履约保证金，否则，不予签订合同。提交方式为支票、汇票、本票或者金融机构、担保机构出具的保函等非现金形式。采用转账、电汇方式的，由</w:t>
            </w:r>
            <w:r>
              <w:rPr>
                <w:rFonts w:hint="eastAsia" w:hAnsi="宋体"/>
                <w:color w:val="auto"/>
                <w:szCs w:val="24"/>
                <w:highlight w:val="none"/>
                <w:lang w:val="en-US" w:eastAsia="zh-CN"/>
              </w:rPr>
              <w:t>成交供应商</w:t>
            </w:r>
            <w:r>
              <w:rPr>
                <w:rFonts w:hint="eastAsia" w:hAnsi="宋体"/>
                <w:color w:val="auto"/>
                <w:szCs w:val="24"/>
                <w:highlight w:val="none"/>
              </w:rPr>
              <w:t>在签订合同前按规定的金额从</w:t>
            </w:r>
            <w:r>
              <w:rPr>
                <w:rFonts w:hint="eastAsia" w:hAnsi="宋体"/>
                <w:color w:val="auto"/>
                <w:szCs w:val="24"/>
                <w:highlight w:val="none"/>
                <w:lang w:val="en-US" w:eastAsia="zh-CN"/>
              </w:rPr>
              <w:t>成交供应商</w:t>
            </w:r>
            <w:r>
              <w:rPr>
                <w:rFonts w:hint="eastAsia" w:hAnsi="宋体"/>
                <w:color w:val="auto"/>
                <w:szCs w:val="24"/>
                <w:highlight w:val="none"/>
              </w:rPr>
              <w:t>银行账户直接缴入采购人账户。</w:t>
            </w:r>
          </w:p>
          <w:p w14:paraId="4AF4B9C9">
            <w:pPr>
              <w:pStyle w:val="11"/>
              <w:spacing w:line="360" w:lineRule="auto"/>
              <w:jc w:val="left"/>
              <w:rPr>
                <w:rFonts w:hAnsi="宋体"/>
                <w:color w:val="auto"/>
                <w:szCs w:val="24"/>
                <w:highlight w:val="none"/>
              </w:rPr>
            </w:pPr>
            <w:r>
              <w:rPr>
                <w:rFonts w:hint="eastAsia" w:hAnsi="宋体"/>
                <w:color w:val="auto"/>
                <w:szCs w:val="24"/>
                <w:highlight w:val="none"/>
              </w:rPr>
              <w:t>合同期满，</w:t>
            </w:r>
            <w:r>
              <w:rPr>
                <w:rFonts w:hint="eastAsia" w:hAnsi="宋体"/>
                <w:color w:val="auto"/>
                <w:szCs w:val="24"/>
                <w:highlight w:val="none"/>
                <w:lang w:val="en-US" w:eastAsia="zh-CN"/>
              </w:rPr>
              <w:t>成交供应商</w:t>
            </w:r>
            <w:r>
              <w:rPr>
                <w:rFonts w:hint="eastAsia" w:hAnsi="宋体"/>
                <w:color w:val="auto"/>
                <w:szCs w:val="24"/>
                <w:highlight w:val="none"/>
              </w:rPr>
              <w:t>应提供履约保证金返还申请（格式另附）、合同或合同关键页复印件、合同约定的其他资料，涉及验收的，应同时提交采购人需求部门出具的项目终验意见或质量保证期（服务期）满验收意见。</w:t>
            </w:r>
          </w:p>
          <w:p w14:paraId="72C577E4">
            <w:pPr>
              <w:spacing w:line="360" w:lineRule="auto"/>
              <w:rPr>
                <w:rFonts w:hint="eastAsia"/>
                <w:color w:val="auto"/>
                <w:highlight w:val="none"/>
              </w:rPr>
            </w:pPr>
            <w:r>
              <w:rPr>
                <w:rFonts w:hint="eastAsia"/>
                <w:color w:val="auto"/>
                <w:highlight w:val="none"/>
              </w:rPr>
              <w:t>满足履约保证金返还条件且双方对核实结果无异议的，自完成核实之日起</w:t>
            </w:r>
            <w:r>
              <w:rPr>
                <w:rFonts w:hint="eastAsia" w:asciiTheme="minorEastAsia" w:hAnsiTheme="minorEastAsia" w:eastAsiaTheme="minorEastAsia" w:cstheme="minorEastAsia"/>
                <w:color w:val="auto"/>
                <w:highlight w:val="none"/>
              </w:rPr>
              <w:t>30</w:t>
            </w:r>
            <w:r>
              <w:rPr>
                <w:rFonts w:hint="eastAsia"/>
                <w:color w:val="auto"/>
                <w:highlight w:val="none"/>
              </w:rPr>
              <w:t>日内，采购人根据项目验收意见扣除应扣除的款项（如有）后，原路无息返还履约保证金。</w:t>
            </w:r>
          </w:p>
          <w:p w14:paraId="4DF397E1">
            <w:pPr>
              <w:spacing w:line="360" w:lineRule="auto"/>
              <w:rPr>
                <w:rFonts w:hint="eastAsia"/>
                <w:color w:val="auto"/>
                <w:highlight w:val="none"/>
                <w:lang w:eastAsia="zh-CN"/>
              </w:rPr>
            </w:pPr>
            <w:r>
              <w:rPr>
                <w:rFonts w:hint="eastAsia"/>
                <w:color w:val="auto"/>
                <w:highlight w:val="none"/>
              </w:rPr>
              <w:t>采购人账户：</w:t>
            </w:r>
          </w:p>
          <w:p w14:paraId="2A714364">
            <w:pPr>
              <w:spacing w:line="360" w:lineRule="auto"/>
              <w:rPr>
                <w:rFonts w:hint="eastAsia"/>
                <w:color w:val="auto"/>
                <w:highlight w:val="none"/>
              </w:rPr>
            </w:pPr>
            <w:r>
              <w:rPr>
                <w:rFonts w:hint="eastAsia"/>
                <w:color w:val="auto"/>
                <w:highlight w:val="none"/>
              </w:rPr>
              <w:t>开户银行：</w:t>
            </w:r>
            <w:r>
              <w:rPr>
                <w:rFonts w:hint="eastAsia"/>
                <w:color w:val="auto"/>
                <w:highlight w:val="none"/>
              </w:rPr>
              <w:tab/>
            </w:r>
          </w:p>
          <w:p w14:paraId="0A259962">
            <w:pPr>
              <w:spacing w:line="360" w:lineRule="auto"/>
              <w:rPr>
                <w:rFonts w:hint="eastAsia"/>
                <w:color w:val="auto"/>
                <w:highlight w:val="none"/>
              </w:rPr>
            </w:pPr>
            <w:r>
              <w:rPr>
                <w:rFonts w:hint="eastAsia"/>
                <w:color w:val="auto"/>
                <w:highlight w:val="none"/>
              </w:rPr>
              <w:t>银行账号：</w:t>
            </w:r>
          </w:p>
          <w:p w14:paraId="1C5B0E5C">
            <w:pPr>
              <w:spacing w:line="360" w:lineRule="auto"/>
              <w:rPr>
                <w:rFonts w:ascii="宋体" w:hAnsi="宋体" w:cs="宋体"/>
                <w:color w:val="auto"/>
                <w:szCs w:val="21"/>
                <w:highlight w:val="none"/>
              </w:rPr>
            </w:pPr>
            <w:r>
              <w:rPr>
                <w:rFonts w:hint="eastAsia"/>
                <w:color w:val="auto"/>
                <w:highlight w:val="none"/>
              </w:rPr>
              <w:t>注：以电汇方式递交履约保证金须在电汇凭据附言栏中写明采购编号、包号及用途(履约保证金)。</w:t>
            </w:r>
          </w:p>
        </w:tc>
      </w:tr>
      <w:tr w14:paraId="3F98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087BFFFC">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30</w:t>
            </w:r>
          </w:p>
        </w:tc>
        <w:tc>
          <w:tcPr>
            <w:tcW w:w="1859" w:type="dxa"/>
            <w:vAlign w:val="center"/>
          </w:tcPr>
          <w:p w14:paraId="0204E372">
            <w:pPr>
              <w:topLinePunct/>
              <w:autoSpaceDE w:val="0"/>
              <w:autoSpaceDN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接收</w:t>
            </w:r>
            <w:r>
              <w:rPr>
                <w:rFonts w:hint="eastAsia" w:ascii="宋体" w:hAnsi="宋体" w:cs="宋体"/>
                <w:color w:val="auto"/>
                <w:szCs w:val="21"/>
                <w:highlight w:val="none"/>
                <w:lang w:val="en-US" w:eastAsia="zh-CN"/>
              </w:rPr>
              <w:t>询问</w:t>
            </w:r>
            <w:r>
              <w:rPr>
                <w:rFonts w:hint="eastAsia" w:ascii="宋体" w:hAnsi="宋体" w:cs="宋体"/>
                <w:color w:val="auto"/>
                <w:szCs w:val="21"/>
                <w:highlight w:val="none"/>
              </w:rPr>
              <w:t>的方式、</w:t>
            </w:r>
          </w:p>
          <w:p w14:paraId="7C66FDBE">
            <w:pPr>
              <w:topLinePunct/>
              <w:autoSpaceDE w:val="0"/>
              <w:autoSpaceDN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部门、电话和通讯</w:t>
            </w:r>
          </w:p>
          <w:p w14:paraId="264C747C">
            <w:pPr>
              <w:topLinePunct/>
              <w:autoSpaceDE w:val="0"/>
              <w:autoSpaceDN w:val="0"/>
              <w:adjustRightInd w:val="0"/>
              <w:snapToGrid w:val="0"/>
              <w:spacing w:line="360" w:lineRule="auto"/>
              <w:jc w:val="center"/>
              <w:rPr>
                <w:rFonts w:ascii="宋体" w:hAnsi="宋体" w:cs="宋体"/>
                <w:b/>
                <w:color w:val="auto"/>
                <w:szCs w:val="21"/>
                <w:highlight w:val="none"/>
              </w:rPr>
            </w:pPr>
            <w:r>
              <w:rPr>
                <w:rFonts w:hint="eastAsia" w:ascii="宋体" w:hAnsi="宋体" w:cs="宋体"/>
                <w:color w:val="auto"/>
                <w:szCs w:val="21"/>
                <w:highlight w:val="none"/>
              </w:rPr>
              <w:t>地址</w:t>
            </w:r>
          </w:p>
        </w:tc>
        <w:tc>
          <w:tcPr>
            <w:tcW w:w="6343" w:type="dxa"/>
            <w:gridSpan w:val="2"/>
            <w:vAlign w:val="center"/>
          </w:tcPr>
          <w:p w14:paraId="0446C149">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询问</w:t>
            </w:r>
            <w:r>
              <w:rPr>
                <w:rFonts w:hint="eastAsia" w:ascii="宋体" w:hAnsi="宋体" w:cs="宋体"/>
                <w:color w:val="auto"/>
                <w:szCs w:val="21"/>
                <w:highlight w:val="none"/>
              </w:rPr>
              <w:t>联系方式：</w:t>
            </w:r>
          </w:p>
          <w:p w14:paraId="78D53D81">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（1）接收</w:t>
            </w:r>
            <w:r>
              <w:rPr>
                <w:rFonts w:hint="eastAsia" w:ascii="宋体" w:hAnsi="宋体" w:cs="宋体"/>
                <w:color w:val="auto"/>
                <w:szCs w:val="21"/>
                <w:highlight w:val="none"/>
                <w:lang w:val="en-US" w:eastAsia="zh-CN"/>
              </w:rPr>
              <w:t>询问</w:t>
            </w:r>
            <w:r>
              <w:rPr>
                <w:rFonts w:hint="eastAsia" w:ascii="宋体" w:hAnsi="宋体" w:cs="宋体"/>
                <w:color w:val="auto"/>
                <w:szCs w:val="21"/>
                <w:highlight w:val="none"/>
              </w:rPr>
              <w:t>函的方式：</w:t>
            </w:r>
            <w:r>
              <w:rPr>
                <w:rFonts w:hint="eastAsia" w:ascii="宋体" w:hAnsi="宋体" w:cs="宋体"/>
                <w:color w:val="auto"/>
                <w:szCs w:val="21"/>
                <w:highlight w:val="none"/>
                <w:u w:val="single"/>
                <w:lang w:val="en-US" w:eastAsia="zh-CN"/>
              </w:rPr>
              <w:t>书面</w:t>
            </w:r>
            <w:r>
              <w:rPr>
                <w:rFonts w:hint="eastAsia" w:ascii="宋体" w:hAnsi="宋体" w:cs="宋体"/>
                <w:color w:val="auto"/>
                <w:szCs w:val="21"/>
                <w:highlight w:val="none"/>
                <w:u w:val="single"/>
              </w:rPr>
              <w:t>方式</w:t>
            </w:r>
          </w:p>
          <w:p w14:paraId="4056B19C">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（2）联系部门：</w:t>
            </w:r>
            <w:r>
              <w:rPr>
                <w:rFonts w:hint="eastAsia" w:ascii="宋体" w:hAnsi="宋体" w:cs="宋体"/>
                <w:color w:val="auto"/>
                <w:szCs w:val="21"/>
                <w:highlight w:val="none"/>
                <w:u w:val="single"/>
              </w:rPr>
              <w:t>广西众联工程项目管理有限公司招标代理部</w:t>
            </w:r>
          </w:p>
          <w:p w14:paraId="25BFAA95">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（3）联系电话：</w:t>
            </w:r>
            <w:r>
              <w:rPr>
                <w:rFonts w:hint="eastAsia" w:ascii="宋体" w:hAnsi="宋体" w:cs="宋体"/>
                <w:color w:val="auto"/>
                <w:szCs w:val="21"/>
                <w:highlight w:val="none"/>
                <w:u w:val="single"/>
              </w:rPr>
              <w:t>0771-4308370</w:t>
            </w:r>
          </w:p>
          <w:p w14:paraId="4F619911">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（4）通讯地址：</w:t>
            </w:r>
            <w:r>
              <w:rPr>
                <w:rFonts w:hint="eastAsia" w:ascii="宋体" w:hAnsi="宋体" w:cs="宋体"/>
                <w:color w:val="auto"/>
                <w:szCs w:val="21"/>
                <w:highlight w:val="none"/>
                <w:u w:val="single"/>
              </w:rPr>
              <w:t>南宁市江南区白沙大道53号松宇时代14A层</w:t>
            </w:r>
          </w:p>
          <w:p w14:paraId="3D5FAA5E">
            <w:pPr>
              <w:spacing w:line="360" w:lineRule="auto"/>
              <w:rPr>
                <w:rFonts w:ascii="宋体" w:hAnsi="宋体" w:cs="宋体"/>
                <w:color w:val="auto"/>
                <w:szCs w:val="21"/>
                <w:highlight w:val="none"/>
              </w:rPr>
            </w:pPr>
            <w:r>
              <w:rPr>
                <w:rFonts w:hint="eastAsia" w:ascii="宋体" w:hAnsi="宋体" w:cs="宋体"/>
                <w:color w:val="auto"/>
                <w:szCs w:val="21"/>
                <w:highlight w:val="none"/>
              </w:rPr>
              <w:t>（5）电子邮箱：</w:t>
            </w:r>
            <w:r>
              <w:rPr>
                <w:rFonts w:hint="eastAsia" w:ascii="宋体" w:hAnsi="宋体" w:cs="宋体"/>
                <w:color w:val="auto"/>
                <w:szCs w:val="21"/>
                <w:highlight w:val="none"/>
                <w:u w:val="single"/>
              </w:rPr>
              <w:t>zhonglianxmgl@</w:t>
            </w:r>
            <w:r>
              <w:rPr>
                <w:rFonts w:hint="eastAsia" w:ascii="宋体" w:hAnsi="宋体" w:cs="宋体"/>
                <w:color w:val="auto"/>
                <w:szCs w:val="21"/>
                <w:highlight w:val="none"/>
                <w:u w:val="single"/>
                <w:lang w:val="en-US" w:eastAsia="zh-CN"/>
              </w:rPr>
              <w:t>163</w:t>
            </w:r>
            <w:r>
              <w:rPr>
                <w:rFonts w:hint="eastAsia" w:ascii="宋体" w:hAnsi="宋体" w:cs="宋体"/>
                <w:color w:val="auto"/>
                <w:szCs w:val="21"/>
                <w:highlight w:val="none"/>
                <w:u w:val="single"/>
              </w:rPr>
              <w:t>.com</w:t>
            </w:r>
          </w:p>
        </w:tc>
      </w:tr>
      <w:tr w14:paraId="7600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7C6C4247">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1859" w:type="dxa"/>
            <w:vAlign w:val="center"/>
          </w:tcPr>
          <w:p w14:paraId="4139A836">
            <w:pPr>
              <w:topLinePunct/>
              <w:autoSpaceDE w:val="0"/>
              <w:autoSpaceDN w:val="0"/>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需提交的响应文件份数</w:t>
            </w:r>
          </w:p>
        </w:tc>
        <w:tc>
          <w:tcPr>
            <w:tcW w:w="6343" w:type="dxa"/>
            <w:gridSpan w:val="2"/>
            <w:vAlign w:val="center"/>
          </w:tcPr>
          <w:p w14:paraId="2F1F00FE">
            <w:pPr>
              <w:spacing w:line="360" w:lineRule="auto"/>
              <w:rPr>
                <w:rFonts w:ascii="宋体" w:hAnsi="宋体" w:cs="宋体"/>
                <w:color w:val="auto"/>
                <w:szCs w:val="21"/>
                <w:highlight w:val="none"/>
              </w:rPr>
            </w:pPr>
            <w:r>
              <w:rPr>
                <w:rFonts w:hint="eastAsia" w:ascii="宋体" w:hAnsi="宋体" w:cs="宋体"/>
                <w:color w:val="auto"/>
                <w:szCs w:val="21"/>
                <w:highlight w:val="none"/>
              </w:rPr>
              <w:t>需提交的响应文件份数：</w:t>
            </w:r>
          </w:p>
          <w:p w14:paraId="5C5F72A7">
            <w:pPr>
              <w:spacing w:line="360" w:lineRule="auto"/>
              <w:rPr>
                <w:rFonts w:ascii="宋体" w:hAnsi="宋体" w:cs="宋体"/>
                <w:color w:val="auto"/>
                <w:szCs w:val="21"/>
                <w:highlight w:val="none"/>
              </w:rPr>
            </w:pPr>
            <w:r>
              <w:rPr>
                <w:rFonts w:hint="eastAsia" w:ascii="宋体" w:hAnsi="宋体" w:cs="宋体"/>
                <w:color w:val="auto"/>
                <w:szCs w:val="21"/>
                <w:highlight w:val="none"/>
              </w:rPr>
              <w:t>（1）正本</w:t>
            </w:r>
            <w:r>
              <w:rPr>
                <w:rFonts w:hint="eastAsia" w:ascii="宋体" w:hAnsi="宋体" w:cs="宋体"/>
                <w:color w:val="auto"/>
                <w:szCs w:val="21"/>
                <w:highlight w:val="none"/>
                <w:u w:val="single"/>
              </w:rPr>
              <w:t>1</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份。</w:t>
            </w:r>
          </w:p>
          <w:p w14:paraId="435B482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（2）电子文件</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份（☑响应文件盖章签字后的扫描件 □Word）。采用U盘提交。</w:t>
            </w:r>
          </w:p>
          <w:p w14:paraId="3AD9381B">
            <w:pPr>
              <w:spacing w:line="360" w:lineRule="auto"/>
              <w:rPr>
                <w:rFonts w:hint="eastAsia" w:ascii="宋体" w:hAnsi="宋体" w:cs="宋体"/>
                <w:color w:val="auto"/>
                <w:szCs w:val="21"/>
                <w:highlight w:val="none"/>
              </w:rPr>
            </w:pPr>
            <w:r>
              <w:rPr>
                <w:rFonts w:hint="eastAsia" w:ascii="宋体" w:hAnsi="宋体" w:eastAsia="宋体" w:cs="宋体"/>
                <w:b/>
                <w:bCs/>
                <w:color w:val="auto"/>
                <w:highlight w:val="none"/>
              </w:rPr>
              <w:t>注：响应文件每册装订厚度</w:t>
            </w:r>
            <w:r>
              <w:rPr>
                <w:rFonts w:hint="eastAsia" w:ascii="宋体" w:hAnsi="宋体" w:cs="宋体"/>
                <w:b/>
                <w:bCs/>
                <w:color w:val="auto"/>
                <w:highlight w:val="none"/>
                <w:lang w:val="en-US" w:eastAsia="zh-CN"/>
              </w:rPr>
              <w:t>建议不</w:t>
            </w:r>
            <w:r>
              <w:rPr>
                <w:rFonts w:hint="eastAsia" w:ascii="宋体" w:hAnsi="宋体" w:eastAsia="宋体" w:cs="宋体"/>
                <w:b/>
                <w:bCs/>
                <w:color w:val="auto"/>
                <w:highlight w:val="none"/>
              </w:rPr>
              <w:t>超过55mm，如超出</w:t>
            </w:r>
            <w:r>
              <w:rPr>
                <w:rFonts w:hint="eastAsia" w:ascii="宋体" w:hAnsi="宋体" w:eastAsia="宋体" w:cs="宋体"/>
                <w:b/>
                <w:bCs/>
                <w:color w:val="auto"/>
                <w:highlight w:val="none"/>
                <w:lang w:eastAsia="zh-CN"/>
              </w:rPr>
              <w:t>请</w:t>
            </w:r>
            <w:r>
              <w:rPr>
                <w:rFonts w:hint="eastAsia" w:ascii="宋体" w:hAnsi="宋体" w:eastAsia="宋体" w:cs="宋体"/>
                <w:b/>
                <w:bCs/>
                <w:color w:val="auto"/>
                <w:highlight w:val="none"/>
              </w:rPr>
              <w:t>分册装订。</w:t>
            </w:r>
          </w:p>
        </w:tc>
      </w:tr>
      <w:tr w14:paraId="2E21A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0CCF40A5">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32</w:t>
            </w:r>
          </w:p>
        </w:tc>
        <w:tc>
          <w:tcPr>
            <w:tcW w:w="1859" w:type="dxa"/>
            <w:vAlign w:val="center"/>
          </w:tcPr>
          <w:p w14:paraId="28246489">
            <w:pPr>
              <w:topLinePunct/>
              <w:autoSpaceDE w:val="0"/>
              <w:autoSpaceDN w:val="0"/>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代理费用</w:t>
            </w:r>
          </w:p>
        </w:tc>
        <w:tc>
          <w:tcPr>
            <w:tcW w:w="6343" w:type="dxa"/>
            <w:gridSpan w:val="2"/>
            <w:vAlign w:val="center"/>
          </w:tcPr>
          <w:p w14:paraId="6CF52E1D">
            <w:pPr>
              <w:spacing w:line="360" w:lineRule="auto"/>
              <w:rPr>
                <w:rFonts w:ascii="宋体" w:hAnsi="宋体" w:cs="宋体"/>
                <w:color w:val="auto"/>
                <w:szCs w:val="21"/>
                <w:highlight w:val="none"/>
              </w:rPr>
            </w:pPr>
            <w:r>
              <w:rPr>
                <w:rFonts w:hint="eastAsia" w:ascii="宋体" w:hAnsi="宋体" w:cs="宋体"/>
                <w:color w:val="auto"/>
                <w:szCs w:val="21"/>
                <w:highlight w:val="none"/>
              </w:rPr>
              <w:t>代理费用：</w:t>
            </w:r>
          </w:p>
          <w:p w14:paraId="35D2E1F0">
            <w:pPr>
              <w:spacing w:line="360" w:lineRule="auto"/>
              <w:rPr>
                <w:rFonts w:ascii="宋体" w:hAnsi="宋体" w:cs="宋体"/>
                <w:color w:val="auto"/>
                <w:szCs w:val="21"/>
                <w:highlight w:val="none"/>
              </w:rPr>
            </w:pPr>
            <w:r>
              <w:rPr>
                <w:rFonts w:hint="eastAsia" w:ascii="宋体" w:hAnsi="宋体" w:cs="宋体"/>
                <w:color w:val="auto"/>
                <w:szCs w:val="21"/>
                <w:highlight w:val="none"/>
              </w:rPr>
              <w:t>（1）本项目代理费用由</w:t>
            </w:r>
            <w:r>
              <w:rPr>
                <w:rFonts w:hint="eastAsia" w:ascii="宋体" w:hAnsi="宋体" w:cs="宋体"/>
                <w:color w:val="auto"/>
                <w:szCs w:val="21"/>
                <w:highlight w:val="none"/>
                <w:u w:val="single"/>
              </w:rPr>
              <w:t>成交供应商</w:t>
            </w:r>
            <w:r>
              <w:rPr>
                <w:rFonts w:hint="eastAsia" w:ascii="宋体" w:hAnsi="宋体" w:cs="宋体"/>
                <w:color w:val="auto"/>
                <w:szCs w:val="21"/>
                <w:highlight w:val="none"/>
              </w:rPr>
              <w:t>支付。</w:t>
            </w:r>
          </w:p>
          <w:p w14:paraId="77C5A4F0">
            <w:pPr>
              <w:spacing w:line="360" w:lineRule="auto"/>
              <w:rPr>
                <w:rFonts w:ascii="宋体" w:hAnsi="宋体" w:cs="宋体"/>
                <w:color w:val="auto"/>
                <w:szCs w:val="21"/>
                <w:highlight w:val="none"/>
              </w:rPr>
            </w:pPr>
            <w:r>
              <w:rPr>
                <w:rFonts w:hint="eastAsia" w:ascii="宋体" w:hAnsi="宋体" w:cs="宋体"/>
                <w:color w:val="auto"/>
                <w:szCs w:val="21"/>
                <w:highlight w:val="none"/>
              </w:rPr>
              <w:t>（2）代理费用收取方式及标准：</w:t>
            </w:r>
          </w:p>
          <w:p w14:paraId="7788065E">
            <w:pPr>
              <w:spacing w:line="360" w:lineRule="auto"/>
              <w:rPr>
                <w:rFonts w:ascii="宋体" w:hAnsi="宋体" w:cs="宋体"/>
                <w:color w:val="auto"/>
                <w:szCs w:val="21"/>
                <w:highlight w:val="none"/>
                <w:lang w:val="zh-CN"/>
              </w:rPr>
            </w:pPr>
            <w:r>
              <w:rPr>
                <w:rFonts w:hint="eastAsia" w:ascii="宋体" w:hAnsi="宋体" w:cs="宋体"/>
                <w:color w:val="auto"/>
                <w:szCs w:val="21"/>
                <w:highlight w:val="none"/>
              </w:rPr>
              <w:t>按国家发展计划委员会《招标代理服务费管理暂行办法》（计价格〔2002〕1980号）、《国家发改委关于降低部分建设项目收费标准规范收费行为等有关问题的通知》（发改价格〔2011〕534号）规定的采购代理服务费标准费率</w:t>
            </w:r>
            <w:r>
              <w:rPr>
                <w:rFonts w:hint="eastAsia" w:ascii="宋体" w:hAnsi="宋体" w:cs="宋体"/>
                <w:color w:val="auto"/>
                <w:szCs w:val="21"/>
                <w:highlight w:val="none"/>
                <w:lang w:val="zh-CN"/>
              </w:rPr>
              <w:t>执行。即：</w:t>
            </w:r>
          </w:p>
          <w:p w14:paraId="732F387B">
            <w:pPr>
              <w:spacing w:line="360" w:lineRule="auto"/>
              <w:rPr>
                <w:rFonts w:ascii="宋体" w:hAnsi="宋体" w:cs="宋体"/>
                <w:color w:val="auto"/>
                <w:szCs w:val="21"/>
                <w:highlight w:val="none"/>
              </w:rPr>
            </w:pPr>
            <w:r>
              <w:rPr>
                <w:rFonts w:hint="eastAsia" w:ascii="宋体" w:hAnsi="宋体" w:cs="宋体"/>
                <w:color w:val="auto"/>
                <w:szCs w:val="21"/>
                <w:highlight w:val="none"/>
              </w:rPr>
              <w:t>全区税务系统代理费用=采购代理标准费用。</w:t>
            </w:r>
          </w:p>
          <w:p w14:paraId="6EB77FCE">
            <w:pPr>
              <w:spacing w:line="360" w:lineRule="auto"/>
              <w:rPr>
                <w:rFonts w:ascii="宋体" w:hAnsi="宋体" w:cs="宋体"/>
                <w:color w:val="auto"/>
                <w:szCs w:val="21"/>
                <w:highlight w:val="none"/>
              </w:rPr>
            </w:pPr>
            <w:r>
              <w:rPr>
                <w:rFonts w:hint="eastAsia" w:ascii="宋体" w:hAnsi="宋体" w:cs="宋体"/>
                <w:color w:val="auto"/>
                <w:szCs w:val="21"/>
                <w:highlight w:val="none"/>
              </w:rPr>
              <w:t>采购代理服务费标准费率：</w:t>
            </w:r>
          </w:p>
          <w:tbl>
            <w:tblPr>
              <w:tblStyle w:val="20"/>
              <w:tblpPr w:leftFromText="180" w:rightFromText="180" w:vertAnchor="text" w:horzAnchor="page" w:tblpX="166" w:tblpY="74"/>
              <w:tblOverlap w:val="never"/>
              <w:tblW w:w="5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9"/>
              <w:gridCol w:w="1077"/>
              <w:gridCol w:w="1148"/>
              <w:gridCol w:w="1034"/>
            </w:tblGrid>
            <w:tr w14:paraId="37E7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419" w:type="dxa"/>
                  <w:tcBorders>
                    <w:tl2br w:val="single" w:color="auto" w:sz="4" w:space="0"/>
                  </w:tcBorders>
                </w:tcPr>
                <w:p w14:paraId="456F5F68">
                  <w:pPr>
                    <w:spacing w:line="360" w:lineRule="auto"/>
                    <w:ind w:left="1365" w:hanging="1365" w:hangingChars="650"/>
                    <w:rPr>
                      <w:rFonts w:ascii="宋体" w:hAnsi="宋体" w:cs="宋体"/>
                      <w:color w:val="auto"/>
                      <w:highlight w:val="none"/>
                    </w:rPr>
                  </w:pPr>
                  <w:r>
                    <w:rPr>
                      <w:rFonts w:hint="eastAsia" w:ascii="宋体" w:hAnsi="宋体" w:cs="宋体"/>
                      <w:color w:val="auto"/>
                      <w:highlight w:val="none"/>
                    </w:rPr>
                    <w:t xml:space="preserve">            费率</w:t>
                  </w:r>
                </w:p>
                <w:p w14:paraId="3782D05F">
                  <w:pPr>
                    <w:spacing w:line="360" w:lineRule="auto"/>
                    <w:rPr>
                      <w:rFonts w:ascii="宋体" w:hAnsi="宋体" w:cs="宋体"/>
                      <w:color w:val="auto"/>
                      <w:highlight w:val="none"/>
                    </w:rPr>
                  </w:pPr>
                  <w:r>
                    <w:rPr>
                      <w:rFonts w:hint="eastAsia" w:ascii="宋体" w:hAnsi="宋体" w:cs="宋体"/>
                      <w:color w:val="auto"/>
                      <w:highlight w:val="none"/>
                    </w:rPr>
                    <w:t>成交金额</w:t>
                  </w:r>
                </w:p>
              </w:tc>
              <w:tc>
                <w:tcPr>
                  <w:tcW w:w="1077" w:type="dxa"/>
                  <w:vAlign w:val="center"/>
                </w:tcPr>
                <w:p w14:paraId="4A2C5304">
                  <w:pPr>
                    <w:spacing w:line="360" w:lineRule="auto"/>
                    <w:ind w:firstLine="105" w:firstLineChars="50"/>
                    <w:jc w:val="center"/>
                    <w:rPr>
                      <w:rFonts w:ascii="宋体" w:hAnsi="宋体" w:cs="宋体"/>
                      <w:color w:val="auto"/>
                      <w:highlight w:val="none"/>
                    </w:rPr>
                  </w:pPr>
                  <w:r>
                    <w:rPr>
                      <w:rFonts w:hint="eastAsia" w:ascii="宋体" w:hAnsi="宋体" w:cs="宋体"/>
                      <w:color w:val="auto"/>
                      <w:highlight w:val="none"/>
                    </w:rPr>
                    <w:t>货物招标</w:t>
                  </w:r>
                </w:p>
              </w:tc>
              <w:tc>
                <w:tcPr>
                  <w:tcW w:w="1148" w:type="dxa"/>
                  <w:vAlign w:val="center"/>
                </w:tcPr>
                <w:p w14:paraId="15519BF1">
                  <w:pPr>
                    <w:spacing w:line="360" w:lineRule="auto"/>
                    <w:jc w:val="center"/>
                    <w:rPr>
                      <w:rFonts w:ascii="宋体" w:hAnsi="宋体" w:cs="宋体"/>
                      <w:color w:val="auto"/>
                      <w:highlight w:val="none"/>
                    </w:rPr>
                  </w:pPr>
                  <w:r>
                    <w:rPr>
                      <w:rFonts w:hint="eastAsia" w:ascii="宋体" w:hAnsi="宋体" w:cs="宋体"/>
                      <w:color w:val="auto"/>
                      <w:highlight w:val="none"/>
                    </w:rPr>
                    <w:t>服务招标</w:t>
                  </w:r>
                </w:p>
              </w:tc>
              <w:tc>
                <w:tcPr>
                  <w:tcW w:w="1034" w:type="dxa"/>
                  <w:vAlign w:val="center"/>
                </w:tcPr>
                <w:p w14:paraId="340E866F">
                  <w:pPr>
                    <w:spacing w:line="360" w:lineRule="auto"/>
                    <w:jc w:val="center"/>
                    <w:rPr>
                      <w:rFonts w:ascii="宋体" w:hAnsi="宋体" w:cs="宋体"/>
                      <w:color w:val="auto"/>
                      <w:highlight w:val="none"/>
                    </w:rPr>
                  </w:pPr>
                  <w:r>
                    <w:rPr>
                      <w:rFonts w:hint="eastAsia" w:ascii="宋体" w:hAnsi="宋体" w:cs="宋体"/>
                      <w:color w:val="auto"/>
                      <w:highlight w:val="none"/>
                    </w:rPr>
                    <w:t>工程招标</w:t>
                  </w:r>
                </w:p>
              </w:tc>
            </w:tr>
            <w:tr w14:paraId="21CC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9" w:type="dxa"/>
                  <w:vAlign w:val="center"/>
                </w:tcPr>
                <w:p w14:paraId="5EF53F05">
                  <w:pPr>
                    <w:spacing w:line="360" w:lineRule="auto"/>
                    <w:jc w:val="center"/>
                    <w:rPr>
                      <w:rFonts w:ascii="宋体" w:hAnsi="宋体" w:cs="宋体"/>
                      <w:color w:val="auto"/>
                      <w:highlight w:val="none"/>
                    </w:rPr>
                  </w:pPr>
                  <w:r>
                    <w:rPr>
                      <w:rFonts w:hint="eastAsia" w:ascii="宋体" w:hAnsi="宋体" w:cs="宋体"/>
                      <w:color w:val="auto"/>
                      <w:highlight w:val="none"/>
                    </w:rPr>
                    <w:t>100万元以下</w:t>
                  </w:r>
                </w:p>
              </w:tc>
              <w:tc>
                <w:tcPr>
                  <w:tcW w:w="1077" w:type="dxa"/>
                  <w:vAlign w:val="center"/>
                </w:tcPr>
                <w:p w14:paraId="584CB940">
                  <w:pPr>
                    <w:spacing w:line="360" w:lineRule="auto"/>
                    <w:jc w:val="center"/>
                    <w:rPr>
                      <w:rFonts w:ascii="宋体" w:hAnsi="宋体" w:cs="宋体"/>
                      <w:color w:val="auto"/>
                      <w:highlight w:val="none"/>
                    </w:rPr>
                  </w:pPr>
                  <w:r>
                    <w:rPr>
                      <w:rFonts w:hint="eastAsia" w:ascii="宋体" w:hAnsi="宋体" w:cs="宋体"/>
                      <w:color w:val="auto"/>
                      <w:highlight w:val="none"/>
                    </w:rPr>
                    <w:t>1.5%</w:t>
                  </w:r>
                </w:p>
              </w:tc>
              <w:tc>
                <w:tcPr>
                  <w:tcW w:w="1148" w:type="dxa"/>
                  <w:vAlign w:val="center"/>
                </w:tcPr>
                <w:p w14:paraId="78B12E18">
                  <w:pPr>
                    <w:spacing w:line="360" w:lineRule="auto"/>
                    <w:jc w:val="center"/>
                    <w:rPr>
                      <w:rFonts w:ascii="宋体" w:hAnsi="宋体" w:cs="宋体"/>
                      <w:color w:val="auto"/>
                      <w:highlight w:val="none"/>
                    </w:rPr>
                  </w:pPr>
                  <w:r>
                    <w:rPr>
                      <w:rFonts w:hint="eastAsia" w:ascii="宋体" w:hAnsi="宋体" w:cs="宋体"/>
                      <w:color w:val="auto"/>
                      <w:highlight w:val="none"/>
                    </w:rPr>
                    <w:t>1.5%</w:t>
                  </w:r>
                </w:p>
              </w:tc>
              <w:tc>
                <w:tcPr>
                  <w:tcW w:w="1034" w:type="dxa"/>
                  <w:vAlign w:val="center"/>
                </w:tcPr>
                <w:p w14:paraId="64BBB331">
                  <w:pPr>
                    <w:spacing w:line="360" w:lineRule="auto"/>
                    <w:jc w:val="center"/>
                    <w:rPr>
                      <w:rFonts w:ascii="宋体" w:hAnsi="宋体" w:cs="宋体"/>
                      <w:color w:val="auto"/>
                      <w:highlight w:val="none"/>
                    </w:rPr>
                  </w:pPr>
                  <w:r>
                    <w:rPr>
                      <w:rFonts w:hint="eastAsia" w:ascii="宋体" w:hAnsi="宋体" w:cs="宋体"/>
                      <w:color w:val="auto"/>
                      <w:highlight w:val="none"/>
                    </w:rPr>
                    <w:t>1.0%</w:t>
                  </w:r>
                </w:p>
              </w:tc>
            </w:tr>
            <w:tr w14:paraId="3F10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9" w:type="dxa"/>
                  <w:vAlign w:val="center"/>
                </w:tcPr>
                <w:p w14:paraId="5B85DD26">
                  <w:pPr>
                    <w:spacing w:line="360" w:lineRule="auto"/>
                    <w:jc w:val="center"/>
                    <w:rPr>
                      <w:rFonts w:ascii="宋体" w:hAnsi="宋体" w:cs="宋体"/>
                      <w:color w:val="auto"/>
                      <w:highlight w:val="none"/>
                    </w:rPr>
                  </w:pPr>
                  <w:r>
                    <w:rPr>
                      <w:rFonts w:hint="eastAsia" w:ascii="宋体" w:hAnsi="宋体" w:cs="宋体"/>
                      <w:color w:val="auto"/>
                      <w:highlight w:val="none"/>
                    </w:rPr>
                    <w:t>100～500万元</w:t>
                  </w:r>
                </w:p>
              </w:tc>
              <w:tc>
                <w:tcPr>
                  <w:tcW w:w="1077" w:type="dxa"/>
                  <w:vAlign w:val="center"/>
                </w:tcPr>
                <w:p w14:paraId="59C96972">
                  <w:pPr>
                    <w:spacing w:line="360" w:lineRule="auto"/>
                    <w:jc w:val="center"/>
                    <w:rPr>
                      <w:rFonts w:ascii="宋体" w:hAnsi="宋体" w:cs="宋体"/>
                      <w:color w:val="auto"/>
                      <w:highlight w:val="none"/>
                    </w:rPr>
                  </w:pPr>
                  <w:r>
                    <w:rPr>
                      <w:rFonts w:hint="eastAsia" w:ascii="宋体" w:hAnsi="宋体" w:cs="宋体"/>
                      <w:color w:val="auto"/>
                      <w:highlight w:val="none"/>
                    </w:rPr>
                    <w:t>1.1%</w:t>
                  </w:r>
                </w:p>
              </w:tc>
              <w:tc>
                <w:tcPr>
                  <w:tcW w:w="1148" w:type="dxa"/>
                  <w:vAlign w:val="center"/>
                </w:tcPr>
                <w:p w14:paraId="3A42D3D9">
                  <w:pPr>
                    <w:spacing w:line="360" w:lineRule="auto"/>
                    <w:jc w:val="center"/>
                    <w:rPr>
                      <w:rFonts w:ascii="宋体" w:hAnsi="宋体" w:cs="宋体"/>
                      <w:color w:val="auto"/>
                      <w:highlight w:val="none"/>
                    </w:rPr>
                  </w:pPr>
                  <w:r>
                    <w:rPr>
                      <w:rFonts w:hint="eastAsia" w:ascii="宋体" w:hAnsi="宋体" w:cs="宋体"/>
                      <w:color w:val="auto"/>
                      <w:highlight w:val="none"/>
                    </w:rPr>
                    <w:t>0.8%</w:t>
                  </w:r>
                </w:p>
              </w:tc>
              <w:tc>
                <w:tcPr>
                  <w:tcW w:w="1034" w:type="dxa"/>
                  <w:vAlign w:val="center"/>
                </w:tcPr>
                <w:p w14:paraId="12A58BBB">
                  <w:pPr>
                    <w:spacing w:line="360" w:lineRule="auto"/>
                    <w:jc w:val="center"/>
                    <w:rPr>
                      <w:rFonts w:ascii="宋体" w:hAnsi="宋体" w:cs="宋体"/>
                      <w:color w:val="auto"/>
                      <w:highlight w:val="none"/>
                    </w:rPr>
                  </w:pPr>
                  <w:r>
                    <w:rPr>
                      <w:rFonts w:hint="eastAsia" w:ascii="宋体" w:hAnsi="宋体" w:cs="宋体"/>
                      <w:color w:val="auto"/>
                      <w:highlight w:val="none"/>
                    </w:rPr>
                    <w:t>0.7%</w:t>
                  </w:r>
                </w:p>
              </w:tc>
            </w:tr>
            <w:tr w14:paraId="1BD0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9" w:type="dxa"/>
                  <w:vAlign w:val="center"/>
                </w:tcPr>
                <w:p w14:paraId="17B04BBA">
                  <w:pPr>
                    <w:spacing w:line="360" w:lineRule="auto"/>
                    <w:jc w:val="center"/>
                    <w:rPr>
                      <w:rFonts w:ascii="宋体" w:hAnsi="宋体" w:cs="宋体"/>
                      <w:color w:val="auto"/>
                      <w:highlight w:val="none"/>
                    </w:rPr>
                  </w:pPr>
                  <w:r>
                    <w:rPr>
                      <w:rFonts w:hint="eastAsia" w:ascii="宋体" w:hAnsi="宋体" w:cs="宋体"/>
                      <w:color w:val="auto"/>
                      <w:highlight w:val="none"/>
                    </w:rPr>
                    <w:t>500～1000万元</w:t>
                  </w:r>
                </w:p>
              </w:tc>
              <w:tc>
                <w:tcPr>
                  <w:tcW w:w="1077" w:type="dxa"/>
                  <w:vAlign w:val="center"/>
                </w:tcPr>
                <w:p w14:paraId="20460A99">
                  <w:pPr>
                    <w:spacing w:line="360" w:lineRule="auto"/>
                    <w:jc w:val="center"/>
                    <w:rPr>
                      <w:rFonts w:ascii="宋体" w:hAnsi="宋体" w:cs="宋体"/>
                      <w:color w:val="auto"/>
                      <w:highlight w:val="none"/>
                    </w:rPr>
                  </w:pPr>
                  <w:r>
                    <w:rPr>
                      <w:rFonts w:hint="eastAsia" w:ascii="宋体" w:hAnsi="宋体" w:cs="宋体"/>
                      <w:color w:val="auto"/>
                      <w:highlight w:val="none"/>
                    </w:rPr>
                    <w:t>0.8%</w:t>
                  </w:r>
                </w:p>
              </w:tc>
              <w:tc>
                <w:tcPr>
                  <w:tcW w:w="1148" w:type="dxa"/>
                  <w:vAlign w:val="center"/>
                </w:tcPr>
                <w:p w14:paraId="735544D1">
                  <w:pPr>
                    <w:spacing w:line="360" w:lineRule="auto"/>
                    <w:jc w:val="center"/>
                    <w:rPr>
                      <w:rFonts w:ascii="宋体" w:hAnsi="宋体" w:cs="宋体"/>
                      <w:color w:val="auto"/>
                      <w:highlight w:val="none"/>
                    </w:rPr>
                  </w:pPr>
                  <w:r>
                    <w:rPr>
                      <w:rFonts w:hint="eastAsia" w:ascii="宋体" w:hAnsi="宋体" w:cs="宋体"/>
                      <w:color w:val="auto"/>
                      <w:highlight w:val="none"/>
                    </w:rPr>
                    <w:t>0.45%</w:t>
                  </w:r>
                </w:p>
              </w:tc>
              <w:tc>
                <w:tcPr>
                  <w:tcW w:w="1034" w:type="dxa"/>
                  <w:vAlign w:val="center"/>
                </w:tcPr>
                <w:p w14:paraId="0289555D">
                  <w:pPr>
                    <w:spacing w:line="360" w:lineRule="auto"/>
                    <w:jc w:val="center"/>
                    <w:rPr>
                      <w:rFonts w:ascii="宋体" w:hAnsi="宋体" w:cs="宋体"/>
                      <w:color w:val="auto"/>
                      <w:highlight w:val="none"/>
                    </w:rPr>
                  </w:pPr>
                  <w:r>
                    <w:rPr>
                      <w:rFonts w:hint="eastAsia" w:ascii="宋体" w:hAnsi="宋体" w:cs="宋体"/>
                      <w:color w:val="auto"/>
                      <w:highlight w:val="none"/>
                    </w:rPr>
                    <w:t>0.55%</w:t>
                  </w:r>
                </w:p>
              </w:tc>
            </w:tr>
            <w:tr w14:paraId="47710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9" w:type="dxa"/>
                  <w:vAlign w:val="center"/>
                </w:tcPr>
                <w:p w14:paraId="2D9195BB">
                  <w:pPr>
                    <w:spacing w:line="360" w:lineRule="auto"/>
                    <w:jc w:val="center"/>
                    <w:rPr>
                      <w:rFonts w:ascii="宋体" w:hAnsi="宋体" w:cs="宋体"/>
                      <w:color w:val="auto"/>
                      <w:highlight w:val="none"/>
                    </w:rPr>
                  </w:pPr>
                  <w:r>
                    <w:rPr>
                      <w:rFonts w:hint="eastAsia" w:ascii="宋体" w:hAnsi="宋体" w:cs="宋体"/>
                      <w:color w:val="auto"/>
                      <w:highlight w:val="none"/>
                    </w:rPr>
                    <w:t>1000～5000万元</w:t>
                  </w:r>
                </w:p>
              </w:tc>
              <w:tc>
                <w:tcPr>
                  <w:tcW w:w="1077" w:type="dxa"/>
                  <w:vAlign w:val="center"/>
                </w:tcPr>
                <w:p w14:paraId="6E386DD4">
                  <w:pPr>
                    <w:spacing w:line="360" w:lineRule="auto"/>
                    <w:jc w:val="center"/>
                    <w:rPr>
                      <w:rFonts w:ascii="宋体" w:hAnsi="宋体" w:cs="宋体"/>
                      <w:color w:val="auto"/>
                      <w:highlight w:val="none"/>
                    </w:rPr>
                  </w:pPr>
                  <w:r>
                    <w:rPr>
                      <w:rFonts w:hint="eastAsia" w:ascii="宋体" w:hAnsi="宋体" w:cs="宋体"/>
                      <w:color w:val="auto"/>
                      <w:highlight w:val="none"/>
                    </w:rPr>
                    <w:t>0.5%</w:t>
                  </w:r>
                </w:p>
              </w:tc>
              <w:tc>
                <w:tcPr>
                  <w:tcW w:w="1148" w:type="dxa"/>
                  <w:vAlign w:val="center"/>
                </w:tcPr>
                <w:p w14:paraId="2D5177F9">
                  <w:pPr>
                    <w:spacing w:line="360" w:lineRule="auto"/>
                    <w:jc w:val="center"/>
                    <w:rPr>
                      <w:rFonts w:ascii="宋体" w:hAnsi="宋体" w:cs="宋体"/>
                      <w:color w:val="auto"/>
                      <w:highlight w:val="none"/>
                    </w:rPr>
                  </w:pPr>
                  <w:r>
                    <w:rPr>
                      <w:rFonts w:hint="eastAsia" w:ascii="宋体" w:hAnsi="宋体" w:cs="宋体"/>
                      <w:color w:val="auto"/>
                      <w:highlight w:val="none"/>
                    </w:rPr>
                    <w:t>0.25%</w:t>
                  </w:r>
                </w:p>
              </w:tc>
              <w:tc>
                <w:tcPr>
                  <w:tcW w:w="1034" w:type="dxa"/>
                  <w:vAlign w:val="center"/>
                </w:tcPr>
                <w:p w14:paraId="6BF60CF9">
                  <w:pPr>
                    <w:spacing w:line="360" w:lineRule="auto"/>
                    <w:jc w:val="center"/>
                    <w:rPr>
                      <w:rFonts w:ascii="宋体" w:hAnsi="宋体" w:cs="宋体"/>
                      <w:color w:val="auto"/>
                      <w:highlight w:val="none"/>
                    </w:rPr>
                  </w:pPr>
                  <w:r>
                    <w:rPr>
                      <w:rFonts w:hint="eastAsia" w:ascii="宋体" w:hAnsi="宋体" w:cs="宋体"/>
                      <w:color w:val="auto"/>
                      <w:highlight w:val="none"/>
                    </w:rPr>
                    <w:t>0.35%</w:t>
                  </w:r>
                </w:p>
              </w:tc>
            </w:tr>
            <w:tr w14:paraId="7585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9" w:type="dxa"/>
                  <w:vAlign w:val="center"/>
                </w:tcPr>
                <w:p w14:paraId="06C6A5E4">
                  <w:pPr>
                    <w:spacing w:line="360" w:lineRule="auto"/>
                    <w:jc w:val="center"/>
                    <w:rPr>
                      <w:rFonts w:ascii="宋体" w:hAnsi="宋体" w:cs="宋体"/>
                      <w:color w:val="auto"/>
                      <w:highlight w:val="none"/>
                    </w:rPr>
                  </w:pPr>
                  <w:r>
                    <w:rPr>
                      <w:rFonts w:hint="eastAsia" w:ascii="宋体" w:hAnsi="宋体" w:cs="宋体"/>
                      <w:color w:val="auto"/>
                      <w:highlight w:val="none"/>
                    </w:rPr>
                    <w:t>5000万元～1亿元</w:t>
                  </w:r>
                </w:p>
              </w:tc>
              <w:tc>
                <w:tcPr>
                  <w:tcW w:w="1077" w:type="dxa"/>
                  <w:vAlign w:val="center"/>
                </w:tcPr>
                <w:p w14:paraId="67470962">
                  <w:pPr>
                    <w:spacing w:line="360" w:lineRule="auto"/>
                    <w:jc w:val="center"/>
                    <w:rPr>
                      <w:rFonts w:ascii="宋体" w:hAnsi="宋体" w:cs="宋体"/>
                      <w:color w:val="auto"/>
                      <w:highlight w:val="none"/>
                    </w:rPr>
                  </w:pPr>
                  <w:r>
                    <w:rPr>
                      <w:rFonts w:hint="eastAsia" w:ascii="宋体" w:hAnsi="宋体" w:cs="宋体"/>
                      <w:color w:val="auto"/>
                      <w:highlight w:val="none"/>
                    </w:rPr>
                    <w:t>0.25%</w:t>
                  </w:r>
                </w:p>
              </w:tc>
              <w:tc>
                <w:tcPr>
                  <w:tcW w:w="1148" w:type="dxa"/>
                  <w:vAlign w:val="center"/>
                </w:tcPr>
                <w:p w14:paraId="3E6A80D3">
                  <w:pPr>
                    <w:spacing w:line="360" w:lineRule="auto"/>
                    <w:jc w:val="center"/>
                    <w:rPr>
                      <w:rFonts w:ascii="宋体" w:hAnsi="宋体" w:cs="宋体"/>
                      <w:color w:val="auto"/>
                      <w:highlight w:val="none"/>
                    </w:rPr>
                  </w:pPr>
                  <w:r>
                    <w:rPr>
                      <w:rFonts w:hint="eastAsia" w:ascii="宋体" w:hAnsi="宋体" w:cs="宋体"/>
                      <w:color w:val="auto"/>
                      <w:highlight w:val="none"/>
                    </w:rPr>
                    <w:t>0.1%</w:t>
                  </w:r>
                </w:p>
              </w:tc>
              <w:tc>
                <w:tcPr>
                  <w:tcW w:w="1034" w:type="dxa"/>
                  <w:vAlign w:val="center"/>
                </w:tcPr>
                <w:p w14:paraId="61472D68">
                  <w:pPr>
                    <w:spacing w:line="360" w:lineRule="auto"/>
                    <w:jc w:val="center"/>
                    <w:rPr>
                      <w:rFonts w:ascii="宋体" w:hAnsi="宋体" w:cs="宋体"/>
                      <w:color w:val="auto"/>
                      <w:highlight w:val="none"/>
                    </w:rPr>
                  </w:pPr>
                  <w:r>
                    <w:rPr>
                      <w:rFonts w:hint="eastAsia" w:ascii="宋体" w:hAnsi="宋体" w:cs="宋体"/>
                      <w:color w:val="auto"/>
                      <w:highlight w:val="none"/>
                    </w:rPr>
                    <w:t>0.2%</w:t>
                  </w:r>
                </w:p>
              </w:tc>
            </w:tr>
            <w:tr w14:paraId="48A0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9" w:type="dxa"/>
                  <w:vAlign w:val="center"/>
                </w:tcPr>
                <w:p w14:paraId="7BA48149">
                  <w:pPr>
                    <w:spacing w:line="360" w:lineRule="auto"/>
                    <w:jc w:val="center"/>
                    <w:rPr>
                      <w:rFonts w:ascii="宋体" w:hAnsi="宋体" w:cs="宋体"/>
                      <w:color w:val="auto"/>
                      <w:highlight w:val="none"/>
                    </w:rPr>
                  </w:pPr>
                  <w:r>
                    <w:rPr>
                      <w:rFonts w:hint="eastAsia" w:ascii="宋体" w:hAnsi="宋体" w:cs="宋体"/>
                      <w:color w:val="auto"/>
                      <w:highlight w:val="none"/>
                    </w:rPr>
                    <w:t>1～5亿元</w:t>
                  </w:r>
                </w:p>
              </w:tc>
              <w:tc>
                <w:tcPr>
                  <w:tcW w:w="1077" w:type="dxa"/>
                  <w:vAlign w:val="center"/>
                </w:tcPr>
                <w:p w14:paraId="2FD5E8F9">
                  <w:pPr>
                    <w:spacing w:line="360" w:lineRule="auto"/>
                    <w:jc w:val="center"/>
                    <w:rPr>
                      <w:rFonts w:ascii="宋体" w:hAnsi="宋体" w:cs="宋体"/>
                      <w:color w:val="auto"/>
                      <w:highlight w:val="none"/>
                    </w:rPr>
                  </w:pPr>
                  <w:r>
                    <w:rPr>
                      <w:rFonts w:hint="eastAsia" w:ascii="宋体" w:hAnsi="宋体" w:cs="宋体"/>
                      <w:color w:val="auto"/>
                      <w:highlight w:val="none"/>
                    </w:rPr>
                    <w:t>0.05%</w:t>
                  </w:r>
                </w:p>
              </w:tc>
              <w:tc>
                <w:tcPr>
                  <w:tcW w:w="1148" w:type="dxa"/>
                  <w:vAlign w:val="center"/>
                </w:tcPr>
                <w:p w14:paraId="021BA422">
                  <w:pPr>
                    <w:spacing w:line="360" w:lineRule="auto"/>
                    <w:jc w:val="center"/>
                    <w:rPr>
                      <w:rFonts w:ascii="宋体" w:hAnsi="宋体" w:cs="宋体"/>
                      <w:color w:val="auto"/>
                      <w:highlight w:val="none"/>
                    </w:rPr>
                  </w:pPr>
                  <w:r>
                    <w:rPr>
                      <w:rFonts w:hint="eastAsia" w:ascii="宋体" w:hAnsi="宋体" w:cs="宋体"/>
                      <w:color w:val="auto"/>
                      <w:highlight w:val="none"/>
                    </w:rPr>
                    <w:t>0.05%</w:t>
                  </w:r>
                </w:p>
              </w:tc>
              <w:tc>
                <w:tcPr>
                  <w:tcW w:w="1034" w:type="dxa"/>
                  <w:vAlign w:val="center"/>
                </w:tcPr>
                <w:p w14:paraId="3F47A990">
                  <w:pPr>
                    <w:spacing w:line="360" w:lineRule="auto"/>
                    <w:jc w:val="center"/>
                    <w:rPr>
                      <w:rFonts w:ascii="宋体" w:hAnsi="宋体" w:cs="宋体"/>
                      <w:color w:val="auto"/>
                      <w:highlight w:val="none"/>
                    </w:rPr>
                  </w:pPr>
                  <w:r>
                    <w:rPr>
                      <w:rFonts w:hint="eastAsia" w:ascii="宋体" w:hAnsi="宋体" w:cs="宋体"/>
                      <w:color w:val="auto"/>
                      <w:highlight w:val="none"/>
                    </w:rPr>
                    <w:t>0.05%</w:t>
                  </w:r>
                </w:p>
              </w:tc>
            </w:tr>
            <w:tr w14:paraId="0A4A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419" w:type="dxa"/>
                  <w:vAlign w:val="center"/>
                </w:tcPr>
                <w:p w14:paraId="0436D61C">
                  <w:pPr>
                    <w:spacing w:line="360" w:lineRule="auto"/>
                    <w:jc w:val="center"/>
                    <w:rPr>
                      <w:rFonts w:ascii="宋体" w:hAnsi="宋体" w:cs="宋体"/>
                      <w:color w:val="auto"/>
                      <w:highlight w:val="none"/>
                    </w:rPr>
                  </w:pPr>
                  <w:r>
                    <w:rPr>
                      <w:rFonts w:hint="eastAsia" w:ascii="宋体" w:hAnsi="宋体" w:cs="宋体"/>
                      <w:color w:val="auto"/>
                      <w:highlight w:val="none"/>
                    </w:rPr>
                    <w:t>5～10亿元</w:t>
                  </w:r>
                </w:p>
              </w:tc>
              <w:tc>
                <w:tcPr>
                  <w:tcW w:w="1077" w:type="dxa"/>
                  <w:vAlign w:val="center"/>
                </w:tcPr>
                <w:p w14:paraId="40ADA9F9">
                  <w:pPr>
                    <w:spacing w:line="360" w:lineRule="auto"/>
                    <w:jc w:val="center"/>
                    <w:rPr>
                      <w:rFonts w:ascii="宋体" w:hAnsi="宋体" w:cs="宋体"/>
                      <w:color w:val="auto"/>
                      <w:highlight w:val="none"/>
                    </w:rPr>
                  </w:pPr>
                  <w:r>
                    <w:rPr>
                      <w:rFonts w:hint="eastAsia" w:ascii="宋体" w:hAnsi="宋体" w:cs="宋体"/>
                      <w:color w:val="auto"/>
                      <w:highlight w:val="none"/>
                    </w:rPr>
                    <w:t>0.035%</w:t>
                  </w:r>
                </w:p>
              </w:tc>
              <w:tc>
                <w:tcPr>
                  <w:tcW w:w="1148" w:type="dxa"/>
                  <w:vAlign w:val="center"/>
                </w:tcPr>
                <w:p w14:paraId="154EE02F">
                  <w:pPr>
                    <w:spacing w:line="360" w:lineRule="auto"/>
                    <w:jc w:val="center"/>
                    <w:rPr>
                      <w:rFonts w:ascii="宋体" w:hAnsi="宋体" w:cs="宋体"/>
                      <w:color w:val="auto"/>
                      <w:highlight w:val="none"/>
                    </w:rPr>
                  </w:pPr>
                  <w:r>
                    <w:rPr>
                      <w:rFonts w:hint="eastAsia" w:ascii="宋体" w:hAnsi="宋体" w:cs="宋体"/>
                      <w:color w:val="auto"/>
                      <w:highlight w:val="none"/>
                    </w:rPr>
                    <w:t>0.035%</w:t>
                  </w:r>
                </w:p>
              </w:tc>
              <w:tc>
                <w:tcPr>
                  <w:tcW w:w="1034" w:type="dxa"/>
                  <w:vAlign w:val="center"/>
                </w:tcPr>
                <w:p w14:paraId="07AC91E1">
                  <w:pPr>
                    <w:spacing w:line="360" w:lineRule="auto"/>
                    <w:jc w:val="center"/>
                    <w:rPr>
                      <w:rFonts w:ascii="宋体" w:hAnsi="宋体" w:cs="宋体"/>
                      <w:color w:val="auto"/>
                      <w:highlight w:val="none"/>
                    </w:rPr>
                  </w:pPr>
                  <w:r>
                    <w:rPr>
                      <w:rFonts w:hint="eastAsia" w:ascii="宋体" w:hAnsi="宋体" w:cs="宋体"/>
                      <w:color w:val="auto"/>
                      <w:highlight w:val="none"/>
                    </w:rPr>
                    <w:t>0.035%</w:t>
                  </w:r>
                </w:p>
              </w:tc>
            </w:tr>
          </w:tbl>
          <w:p w14:paraId="48ED4555">
            <w:pPr>
              <w:pStyle w:val="2"/>
              <w:spacing w:line="360" w:lineRule="auto"/>
              <w:rPr>
                <w:rFonts w:ascii="宋体" w:hAnsi="宋体" w:cs="宋体"/>
                <w:color w:val="auto"/>
                <w:szCs w:val="21"/>
                <w:highlight w:val="none"/>
              </w:rPr>
            </w:pPr>
          </w:p>
          <w:p w14:paraId="30BD8DDC">
            <w:pPr>
              <w:spacing w:line="360" w:lineRule="auto"/>
              <w:rPr>
                <w:rFonts w:ascii="宋体" w:hAnsi="宋体" w:cs="宋体"/>
                <w:color w:val="auto"/>
                <w:highlight w:val="none"/>
              </w:rPr>
            </w:pPr>
            <w:r>
              <w:rPr>
                <w:rFonts w:hint="eastAsia" w:ascii="宋体" w:hAnsi="宋体" w:cs="宋体"/>
                <w:color w:val="auto"/>
                <w:highlight w:val="none"/>
              </w:rPr>
              <w:t>注：采购代理服务收费按差额定率累进法计算。</w:t>
            </w:r>
          </w:p>
          <w:p w14:paraId="2CC3F2DA">
            <w:pPr>
              <w:spacing w:line="360" w:lineRule="auto"/>
              <w:rPr>
                <w:rFonts w:ascii="宋体" w:hAnsi="宋体" w:cs="宋体"/>
                <w:color w:val="auto"/>
                <w:highlight w:val="none"/>
              </w:rPr>
            </w:pPr>
            <w:r>
              <w:rPr>
                <w:rFonts w:hint="eastAsia" w:ascii="宋体" w:hAnsi="宋体" w:cs="宋体"/>
                <w:color w:val="auto"/>
                <w:highlight w:val="none"/>
              </w:rPr>
              <w:t>例如：广西税务系统某工程招标代理业务成交金额为6000万元，计算招标代理服务收费额如下：</w:t>
            </w:r>
          </w:p>
          <w:p w14:paraId="538CA270">
            <w:pPr>
              <w:spacing w:line="360" w:lineRule="auto"/>
              <w:rPr>
                <w:rFonts w:ascii="宋体" w:hAnsi="宋体" w:cs="宋体"/>
                <w:color w:val="auto"/>
                <w:highlight w:val="none"/>
              </w:rPr>
            </w:pPr>
            <w:r>
              <w:rPr>
                <w:rFonts w:hint="eastAsia" w:ascii="宋体" w:hAnsi="宋体" w:cs="宋体"/>
                <w:color w:val="auto"/>
                <w:highlight w:val="none"/>
              </w:rPr>
              <w:t>100万元×1.0%=1万元</w:t>
            </w:r>
          </w:p>
          <w:p w14:paraId="6A760CB4">
            <w:pPr>
              <w:spacing w:line="360" w:lineRule="auto"/>
              <w:rPr>
                <w:rFonts w:ascii="宋体" w:hAnsi="宋体" w:cs="宋体"/>
                <w:color w:val="auto"/>
                <w:highlight w:val="none"/>
              </w:rPr>
            </w:pPr>
            <w:r>
              <w:rPr>
                <w:rFonts w:hint="eastAsia" w:ascii="宋体" w:hAnsi="宋体" w:cs="宋体"/>
                <w:color w:val="auto"/>
                <w:highlight w:val="none"/>
              </w:rPr>
              <w:t>（500-100）万元×0.7%=2.8万元</w:t>
            </w:r>
          </w:p>
          <w:p w14:paraId="60756F36">
            <w:pPr>
              <w:spacing w:line="360" w:lineRule="auto"/>
              <w:rPr>
                <w:rFonts w:ascii="宋体" w:hAnsi="宋体" w:cs="宋体"/>
                <w:color w:val="auto"/>
                <w:highlight w:val="none"/>
              </w:rPr>
            </w:pPr>
            <w:r>
              <w:rPr>
                <w:rFonts w:hint="eastAsia" w:ascii="宋体" w:hAnsi="宋体" w:cs="宋体"/>
                <w:color w:val="auto"/>
                <w:highlight w:val="none"/>
              </w:rPr>
              <w:t>（1000-500）万元×0.55%=2.75万元</w:t>
            </w:r>
          </w:p>
          <w:p w14:paraId="0A82B2C9">
            <w:pPr>
              <w:spacing w:line="360" w:lineRule="auto"/>
              <w:rPr>
                <w:rFonts w:ascii="宋体" w:hAnsi="宋体" w:cs="宋体"/>
                <w:color w:val="auto"/>
                <w:highlight w:val="none"/>
              </w:rPr>
            </w:pPr>
            <w:r>
              <w:rPr>
                <w:rFonts w:hint="eastAsia" w:ascii="宋体" w:hAnsi="宋体" w:cs="宋体"/>
                <w:color w:val="auto"/>
                <w:highlight w:val="none"/>
              </w:rPr>
              <w:t>（5000-1000）万元×0.35%=14万元</w:t>
            </w:r>
          </w:p>
          <w:p w14:paraId="35FF2179">
            <w:pPr>
              <w:spacing w:line="360" w:lineRule="auto"/>
              <w:rPr>
                <w:rFonts w:ascii="宋体" w:hAnsi="宋体" w:cs="宋体"/>
                <w:color w:val="auto"/>
                <w:highlight w:val="none"/>
              </w:rPr>
            </w:pPr>
            <w:r>
              <w:rPr>
                <w:rFonts w:hint="eastAsia" w:ascii="宋体" w:hAnsi="宋体" w:cs="宋体"/>
                <w:color w:val="auto"/>
                <w:highlight w:val="none"/>
              </w:rPr>
              <w:t>（6000-5000）万元×0.2%=2万元</w:t>
            </w:r>
          </w:p>
          <w:p w14:paraId="11AD6E19">
            <w:pPr>
              <w:spacing w:line="360" w:lineRule="auto"/>
              <w:rPr>
                <w:rFonts w:ascii="宋体" w:hAnsi="宋体" w:cs="宋体"/>
                <w:color w:val="auto"/>
                <w:highlight w:val="none"/>
              </w:rPr>
            </w:pPr>
            <w:r>
              <w:rPr>
                <w:rFonts w:hint="eastAsia" w:ascii="宋体" w:hAnsi="宋体" w:cs="宋体"/>
                <w:color w:val="auto"/>
                <w:highlight w:val="none"/>
              </w:rPr>
              <w:t>合计收费（标准费率）=1+2.8+2.75+14+2=22.55（万元）</w:t>
            </w:r>
          </w:p>
          <w:p w14:paraId="0F0053EF">
            <w:pPr>
              <w:pStyle w:val="11"/>
              <w:spacing w:line="360" w:lineRule="auto"/>
              <w:rPr>
                <w:rFonts w:hAnsi="宋体" w:cs="宋体"/>
                <w:color w:val="auto"/>
                <w:highlight w:val="none"/>
              </w:rPr>
            </w:pPr>
            <w:r>
              <w:rPr>
                <w:rFonts w:hint="eastAsia" w:hAnsi="宋体" w:cs="宋体"/>
                <w:color w:val="auto"/>
                <w:highlight w:val="none"/>
              </w:rPr>
              <w:t>（2）代理费用汇到如下指定账户：</w:t>
            </w:r>
          </w:p>
          <w:p w14:paraId="15FFEE62">
            <w:pPr>
              <w:pStyle w:val="11"/>
              <w:spacing w:line="360" w:lineRule="auto"/>
              <w:rPr>
                <w:rFonts w:hAnsi="宋体" w:cs="宋体"/>
                <w:color w:val="auto"/>
                <w:highlight w:val="none"/>
              </w:rPr>
            </w:pPr>
            <w:r>
              <w:rPr>
                <w:rFonts w:hint="eastAsia" w:hAnsi="宋体" w:cs="宋体"/>
                <w:color w:val="auto"/>
                <w:highlight w:val="none"/>
              </w:rPr>
              <w:t>开户名称：广西众联工程项目管理有限公司</w:t>
            </w:r>
          </w:p>
          <w:p w14:paraId="11EDD70C">
            <w:pPr>
              <w:pStyle w:val="11"/>
              <w:spacing w:line="360" w:lineRule="auto"/>
              <w:rPr>
                <w:rFonts w:hAnsi="宋体" w:cs="宋体"/>
                <w:color w:val="auto"/>
                <w:highlight w:val="none"/>
              </w:rPr>
            </w:pPr>
            <w:r>
              <w:rPr>
                <w:rFonts w:hint="eastAsia" w:hAnsi="宋体" w:cs="宋体"/>
                <w:color w:val="auto"/>
                <w:highlight w:val="none"/>
              </w:rPr>
              <w:t>开户银行：中国光大银行股份有限公司南宁民主支行</w:t>
            </w:r>
          </w:p>
          <w:p w14:paraId="46B9CEA6">
            <w:pPr>
              <w:spacing w:line="360" w:lineRule="auto"/>
              <w:rPr>
                <w:rFonts w:ascii="宋体" w:hAnsi="宋体" w:cs="宋体"/>
                <w:color w:val="auto"/>
                <w:szCs w:val="21"/>
                <w:highlight w:val="none"/>
              </w:rPr>
            </w:pPr>
            <w:r>
              <w:rPr>
                <w:rFonts w:hint="eastAsia" w:ascii="宋体" w:hAnsi="宋体" w:cs="宋体"/>
                <w:color w:val="auto"/>
                <w:highlight w:val="none"/>
              </w:rPr>
              <w:t>银行账号：78900188000167866</w:t>
            </w:r>
          </w:p>
        </w:tc>
      </w:tr>
      <w:tr w14:paraId="5BDC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Align w:val="center"/>
          </w:tcPr>
          <w:p w14:paraId="50B97E23">
            <w:pPr>
              <w:topLinePunct/>
              <w:autoSpaceDE w:val="0"/>
              <w:autoSpaceDN w:val="0"/>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1859" w:type="dxa"/>
            <w:vAlign w:val="center"/>
          </w:tcPr>
          <w:p w14:paraId="5F66CBBE">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其他补充事项</w:t>
            </w:r>
          </w:p>
        </w:tc>
        <w:tc>
          <w:tcPr>
            <w:tcW w:w="6343" w:type="dxa"/>
            <w:gridSpan w:val="2"/>
            <w:vAlign w:val="center"/>
          </w:tcPr>
          <w:p w14:paraId="624EF995">
            <w:pPr>
              <w:pStyle w:val="11"/>
              <w:spacing w:line="360" w:lineRule="auto"/>
              <w:jc w:val="left"/>
              <w:rPr>
                <w:rFonts w:hAnsi="宋体" w:cs="宋体"/>
                <w:color w:val="auto"/>
                <w:highlight w:val="none"/>
              </w:rPr>
            </w:pPr>
            <w:r>
              <w:rPr>
                <w:rFonts w:hint="eastAsia" w:hAnsi="宋体" w:cs="宋体"/>
                <w:color w:val="auto"/>
                <w:highlight w:val="none"/>
              </w:rPr>
              <w:t>其他补充事项：</w:t>
            </w:r>
          </w:p>
          <w:p w14:paraId="675354E3">
            <w:pPr>
              <w:pStyle w:val="11"/>
              <w:spacing w:line="360" w:lineRule="auto"/>
              <w:jc w:val="left"/>
              <w:rPr>
                <w:rFonts w:hAnsi="宋体" w:cs="宋体"/>
                <w:color w:val="auto"/>
                <w:highlight w:val="none"/>
              </w:rPr>
            </w:pPr>
            <w:r>
              <w:rPr>
                <w:rFonts w:hint="eastAsia" w:hAnsi="宋体" w:cs="宋体"/>
                <w:color w:val="auto"/>
                <w:highlight w:val="none"/>
              </w:rPr>
              <w:t>1.本磋商文件中描述供应商的“公章”是指根据我国对公章的管理规定，用供应商法定主体行为名称制作的印章，除本磋商文件有特殊规定外，供应商的财务章、部门章、分公司章、工会章、合同章、投标专用章、业务专用章等其他形式印章均不能代替公章。</w:t>
            </w:r>
          </w:p>
          <w:p w14:paraId="1FDB4A54">
            <w:pPr>
              <w:pStyle w:val="11"/>
              <w:spacing w:line="360" w:lineRule="auto"/>
              <w:jc w:val="left"/>
              <w:rPr>
                <w:rFonts w:hAnsi="宋体" w:cs="宋体"/>
                <w:color w:val="auto"/>
                <w:highlight w:val="none"/>
              </w:rPr>
            </w:pPr>
            <w:r>
              <w:rPr>
                <w:rFonts w:hint="eastAsia" w:hAnsi="宋体" w:cs="宋体"/>
                <w:color w:val="auto"/>
                <w:highlight w:val="none"/>
              </w:rPr>
              <w:t>2.本磋商文件中描述供应商的“签字”是指供应商的法定代表人（负责人）或被授权人亲自在磋商文件规定签署处亲笔写上个人的名字的行为，私章、签字章、印鉴、影印等其他形式均不能代替亲笔签字。</w:t>
            </w:r>
          </w:p>
          <w:p w14:paraId="315B7720">
            <w:pPr>
              <w:pStyle w:val="11"/>
              <w:spacing w:line="360" w:lineRule="auto"/>
              <w:jc w:val="left"/>
              <w:rPr>
                <w:rFonts w:hAnsi="宋体" w:cs="宋体"/>
                <w:color w:val="auto"/>
                <w:highlight w:val="none"/>
              </w:rPr>
            </w:pPr>
            <w:r>
              <w:rPr>
                <w:rFonts w:hint="eastAsia" w:hAnsi="宋体" w:cs="宋体"/>
                <w:color w:val="auto"/>
                <w:highlight w:val="none"/>
              </w:rPr>
              <w:t>3.成交供应商享受中小企业扶持政策的，采购人、采购代理机构应当随成交结果公开成交、成交供应商的《中小企业声明函》。</w:t>
            </w:r>
          </w:p>
          <w:p w14:paraId="71E8B73B">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4.成交供应商为残疾人福利性单位的，采购人或者其委托的采购代理机构应当随成交结果同时公告其《残疾人福利性单位声明函》，接受社会监督。</w:t>
            </w:r>
          </w:p>
          <w:p w14:paraId="502A8F77">
            <w:pPr>
              <w:adjustRightInd w:val="0"/>
              <w:snapToGrid w:val="0"/>
              <w:spacing w:line="360" w:lineRule="auto"/>
              <w:rPr>
                <w:rFonts w:ascii="宋体" w:hAnsi="宋体" w:cs="宋体"/>
                <w:color w:val="auto"/>
                <w:szCs w:val="21"/>
                <w:highlight w:val="none"/>
              </w:rPr>
            </w:pPr>
          </w:p>
        </w:tc>
      </w:tr>
    </w:tbl>
    <w:p w14:paraId="073A9315">
      <w:pPr>
        <w:rPr>
          <w:rFonts w:ascii="宋体" w:hAnsi="宋体" w:cs="宋体"/>
          <w:color w:val="auto"/>
          <w:highlight w:val="none"/>
        </w:rPr>
      </w:pPr>
    </w:p>
    <w:p w14:paraId="40E65D9E">
      <w:pPr>
        <w:rPr>
          <w:rFonts w:ascii="宋体" w:hAnsi="宋体" w:cs="宋体"/>
          <w:color w:val="auto"/>
          <w:highlight w:val="none"/>
        </w:rPr>
      </w:pPr>
    </w:p>
    <w:p w14:paraId="13026B93">
      <w:pPr>
        <w:rPr>
          <w:rFonts w:ascii="宋体" w:hAnsi="宋体" w:cs="宋体"/>
          <w:color w:val="auto"/>
          <w:highlight w:val="none"/>
        </w:rPr>
      </w:pPr>
    </w:p>
    <w:p w14:paraId="1B917A66">
      <w:pPr>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br w:type="page"/>
      </w:r>
    </w:p>
    <w:p w14:paraId="2B73519E">
      <w:pPr>
        <w:jc w:val="center"/>
        <w:rPr>
          <w:rFonts w:ascii="宋体" w:hAnsi="宋体" w:cs="宋体"/>
          <w:color w:val="auto"/>
          <w:highlight w:val="none"/>
        </w:rPr>
      </w:pPr>
      <w:r>
        <w:rPr>
          <w:rFonts w:hint="eastAsia" w:ascii="宋体" w:hAnsi="宋体" w:cs="宋体"/>
          <w:b/>
          <w:bCs/>
          <w:color w:val="auto"/>
          <w:sz w:val="28"/>
          <w:szCs w:val="36"/>
          <w:highlight w:val="none"/>
        </w:rPr>
        <w:t>供应商须知正文</w:t>
      </w:r>
    </w:p>
    <w:p w14:paraId="74F7F2D8">
      <w:pPr>
        <w:pStyle w:val="4"/>
        <w:ind w:firstLine="211" w:firstLineChars="100"/>
        <w:rPr>
          <w:rFonts w:ascii="宋体" w:hAnsi="宋体" w:eastAsia="宋体" w:cs="宋体"/>
          <w:color w:val="auto"/>
          <w:sz w:val="21"/>
          <w:szCs w:val="21"/>
          <w:highlight w:val="none"/>
        </w:rPr>
      </w:pPr>
      <w:bookmarkStart w:id="5" w:name="_Toc10430"/>
      <w:bookmarkStart w:id="6" w:name="_Toc21247"/>
      <w:bookmarkStart w:id="7" w:name="_Toc29193"/>
      <w:r>
        <w:rPr>
          <w:rFonts w:hint="eastAsia" w:ascii="宋体" w:hAnsi="宋体" w:eastAsia="宋体" w:cs="宋体"/>
          <w:color w:val="auto"/>
          <w:sz w:val="21"/>
          <w:szCs w:val="21"/>
          <w:highlight w:val="none"/>
        </w:rPr>
        <w:t>一、总则</w:t>
      </w:r>
      <w:bookmarkEnd w:id="5"/>
      <w:bookmarkEnd w:id="6"/>
      <w:bookmarkEnd w:id="7"/>
    </w:p>
    <w:p w14:paraId="77A77963">
      <w:pPr>
        <w:topLinePunct/>
        <w:autoSpaceDE w:val="0"/>
        <w:autoSpaceDN w:val="0"/>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1.预算资金及来源</w:t>
      </w:r>
    </w:p>
    <w:p w14:paraId="42C921C3">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 本项目已经</w:t>
      </w:r>
      <w:r>
        <w:rPr>
          <w:rFonts w:hint="eastAsia" w:ascii="宋体" w:hAnsi="宋体" w:cs="宋体"/>
          <w:b/>
          <w:color w:val="auto"/>
          <w:szCs w:val="21"/>
          <w:highlight w:val="none"/>
          <w:u w:val="single"/>
          <w:lang w:eastAsia="zh-CN"/>
        </w:rPr>
        <w:t>国家税务总局南丹县税务局</w:t>
      </w:r>
      <w:r>
        <w:rPr>
          <w:rFonts w:hint="eastAsia" w:ascii="宋体" w:hAnsi="宋体" w:cs="宋体"/>
          <w:color w:val="auto"/>
          <w:szCs w:val="21"/>
          <w:highlight w:val="none"/>
        </w:rPr>
        <w:t>批准。</w:t>
      </w:r>
    </w:p>
    <w:p w14:paraId="7495B6AE">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 本项目预算资金见</w:t>
      </w:r>
      <w:r>
        <w:rPr>
          <w:rFonts w:hint="eastAsia" w:ascii="宋体" w:hAnsi="宋体" w:cs="宋体"/>
          <w:b/>
          <w:bCs/>
          <w:color w:val="auto"/>
          <w:szCs w:val="21"/>
          <w:highlight w:val="none"/>
        </w:rPr>
        <w:t>供应商须知前附表</w:t>
      </w:r>
      <w:r>
        <w:rPr>
          <w:rFonts w:hint="eastAsia" w:ascii="宋体" w:hAnsi="宋体" w:cs="宋体"/>
          <w:color w:val="auto"/>
          <w:szCs w:val="21"/>
          <w:highlight w:val="none"/>
        </w:rPr>
        <w:t>，已列入</w:t>
      </w:r>
      <w:r>
        <w:rPr>
          <w:rFonts w:hint="eastAsia" w:ascii="宋体" w:hAnsi="宋体" w:cs="宋体"/>
          <w:b/>
          <w:color w:val="auto"/>
          <w:szCs w:val="21"/>
          <w:highlight w:val="none"/>
          <w:u w:val="single"/>
          <w:lang w:eastAsia="zh-CN"/>
        </w:rPr>
        <w:t>国家税务总局南丹县税务局</w:t>
      </w:r>
      <w:r>
        <w:rPr>
          <w:rFonts w:hint="eastAsia" w:ascii="宋体" w:hAnsi="宋体" w:cs="宋体"/>
          <w:color w:val="auto"/>
          <w:szCs w:val="21"/>
          <w:highlight w:val="none"/>
        </w:rPr>
        <w:t>预算。</w:t>
      </w:r>
    </w:p>
    <w:p w14:paraId="2E0B827A">
      <w:pPr>
        <w:topLinePunct/>
        <w:autoSpaceDE w:val="0"/>
        <w:autoSpaceDN w:val="0"/>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2.合格的产品和服务</w:t>
      </w:r>
    </w:p>
    <w:p w14:paraId="41C07A9B">
      <w:pPr>
        <w:tabs>
          <w:tab w:val="left" w:pos="2160"/>
        </w:tabs>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 本项目所涉及的所有产品和服务均应来自中国境内（指关境内），合同金额的支付也仅限于这些产品和服务。</w:t>
      </w:r>
    </w:p>
    <w:p w14:paraId="77572E75">
      <w:pPr>
        <w:tabs>
          <w:tab w:val="left" w:pos="2160"/>
        </w:tabs>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 合格的产品和服务，即</w:t>
      </w:r>
      <w:r>
        <w:rPr>
          <w:rFonts w:hint="eastAsia" w:ascii="宋体" w:hAnsi="宋体" w:cs="宋体"/>
          <w:b/>
          <w:bCs/>
          <w:color w:val="auto"/>
          <w:szCs w:val="21"/>
          <w:highlight w:val="none"/>
        </w:rPr>
        <w:t>采购需求</w:t>
      </w:r>
      <w:r>
        <w:rPr>
          <w:rFonts w:hint="eastAsia" w:ascii="宋体" w:hAnsi="宋体" w:cs="宋体"/>
          <w:color w:val="auto"/>
          <w:szCs w:val="21"/>
          <w:highlight w:val="none"/>
        </w:rPr>
        <w:t>见磋商</w:t>
      </w:r>
      <w:r>
        <w:rPr>
          <w:rFonts w:hint="eastAsia" w:ascii="宋体" w:hAnsi="宋体" w:cs="宋体"/>
          <w:b/>
          <w:color w:val="auto"/>
          <w:szCs w:val="21"/>
          <w:highlight w:val="none"/>
        </w:rPr>
        <w:t>文件（技术部分）。</w:t>
      </w:r>
    </w:p>
    <w:p w14:paraId="494E486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 供应商应保证所提供的产品及服务免受第三方提出侵犯其知识产权（专利权、商标权、</w:t>
      </w:r>
      <w:r>
        <w:rPr>
          <w:rFonts w:hint="eastAsia" w:ascii="宋体" w:hAnsi="宋体" w:cs="宋体"/>
          <w:color w:val="auto"/>
          <w:szCs w:val="21"/>
          <w:highlight w:val="none"/>
          <w:lang w:eastAsia="zh-CN"/>
        </w:rPr>
        <w:t>工业</w:t>
      </w:r>
      <w:r>
        <w:rPr>
          <w:rFonts w:hint="eastAsia" w:ascii="宋体" w:hAnsi="宋体" w:cs="宋体"/>
          <w:color w:val="auto"/>
          <w:szCs w:val="21"/>
          <w:highlight w:val="none"/>
        </w:rPr>
        <w:t>设计权及使用权）的请求及起诉。</w:t>
      </w:r>
    </w:p>
    <w:p w14:paraId="7FC72EB5">
      <w:pPr>
        <w:topLinePunct/>
        <w:autoSpaceDE w:val="0"/>
        <w:autoSpaceDN w:val="0"/>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3.合格的供应商</w:t>
      </w:r>
    </w:p>
    <w:p w14:paraId="697603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3.1一般规定</w:t>
      </w:r>
    </w:p>
    <w:p w14:paraId="0436EEA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3.1.1供应商应有关法律、法规和规章的强制性规定。</w:t>
      </w:r>
    </w:p>
    <w:p w14:paraId="2C95E9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3.1.2供应商的资格要求及本项目的特定资格要求见</w:t>
      </w:r>
      <w:r>
        <w:rPr>
          <w:rFonts w:hint="eastAsia" w:ascii="宋体" w:hAnsi="宋体" w:cs="宋体"/>
          <w:b/>
          <w:bCs/>
          <w:color w:val="auto"/>
          <w:highlight w:val="none"/>
        </w:rPr>
        <w:t>供应商须知前附</w:t>
      </w:r>
      <w:r>
        <w:rPr>
          <w:rFonts w:hint="eastAsia" w:ascii="宋体" w:hAnsi="宋体" w:cs="宋体"/>
          <w:color w:val="auto"/>
          <w:highlight w:val="none"/>
        </w:rPr>
        <w:t>表。</w:t>
      </w:r>
    </w:p>
    <w:p w14:paraId="2B2ABBD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3.1.3资格条件中所称“重大违法记录”，是指供应商因违法经营受到刑事处罚或者责令停产停业、吊销许可证或者执照、较大数额罚款等行政处罚。</w:t>
      </w:r>
    </w:p>
    <w:p w14:paraId="730426D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“较大数额罚款”认定为200万元以上的罚款，法律、行政法规以及国务院有关部门明确规定相关领域“较大数额罚款”标准高于200万元的，从其规定。</w:t>
      </w:r>
    </w:p>
    <w:p w14:paraId="5C3EE3E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3.1.4信用记录要求</w:t>
      </w:r>
    </w:p>
    <w:p w14:paraId="5F439FB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磋商小组将通过“信用中国”网站（www.creditchina.gov.cn）、中国政府采购网（www.ccgp.gov.cn）等渠道查询供应商的信用记录，并对供应商信用记录进行甄别，对列入失信被执行人、重大税收违法案件当事人名单、政府采购严重违法失信行为记录名单及其他不符合《中华人民共和国政府采购法》第二十二条规定条件的供应商，应当拒绝其参与本项目采购活动。</w:t>
      </w:r>
    </w:p>
    <w:p w14:paraId="7D6512E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41A689F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3.2联合体</w:t>
      </w:r>
    </w:p>
    <w:p w14:paraId="54B236A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3.2.1若本项目接受联合体，则两个以上的自然人、法人或者其他组织可以组成一个联合体，以一个供应商的身份共同参加采购活动。</w:t>
      </w:r>
    </w:p>
    <w:p w14:paraId="27F84D0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3.2.2以联合体形式参加磋商的，联合体各方应按第二章要求提供资格条件材料。</w:t>
      </w:r>
    </w:p>
    <w:p w14:paraId="4B947D7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3.2.3联合体中有同类资质的供应商按照联合体分工承担相同工作的，应当按照资质等级较低的供应商确定资质等级。</w:t>
      </w:r>
    </w:p>
    <w:p w14:paraId="27AFCE9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3.2.4联合体应当提交联合协议，载明联合体各方承担的工作和义务。</w:t>
      </w:r>
    </w:p>
    <w:p w14:paraId="13DB0B2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3.2.5联合体各方应当共同与采购人签订采购合同，就采购合同约定的事项对采购人承担连带责任。</w:t>
      </w:r>
    </w:p>
    <w:p w14:paraId="5BD2523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3.2.6以联合体形式参加本项目采购活动的，联合体各方不得再单独参加或者与其他供应商另外组成联合体参加同一合同项下的采购活动。</w:t>
      </w:r>
    </w:p>
    <w:p w14:paraId="1EA5B2B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3.3禁止规定</w:t>
      </w:r>
    </w:p>
    <w:p w14:paraId="0A814B2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3.3.1单位负责人为同一人或者存在直接控股、管理关系的不同供应商，不得参加同一采购包的采购活动。否则响应均无效。</w:t>
      </w:r>
    </w:p>
    <w:p w14:paraId="66773C0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3.3.2除单一来源采购项目外，为采购项目提供整体设计、规范编制或者项目管理、监理、检测等服务的供应商，不得再参加该采购项目的其他采购活动。否则响应无效。</w:t>
      </w:r>
    </w:p>
    <w:p w14:paraId="57A0B69B">
      <w:pPr>
        <w:topLinePunct/>
        <w:autoSpaceDE w:val="0"/>
        <w:autoSpaceDN w:val="0"/>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4.磋商响应费用</w:t>
      </w:r>
    </w:p>
    <w:p w14:paraId="161C333B">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4.1供应商应承担所有与编写、提交响应文件有关的费用，不论磋商的结果如何，采购人在任何情况下均无义务和责任承担这些费用。</w:t>
      </w:r>
    </w:p>
    <w:p w14:paraId="06F11012">
      <w:pPr>
        <w:pStyle w:val="4"/>
        <w:ind w:firstLine="422" w:firstLineChars="200"/>
        <w:rPr>
          <w:rFonts w:ascii="宋体" w:hAnsi="宋体" w:eastAsia="宋体" w:cs="宋体"/>
          <w:color w:val="auto"/>
          <w:sz w:val="21"/>
          <w:szCs w:val="21"/>
          <w:highlight w:val="none"/>
        </w:rPr>
      </w:pPr>
      <w:bookmarkStart w:id="8" w:name="_Toc23415"/>
      <w:bookmarkStart w:id="9" w:name="_Toc5691"/>
      <w:bookmarkStart w:id="10" w:name="_Toc11006"/>
      <w:r>
        <w:rPr>
          <w:rFonts w:hint="eastAsia" w:ascii="宋体" w:hAnsi="宋体" w:eastAsia="宋体" w:cs="宋体"/>
          <w:color w:val="auto"/>
          <w:sz w:val="21"/>
          <w:szCs w:val="21"/>
          <w:highlight w:val="none"/>
        </w:rPr>
        <w:t>二、磋商文件</w:t>
      </w:r>
      <w:bookmarkEnd w:id="8"/>
      <w:bookmarkEnd w:id="9"/>
      <w:bookmarkEnd w:id="10"/>
    </w:p>
    <w:p w14:paraId="5DFA4EA7">
      <w:pPr>
        <w:topLinePunct/>
        <w:autoSpaceDE w:val="0"/>
        <w:autoSpaceDN w:val="0"/>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5.磋商文件构成</w:t>
      </w:r>
    </w:p>
    <w:p w14:paraId="346E4E02">
      <w:pPr>
        <w:topLinePunct/>
        <w:autoSpaceDE w:val="0"/>
        <w:autoSpaceDN w:val="0"/>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第一部分 商务部分</w:t>
      </w:r>
    </w:p>
    <w:p w14:paraId="66684C37">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（1）磋商邀请</w:t>
      </w:r>
    </w:p>
    <w:p w14:paraId="236D78AE">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（2）供应商须知</w:t>
      </w:r>
    </w:p>
    <w:p w14:paraId="16E80486">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（3）评审方法及标准</w:t>
      </w:r>
    </w:p>
    <w:p w14:paraId="5B887279">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（4）采购合同文本</w:t>
      </w:r>
    </w:p>
    <w:p w14:paraId="52BEC787">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（5）响应文件格式</w:t>
      </w:r>
    </w:p>
    <w:p w14:paraId="56B46B3F">
      <w:pPr>
        <w:topLinePunct/>
        <w:autoSpaceDE w:val="0"/>
        <w:autoSpaceDN w:val="0"/>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第二部分 技术部分</w:t>
      </w:r>
    </w:p>
    <w:p w14:paraId="7625B7D7">
      <w:pPr>
        <w:topLinePunct/>
        <w:autoSpaceDE w:val="0"/>
        <w:autoSpaceDN w:val="0"/>
        <w:adjustRightInd w:val="0"/>
        <w:snapToGrid w:val="0"/>
        <w:spacing w:line="360" w:lineRule="auto"/>
        <w:ind w:firstLine="420" w:firstLineChars="200"/>
        <w:rPr>
          <w:rFonts w:ascii="宋体" w:hAnsi="宋体" w:cs="宋体"/>
          <w:b/>
          <w:color w:val="auto"/>
          <w:szCs w:val="21"/>
          <w:highlight w:val="none"/>
        </w:rPr>
      </w:pPr>
      <w:r>
        <w:rPr>
          <w:rStyle w:val="26"/>
          <w:rFonts w:hint="eastAsia" w:ascii="宋体" w:hAnsi="宋体" w:cs="宋体"/>
          <w:color w:val="auto"/>
          <w:szCs w:val="21"/>
          <w:highlight w:val="none"/>
          <w:u w:val="none"/>
        </w:rPr>
        <w:t>（6）项目采购需求</w:t>
      </w:r>
    </w:p>
    <w:p w14:paraId="3CA78024">
      <w:pPr>
        <w:topLinePunct/>
        <w:autoSpaceDE w:val="0"/>
        <w:autoSpaceDN w:val="0"/>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6.磋商文件询问、澄清或修改</w:t>
      </w:r>
    </w:p>
    <w:p w14:paraId="014C5DB3">
      <w:pPr>
        <w:widowControl/>
        <w:topLinePunct/>
        <w:autoSpaceDE w:val="0"/>
        <w:autoSpaceDN w:val="0"/>
        <w:adjustRightInd w:val="0"/>
        <w:snapToGrid w:val="0"/>
        <w:spacing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6.1供应商对磋商文件如有疑问的，可以向采购人或者采购代理机构提出询问，采购人或者采购代理机构应当在3个工作日内作出答复</w:t>
      </w:r>
      <w:r>
        <w:rPr>
          <w:rFonts w:hint="eastAsia" w:ascii="宋体" w:hAnsi="宋体" w:cs="宋体"/>
          <w:bCs/>
          <w:color w:val="auto"/>
          <w:szCs w:val="21"/>
          <w:highlight w:val="none"/>
        </w:rPr>
        <w:t>，但答复的内容不得涉及商业秘密。</w:t>
      </w:r>
      <w:r>
        <w:rPr>
          <w:rFonts w:hint="eastAsia" w:ascii="宋体" w:hAnsi="宋体" w:cs="宋体"/>
          <w:color w:val="auto"/>
          <w:szCs w:val="21"/>
          <w:highlight w:val="none"/>
        </w:rPr>
        <w:t>如有必要，采购人或者采购代理机构可对磋商文件进行澄清或者修改。</w:t>
      </w:r>
    </w:p>
    <w:p w14:paraId="776BAC0E">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6.2提交首次响应文件截止之日前，采购人、采购代理机构或者磋商小组可以对已发出的磋商文件进行必要的澄清或者修改。</w:t>
      </w:r>
    </w:p>
    <w:p w14:paraId="7A8C9463">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6.3澄清或者修改将在原公告发布媒体上发布更正公告，并以书面形式通知所有获取磋商文件的供应商。</w:t>
      </w:r>
    </w:p>
    <w:p w14:paraId="077AE946">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6.4澄清或者修改的内容可能影响响应文件编制的，采购人、采购代理机构应当在提交首次响应文件截止时间至少</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日前，以书面形式通知所有获取磋商文件的供应商；不足</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日的，采购人、采购代理机构应当顺延提交首次响应文件截止时间。</w:t>
      </w:r>
    </w:p>
    <w:p w14:paraId="04353C24">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6.5澄清或者修改的内容作为磋商文件的组成部分。</w:t>
      </w:r>
    </w:p>
    <w:p w14:paraId="5780A59F">
      <w:pPr>
        <w:pStyle w:val="4"/>
        <w:ind w:firstLine="422" w:firstLineChars="200"/>
        <w:rPr>
          <w:rFonts w:ascii="宋体" w:hAnsi="宋体" w:eastAsia="宋体" w:cs="宋体"/>
          <w:color w:val="auto"/>
          <w:sz w:val="21"/>
          <w:szCs w:val="21"/>
          <w:highlight w:val="none"/>
        </w:rPr>
      </w:pPr>
      <w:bookmarkStart w:id="11" w:name="_Toc26597"/>
      <w:bookmarkStart w:id="12" w:name="_Toc25318"/>
      <w:bookmarkStart w:id="13" w:name="_Toc7676"/>
      <w:r>
        <w:rPr>
          <w:rFonts w:hint="eastAsia" w:ascii="宋体" w:hAnsi="宋体" w:eastAsia="宋体" w:cs="宋体"/>
          <w:color w:val="auto"/>
          <w:sz w:val="21"/>
          <w:szCs w:val="21"/>
          <w:highlight w:val="none"/>
        </w:rPr>
        <w:t>三、响应文件</w:t>
      </w:r>
      <w:bookmarkEnd w:id="11"/>
      <w:bookmarkEnd w:id="12"/>
      <w:bookmarkEnd w:id="13"/>
    </w:p>
    <w:p w14:paraId="0B55F198">
      <w:pPr>
        <w:topLinePunct/>
        <w:autoSpaceDE w:val="0"/>
        <w:autoSpaceDN w:val="0"/>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w:t>
      </w:r>
      <w:r>
        <w:rPr>
          <w:rFonts w:hint="eastAsia" w:ascii="宋体" w:hAnsi="宋体" w:cs="宋体"/>
          <w:color w:val="auto"/>
          <w:szCs w:val="21"/>
          <w:highlight w:val="none"/>
        </w:rPr>
        <w:t>．</w:t>
      </w:r>
      <w:r>
        <w:rPr>
          <w:rFonts w:hint="eastAsia" w:ascii="宋体" w:hAnsi="宋体" w:cs="宋体"/>
          <w:b/>
          <w:color w:val="auto"/>
          <w:szCs w:val="21"/>
          <w:highlight w:val="none"/>
        </w:rPr>
        <w:t>响应文件编制</w:t>
      </w:r>
    </w:p>
    <w:p w14:paraId="5B3217D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7.1响应文件的编制</w:t>
      </w:r>
    </w:p>
    <w:p w14:paraId="70C593D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7.1.1供应商应先仔细阅读</w:t>
      </w:r>
      <w:r>
        <w:rPr>
          <w:rFonts w:hint="eastAsia" w:ascii="宋体" w:hAnsi="宋体" w:cs="宋体"/>
          <w:color w:val="auto"/>
          <w:szCs w:val="21"/>
          <w:highlight w:val="none"/>
        </w:rPr>
        <w:t>磋商</w:t>
      </w:r>
      <w:r>
        <w:rPr>
          <w:rFonts w:hint="eastAsia" w:ascii="宋体" w:hAnsi="宋体" w:cs="宋体"/>
          <w:color w:val="auto"/>
          <w:highlight w:val="none"/>
        </w:rPr>
        <w:t>文件的全部内容后，再进行响应文件的编制。</w:t>
      </w:r>
    </w:p>
    <w:p w14:paraId="3911EF2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7.1.2响应文件应满足</w:t>
      </w:r>
      <w:r>
        <w:rPr>
          <w:rFonts w:hint="eastAsia" w:ascii="宋体" w:hAnsi="宋体" w:cs="宋体"/>
          <w:color w:val="auto"/>
          <w:szCs w:val="21"/>
          <w:highlight w:val="none"/>
        </w:rPr>
        <w:t>磋商</w:t>
      </w:r>
      <w:r>
        <w:rPr>
          <w:rFonts w:hint="eastAsia" w:ascii="宋体" w:hAnsi="宋体" w:cs="宋体"/>
          <w:color w:val="auto"/>
          <w:highlight w:val="none"/>
        </w:rPr>
        <w:t>文件提出的实质性要求和条件，并保证其所提交的全部资料是不可割离且真实、有效、准确、完整和不具有任何误导性的，否则造成的不利后果由供应商承担责任。</w:t>
      </w:r>
    </w:p>
    <w:p w14:paraId="09F3F68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7.2响应文件的语言</w:t>
      </w:r>
    </w:p>
    <w:p w14:paraId="2542AF8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7.2.1除</w:t>
      </w:r>
      <w:r>
        <w:rPr>
          <w:rFonts w:hint="eastAsia" w:ascii="宋体" w:hAnsi="宋体" w:cs="宋体"/>
          <w:color w:val="auto"/>
          <w:szCs w:val="21"/>
          <w:highlight w:val="none"/>
        </w:rPr>
        <w:t>磋商</w:t>
      </w:r>
      <w:r>
        <w:rPr>
          <w:rFonts w:hint="eastAsia" w:ascii="宋体" w:hAnsi="宋体" w:cs="宋体"/>
          <w:color w:val="auto"/>
          <w:highlight w:val="none"/>
        </w:rPr>
        <w:t>文件另有规定外，响应文件应使用中文文本并使用中文简化字，若有不同文本，以中文简化字文本为准。</w:t>
      </w:r>
    </w:p>
    <w:p w14:paraId="0C98304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7.2.2响应文件提供的全部资料中，若属于非中文描述的，应同时提供中文简化字译本。</w:t>
      </w:r>
    </w:p>
    <w:p w14:paraId="26D8210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7.2.3除在</w:t>
      </w:r>
      <w:r>
        <w:rPr>
          <w:rFonts w:hint="eastAsia" w:ascii="宋体" w:hAnsi="宋体" w:cs="宋体"/>
          <w:color w:val="auto"/>
          <w:szCs w:val="21"/>
          <w:highlight w:val="none"/>
        </w:rPr>
        <w:t>磋商</w:t>
      </w:r>
      <w:r>
        <w:rPr>
          <w:rFonts w:hint="eastAsia" w:ascii="宋体" w:hAnsi="宋体" w:cs="宋体"/>
          <w:color w:val="auto"/>
          <w:highlight w:val="none"/>
        </w:rPr>
        <w:t>文件的要求中另有规定外，响应文件计量单位应使用中华人民共和国法定计量单位。</w:t>
      </w:r>
    </w:p>
    <w:p w14:paraId="7BE03D1D">
      <w:pPr>
        <w:topLinePunct/>
        <w:autoSpaceDE w:val="0"/>
        <w:autoSpaceDN w:val="0"/>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8.响应文件的组成</w:t>
      </w:r>
    </w:p>
    <w:p w14:paraId="36B2144E">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 响应文件包括商务部分和技术部分。</w:t>
      </w:r>
    </w:p>
    <w:p w14:paraId="315A7A4B">
      <w:pPr>
        <w:topLinePunct/>
        <w:autoSpaceDE w:val="0"/>
        <w:autoSpaceDN w:val="0"/>
        <w:adjustRightInd w:val="0"/>
        <w:snapToGrid w:val="0"/>
        <w:spacing w:line="360" w:lineRule="auto"/>
        <w:ind w:firstLine="428" w:firstLineChars="204"/>
        <w:rPr>
          <w:rFonts w:ascii="宋体" w:hAnsi="宋体" w:cs="宋体"/>
          <w:color w:val="auto"/>
          <w:szCs w:val="21"/>
          <w:highlight w:val="none"/>
        </w:rPr>
      </w:pPr>
      <w:r>
        <w:rPr>
          <w:rFonts w:hint="eastAsia" w:ascii="宋体" w:hAnsi="宋体" w:cs="宋体"/>
          <w:color w:val="auto"/>
          <w:szCs w:val="21"/>
          <w:highlight w:val="none"/>
        </w:rPr>
        <w:t>8.2 响应文件</w:t>
      </w:r>
      <w:r>
        <w:rPr>
          <w:rFonts w:hint="eastAsia" w:ascii="宋体" w:hAnsi="宋体" w:cs="宋体"/>
          <w:b/>
          <w:bCs/>
          <w:color w:val="auto"/>
          <w:szCs w:val="21"/>
          <w:highlight w:val="none"/>
        </w:rPr>
        <w:t>商务部分</w:t>
      </w:r>
      <w:r>
        <w:rPr>
          <w:rFonts w:hint="eastAsia" w:ascii="宋体" w:hAnsi="宋体" w:cs="宋体"/>
          <w:color w:val="auto"/>
          <w:szCs w:val="21"/>
          <w:highlight w:val="none"/>
        </w:rPr>
        <w:t>主要包括的文件和资料：</w:t>
      </w:r>
    </w:p>
    <w:p w14:paraId="7A8265FB">
      <w:pPr>
        <w:topLinePunct/>
        <w:autoSpaceDE w:val="0"/>
        <w:autoSpaceDN w:val="0"/>
        <w:adjustRightInd w:val="0"/>
        <w:snapToGrid w:val="0"/>
        <w:spacing w:line="360" w:lineRule="auto"/>
        <w:ind w:firstLine="428" w:firstLineChars="204"/>
        <w:rPr>
          <w:rFonts w:ascii="宋体" w:hAnsi="宋体" w:cs="宋体"/>
          <w:color w:val="auto"/>
          <w:szCs w:val="21"/>
          <w:highlight w:val="none"/>
        </w:rPr>
      </w:pPr>
      <w:r>
        <w:rPr>
          <w:rFonts w:hint="eastAsia" w:ascii="宋体" w:hAnsi="宋体" w:cs="宋体"/>
          <w:color w:val="auto"/>
          <w:szCs w:val="21"/>
          <w:highlight w:val="none"/>
        </w:rPr>
        <w:t>8.2.1资格证明文件，见</w:t>
      </w:r>
      <w:r>
        <w:rPr>
          <w:rFonts w:hint="eastAsia" w:ascii="宋体" w:hAnsi="宋体" w:cs="宋体"/>
          <w:b/>
          <w:color w:val="auto"/>
          <w:szCs w:val="21"/>
          <w:highlight w:val="none"/>
        </w:rPr>
        <w:t>供应商须知前附表。</w:t>
      </w:r>
    </w:p>
    <w:p w14:paraId="42935B22">
      <w:pPr>
        <w:overflowPunct w:val="0"/>
        <w:autoSpaceDE w:val="0"/>
        <w:autoSpaceDN w:val="0"/>
        <w:adjustRightInd w:val="0"/>
        <w:snapToGrid w:val="0"/>
        <w:spacing w:line="360" w:lineRule="auto"/>
        <w:ind w:firstLine="426" w:firstLineChars="203"/>
        <w:rPr>
          <w:rFonts w:ascii="宋体" w:hAnsi="宋体" w:cs="宋体"/>
          <w:color w:val="auto"/>
          <w:szCs w:val="21"/>
          <w:highlight w:val="none"/>
        </w:rPr>
      </w:pPr>
      <w:r>
        <w:rPr>
          <w:rFonts w:hint="eastAsia" w:ascii="宋体" w:hAnsi="宋体" w:cs="宋体"/>
          <w:color w:val="auto"/>
          <w:szCs w:val="21"/>
          <w:highlight w:val="none"/>
        </w:rPr>
        <w:t>8.2.2其他文件及资料，见</w:t>
      </w:r>
      <w:r>
        <w:rPr>
          <w:rFonts w:hint="eastAsia" w:ascii="宋体" w:hAnsi="宋体" w:cs="宋体"/>
          <w:b/>
          <w:color w:val="auto"/>
          <w:szCs w:val="21"/>
          <w:highlight w:val="none"/>
        </w:rPr>
        <w:t>供应商须知前附表。</w:t>
      </w:r>
    </w:p>
    <w:p w14:paraId="4F535CDA">
      <w:pPr>
        <w:overflowPunct w:val="0"/>
        <w:autoSpaceDE w:val="0"/>
        <w:autoSpaceDN w:val="0"/>
        <w:adjustRightInd w:val="0"/>
        <w:snapToGrid w:val="0"/>
        <w:spacing w:line="360" w:lineRule="auto"/>
        <w:ind w:firstLine="426" w:firstLineChars="203"/>
        <w:rPr>
          <w:rFonts w:ascii="宋体" w:hAnsi="宋体" w:cs="宋体"/>
          <w:color w:val="auto"/>
          <w:szCs w:val="21"/>
          <w:highlight w:val="none"/>
        </w:rPr>
      </w:pPr>
      <w:r>
        <w:rPr>
          <w:rFonts w:hint="eastAsia" w:ascii="宋体" w:hAnsi="宋体" w:cs="宋体"/>
          <w:color w:val="auto"/>
          <w:szCs w:val="21"/>
          <w:highlight w:val="none"/>
        </w:rPr>
        <w:t>8.3 响应文件</w:t>
      </w:r>
      <w:r>
        <w:rPr>
          <w:rFonts w:hint="eastAsia" w:ascii="宋体" w:hAnsi="宋体" w:cs="宋体"/>
          <w:b/>
          <w:bCs/>
          <w:color w:val="auto"/>
          <w:szCs w:val="21"/>
          <w:highlight w:val="none"/>
        </w:rPr>
        <w:t>技术部分</w:t>
      </w:r>
      <w:r>
        <w:rPr>
          <w:rFonts w:hint="eastAsia" w:ascii="宋体" w:hAnsi="宋体" w:cs="宋体"/>
          <w:color w:val="auto"/>
          <w:szCs w:val="21"/>
          <w:highlight w:val="none"/>
        </w:rPr>
        <w:t>主要包括的文件及资料，见</w:t>
      </w:r>
      <w:r>
        <w:rPr>
          <w:rFonts w:hint="eastAsia" w:ascii="宋体" w:hAnsi="宋体" w:cs="宋体"/>
          <w:b/>
          <w:color w:val="auto"/>
          <w:szCs w:val="21"/>
          <w:highlight w:val="none"/>
        </w:rPr>
        <w:t>供应商须知前附表。</w:t>
      </w:r>
    </w:p>
    <w:p w14:paraId="6BFF34D6">
      <w:pPr>
        <w:overflowPunct w:val="0"/>
        <w:autoSpaceDE w:val="0"/>
        <w:autoSpaceDN w:val="0"/>
        <w:adjustRightInd w:val="0"/>
        <w:snapToGrid w:val="0"/>
        <w:spacing w:line="360" w:lineRule="auto"/>
        <w:ind w:firstLine="426" w:firstLineChars="203"/>
        <w:rPr>
          <w:rFonts w:ascii="宋体" w:hAnsi="宋体" w:cs="宋体"/>
          <w:color w:val="auto"/>
          <w:szCs w:val="21"/>
          <w:highlight w:val="none"/>
        </w:rPr>
      </w:pPr>
      <w:r>
        <w:rPr>
          <w:rFonts w:hint="eastAsia" w:ascii="宋体" w:hAnsi="宋体" w:cs="宋体"/>
          <w:color w:val="auto"/>
          <w:szCs w:val="21"/>
          <w:highlight w:val="none"/>
        </w:rPr>
        <w:t>8.4 证明资料如标明有效期的，必须在有效期内。</w:t>
      </w:r>
    </w:p>
    <w:p w14:paraId="0DF570D8">
      <w:pPr>
        <w:topLinePunct/>
        <w:autoSpaceDE w:val="0"/>
        <w:autoSpaceDN w:val="0"/>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9.报价要求</w:t>
      </w:r>
    </w:p>
    <w:p w14:paraId="17F42F50">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9.1除磋商文件另有规定外，以人民币结算。</w:t>
      </w:r>
    </w:p>
    <w:p w14:paraId="01C8FE67">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9.2本项目不接受任何形式的赠送、“零”报价和折扣报价。</w:t>
      </w:r>
    </w:p>
    <w:p w14:paraId="0995F181">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9.3本项目以磋商总报价为依据计算价格分。磋商总报价应包括磋商文件中要求供应商承担所有工作内容的全部费用。</w:t>
      </w:r>
    </w:p>
    <w:p w14:paraId="7AFF4343">
      <w:pPr>
        <w:keepNext w:val="0"/>
        <w:keepLines w:val="0"/>
        <w:widowControl/>
        <w:suppressLineNumbers w:val="0"/>
        <w:pBdr>
          <w:top w:val="none" w:color="auto" w:sz="0" w:space="0"/>
          <w:left w:val="none" w:color="auto" w:sz="0" w:space="0"/>
          <w:bottom w:val="none" w:color="auto" w:sz="0" w:space="0"/>
          <w:right w:val="none" w:color="auto" w:sz="0" w:space="0"/>
        </w:pBdr>
        <w:shd w:val="clear"/>
        <w:topLinePunct/>
        <w:adjustRightInd w:val="0"/>
        <w:snapToGrid w:val="0"/>
        <w:spacing w:before="60" w:beforeAutospacing="0" w:after="60" w:afterAutospacing="0" w:line="360" w:lineRule="auto"/>
        <w:ind w:left="0" w:right="0" w:firstLine="420" w:firstLineChars="200"/>
        <w:jc w:val="both"/>
        <w:textAlignment w:val="auto"/>
        <w:outlineLvl w:val="1"/>
        <w:rPr>
          <w:rFonts w:hint="eastAsia" w:ascii="Calibri" w:hAnsi="Calibri" w:cs="Calibri"/>
          <w:b/>
          <w:bCs/>
          <w:i w:val="0"/>
          <w:iCs w:val="0"/>
          <w:caps w:val="0"/>
          <w:color w:val="auto"/>
          <w:spacing w:val="0"/>
          <w:sz w:val="21"/>
          <w:szCs w:val="21"/>
          <w:highlight w:val="none"/>
        </w:rPr>
      </w:pPr>
      <w:bookmarkStart w:id="14" w:name="_Toc3517"/>
      <w:r>
        <w:rPr>
          <w:rFonts w:hint="eastAsia" w:ascii="宋体" w:hAnsi="宋体" w:cs="宋体"/>
          <w:color w:val="auto"/>
          <w:szCs w:val="21"/>
          <w:highlight w:val="none"/>
        </w:rPr>
        <w:t>9.4</w:t>
      </w:r>
      <w:r>
        <w:rPr>
          <w:rFonts w:hint="eastAsia" w:ascii="宋体" w:hAnsi="宋体" w:cs="宋体"/>
          <w:b/>
          <w:bCs/>
          <w:color w:val="auto"/>
          <w:szCs w:val="21"/>
          <w:highlight w:val="none"/>
          <w:lang w:val="en-US" w:eastAsia="zh-CN"/>
        </w:rPr>
        <w:t>响应报价异常低价审查</w:t>
      </w:r>
      <w:bookmarkEnd w:id="14"/>
    </w:p>
    <w:p w14:paraId="73D582AE">
      <w:pPr>
        <w:keepNext w:val="0"/>
        <w:keepLines w:val="0"/>
        <w:widowControl/>
        <w:suppressLineNumbers w:val="0"/>
        <w:pBdr>
          <w:top w:val="none" w:color="auto" w:sz="0" w:space="0"/>
          <w:left w:val="none" w:color="auto" w:sz="0" w:space="0"/>
          <w:bottom w:val="none" w:color="auto" w:sz="0" w:space="0"/>
          <w:right w:val="none" w:color="auto" w:sz="0" w:space="0"/>
        </w:pBdr>
        <w:shd w:val="clear"/>
        <w:topLinePunct/>
        <w:adjustRightInd w:val="0"/>
        <w:snapToGrid w:val="0"/>
        <w:spacing w:before="60" w:beforeAutospacing="0" w:after="60" w:afterAutospacing="0" w:line="360" w:lineRule="auto"/>
        <w:ind w:left="0" w:right="0" w:firstLine="420" w:firstLineChars="200"/>
        <w:jc w:val="both"/>
        <w:textAlignment w:val="auto"/>
        <w:rPr>
          <w:rFonts w:hint="default" w:ascii="Calibri" w:hAnsi="Calibri" w:cs="Calibri"/>
          <w:i w:val="0"/>
          <w:iCs w:val="0"/>
          <w:caps w:val="0"/>
          <w:color w:val="auto"/>
          <w:spacing w:val="0"/>
          <w:sz w:val="21"/>
          <w:szCs w:val="21"/>
          <w:highlight w:val="none"/>
        </w:rPr>
      </w:pPr>
      <w:r>
        <w:rPr>
          <w:rFonts w:hint="eastAsia" w:ascii="宋体" w:hAnsi="宋体" w:cs="宋体"/>
          <w:i w:val="0"/>
          <w:iCs w:val="0"/>
          <w:caps w:val="0"/>
          <w:color w:val="auto"/>
          <w:spacing w:val="0"/>
          <w:kern w:val="0"/>
          <w:sz w:val="21"/>
          <w:szCs w:val="21"/>
          <w:highlight w:val="none"/>
          <w:shd w:val="clear" w:fill="FFFFFF"/>
          <w:vertAlign w:val="baseline"/>
          <w:lang w:val="en-US" w:eastAsia="zh-CN" w:bidi="ar"/>
        </w:rPr>
        <w:t>9.4.1</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
        </w:rPr>
        <w:t>评审中出现下列情形之一的，磋商小组应当启动异常低价响应审查程序：</w:t>
      </w:r>
    </w:p>
    <w:p w14:paraId="133AFE86">
      <w:pPr>
        <w:keepNext w:val="0"/>
        <w:keepLines w:val="0"/>
        <w:widowControl/>
        <w:suppressLineNumbers w:val="0"/>
        <w:pBdr>
          <w:top w:val="none" w:color="auto" w:sz="0" w:space="0"/>
          <w:left w:val="none" w:color="auto" w:sz="0" w:space="0"/>
          <w:bottom w:val="none" w:color="auto" w:sz="0" w:space="0"/>
          <w:right w:val="none" w:color="auto" w:sz="0" w:space="0"/>
        </w:pBdr>
        <w:shd w:val="clear"/>
        <w:topLinePunct/>
        <w:adjustRightInd w:val="0"/>
        <w:snapToGrid w:val="0"/>
        <w:spacing w:before="60" w:beforeAutospacing="0" w:after="60" w:afterAutospacing="0" w:line="360" w:lineRule="auto"/>
        <w:ind w:left="0" w:right="0" w:firstLine="420" w:firstLineChars="200"/>
        <w:jc w:val="both"/>
        <w:textAlignment w:val="auto"/>
        <w:rPr>
          <w:rFonts w:hint="default" w:ascii="Calibri" w:hAnsi="Calibri" w:cs="Calibri"/>
          <w:i w:val="0"/>
          <w:iCs w:val="0"/>
          <w:caps w:val="0"/>
          <w:color w:val="auto"/>
          <w:spacing w:val="0"/>
          <w:sz w:val="21"/>
          <w:szCs w:val="21"/>
          <w:highlight w:val="none"/>
        </w:rPr>
      </w:pPr>
      <w:r>
        <w:rPr>
          <w:rFonts w:hint="eastAsia" w:ascii="宋体" w:hAnsi="宋体" w:cs="宋体"/>
          <w:i w:val="0"/>
          <w:iCs w:val="0"/>
          <w:caps w:val="0"/>
          <w:color w:val="auto"/>
          <w:spacing w:val="0"/>
          <w:kern w:val="0"/>
          <w:sz w:val="21"/>
          <w:szCs w:val="21"/>
          <w:highlight w:val="none"/>
          <w:shd w:val="clear" w:fill="FFFFFF"/>
          <w:vertAlign w:val="baseline"/>
          <w:lang w:val="en-US" w:eastAsia="zh-CN" w:bidi="ar"/>
        </w:rPr>
        <w:t>(1)</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
        </w:rPr>
        <w:t>响应报价低于全部通过符合性审查供应商响应报价平均值</w:t>
      </w:r>
      <w:r>
        <w:rPr>
          <w:rFonts w:hint="eastAsia" w:ascii="宋体" w:hAnsi="宋体" w:cs="宋体"/>
          <w:i w:val="0"/>
          <w:iCs w:val="0"/>
          <w:caps w:val="0"/>
          <w:color w:val="auto"/>
          <w:spacing w:val="0"/>
          <w:kern w:val="0"/>
          <w:sz w:val="21"/>
          <w:szCs w:val="21"/>
          <w:highlight w:val="none"/>
          <w:u w:val="single"/>
          <w:shd w:val="clear" w:fill="FFFFFF"/>
          <w:vertAlign w:val="baseline"/>
          <w:lang w:val="en-US" w:eastAsia="zh-CN" w:bidi="ar"/>
        </w:rPr>
        <w:t>50</w:t>
      </w:r>
      <w:r>
        <w:rPr>
          <w:rFonts w:hint="eastAsia" w:ascii="宋体" w:hAnsi="宋体" w:cs="宋体"/>
          <w:i w:val="0"/>
          <w:iCs w:val="0"/>
          <w:caps w:val="0"/>
          <w:color w:val="auto"/>
          <w:spacing w:val="0"/>
          <w:kern w:val="0"/>
          <w:sz w:val="21"/>
          <w:szCs w:val="21"/>
          <w:highlight w:val="none"/>
          <w:shd w:val="clear" w:fill="FFFFFF"/>
          <w:vertAlign w:val="baseline"/>
          <w:lang w:val="en-US" w:eastAsia="zh-CN" w:bidi="ar"/>
        </w:rPr>
        <w:t>%</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
        </w:rPr>
        <w:t>的，即响应报价&lt;全部通过符合性审查供应商响应报价平均值×</w:t>
      </w:r>
      <w:r>
        <w:rPr>
          <w:rFonts w:hint="eastAsia" w:ascii="宋体" w:hAnsi="宋体" w:cs="宋体"/>
          <w:i w:val="0"/>
          <w:iCs w:val="0"/>
          <w:caps w:val="0"/>
          <w:color w:val="auto"/>
          <w:spacing w:val="0"/>
          <w:kern w:val="0"/>
          <w:sz w:val="21"/>
          <w:szCs w:val="21"/>
          <w:highlight w:val="none"/>
          <w:u w:val="single"/>
          <w:shd w:val="clear" w:fill="FFFFFF"/>
          <w:vertAlign w:val="baseline"/>
          <w:lang w:val="en-US" w:eastAsia="zh-CN" w:bidi="ar"/>
        </w:rPr>
        <w:t>50</w:t>
      </w:r>
      <w:r>
        <w:rPr>
          <w:rFonts w:hint="eastAsia" w:ascii="宋体" w:hAnsi="宋体" w:cs="宋体"/>
          <w:i w:val="0"/>
          <w:iCs w:val="0"/>
          <w:caps w:val="0"/>
          <w:color w:val="auto"/>
          <w:spacing w:val="0"/>
          <w:kern w:val="0"/>
          <w:sz w:val="21"/>
          <w:szCs w:val="21"/>
          <w:highlight w:val="none"/>
          <w:shd w:val="clear" w:fill="FFFFFF"/>
          <w:vertAlign w:val="baseline"/>
          <w:lang w:val="en-US" w:eastAsia="zh-CN" w:bidi="ar"/>
        </w:rPr>
        <w:t>%</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
        </w:rPr>
        <w:t>；</w:t>
      </w:r>
    </w:p>
    <w:p w14:paraId="1AFB90D8">
      <w:pPr>
        <w:keepNext w:val="0"/>
        <w:keepLines w:val="0"/>
        <w:widowControl/>
        <w:suppressLineNumbers w:val="0"/>
        <w:pBdr>
          <w:top w:val="none" w:color="auto" w:sz="0" w:space="0"/>
          <w:left w:val="none" w:color="auto" w:sz="0" w:space="0"/>
          <w:bottom w:val="none" w:color="auto" w:sz="0" w:space="0"/>
          <w:right w:val="none" w:color="auto" w:sz="0" w:space="0"/>
        </w:pBdr>
        <w:shd w:val="clear"/>
        <w:topLinePunct/>
        <w:adjustRightInd w:val="0"/>
        <w:snapToGrid w:val="0"/>
        <w:spacing w:before="60" w:beforeAutospacing="0" w:after="60" w:afterAutospacing="0" w:line="360" w:lineRule="auto"/>
        <w:ind w:left="0" w:right="0" w:firstLine="420" w:firstLineChars="200"/>
        <w:jc w:val="both"/>
        <w:textAlignment w:val="auto"/>
        <w:rPr>
          <w:rFonts w:hint="default" w:ascii="Calibri" w:hAnsi="Calibri" w:cs="Calibri"/>
          <w:i w:val="0"/>
          <w:iCs w:val="0"/>
          <w:caps w:val="0"/>
          <w:color w:val="auto"/>
          <w:spacing w:val="0"/>
          <w:sz w:val="21"/>
          <w:szCs w:val="21"/>
          <w:highlight w:val="none"/>
        </w:rPr>
      </w:pPr>
      <w:r>
        <w:rPr>
          <w:rFonts w:hint="eastAsia" w:ascii="宋体" w:hAnsi="宋体" w:cs="宋体"/>
          <w:i w:val="0"/>
          <w:iCs w:val="0"/>
          <w:caps w:val="0"/>
          <w:color w:val="auto"/>
          <w:spacing w:val="0"/>
          <w:kern w:val="0"/>
          <w:sz w:val="21"/>
          <w:szCs w:val="21"/>
          <w:highlight w:val="none"/>
          <w:shd w:val="clear" w:fill="FFFFFF"/>
          <w:vertAlign w:val="baseline"/>
          <w:lang w:val="en-US" w:eastAsia="zh-CN" w:bidi="ar"/>
        </w:rPr>
        <w:t>(2)</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
        </w:rPr>
        <w:t>响应报价低于通过符合性审查的次低报价供应商响应报价</w:t>
      </w:r>
      <w:r>
        <w:rPr>
          <w:rFonts w:hint="eastAsia" w:ascii="宋体" w:hAnsi="宋体" w:cs="宋体"/>
          <w:i w:val="0"/>
          <w:iCs w:val="0"/>
          <w:caps w:val="0"/>
          <w:color w:val="auto"/>
          <w:spacing w:val="0"/>
          <w:kern w:val="0"/>
          <w:sz w:val="21"/>
          <w:szCs w:val="21"/>
          <w:highlight w:val="none"/>
          <w:u w:val="single"/>
          <w:shd w:val="clear" w:fill="FFFFFF"/>
          <w:vertAlign w:val="baseline"/>
          <w:lang w:val="en-US" w:eastAsia="zh-CN" w:bidi="ar"/>
        </w:rPr>
        <w:t>50</w:t>
      </w:r>
      <w:r>
        <w:rPr>
          <w:rFonts w:hint="eastAsia" w:ascii="宋体" w:hAnsi="宋体" w:cs="宋体"/>
          <w:i w:val="0"/>
          <w:iCs w:val="0"/>
          <w:caps w:val="0"/>
          <w:color w:val="auto"/>
          <w:spacing w:val="0"/>
          <w:kern w:val="0"/>
          <w:sz w:val="21"/>
          <w:szCs w:val="21"/>
          <w:highlight w:val="none"/>
          <w:shd w:val="clear" w:fill="FFFFFF"/>
          <w:vertAlign w:val="baseline"/>
          <w:lang w:val="en-US" w:eastAsia="zh-CN" w:bidi="ar"/>
        </w:rPr>
        <w:t>%</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
        </w:rPr>
        <w:t>的，即响应报价&lt;通过符合性审查的次低报价供应商响应报价×</w:t>
      </w:r>
      <w:r>
        <w:rPr>
          <w:rFonts w:hint="eastAsia" w:ascii="宋体" w:hAnsi="宋体" w:cs="宋体"/>
          <w:i w:val="0"/>
          <w:iCs w:val="0"/>
          <w:caps w:val="0"/>
          <w:color w:val="auto"/>
          <w:spacing w:val="0"/>
          <w:kern w:val="0"/>
          <w:sz w:val="21"/>
          <w:szCs w:val="21"/>
          <w:highlight w:val="none"/>
          <w:u w:val="single"/>
          <w:shd w:val="clear" w:fill="FFFFFF"/>
          <w:vertAlign w:val="baseline"/>
          <w:lang w:val="en-US" w:eastAsia="zh-CN" w:bidi="ar"/>
        </w:rPr>
        <w:t>50</w:t>
      </w:r>
      <w:r>
        <w:rPr>
          <w:rFonts w:hint="eastAsia" w:ascii="宋体" w:hAnsi="宋体" w:cs="宋体"/>
          <w:i w:val="0"/>
          <w:iCs w:val="0"/>
          <w:caps w:val="0"/>
          <w:color w:val="auto"/>
          <w:spacing w:val="0"/>
          <w:kern w:val="0"/>
          <w:sz w:val="21"/>
          <w:szCs w:val="21"/>
          <w:highlight w:val="none"/>
          <w:shd w:val="clear" w:fill="FFFFFF"/>
          <w:vertAlign w:val="baseline"/>
          <w:lang w:val="en-US" w:eastAsia="zh-CN" w:bidi="ar"/>
        </w:rPr>
        <w:t>%</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
        </w:rPr>
        <w:t>；</w:t>
      </w:r>
    </w:p>
    <w:p w14:paraId="1C2AFF12">
      <w:pPr>
        <w:keepNext w:val="0"/>
        <w:keepLines w:val="0"/>
        <w:widowControl/>
        <w:suppressLineNumbers w:val="0"/>
        <w:pBdr>
          <w:top w:val="none" w:color="auto" w:sz="0" w:space="0"/>
          <w:left w:val="none" w:color="auto" w:sz="0" w:space="0"/>
          <w:bottom w:val="none" w:color="auto" w:sz="0" w:space="0"/>
          <w:right w:val="none" w:color="auto" w:sz="0" w:space="0"/>
        </w:pBdr>
        <w:shd w:val="clear"/>
        <w:topLinePunct/>
        <w:adjustRightInd w:val="0"/>
        <w:snapToGrid w:val="0"/>
        <w:spacing w:before="60" w:beforeAutospacing="0" w:after="60" w:afterAutospacing="0" w:line="360" w:lineRule="auto"/>
        <w:ind w:left="0" w:right="0" w:firstLine="420" w:firstLineChars="200"/>
        <w:jc w:val="both"/>
        <w:textAlignment w:val="auto"/>
        <w:rPr>
          <w:rFonts w:hint="default" w:ascii="Calibri" w:hAnsi="Calibri" w:cs="Calibri"/>
          <w:i w:val="0"/>
          <w:iCs w:val="0"/>
          <w:caps w:val="0"/>
          <w:color w:val="auto"/>
          <w:spacing w:val="0"/>
          <w:sz w:val="21"/>
          <w:szCs w:val="21"/>
          <w:highlight w:val="none"/>
        </w:rPr>
      </w:pPr>
      <w:r>
        <w:rPr>
          <w:rFonts w:hint="eastAsia" w:ascii="宋体" w:hAnsi="宋体" w:cs="宋体"/>
          <w:i w:val="0"/>
          <w:iCs w:val="0"/>
          <w:caps w:val="0"/>
          <w:color w:val="auto"/>
          <w:spacing w:val="0"/>
          <w:kern w:val="0"/>
          <w:sz w:val="21"/>
          <w:szCs w:val="21"/>
          <w:highlight w:val="none"/>
          <w:shd w:val="clear" w:fill="FFFFFF"/>
          <w:vertAlign w:val="baseline"/>
          <w:lang w:val="en-US" w:eastAsia="zh-CN" w:bidi="ar"/>
        </w:rPr>
        <w:t>(3)</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
        </w:rPr>
        <w:t>响应报价低于采购项目最高限价</w:t>
      </w:r>
      <w:r>
        <w:rPr>
          <w:rFonts w:hint="eastAsia" w:ascii="宋体" w:hAnsi="宋体" w:cs="宋体"/>
          <w:i w:val="0"/>
          <w:iCs w:val="0"/>
          <w:caps w:val="0"/>
          <w:color w:val="auto"/>
          <w:spacing w:val="0"/>
          <w:kern w:val="0"/>
          <w:sz w:val="21"/>
          <w:szCs w:val="21"/>
          <w:highlight w:val="none"/>
          <w:u w:val="single"/>
          <w:shd w:val="clear" w:fill="FFFFFF"/>
          <w:vertAlign w:val="baseline"/>
          <w:lang w:val="en-US" w:eastAsia="zh-CN" w:bidi="ar"/>
        </w:rPr>
        <w:t>45</w:t>
      </w:r>
      <w:r>
        <w:rPr>
          <w:rFonts w:hint="eastAsia" w:ascii="宋体" w:hAnsi="宋体" w:cs="宋体"/>
          <w:i w:val="0"/>
          <w:iCs w:val="0"/>
          <w:caps w:val="0"/>
          <w:color w:val="auto"/>
          <w:spacing w:val="0"/>
          <w:kern w:val="0"/>
          <w:sz w:val="21"/>
          <w:szCs w:val="21"/>
          <w:highlight w:val="none"/>
          <w:shd w:val="clear" w:fill="FFFFFF"/>
          <w:vertAlign w:val="baseline"/>
          <w:lang w:val="en-US" w:eastAsia="zh-CN" w:bidi="ar"/>
        </w:rPr>
        <w:t>%</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
        </w:rPr>
        <w:t>的，即响应报价&lt;采购项目最高限价×</w:t>
      </w:r>
      <w:r>
        <w:rPr>
          <w:rFonts w:hint="eastAsia" w:ascii="宋体" w:hAnsi="宋体" w:cs="宋体"/>
          <w:i w:val="0"/>
          <w:iCs w:val="0"/>
          <w:caps w:val="0"/>
          <w:color w:val="auto"/>
          <w:spacing w:val="0"/>
          <w:kern w:val="0"/>
          <w:sz w:val="21"/>
          <w:szCs w:val="21"/>
          <w:highlight w:val="none"/>
          <w:u w:val="single"/>
          <w:shd w:val="clear" w:fill="FFFFFF"/>
          <w:vertAlign w:val="baseline"/>
          <w:lang w:val="en-US" w:eastAsia="zh-CN" w:bidi="ar"/>
        </w:rPr>
        <w:t>45</w:t>
      </w:r>
      <w:r>
        <w:rPr>
          <w:rFonts w:hint="eastAsia" w:ascii="宋体" w:hAnsi="宋体" w:cs="宋体"/>
          <w:i w:val="0"/>
          <w:iCs w:val="0"/>
          <w:caps w:val="0"/>
          <w:color w:val="auto"/>
          <w:spacing w:val="0"/>
          <w:kern w:val="0"/>
          <w:sz w:val="21"/>
          <w:szCs w:val="21"/>
          <w:highlight w:val="none"/>
          <w:shd w:val="clear" w:fill="FFFFFF"/>
          <w:vertAlign w:val="baseline"/>
          <w:lang w:val="en-US" w:eastAsia="zh-CN" w:bidi="ar"/>
        </w:rPr>
        <w:t>%</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
        </w:rPr>
        <w:t>；</w:t>
      </w:r>
    </w:p>
    <w:p w14:paraId="6BF88B83">
      <w:pPr>
        <w:keepNext w:val="0"/>
        <w:keepLines w:val="0"/>
        <w:widowControl/>
        <w:suppressLineNumbers w:val="0"/>
        <w:pBdr>
          <w:top w:val="none" w:color="auto" w:sz="0" w:space="0"/>
          <w:left w:val="none" w:color="auto" w:sz="0" w:space="0"/>
          <w:bottom w:val="none" w:color="auto" w:sz="0" w:space="0"/>
          <w:right w:val="none" w:color="auto" w:sz="0" w:space="0"/>
        </w:pBdr>
        <w:shd w:val="clear"/>
        <w:topLinePunct/>
        <w:adjustRightInd w:val="0"/>
        <w:snapToGrid w:val="0"/>
        <w:spacing w:before="60" w:beforeAutospacing="0" w:after="60" w:afterAutospacing="0" w:line="360" w:lineRule="auto"/>
        <w:ind w:left="0" w:right="0" w:firstLine="420" w:firstLineChars="200"/>
        <w:jc w:val="both"/>
        <w:textAlignment w:val="auto"/>
        <w:rPr>
          <w:rFonts w:hint="default" w:ascii="Calibri" w:hAnsi="Calibri" w:cs="Calibri"/>
          <w:i w:val="0"/>
          <w:iCs w:val="0"/>
          <w:caps w:val="0"/>
          <w:color w:val="auto"/>
          <w:spacing w:val="0"/>
          <w:sz w:val="21"/>
          <w:szCs w:val="21"/>
          <w:highlight w:val="none"/>
        </w:rPr>
      </w:pPr>
      <w:r>
        <w:rPr>
          <w:rFonts w:hint="eastAsia" w:ascii="宋体" w:hAnsi="宋体" w:cs="宋体"/>
          <w:i w:val="0"/>
          <w:iCs w:val="0"/>
          <w:caps w:val="0"/>
          <w:color w:val="auto"/>
          <w:spacing w:val="0"/>
          <w:kern w:val="0"/>
          <w:sz w:val="21"/>
          <w:szCs w:val="21"/>
          <w:highlight w:val="none"/>
          <w:shd w:val="clear" w:fill="FFFFFF"/>
          <w:vertAlign w:val="baseline"/>
          <w:lang w:val="en-US" w:eastAsia="zh-CN" w:bidi="ar"/>
        </w:rPr>
        <w:t>(4)磋商小组</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
        </w:rPr>
        <w:t>基于专业判断，认为供应商报价过低，有可能影响产品质量或者不能诚信履约的其他情形。</w:t>
      </w:r>
    </w:p>
    <w:p w14:paraId="17F4B6DC">
      <w:pPr>
        <w:keepNext w:val="0"/>
        <w:keepLines w:val="0"/>
        <w:widowControl/>
        <w:suppressLineNumbers w:val="0"/>
        <w:pBdr>
          <w:top w:val="none" w:color="auto" w:sz="0" w:space="0"/>
          <w:left w:val="none" w:color="auto" w:sz="0" w:space="0"/>
          <w:bottom w:val="none" w:color="auto" w:sz="0" w:space="0"/>
          <w:right w:val="none" w:color="auto" w:sz="0" w:space="0"/>
        </w:pBdr>
        <w:shd w:val="clear"/>
        <w:topLinePunct/>
        <w:adjustRightInd w:val="0"/>
        <w:snapToGrid w:val="0"/>
        <w:spacing w:before="60" w:beforeAutospacing="0" w:after="60" w:afterAutospacing="0" w:line="360" w:lineRule="auto"/>
        <w:ind w:left="0" w:right="0" w:firstLine="420" w:firstLineChars="200"/>
        <w:jc w:val="both"/>
        <w:textAlignment w:val="auto"/>
        <w:rPr>
          <w:rFonts w:hint="default" w:ascii="Calibri" w:hAnsi="Calibri" w:cs="Calibri"/>
          <w:i w:val="0"/>
          <w:iCs w:val="0"/>
          <w:caps w:val="0"/>
          <w:color w:val="auto"/>
          <w:spacing w:val="0"/>
          <w:sz w:val="21"/>
          <w:szCs w:val="21"/>
          <w:highlight w:val="none"/>
        </w:rPr>
      </w:pPr>
      <w:r>
        <w:rPr>
          <w:rFonts w:hint="eastAsia" w:ascii="宋体" w:hAnsi="宋体" w:cs="宋体"/>
          <w:i w:val="0"/>
          <w:iCs w:val="0"/>
          <w:caps w:val="0"/>
          <w:color w:val="auto"/>
          <w:spacing w:val="0"/>
          <w:kern w:val="0"/>
          <w:sz w:val="21"/>
          <w:szCs w:val="21"/>
          <w:highlight w:val="none"/>
          <w:shd w:val="clear" w:fill="FFFFFF"/>
          <w:vertAlign w:val="baseline"/>
          <w:lang w:val="en-US" w:eastAsia="zh-CN" w:bidi="ar"/>
        </w:rPr>
        <w:t>9.4.2磋商小组</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
        </w:rPr>
        <w:t>启动异常低价响应审查后，属于前述第</w:t>
      </w:r>
      <w:r>
        <w:rPr>
          <w:rFonts w:hint="eastAsia" w:ascii="宋体" w:hAnsi="宋体" w:cs="宋体"/>
          <w:i w:val="0"/>
          <w:iCs w:val="0"/>
          <w:caps w:val="0"/>
          <w:color w:val="auto"/>
          <w:spacing w:val="0"/>
          <w:kern w:val="0"/>
          <w:sz w:val="21"/>
          <w:szCs w:val="21"/>
          <w:highlight w:val="none"/>
          <w:shd w:val="clear" w:fill="FFFFFF"/>
          <w:vertAlign w:val="baseline"/>
          <w:lang w:val="en-US" w:eastAsia="zh-CN" w:bidi="ar"/>
        </w:rPr>
        <w:t>（1）</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
        </w:rPr>
        <w:t>项至第</w:t>
      </w:r>
      <w:r>
        <w:rPr>
          <w:rFonts w:hint="eastAsia" w:ascii="宋体" w:hAnsi="宋体" w:cs="宋体"/>
          <w:i w:val="0"/>
          <w:iCs w:val="0"/>
          <w:caps w:val="0"/>
          <w:color w:val="auto"/>
          <w:spacing w:val="0"/>
          <w:kern w:val="0"/>
          <w:sz w:val="21"/>
          <w:szCs w:val="21"/>
          <w:highlight w:val="none"/>
          <w:shd w:val="clear" w:fill="FFFFFF"/>
          <w:vertAlign w:val="baseline"/>
          <w:lang w:val="en-US" w:eastAsia="zh-CN" w:bidi="ar"/>
        </w:rPr>
        <w:t>（4）</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
        </w:rPr>
        <w:t>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cs="宋体"/>
          <w:i w:val="0"/>
          <w:iCs w:val="0"/>
          <w:caps w:val="0"/>
          <w:color w:val="auto"/>
          <w:spacing w:val="0"/>
          <w:kern w:val="0"/>
          <w:sz w:val="21"/>
          <w:szCs w:val="21"/>
          <w:highlight w:val="none"/>
          <w:shd w:val="clear" w:fill="FFFFFF"/>
          <w:vertAlign w:val="baseline"/>
          <w:lang w:val="en-US" w:eastAsia="zh-CN" w:bidi="ar"/>
        </w:rPr>
        <w:t>（3）</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
        </w:rPr>
        <w:t>项情形，供应商已随响应文件一并提交相关书面说明及必要的证明材料的，在评审现场可不再重复提交。</w:t>
      </w:r>
    </w:p>
    <w:p w14:paraId="409B7E49">
      <w:pPr>
        <w:keepNext w:val="0"/>
        <w:keepLines w:val="0"/>
        <w:widowControl/>
        <w:suppressLineNumbers w:val="0"/>
        <w:pBdr>
          <w:top w:val="none" w:color="auto" w:sz="0" w:space="0"/>
          <w:left w:val="none" w:color="auto" w:sz="0" w:space="0"/>
          <w:bottom w:val="none" w:color="auto" w:sz="0" w:space="0"/>
          <w:right w:val="none" w:color="auto" w:sz="0" w:space="0"/>
        </w:pBdr>
        <w:shd w:val="clear"/>
        <w:topLinePunct/>
        <w:adjustRightInd w:val="0"/>
        <w:snapToGrid w:val="0"/>
        <w:spacing w:before="60" w:beforeAutospacing="0" w:after="60" w:afterAutospacing="0" w:line="360" w:lineRule="auto"/>
        <w:ind w:left="0" w:right="0" w:firstLine="420" w:firstLineChars="200"/>
        <w:jc w:val="both"/>
        <w:textAlignment w:val="auto"/>
        <w:rPr>
          <w:rFonts w:hint="default" w:ascii="Calibri" w:hAnsi="Calibri" w:cs="Calibri"/>
          <w:i w:val="0"/>
          <w:iCs w:val="0"/>
          <w:caps w:val="0"/>
          <w:color w:val="auto"/>
          <w:spacing w:val="0"/>
          <w:sz w:val="21"/>
          <w:szCs w:val="21"/>
          <w:highlight w:val="none"/>
        </w:rPr>
      </w:pPr>
      <w:r>
        <w:rPr>
          <w:rFonts w:hint="eastAsia" w:ascii="宋体" w:hAnsi="宋体" w:cs="宋体"/>
          <w:i w:val="0"/>
          <w:iCs w:val="0"/>
          <w:caps w:val="0"/>
          <w:color w:val="auto"/>
          <w:spacing w:val="0"/>
          <w:kern w:val="0"/>
          <w:sz w:val="21"/>
          <w:szCs w:val="21"/>
          <w:highlight w:val="none"/>
          <w:shd w:val="clear" w:fill="FFFFFF"/>
          <w:vertAlign w:val="baseline"/>
          <w:lang w:val="en-US" w:eastAsia="zh-CN" w:bidi="ar"/>
        </w:rPr>
        <w:t>9.4.3磋商小组</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
        </w:rPr>
        <w:t>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w:t>
      </w:r>
      <w:r>
        <w:rPr>
          <w:rFonts w:hint="eastAsia" w:ascii="宋体" w:hAnsi="宋体" w:cs="宋体"/>
          <w:i w:val="0"/>
          <w:iCs w:val="0"/>
          <w:caps w:val="0"/>
          <w:color w:val="auto"/>
          <w:spacing w:val="0"/>
          <w:kern w:val="0"/>
          <w:sz w:val="21"/>
          <w:szCs w:val="21"/>
          <w:highlight w:val="none"/>
          <w:shd w:val="clear" w:fill="FFFFFF"/>
          <w:vertAlign w:val="baseline"/>
          <w:lang w:val="en-US" w:eastAsia="zh-CN" w:bidi="ar"/>
        </w:rPr>
        <w:t>磋商小组</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
        </w:rPr>
        <w:t>应当将其作为无效响应处理。</w:t>
      </w:r>
    </w:p>
    <w:p w14:paraId="558C0AB1">
      <w:pPr>
        <w:keepNext w:val="0"/>
        <w:keepLines w:val="0"/>
        <w:widowControl/>
        <w:suppressLineNumbers w:val="0"/>
        <w:pBdr>
          <w:top w:val="none" w:color="auto" w:sz="0" w:space="0"/>
          <w:left w:val="none" w:color="auto" w:sz="0" w:space="0"/>
          <w:bottom w:val="none" w:color="auto" w:sz="0" w:space="0"/>
          <w:right w:val="none" w:color="auto" w:sz="0" w:space="0"/>
        </w:pBdr>
        <w:shd w:val="clear"/>
        <w:topLinePunct/>
        <w:adjustRightInd w:val="0"/>
        <w:snapToGrid w:val="0"/>
        <w:spacing w:before="60" w:beforeAutospacing="0" w:after="60" w:afterAutospacing="0" w:line="360" w:lineRule="auto"/>
        <w:ind w:left="0" w:right="0" w:firstLine="420" w:firstLineChars="200"/>
        <w:jc w:val="both"/>
        <w:textAlignment w:val="auto"/>
        <w:rPr>
          <w:rFonts w:hint="default" w:ascii="Calibri" w:hAnsi="Calibri" w:cs="Calibri"/>
          <w:i w:val="0"/>
          <w:iCs w:val="0"/>
          <w:caps w:val="0"/>
          <w:color w:val="auto"/>
          <w:spacing w:val="0"/>
          <w:sz w:val="21"/>
          <w:szCs w:val="21"/>
          <w:highlight w:val="none"/>
        </w:rPr>
      </w:pPr>
      <w:r>
        <w:rPr>
          <w:rFonts w:hint="eastAsia" w:ascii="宋体" w:hAnsi="宋体" w:cs="宋体"/>
          <w:i w:val="0"/>
          <w:iCs w:val="0"/>
          <w:caps w:val="0"/>
          <w:color w:val="auto"/>
          <w:spacing w:val="0"/>
          <w:kern w:val="0"/>
          <w:sz w:val="21"/>
          <w:szCs w:val="21"/>
          <w:highlight w:val="none"/>
          <w:shd w:val="clear" w:fill="FFFFFF"/>
          <w:vertAlign w:val="baseline"/>
          <w:lang w:val="en-US" w:eastAsia="zh-CN" w:bidi="ar"/>
        </w:rPr>
        <w:t>9.4.4</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
        </w:rPr>
        <w:t>采购人、采购代理机构应当为</w:t>
      </w:r>
      <w:r>
        <w:rPr>
          <w:rFonts w:hint="eastAsia" w:ascii="宋体" w:hAnsi="宋体" w:cs="宋体"/>
          <w:i w:val="0"/>
          <w:iCs w:val="0"/>
          <w:caps w:val="0"/>
          <w:color w:val="auto"/>
          <w:spacing w:val="0"/>
          <w:kern w:val="0"/>
          <w:sz w:val="21"/>
          <w:szCs w:val="21"/>
          <w:highlight w:val="none"/>
          <w:shd w:val="clear" w:fill="FFFFFF"/>
          <w:vertAlign w:val="baseline"/>
          <w:lang w:val="en-US" w:eastAsia="zh-CN" w:bidi="ar"/>
        </w:rPr>
        <w:t>磋商小组</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
        </w:rPr>
        <w:t>在评审现场及时获取同类项目中标（成交）价格、类似产品市场价格水平、行业人工费用标准、国家有关部门指导行业协会发布的行业平均成本等相关信息资料提供便利。</w:t>
      </w:r>
      <w:r>
        <w:rPr>
          <w:rFonts w:hint="eastAsia" w:ascii="宋体" w:hAnsi="宋体" w:cs="宋体"/>
          <w:i w:val="0"/>
          <w:iCs w:val="0"/>
          <w:caps w:val="0"/>
          <w:color w:val="auto"/>
          <w:spacing w:val="0"/>
          <w:kern w:val="0"/>
          <w:sz w:val="21"/>
          <w:szCs w:val="21"/>
          <w:highlight w:val="none"/>
          <w:shd w:val="clear" w:fill="FFFFFF"/>
          <w:vertAlign w:val="baseline"/>
          <w:lang w:val="en-US" w:eastAsia="zh-CN" w:bidi="ar"/>
        </w:rPr>
        <w:t>磋商小组</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
        </w:rPr>
        <w:t>借助互联网等渠道查询相关信息的，应当严格遵守评审工作纪律，不得实施影响评审公正的行为。</w:t>
      </w:r>
    </w:p>
    <w:p w14:paraId="411A7C43">
      <w:pPr>
        <w:pStyle w:val="32"/>
        <w:widowControl w:val="0"/>
        <w:spacing w:line="360" w:lineRule="auto"/>
        <w:ind w:firstLine="420" w:firstLineChars="200"/>
        <w:jc w:val="both"/>
        <w:rPr>
          <w:rFonts w:ascii="宋体" w:hAnsi="宋体" w:cs="宋体"/>
          <w:color w:val="auto"/>
          <w:szCs w:val="21"/>
          <w:highlight w:val="none"/>
        </w:rPr>
      </w:pPr>
      <w:r>
        <w:rPr>
          <w:rFonts w:hint="eastAsia" w:ascii="宋体" w:hAnsi="宋体" w:cs="宋体"/>
          <w:i w:val="0"/>
          <w:iCs w:val="0"/>
          <w:caps w:val="0"/>
          <w:color w:val="auto"/>
          <w:spacing w:val="0"/>
          <w:kern w:val="0"/>
          <w:sz w:val="21"/>
          <w:szCs w:val="21"/>
          <w:highlight w:val="none"/>
          <w:shd w:val="clear" w:fill="FFFFFF"/>
          <w:vertAlign w:val="baseline"/>
          <w:lang w:val="en-US" w:eastAsia="zh-CN" w:bidi="ar"/>
        </w:rPr>
        <w:t>9.4.5</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
        </w:rPr>
        <w:t>异常低价响应审查的启动原因、审查意见和审查结果应当在评审报告中记录，并随供应商提供的相关书面说明及证明材料，以及</w:t>
      </w:r>
      <w:r>
        <w:rPr>
          <w:rFonts w:hint="eastAsia" w:ascii="宋体" w:hAnsi="宋体" w:cs="宋体"/>
          <w:i w:val="0"/>
          <w:iCs w:val="0"/>
          <w:caps w:val="0"/>
          <w:color w:val="auto"/>
          <w:spacing w:val="0"/>
          <w:kern w:val="0"/>
          <w:sz w:val="21"/>
          <w:szCs w:val="21"/>
          <w:highlight w:val="none"/>
          <w:shd w:val="clear" w:fill="FFFFFF"/>
          <w:vertAlign w:val="baseline"/>
          <w:lang w:val="en-US" w:eastAsia="zh-CN" w:bidi="ar"/>
        </w:rPr>
        <w:t>磋商小组</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
        </w:rPr>
        <w:t>有关互联网浏览、查询历史一并归档。</w:t>
      </w:r>
    </w:p>
    <w:p w14:paraId="1545816C">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9.5最低报价不能作为成交的保证。</w:t>
      </w:r>
    </w:p>
    <w:p w14:paraId="45A299E9">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9.6供应商的报价不得超过采购项目预算、不得超出有效报价范围。</w:t>
      </w:r>
    </w:p>
    <w:p w14:paraId="773E1D16">
      <w:pPr>
        <w:topLinePunct/>
        <w:autoSpaceDE w:val="0"/>
        <w:autoSpaceDN w:val="0"/>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10.响应文件的书写、密封、签署、盖章</w:t>
      </w:r>
    </w:p>
    <w:p w14:paraId="6A06AC3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10.1书写</w:t>
      </w:r>
    </w:p>
    <w:p w14:paraId="547BFEF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10.1.1响应文件应使用不能擦去的墨料或墨水打印、书写。</w:t>
      </w:r>
    </w:p>
    <w:p w14:paraId="11FB8A5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10.1.2响应文件内容应没有涂改或行间插字。若有前述改动，在改动处应由单位负责人（授权代表）签字确认或加盖供应商的单位公章。</w:t>
      </w:r>
    </w:p>
    <w:p w14:paraId="0625D80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10.2密封</w:t>
      </w:r>
    </w:p>
    <w:p w14:paraId="2CB9BA2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10.2.1响应文件应胶装或装订成册，避免材料散装、脱落。</w:t>
      </w:r>
    </w:p>
    <w:p w14:paraId="30D3FAF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10.2.2响应文件应使用不透明的牛皮纸或档案袋等材料密封包装，并在外包装封面注明“项目编号、项目名称、供应商名称、响应文件启封时间”等信息，避免响应文件被误拆或提前拆封。响应文件正本应按上述要求制作。副本可按上述要求制作，也可用正本的完整复印件，并与正本保持一致（若不一致，以正本为准）。</w:t>
      </w:r>
    </w:p>
    <w:p w14:paraId="5805962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10.3签署、盖章</w:t>
      </w:r>
    </w:p>
    <w:p w14:paraId="7829BEE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10.3.1响应文件中要求签字处应由供应商的单位负责人（授权代表）签字。</w:t>
      </w:r>
    </w:p>
    <w:p w14:paraId="79AB09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10.3.2响应文件必须按照</w:t>
      </w:r>
      <w:r>
        <w:rPr>
          <w:rFonts w:hint="eastAsia" w:ascii="宋体" w:hAnsi="宋体" w:cs="宋体"/>
          <w:color w:val="auto"/>
          <w:szCs w:val="21"/>
          <w:highlight w:val="none"/>
        </w:rPr>
        <w:t>磋商</w:t>
      </w:r>
      <w:r>
        <w:rPr>
          <w:rFonts w:hint="eastAsia" w:ascii="宋体" w:hAnsi="宋体" w:cs="宋体"/>
          <w:color w:val="auto"/>
          <w:highlight w:val="none"/>
        </w:rPr>
        <w:t>文件给出文件格式的签署要求进行签署。</w:t>
      </w:r>
    </w:p>
    <w:p w14:paraId="4855116C">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10.3.3供应商在</w:t>
      </w:r>
      <w:r>
        <w:rPr>
          <w:rFonts w:hint="eastAsia" w:ascii="宋体" w:hAnsi="宋体" w:cs="宋体"/>
          <w:b/>
          <w:bCs/>
          <w:color w:val="auto"/>
          <w:szCs w:val="21"/>
          <w:highlight w:val="none"/>
        </w:rPr>
        <w:t>“磋商响应函”“法定代表人授权委托书”</w:t>
      </w:r>
      <w:r>
        <w:rPr>
          <w:rFonts w:hint="eastAsia" w:ascii="宋体" w:hAnsi="宋体" w:cs="宋体"/>
          <w:color w:val="auto"/>
          <w:szCs w:val="21"/>
          <w:highlight w:val="none"/>
        </w:rPr>
        <w:t>上应当按格式要求加盖与供应商名称全称一致的标准公章，并按照磋商文件第五章响应文件格式中的相应格式文件要求签署全名。</w:t>
      </w:r>
    </w:p>
    <w:p w14:paraId="67E5492A">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10.3.4响应文件中的“盖章”指加盖供应商的“公章”，而非“合同专用章”、“投标专用章”等其他非公章。</w:t>
      </w:r>
    </w:p>
    <w:p w14:paraId="13ADEDC3">
      <w:pPr>
        <w:topLinePunct/>
        <w:autoSpaceDE w:val="0"/>
        <w:autoSpaceDN w:val="0"/>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11</w:t>
      </w:r>
      <w:r>
        <w:rPr>
          <w:rFonts w:hint="eastAsia" w:ascii="宋体" w:hAnsi="宋体" w:cs="宋体"/>
          <w:color w:val="auto"/>
          <w:szCs w:val="21"/>
          <w:highlight w:val="none"/>
        </w:rPr>
        <w:t>．</w:t>
      </w:r>
      <w:r>
        <w:rPr>
          <w:rFonts w:hint="eastAsia" w:ascii="宋体" w:hAnsi="宋体" w:cs="宋体"/>
          <w:b/>
          <w:color w:val="auto"/>
          <w:szCs w:val="21"/>
          <w:highlight w:val="none"/>
        </w:rPr>
        <w:t>响应有效期</w:t>
      </w:r>
    </w:p>
    <w:p w14:paraId="2F100BE8">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11.1响应有效期见</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在此期间，响应文件对供应商具有法律约束力，以保证采购人或者采购代理机构有足够的时间完成磋商、评审、定标以及签订合同。响应文件中承诺的响应有效期应当不少于磋商文件中载明的响应有效期，否则作为无效响应处理。</w:t>
      </w:r>
    </w:p>
    <w:p w14:paraId="5370135E">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11.2特殊情况下，在原响应有效期期满之前，采购人或者采购代理机构可征得供应商同意延长响应有效期。</w:t>
      </w:r>
    </w:p>
    <w:p w14:paraId="3076FBC2">
      <w:pPr>
        <w:pStyle w:val="4"/>
        <w:ind w:firstLine="422" w:firstLineChars="200"/>
        <w:rPr>
          <w:rFonts w:ascii="宋体" w:hAnsi="宋体" w:eastAsia="宋体" w:cs="宋体"/>
          <w:color w:val="auto"/>
          <w:highlight w:val="none"/>
        </w:rPr>
      </w:pPr>
      <w:bookmarkStart w:id="15" w:name="_Toc32583"/>
      <w:bookmarkStart w:id="16" w:name="_Toc20474"/>
      <w:bookmarkStart w:id="17" w:name="_Toc23689"/>
      <w:r>
        <w:rPr>
          <w:rFonts w:hint="eastAsia" w:ascii="宋体" w:hAnsi="宋体" w:eastAsia="宋体" w:cs="宋体"/>
          <w:color w:val="auto"/>
          <w:sz w:val="21"/>
          <w:szCs w:val="21"/>
          <w:highlight w:val="none"/>
        </w:rPr>
        <w:t>四、响应文件</w:t>
      </w:r>
      <w:r>
        <w:rPr>
          <w:rFonts w:hint="eastAsia" w:ascii="宋体" w:hAnsi="宋体" w:eastAsia="宋体" w:cs="宋体"/>
          <w:color w:val="auto"/>
          <w:sz w:val="21"/>
          <w:szCs w:val="21"/>
          <w:highlight w:val="none"/>
          <w:lang w:val="en-US" w:eastAsia="zh-CN"/>
        </w:rPr>
        <w:t>提</w:t>
      </w:r>
      <w:r>
        <w:rPr>
          <w:rFonts w:hint="eastAsia" w:ascii="宋体" w:hAnsi="宋体" w:eastAsia="宋体" w:cs="宋体"/>
          <w:color w:val="auto"/>
          <w:sz w:val="21"/>
          <w:szCs w:val="21"/>
          <w:highlight w:val="none"/>
        </w:rPr>
        <w:t>交</w:t>
      </w:r>
      <w:bookmarkEnd w:id="15"/>
      <w:bookmarkEnd w:id="16"/>
      <w:bookmarkEnd w:id="17"/>
    </w:p>
    <w:p w14:paraId="7AE3F863">
      <w:pPr>
        <w:topLinePunct/>
        <w:autoSpaceDE w:val="0"/>
        <w:autoSpaceDN w:val="0"/>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12</w:t>
      </w:r>
      <w:r>
        <w:rPr>
          <w:rFonts w:hint="eastAsia" w:ascii="宋体" w:hAnsi="宋体" w:cs="宋体"/>
          <w:color w:val="auto"/>
          <w:szCs w:val="21"/>
          <w:highlight w:val="none"/>
        </w:rPr>
        <w:t>．</w:t>
      </w:r>
      <w:r>
        <w:rPr>
          <w:rFonts w:hint="eastAsia" w:ascii="宋体" w:hAnsi="宋体" w:cs="宋体"/>
          <w:b/>
          <w:color w:val="auto"/>
          <w:szCs w:val="21"/>
          <w:highlight w:val="none"/>
        </w:rPr>
        <w:t>响应文件</w:t>
      </w:r>
      <w:r>
        <w:rPr>
          <w:rFonts w:hint="eastAsia" w:ascii="宋体" w:hAnsi="宋体" w:eastAsia="宋体" w:cs="宋体"/>
          <w:color w:val="auto"/>
          <w:sz w:val="21"/>
          <w:szCs w:val="21"/>
          <w:highlight w:val="none"/>
          <w:lang w:val="en-US" w:eastAsia="zh-CN"/>
        </w:rPr>
        <w:t>提</w:t>
      </w:r>
      <w:r>
        <w:rPr>
          <w:rFonts w:hint="eastAsia" w:ascii="宋体" w:hAnsi="宋体" w:cs="宋体"/>
          <w:b/>
          <w:color w:val="auto"/>
          <w:szCs w:val="21"/>
          <w:highlight w:val="none"/>
        </w:rPr>
        <w:t>交</w:t>
      </w:r>
    </w:p>
    <w:p w14:paraId="106B47F1">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12.1供应商应当在</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要求递交响应文件截止时间前，根据《供应商须知前附表》载明方式</w:t>
      </w:r>
      <w:r>
        <w:rPr>
          <w:rFonts w:hint="eastAsia" w:ascii="宋体" w:hAnsi="宋体" w:eastAsia="宋体" w:cs="宋体"/>
          <w:color w:val="auto"/>
          <w:sz w:val="21"/>
          <w:szCs w:val="21"/>
          <w:highlight w:val="none"/>
          <w:lang w:val="en-US" w:eastAsia="zh-CN"/>
        </w:rPr>
        <w:t>提</w:t>
      </w:r>
      <w:r>
        <w:rPr>
          <w:rFonts w:hint="eastAsia" w:ascii="宋体" w:hAnsi="宋体" w:cs="宋体"/>
          <w:color w:val="auto"/>
          <w:szCs w:val="21"/>
          <w:highlight w:val="none"/>
        </w:rPr>
        <w:t>交响应文件。</w:t>
      </w:r>
      <w:r>
        <w:rPr>
          <w:rFonts w:hint="eastAsia" w:ascii="宋体" w:hAnsi="宋体" w:eastAsia="宋体" w:cs="宋体"/>
          <w:color w:val="auto"/>
          <w:sz w:val="21"/>
          <w:szCs w:val="21"/>
          <w:highlight w:val="none"/>
          <w:lang w:val="en-US" w:eastAsia="zh-CN"/>
        </w:rPr>
        <w:t>提</w:t>
      </w:r>
      <w:r>
        <w:rPr>
          <w:rFonts w:hint="eastAsia" w:ascii="宋体" w:hAnsi="宋体" w:cs="宋体"/>
          <w:color w:val="auto"/>
          <w:szCs w:val="21"/>
          <w:highlight w:val="none"/>
        </w:rPr>
        <w:t>交响应文件截止时间后，</w:t>
      </w:r>
      <w:r>
        <w:rPr>
          <w:rFonts w:hint="eastAsia" w:ascii="宋体" w:hAnsi="宋体" w:eastAsia="宋体" w:cs="宋体"/>
          <w:color w:val="auto"/>
          <w:sz w:val="21"/>
          <w:szCs w:val="21"/>
          <w:highlight w:val="none"/>
          <w:lang w:val="en-US" w:eastAsia="zh-CN"/>
        </w:rPr>
        <w:t>提</w:t>
      </w:r>
      <w:r>
        <w:rPr>
          <w:rFonts w:hint="eastAsia" w:ascii="宋体" w:hAnsi="宋体" w:cs="宋体"/>
          <w:color w:val="auto"/>
          <w:szCs w:val="21"/>
          <w:highlight w:val="none"/>
        </w:rPr>
        <w:t>交响应文件的将被拒绝。</w:t>
      </w:r>
    </w:p>
    <w:p w14:paraId="2CD053B7">
      <w:pPr>
        <w:topLinePunct/>
        <w:autoSpaceDE w:val="0"/>
        <w:autoSpaceDN w:val="0"/>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13</w:t>
      </w:r>
      <w:r>
        <w:rPr>
          <w:rFonts w:hint="eastAsia" w:ascii="宋体" w:hAnsi="宋体" w:cs="宋体"/>
          <w:color w:val="auto"/>
          <w:szCs w:val="21"/>
          <w:highlight w:val="none"/>
        </w:rPr>
        <w:t>．</w:t>
      </w:r>
      <w:r>
        <w:rPr>
          <w:rFonts w:hint="eastAsia" w:ascii="宋体" w:hAnsi="宋体" w:cs="宋体"/>
          <w:b/>
          <w:color w:val="auto"/>
          <w:szCs w:val="21"/>
          <w:highlight w:val="none"/>
        </w:rPr>
        <w:t>响应文件补充、修改或撤回</w:t>
      </w:r>
    </w:p>
    <w:p w14:paraId="4205BFB6">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供应商在提交响应文件截止时间前，可以对所提交的响应文件进行补充、修改或者撤回，并书面通知采购人、采购代理机构。补充、修改的内容应当按照磋商文件要求签署、盖章、密封后，作为响应文件的组成部分。</w:t>
      </w:r>
    </w:p>
    <w:p w14:paraId="214E6B30">
      <w:pPr>
        <w:widowControl/>
        <w:topLinePunct/>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13.2提交响应文件截止时间后，不支持对已提交的响应文件做任何补充、修改或者撤回。</w:t>
      </w:r>
    </w:p>
    <w:p w14:paraId="7EB7B076">
      <w:pPr>
        <w:pStyle w:val="4"/>
        <w:ind w:firstLine="422" w:firstLineChars="200"/>
        <w:rPr>
          <w:rFonts w:ascii="宋体" w:hAnsi="宋体" w:eastAsia="宋体" w:cs="宋体"/>
          <w:color w:val="auto"/>
          <w:highlight w:val="none"/>
        </w:rPr>
      </w:pPr>
      <w:bookmarkStart w:id="18" w:name="_Toc28259"/>
      <w:bookmarkStart w:id="19" w:name="_Toc28284"/>
      <w:bookmarkStart w:id="20" w:name="_Toc27378"/>
      <w:r>
        <w:rPr>
          <w:rFonts w:hint="eastAsia" w:ascii="宋体" w:hAnsi="宋体" w:eastAsia="宋体" w:cs="宋体"/>
          <w:color w:val="auto"/>
          <w:sz w:val="21"/>
          <w:szCs w:val="21"/>
          <w:highlight w:val="none"/>
        </w:rPr>
        <w:t>五、磋商与评审</w:t>
      </w:r>
      <w:bookmarkEnd w:id="18"/>
      <w:bookmarkEnd w:id="19"/>
      <w:bookmarkEnd w:id="20"/>
    </w:p>
    <w:p w14:paraId="1465553A">
      <w:pPr>
        <w:topLinePunct/>
        <w:autoSpaceDE w:val="0"/>
        <w:autoSpaceDN w:val="0"/>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14.磋商小组</w:t>
      </w:r>
    </w:p>
    <w:p w14:paraId="2DC80EC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14.1磋商与评审由依法组建的磋商小组负责，磋商小组由采购人代表和评审专家组成。</w:t>
      </w:r>
    </w:p>
    <w:p w14:paraId="2AF16B8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14.2评审专家应当遵守评审工作纪律，不得泄露评审情况和评审中获悉的商业秘密。</w:t>
      </w:r>
    </w:p>
    <w:p w14:paraId="5AD18DE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14.3磋商小组成员应当按照客观、公正、审慎的原则，根据磋商文件规定的评审程序、评审方法和评审标准进行独立评审。</w:t>
      </w:r>
    </w:p>
    <w:p w14:paraId="2C989488">
      <w:pPr>
        <w:topLinePunct/>
        <w:autoSpaceDE w:val="0"/>
        <w:autoSpaceDN w:val="0"/>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15.初步审查</w:t>
      </w:r>
    </w:p>
    <w:p w14:paraId="5B04725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15.1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14:paraId="3D56494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（1）供应商未按照磋商文件规定提交磋商保证金的；</w:t>
      </w:r>
    </w:p>
    <w:p w14:paraId="1E822E2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（2）未按照磋商文件规定要求密封、签署、盖章的；</w:t>
      </w:r>
    </w:p>
    <w:p w14:paraId="514A4DA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（3）响应有效期不足的；</w:t>
      </w:r>
    </w:p>
    <w:p w14:paraId="049D9DD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（4）供应商不满足磋商文件供应商资格条件或未按照磋商文件规定提供资格证明材料的；</w:t>
      </w:r>
    </w:p>
    <w:p w14:paraId="274AD87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（5）响应文件不满足磋商文件实质性条款的。响应文件是否实质性响应磋商文件，由磋商小组依据磋商文件规定、供应商响应文件及磋商情况认定；</w:t>
      </w:r>
    </w:p>
    <w:p w14:paraId="1AA4338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（6）供应商存在失信记录的：</w:t>
      </w:r>
    </w:p>
    <w:p w14:paraId="7925F83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失信记录是指，通过“信用中国”网站（www.creditchina.gov.cn）、中国政府采购网（www.ccgp.gov.cn）查询相关主体信用记录，列入失信被执行人、重大税收违法案件当事人名单、政府采购严重违法失信行为记录名单的情况。失信情况查询详见供应商须知前附表；</w:t>
      </w:r>
    </w:p>
    <w:p w14:paraId="291856F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（7）其他不符合法律、规章、规范性文件和磋商文件规定的。</w:t>
      </w:r>
    </w:p>
    <w:p w14:paraId="58774073">
      <w:pPr>
        <w:topLinePunct/>
        <w:autoSpaceDE w:val="0"/>
        <w:autoSpaceDN w:val="0"/>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16.澄清</w:t>
      </w:r>
    </w:p>
    <w:p w14:paraId="125AA82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16.1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w:t>
      </w:r>
    </w:p>
    <w:p w14:paraId="75CBB2D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16.2供应商的澄清、说明或者更正应当采用书面形式，由其法定代表人或其授权代表签字，供应商的澄清、说明或者更正不得超出磋商文件的范围或者改变响应文件的实质性内容。</w:t>
      </w:r>
    </w:p>
    <w:p w14:paraId="3882E41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16.3关于响应描述（即响应文件中描述的内容）</w:t>
      </w:r>
    </w:p>
    <w:p w14:paraId="2A58405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（1）响应描述前后不一致且不涉及证明材料的：按照本节第16.1条、16.2条规定执行。</w:t>
      </w:r>
    </w:p>
    <w:p w14:paraId="26028E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（2）响应描述与证明材料不一致或多份证明材料之间不一致的：</w:t>
      </w:r>
    </w:p>
    <w:p w14:paraId="65A2C8B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①磋商小组将要求供应商进行书面澄清，无法澄清的将按照不利于供应商的内容进行评审。</w:t>
      </w:r>
    </w:p>
    <w:p w14:paraId="3113AE4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②供应商按照要求进行澄清的，采购人以澄清内容为准进行验收；供应商未按照要求进行澄清的，采购人以响应描述或证明材料中有利于采购人的内容进行验收。供应商应对证明材料的真实性、有效性承担责任。</w:t>
      </w:r>
    </w:p>
    <w:p w14:paraId="4166078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若成交供应商的响应描述存在前后不一致、与证明材料不一致或多份证明材料之间不一致情形之一但在磋商中未能发现，则采购人将以响应描述或证明材料中有利于采购人的内容进行验收，成交供应商应自行承担由此产生的风险及费用。</w:t>
      </w:r>
    </w:p>
    <w:p w14:paraId="3BDED81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16.4除磋商小组要求供应商做出的澄清、说明或者补正以外，磋商小组不接受供应商的任何询问、说明、更改及文件。</w:t>
      </w:r>
    </w:p>
    <w:p w14:paraId="1952166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16.5供应商的澄清必须在规定的时间内提交。</w:t>
      </w:r>
    </w:p>
    <w:p w14:paraId="4F7DDCD7">
      <w:pPr>
        <w:topLinePunct/>
        <w:autoSpaceDE w:val="0"/>
        <w:autoSpaceDN w:val="0"/>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17.磋商</w:t>
      </w:r>
    </w:p>
    <w:p w14:paraId="69D7CD57">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17.1初审结束后，磋商小组所有成员集中与单一供应商分别进行磋商，并给予所有参加磋商并且通过初审合格的供应商平等的磋商机会。供应商应派其法定代表人或授权代表参加磋商。</w:t>
      </w:r>
    </w:p>
    <w:p w14:paraId="7A165658">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17.2磋商过程中，磋商小组可以根据磋商文件和磋商情况实质性变动采购需求中的技术、服务要求以及合同草案条款，但不得变动磋商文件中的其他内容。实质性变动的内容，须经采购人代表确认。</w:t>
      </w:r>
    </w:p>
    <w:p w14:paraId="13B863CE">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17.3对磋商文件作出的实质性变动是磋商文件的有效组成部分，磋商小组应当及时以书面形式同时通知所有参加磋商的供应商。</w:t>
      </w:r>
    </w:p>
    <w:p w14:paraId="375393EA">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7210955E">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17.5磋商文件不能详细列明采购标的技术、服务要求，需经磋商由供应商提供最终设计方案或解决方案的，磋商结束后，磋商小组应当按照少数服从多数的原则投票推荐3家以上供应商的设计方案或者解决方案。</w:t>
      </w:r>
    </w:p>
    <w:p w14:paraId="5F71769A">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17.6磋商小组应当根据实际情况与供应商进行磋商，并确定磋商的轮次。</w:t>
      </w:r>
    </w:p>
    <w:p w14:paraId="19527689">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17.7已提交响应文件的供应商，在提交最后报价之前，可以根据磋商情况退出磋商。采购人或采购代理机构应当退还退出磋商的供应商的磋商保证金。</w:t>
      </w:r>
    </w:p>
    <w:p w14:paraId="11BAB9E9">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17.8磋商结束后，供应商按照磋商小组要求重新提交的响应文件，不满足磋商文件及变动后的技术、服务要求以及合同草案条款的实质性要求的，将视为无效响应文件。</w:t>
      </w:r>
    </w:p>
    <w:p w14:paraId="2658B7FB">
      <w:pPr>
        <w:topLinePunct/>
        <w:autoSpaceDE w:val="0"/>
        <w:autoSpaceDN w:val="0"/>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18.最后报价</w:t>
      </w:r>
    </w:p>
    <w:p w14:paraId="16EF78D4">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18.1磋商结束后，磋商小组应当要求所有实质性响应的供应商在规定时间内提交最后报价</w:t>
      </w:r>
      <w:r>
        <w:rPr>
          <w:rFonts w:hint="eastAsia" w:asciiTheme="minorEastAsia" w:hAnsiTheme="minorEastAsia" w:eastAsiaTheme="minorEastAsia" w:cstheme="minorEastAsia"/>
          <w:color w:val="auto"/>
          <w:sz w:val="21"/>
          <w:szCs w:val="21"/>
          <w:highlight w:val="none"/>
        </w:rPr>
        <w:t>，提交最后报价的供应商</w:t>
      </w:r>
      <w:r>
        <w:rPr>
          <w:rFonts w:hint="eastAsia" w:asciiTheme="minorEastAsia" w:hAnsiTheme="minorEastAsia" w:eastAsiaTheme="minorEastAsia" w:cstheme="minorEastAsia"/>
          <w:color w:val="auto"/>
          <w:sz w:val="21"/>
          <w:szCs w:val="21"/>
          <w:highlight w:val="none"/>
          <w:lang w:eastAsia="zh-CN"/>
        </w:rPr>
        <w:t>原则上</w:t>
      </w:r>
      <w:r>
        <w:rPr>
          <w:rFonts w:hint="eastAsia" w:asciiTheme="minorEastAsia" w:hAnsiTheme="minorEastAsia" w:eastAsiaTheme="minorEastAsia" w:cstheme="minorEastAsia"/>
          <w:color w:val="auto"/>
          <w:sz w:val="21"/>
          <w:szCs w:val="21"/>
          <w:highlight w:val="none"/>
        </w:rPr>
        <w:t>不得少于3家</w:t>
      </w:r>
      <w:r>
        <w:rPr>
          <w:rFonts w:hint="eastAsia" w:ascii="宋体" w:hAnsi="宋体" w:cs="宋体"/>
          <w:color w:val="auto"/>
          <w:szCs w:val="21"/>
          <w:highlight w:val="none"/>
        </w:rPr>
        <w:t>。</w:t>
      </w:r>
    </w:p>
    <w:p w14:paraId="206F79C8">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5448C8B">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18.3最后报价是供应商响应文件的有效组成部分。</w:t>
      </w:r>
      <w:r>
        <w:rPr>
          <w:rFonts w:hint="eastAsia" w:ascii="宋体" w:hAnsi="宋体" w:cs="宋体"/>
          <w:b/>
          <w:bCs/>
          <w:color w:val="auto"/>
          <w:szCs w:val="21"/>
          <w:highlight w:val="none"/>
        </w:rPr>
        <w:t>如磋商小组没有对磋商文件作实质性变动或增加新的需求，最后报价不得高于首轮报价</w:t>
      </w:r>
      <w:r>
        <w:rPr>
          <w:rFonts w:hint="eastAsia" w:ascii="宋体" w:hAnsi="宋体" w:cs="宋体"/>
          <w:color w:val="auto"/>
          <w:szCs w:val="21"/>
          <w:highlight w:val="none"/>
        </w:rPr>
        <w:t>。</w:t>
      </w:r>
    </w:p>
    <w:p w14:paraId="496ABF6A">
      <w:pPr>
        <w:topLinePunct/>
        <w:autoSpaceDE w:val="0"/>
        <w:autoSpaceDN w:val="0"/>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19.最后报价评审</w:t>
      </w:r>
    </w:p>
    <w:p w14:paraId="495573EC">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19.1最后报价计算错误修正的原则</w:t>
      </w:r>
    </w:p>
    <w:p w14:paraId="37CD6617">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（1）最后报价的大写金额和小写金额不一致的，以大写金额为准。</w:t>
      </w:r>
    </w:p>
    <w:p w14:paraId="5CF40CD0">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（2）总价金额与按分项报价汇总金额不一致的，以分项报价金额计算结果为准。</w:t>
      </w:r>
    </w:p>
    <w:p w14:paraId="2C39BED5">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（3）分项报价金额小数点有明显错位的，应以总价为准，并修改分项报价。</w:t>
      </w:r>
    </w:p>
    <w:p w14:paraId="423A4AAA">
      <w:pPr>
        <w:overflowPunct w:val="0"/>
        <w:autoSpaceDE w:val="0"/>
        <w:autoSpaceDN w:val="0"/>
        <w:adjustRightInd w:val="0"/>
        <w:snapToGrid w:val="0"/>
        <w:spacing w:line="360" w:lineRule="auto"/>
        <w:ind w:firstLine="319" w:firstLineChars="152"/>
        <w:rPr>
          <w:rFonts w:ascii="宋体" w:hAnsi="宋体" w:cs="宋体"/>
          <w:color w:val="auto"/>
          <w:szCs w:val="21"/>
          <w:highlight w:val="none"/>
        </w:rPr>
      </w:pPr>
      <w:r>
        <w:rPr>
          <w:rFonts w:hint="eastAsia" w:ascii="宋体" w:hAnsi="宋体" w:cs="宋体"/>
          <w:color w:val="auto"/>
          <w:szCs w:val="21"/>
          <w:highlight w:val="none"/>
        </w:rPr>
        <w:t xml:space="preserve">（4）同时出现两种以上不一致的，按照前款规定的顺序修正。 </w:t>
      </w:r>
    </w:p>
    <w:p w14:paraId="4EFC68BE">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（5）如果供应商不接受对其错误的更正，其最后报价将被视为无效报价或确定为无效响应。</w:t>
      </w:r>
    </w:p>
    <w:p w14:paraId="1EBB89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19.2最后报价的价格扣除原则</w:t>
      </w:r>
    </w:p>
    <w:p w14:paraId="6F1040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落实采购政策进行价格调整的规则详见第三章。</w:t>
      </w:r>
    </w:p>
    <w:p w14:paraId="15A1C58F">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19.3磋商报价得分：以供应商的最后报价作为价格评分依据。供应商的评审价为按上述条款修正后的价格。</w:t>
      </w:r>
    </w:p>
    <w:p w14:paraId="4EA87F7B">
      <w:pPr>
        <w:topLinePunct/>
        <w:autoSpaceDE w:val="0"/>
        <w:autoSpaceDN w:val="0"/>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20.综合评审</w:t>
      </w:r>
    </w:p>
    <w:p w14:paraId="16FF6BB6">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20.1经磋商确定最终采购需求和提交最后报价的供应商后，由磋商小组采用综合评分法对提交最后报价的供应商的响应文件和最后报价进行综合评分。</w:t>
      </w:r>
    </w:p>
    <w:p w14:paraId="3094E9B6">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20.2评审办法及标准见第三章。</w:t>
      </w:r>
    </w:p>
    <w:p w14:paraId="103AB1CA">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20.3评审时，磋商小组成员应当独立对每个有效响应的文件进行评价、打分，然后汇总每个供应商每项评分因素的得分。</w:t>
      </w:r>
    </w:p>
    <w:p w14:paraId="3A29B300">
      <w:pPr>
        <w:topLinePunct/>
        <w:autoSpaceDE w:val="0"/>
        <w:autoSpaceDN w:val="0"/>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21.提出成交供应商</w:t>
      </w:r>
    </w:p>
    <w:p w14:paraId="42101BC9">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21.1磋商小组应当按照综合评分由高到低的顺序提出3名以上成交候选供应商，并编写评审报告。</w:t>
      </w:r>
    </w:p>
    <w:p w14:paraId="3CB149F0">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21.2评审得分相同的，按照最后报价由低到高的顺序推荐。评审得分且最后报价相同的，按照技术指标优劣顺序推荐。</w:t>
      </w:r>
    </w:p>
    <w:p w14:paraId="55108A43">
      <w:pPr>
        <w:topLinePunct/>
        <w:autoSpaceDE w:val="0"/>
        <w:autoSpaceDN w:val="0"/>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22.磋商终止</w:t>
      </w:r>
    </w:p>
    <w:p w14:paraId="1BD42800">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22.1出现下列情形之一的，采购人或者采购代理机构应当终止磋商采购活动，在网站媒体上发布项目终止公告并说明原因，重新开展采购活动：</w:t>
      </w:r>
    </w:p>
    <w:p w14:paraId="05111EA7">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（1）因情况变化，不再符合规定的磋商采购方式适用情形的；</w:t>
      </w:r>
    </w:p>
    <w:p w14:paraId="65FD934E">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788FE592">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（3）因重大变故，采购任务取消的。</w:t>
      </w:r>
    </w:p>
    <w:p w14:paraId="76FDC8DA">
      <w:pPr>
        <w:pStyle w:val="4"/>
        <w:ind w:firstLine="422" w:firstLineChars="200"/>
        <w:rPr>
          <w:rFonts w:ascii="宋体" w:hAnsi="宋体" w:eastAsia="宋体" w:cs="宋体"/>
          <w:color w:val="auto"/>
          <w:sz w:val="21"/>
          <w:szCs w:val="21"/>
          <w:highlight w:val="none"/>
        </w:rPr>
      </w:pPr>
      <w:bookmarkStart w:id="21" w:name="_Toc19904"/>
      <w:bookmarkStart w:id="22" w:name="_Toc8825"/>
      <w:bookmarkStart w:id="23" w:name="_Toc21311"/>
      <w:r>
        <w:rPr>
          <w:rFonts w:hint="eastAsia" w:ascii="宋体" w:hAnsi="宋体" w:eastAsia="宋体" w:cs="宋体"/>
          <w:color w:val="auto"/>
          <w:sz w:val="21"/>
          <w:szCs w:val="21"/>
          <w:highlight w:val="none"/>
        </w:rPr>
        <w:t>六、成交和合同</w:t>
      </w:r>
      <w:bookmarkEnd w:id="21"/>
      <w:bookmarkEnd w:id="22"/>
      <w:bookmarkEnd w:id="23"/>
    </w:p>
    <w:p w14:paraId="149FA44C">
      <w:pPr>
        <w:topLinePunct/>
        <w:autoSpaceDE w:val="0"/>
        <w:autoSpaceDN w:val="0"/>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23</w:t>
      </w:r>
      <w:r>
        <w:rPr>
          <w:rFonts w:hint="eastAsia" w:ascii="宋体" w:hAnsi="宋体" w:cs="宋体"/>
          <w:color w:val="auto"/>
          <w:szCs w:val="21"/>
          <w:highlight w:val="none"/>
        </w:rPr>
        <w:t>．</w:t>
      </w:r>
      <w:r>
        <w:rPr>
          <w:rFonts w:hint="eastAsia" w:ascii="宋体" w:hAnsi="宋体" w:cs="宋体"/>
          <w:b/>
          <w:color w:val="auto"/>
          <w:szCs w:val="21"/>
          <w:highlight w:val="none"/>
        </w:rPr>
        <w:t>成交</w:t>
      </w:r>
    </w:p>
    <w:p w14:paraId="2E56C58E">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23.1采购代理机构应当在评审结束后2个工作日内将评审报告送采购人确认。</w:t>
      </w:r>
    </w:p>
    <w:p w14:paraId="0B8D5994">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B8550D1">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23.3采购人或者采购代理机构应当在成交供应商确定后2个工作日内，在</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规定的媒体上公告成交结果，并将磋商文件随成交结果同时公告。</w:t>
      </w:r>
    </w:p>
    <w:p w14:paraId="45E55037">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23.4在公告成交结果的同时，采购人或者采购代理机构应当向成交供应商发出成交通知书</w:t>
      </w:r>
    </w:p>
    <w:p w14:paraId="043ADF9E">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23.5成交通知书对采购人和成交供应商具有同等法律效力。</w:t>
      </w:r>
    </w:p>
    <w:p w14:paraId="5B0DC381">
      <w:pPr>
        <w:topLinePunct/>
        <w:autoSpaceDE w:val="0"/>
        <w:autoSpaceDN w:val="0"/>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24</w:t>
      </w:r>
      <w:r>
        <w:rPr>
          <w:rFonts w:hint="eastAsia" w:ascii="宋体" w:hAnsi="宋体" w:cs="宋体"/>
          <w:color w:val="auto"/>
          <w:szCs w:val="21"/>
          <w:highlight w:val="none"/>
        </w:rPr>
        <w:t>．</w:t>
      </w:r>
      <w:r>
        <w:rPr>
          <w:rFonts w:hint="eastAsia" w:ascii="宋体" w:hAnsi="宋体" w:cs="宋体"/>
          <w:b/>
          <w:color w:val="auto"/>
          <w:szCs w:val="21"/>
          <w:highlight w:val="none"/>
        </w:rPr>
        <w:t>签订合同</w:t>
      </w:r>
    </w:p>
    <w:p w14:paraId="0AD35DC6">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24.1采购人与成交供应商应当在成交通知书发出之日起30日内，按照磋商文件确定的合同文本以及采购标的、采购金额、采购数量、技术和服务要求等事项签订采购合同。</w:t>
      </w:r>
    </w:p>
    <w:p w14:paraId="4191B76E">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3FE239F7">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成交供应商拒绝签订采购合同的，采购人可以按照本章第23.2条规定的原则确定其他供应商作为成交供应商并签订采购合同，也可以重新开展采购活动。拒绝签订采购合同的成交供应商不得参加对该项目重新开展的采购活动。</w:t>
      </w:r>
    </w:p>
    <w:p w14:paraId="10E90435">
      <w:pPr>
        <w:topLinePunct/>
        <w:autoSpaceDE w:val="0"/>
        <w:autoSpaceDN w:val="0"/>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25</w:t>
      </w:r>
      <w:r>
        <w:rPr>
          <w:rFonts w:hint="eastAsia" w:ascii="宋体" w:hAnsi="宋体" w:cs="宋体"/>
          <w:color w:val="auto"/>
          <w:szCs w:val="21"/>
          <w:highlight w:val="none"/>
        </w:rPr>
        <w:t>．</w:t>
      </w:r>
      <w:r>
        <w:rPr>
          <w:rFonts w:hint="eastAsia" w:ascii="宋体" w:hAnsi="宋体" w:cs="宋体"/>
          <w:b/>
          <w:color w:val="auto"/>
          <w:szCs w:val="21"/>
          <w:highlight w:val="none"/>
        </w:rPr>
        <w:t>履约保证金</w:t>
      </w:r>
    </w:p>
    <w:p w14:paraId="21EFB3CD">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25.1成交供应商按照</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的规定，在签订采购合同前，向采购人提交履约保证金。联合体成交的，履约保证金以联合体各方或联合体中牵头人的名义提交。</w:t>
      </w:r>
    </w:p>
    <w:p w14:paraId="6161CA16">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25.2成交供应商没有按照</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的规定提交履约保证金的，视为放弃成交资格，其磋商保证金不予退还。</w:t>
      </w:r>
    </w:p>
    <w:p w14:paraId="49D23381">
      <w:pPr>
        <w:pStyle w:val="4"/>
        <w:ind w:firstLine="422" w:firstLineChars="200"/>
        <w:rPr>
          <w:rFonts w:ascii="宋体" w:hAnsi="宋体" w:eastAsia="宋体" w:cs="宋体"/>
          <w:color w:val="auto"/>
          <w:sz w:val="21"/>
          <w:szCs w:val="21"/>
          <w:highlight w:val="none"/>
        </w:rPr>
      </w:pPr>
      <w:bookmarkStart w:id="24" w:name="_Toc23606"/>
      <w:bookmarkStart w:id="25" w:name="_Toc30355"/>
      <w:bookmarkStart w:id="26" w:name="_Toc20370"/>
      <w:r>
        <w:rPr>
          <w:rFonts w:hint="eastAsia" w:ascii="宋体" w:hAnsi="宋体" w:eastAsia="宋体" w:cs="宋体"/>
          <w:color w:val="auto"/>
          <w:sz w:val="21"/>
          <w:szCs w:val="21"/>
          <w:highlight w:val="none"/>
        </w:rPr>
        <w:t>七、询问</w:t>
      </w:r>
      <w:bookmarkEnd w:id="24"/>
      <w:bookmarkEnd w:id="25"/>
      <w:bookmarkEnd w:id="26"/>
    </w:p>
    <w:p w14:paraId="333536B5">
      <w:pPr>
        <w:topLinePunct/>
        <w:autoSpaceDE w:val="0"/>
        <w:autoSpaceDN w:val="0"/>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26. 询问</w:t>
      </w:r>
    </w:p>
    <w:p w14:paraId="1F9048A4">
      <w:pPr>
        <w:topLinePunct/>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26.1潜在供应商、供应商对采购活动事项有疑问的，可以向采购人或者采购代理机构提出询问，采购人或者采购代理机构应当在3个工作日内对依法提出的询问作出答复，但答复的内容不得涉及商业秘密。</w:t>
      </w:r>
    </w:p>
    <w:p w14:paraId="34370652">
      <w:pPr>
        <w:pStyle w:val="4"/>
        <w:ind w:firstLine="422" w:firstLineChars="200"/>
        <w:rPr>
          <w:rFonts w:ascii="宋体" w:hAnsi="宋体" w:eastAsia="宋体" w:cs="宋体"/>
          <w:color w:val="auto"/>
          <w:sz w:val="21"/>
          <w:szCs w:val="21"/>
          <w:highlight w:val="none"/>
        </w:rPr>
      </w:pPr>
      <w:bookmarkStart w:id="27" w:name="_Toc11125"/>
      <w:bookmarkStart w:id="28" w:name="_Toc84"/>
      <w:bookmarkStart w:id="29" w:name="_Toc24880"/>
      <w:r>
        <w:rPr>
          <w:rFonts w:hint="eastAsia" w:ascii="宋体" w:hAnsi="宋体" w:eastAsia="宋体" w:cs="宋体"/>
          <w:color w:val="auto"/>
          <w:sz w:val="21"/>
          <w:szCs w:val="21"/>
          <w:highlight w:val="none"/>
        </w:rPr>
        <w:t>八、其他</w:t>
      </w:r>
      <w:bookmarkEnd w:id="27"/>
      <w:bookmarkEnd w:id="28"/>
      <w:bookmarkEnd w:id="29"/>
    </w:p>
    <w:p w14:paraId="01A78491">
      <w:pPr>
        <w:topLinePunct/>
        <w:autoSpaceDE w:val="0"/>
        <w:autoSpaceDN w:val="0"/>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b/>
          <w:color w:val="auto"/>
          <w:szCs w:val="21"/>
          <w:highlight w:val="none"/>
        </w:rPr>
        <w:t>保密</w:t>
      </w:r>
    </w:p>
    <w:p w14:paraId="3AB665DA">
      <w:pPr>
        <w:widowControl/>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.1采购人、采购代理机构应当按照本办法的规定组织开展磋商，并采取必要措施，保证磋商在严格保密的情况下进行。任何单位和个人不得非法干预、影响磋商过程和结果。</w:t>
      </w:r>
    </w:p>
    <w:p w14:paraId="6C0AA287">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.2磋商小组成员和参与评审工作的有关人员对评审情况以及在评审过程中获悉的国家秘密、商业秘密负有保密责任。</w:t>
      </w:r>
    </w:p>
    <w:p w14:paraId="78AF7725">
      <w:pPr>
        <w:topLinePunct/>
        <w:autoSpaceDE w:val="0"/>
        <w:autoSpaceDN w:val="0"/>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 知识产权与规避专利、版权纠纷</w:t>
      </w:r>
    </w:p>
    <w:p w14:paraId="427E9614">
      <w:pPr>
        <w:widowControl/>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.1知识产权</w:t>
      </w:r>
    </w:p>
    <w:p w14:paraId="36135A6A">
      <w:pPr>
        <w:widowControl/>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1.1项目系统的版权属于采购人所有，成交供应商应向采购人开放并提供涉及本项目软件开发、升级完善、运行维护等工作的全部源代码（含保证期内的后续升级版本）。由本项目系统形成的技术和成果的专利申请权、专利权、技术秘密的所有权、使用权、转让权等知识产权归采购人所有。</w:t>
      </w:r>
    </w:p>
    <w:p w14:paraId="097737C7">
      <w:pPr>
        <w:widowControl/>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.2规避专利、版权纠纷</w:t>
      </w:r>
    </w:p>
    <w:p w14:paraId="7FE679DD">
      <w:pPr>
        <w:widowControl/>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.2.1供应商应保证其响应方案中的有关软件、文件、图纸等没有违反有关专利和版权等知识产权的规定。</w:t>
      </w:r>
    </w:p>
    <w:p w14:paraId="744AB288">
      <w:pPr>
        <w:widowControl/>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.2.2成交供应商应保证采购人在中华人民共和国使用本项目成果任何一部分、或接受乙方服务时，免受第三方提出的侵犯其专利权、商标权</w:t>
      </w:r>
      <w:r>
        <w:rPr>
          <w:rFonts w:hint="eastAsia" w:ascii="宋体" w:hAnsi="宋体" w:cs="宋体"/>
          <w:color w:val="auto"/>
          <w:szCs w:val="21"/>
          <w:highlight w:val="none"/>
          <w:lang w:eastAsia="zh-CN"/>
        </w:rPr>
        <w:t>或工业</w:t>
      </w:r>
      <w:r>
        <w:rPr>
          <w:rFonts w:hint="eastAsia" w:ascii="宋体" w:hAnsi="宋体" w:cs="宋体"/>
          <w:color w:val="auto"/>
          <w:szCs w:val="21"/>
          <w:highlight w:val="none"/>
        </w:rPr>
        <w:t>设计权等知识产权的索赔或起诉。</w:t>
      </w:r>
    </w:p>
    <w:p w14:paraId="793DA581">
      <w:pPr>
        <w:widowControl/>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2.3如果采购人在使用本项目任何一部分时被任何第三方诉称侵犯了第三方知识产权或任何其他权利，成交供应商应负责处理这一指控并应以成交供应商的名义自负费用向起诉方提出抗辩。由此可能产生的一切法律责任和经济责任均由成交供应商承担。</w:t>
      </w:r>
    </w:p>
    <w:p w14:paraId="7E8EC619">
      <w:pPr>
        <w:widowControl/>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2.4如果采购人发现任何第三方在采购人未被许可的范围内非法使用采购人获得的知识产权，采购人应通知成交供应商。成交供应商应在收到采购人通知后14天内采取行动制止非法使用行为，否则由成交供应商承担相应的责任。</w:t>
      </w:r>
    </w:p>
    <w:p w14:paraId="036564F1">
      <w:pPr>
        <w:spacing w:line="360" w:lineRule="auto"/>
        <w:rPr>
          <w:rFonts w:ascii="宋体" w:hAnsi="宋体" w:cs="宋体"/>
          <w:color w:val="auto"/>
          <w:szCs w:val="21"/>
          <w:highlight w:val="none"/>
        </w:rPr>
      </w:pPr>
    </w:p>
    <w:p w14:paraId="111A455D">
      <w:pPr>
        <w:pStyle w:val="7"/>
        <w:numPr>
          <w:ilvl w:val="0"/>
          <w:numId w:val="0"/>
        </w:numPr>
        <w:ind w:leftChars="200"/>
        <w:rPr>
          <w:rFonts w:ascii="宋体" w:hAnsi="宋体" w:cs="宋体"/>
          <w:color w:val="auto"/>
          <w:szCs w:val="21"/>
          <w:highlight w:val="none"/>
        </w:rPr>
      </w:pPr>
    </w:p>
    <w:p w14:paraId="131737AC">
      <w:pPr>
        <w:pStyle w:val="17"/>
        <w:rPr>
          <w:rFonts w:ascii="宋体" w:hAnsi="宋体" w:cs="宋体"/>
          <w:color w:val="auto"/>
          <w:szCs w:val="21"/>
          <w:highlight w:val="none"/>
        </w:rPr>
      </w:pPr>
    </w:p>
    <w:p w14:paraId="01D861EE">
      <w:pPr>
        <w:pStyle w:val="17"/>
        <w:rPr>
          <w:rFonts w:ascii="宋体" w:hAnsi="宋体" w:cs="宋体"/>
          <w:color w:val="auto"/>
          <w:szCs w:val="21"/>
          <w:highlight w:val="none"/>
        </w:rPr>
      </w:pPr>
    </w:p>
    <w:p w14:paraId="71A0F24E">
      <w:pPr>
        <w:pStyle w:val="17"/>
        <w:rPr>
          <w:rFonts w:ascii="宋体" w:hAnsi="宋体" w:cs="宋体"/>
          <w:color w:val="auto"/>
          <w:szCs w:val="21"/>
          <w:highlight w:val="none"/>
        </w:rPr>
      </w:pPr>
    </w:p>
    <w:p w14:paraId="6E015F64">
      <w:pPr>
        <w:pStyle w:val="17"/>
        <w:rPr>
          <w:rFonts w:ascii="宋体" w:hAnsi="宋体" w:cs="宋体"/>
          <w:color w:val="auto"/>
          <w:szCs w:val="21"/>
          <w:highlight w:val="none"/>
        </w:rPr>
      </w:pPr>
    </w:p>
    <w:p w14:paraId="30AFA6BD">
      <w:pPr>
        <w:pStyle w:val="17"/>
        <w:rPr>
          <w:rFonts w:ascii="宋体" w:hAnsi="宋体" w:cs="宋体"/>
          <w:color w:val="auto"/>
          <w:szCs w:val="21"/>
          <w:highlight w:val="none"/>
        </w:rPr>
      </w:pPr>
    </w:p>
    <w:p w14:paraId="146EA135">
      <w:pPr>
        <w:pStyle w:val="17"/>
        <w:rPr>
          <w:rFonts w:ascii="宋体" w:hAnsi="宋体" w:cs="宋体"/>
          <w:color w:val="auto"/>
          <w:szCs w:val="21"/>
          <w:highlight w:val="none"/>
        </w:rPr>
      </w:pPr>
    </w:p>
    <w:p w14:paraId="5D691244">
      <w:pPr>
        <w:pStyle w:val="17"/>
        <w:rPr>
          <w:rFonts w:ascii="宋体" w:hAnsi="宋体" w:cs="宋体"/>
          <w:color w:val="auto"/>
          <w:szCs w:val="21"/>
          <w:highlight w:val="none"/>
        </w:rPr>
      </w:pPr>
    </w:p>
    <w:p w14:paraId="4D6DCB7B">
      <w:pPr>
        <w:pStyle w:val="17"/>
        <w:rPr>
          <w:rFonts w:ascii="宋体" w:hAnsi="宋体" w:cs="宋体"/>
          <w:color w:val="auto"/>
          <w:szCs w:val="21"/>
          <w:highlight w:val="none"/>
        </w:rPr>
      </w:pPr>
    </w:p>
    <w:p w14:paraId="6C8258E0">
      <w:pPr>
        <w:pStyle w:val="17"/>
        <w:rPr>
          <w:rFonts w:ascii="宋体" w:hAnsi="宋体" w:cs="宋体"/>
          <w:color w:val="auto"/>
          <w:szCs w:val="21"/>
          <w:highlight w:val="none"/>
        </w:rPr>
      </w:pPr>
    </w:p>
    <w:p w14:paraId="7B91F4C4">
      <w:pPr>
        <w:pStyle w:val="17"/>
        <w:rPr>
          <w:rFonts w:ascii="宋体" w:hAnsi="宋体" w:cs="宋体"/>
          <w:color w:val="auto"/>
          <w:szCs w:val="21"/>
          <w:highlight w:val="none"/>
        </w:rPr>
      </w:pPr>
    </w:p>
    <w:p w14:paraId="4476B8F8">
      <w:pPr>
        <w:pStyle w:val="17"/>
        <w:rPr>
          <w:rFonts w:ascii="宋体" w:hAnsi="宋体" w:cs="宋体"/>
          <w:color w:val="auto"/>
          <w:szCs w:val="21"/>
          <w:highlight w:val="none"/>
        </w:rPr>
      </w:pPr>
    </w:p>
    <w:p w14:paraId="38F12FEF">
      <w:pPr>
        <w:pStyle w:val="17"/>
        <w:rPr>
          <w:rFonts w:ascii="宋体" w:hAnsi="宋体" w:cs="宋体"/>
          <w:color w:val="auto"/>
          <w:szCs w:val="21"/>
          <w:highlight w:val="none"/>
        </w:rPr>
      </w:pPr>
    </w:p>
    <w:p w14:paraId="36A7CB75">
      <w:pPr>
        <w:pStyle w:val="17"/>
        <w:rPr>
          <w:rFonts w:ascii="宋体" w:hAnsi="宋体" w:cs="宋体"/>
          <w:color w:val="auto"/>
          <w:szCs w:val="21"/>
          <w:highlight w:val="none"/>
        </w:rPr>
      </w:pPr>
    </w:p>
    <w:p w14:paraId="1507555C">
      <w:pPr>
        <w:pStyle w:val="17"/>
        <w:rPr>
          <w:rFonts w:ascii="宋体" w:hAnsi="宋体" w:cs="宋体"/>
          <w:color w:val="auto"/>
          <w:szCs w:val="21"/>
          <w:highlight w:val="none"/>
        </w:rPr>
      </w:pPr>
    </w:p>
    <w:p w14:paraId="1F94703E">
      <w:pPr>
        <w:pStyle w:val="3"/>
        <w:numPr>
          <w:ilvl w:val="0"/>
          <w:numId w:val="0"/>
        </w:numPr>
        <w:jc w:val="center"/>
        <w:rPr>
          <w:rFonts w:cs="宋体"/>
          <w:color w:val="auto"/>
          <w:sz w:val="30"/>
          <w:szCs w:val="30"/>
          <w:highlight w:val="none"/>
        </w:rPr>
      </w:pPr>
      <w:bookmarkStart w:id="30" w:name="_Toc24348"/>
      <w:r>
        <w:rPr>
          <w:rFonts w:hint="eastAsia" w:ascii="宋体" w:hAnsi="宋体" w:eastAsia="宋体" w:cs="宋体"/>
          <w:b/>
          <w:bCs/>
          <w:color w:val="auto"/>
          <w:kern w:val="44"/>
          <w:sz w:val="30"/>
          <w:szCs w:val="30"/>
          <w:highlight w:val="none"/>
          <w:lang w:val="en-US" w:eastAsia="zh-CN" w:bidi="ar-SA"/>
        </w:rPr>
        <w:t>第三章</w:t>
      </w:r>
      <w:r>
        <w:rPr>
          <w:rFonts w:cs="宋体"/>
          <w:color w:val="auto"/>
          <w:sz w:val="30"/>
          <w:szCs w:val="30"/>
          <w:highlight w:val="none"/>
        </w:rPr>
        <w:t xml:space="preserve"> 评审方法及标准</w:t>
      </w:r>
      <w:bookmarkEnd w:id="30"/>
    </w:p>
    <w:p w14:paraId="7E73D9F2">
      <w:pPr>
        <w:topLinePunct/>
        <w:autoSpaceDE w:val="0"/>
        <w:autoSpaceDN w:val="0"/>
        <w:adjustRightInd w:val="0"/>
        <w:snapToGrid w:val="0"/>
        <w:spacing w:line="360" w:lineRule="auto"/>
        <w:ind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1.</w:t>
      </w:r>
      <w:r>
        <w:rPr>
          <w:rFonts w:hint="eastAsia" w:ascii="Times New Roman" w:hAnsi="Times New Roman" w:eastAsia="宋体" w:cs="Times New Roman"/>
          <w:b/>
          <w:color w:val="auto"/>
          <w:szCs w:val="21"/>
          <w:highlight w:val="none"/>
        </w:rPr>
        <w:t>评</w:t>
      </w:r>
      <w:r>
        <w:rPr>
          <w:rFonts w:hint="eastAsia" w:ascii="Times New Roman" w:hAnsi="Times New Roman" w:cs="Times New Roman"/>
          <w:b/>
          <w:color w:val="auto"/>
          <w:szCs w:val="21"/>
          <w:highlight w:val="none"/>
          <w:lang w:val="en-US" w:eastAsia="zh-CN"/>
        </w:rPr>
        <w:t>审</w:t>
      </w:r>
      <w:r>
        <w:rPr>
          <w:rFonts w:hint="eastAsia" w:ascii="Times New Roman" w:hAnsi="Times New Roman" w:eastAsia="宋体" w:cs="Times New Roman"/>
          <w:b/>
          <w:color w:val="auto"/>
          <w:szCs w:val="21"/>
          <w:highlight w:val="none"/>
        </w:rPr>
        <w:t>方法</w:t>
      </w:r>
    </w:p>
    <w:p w14:paraId="2519A156">
      <w:pPr>
        <w:widowControl/>
        <w:topLinePunct/>
        <w:autoSpaceDE w:val="0"/>
        <w:autoSpaceDN w:val="0"/>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1.1 </w:t>
      </w:r>
      <w:r>
        <w:rPr>
          <w:rFonts w:hint="eastAsia" w:ascii="Times New Roman" w:hAnsi="Times New Roman" w:eastAsia="宋体" w:cs="Times New Roman"/>
          <w:color w:val="auto"/>
          <w:szCs w:val="21"/>
          <w:highlight w:val="none"/>
        </w:rPr>
        <w:t>本项目评审方法：</w:t>
      </w:r>
      <w:r>
        <w:rPr>
          <w:rFonts w:hint="eastAsia" w:ascii="Times New Roman" w:hAnsi="Times New Roman" w:eastAsia="宋体" w:cs="Times New Roman"/>
          <w:b/>
          <w:color w:val="auto"/>
          <w:szCs w:val="21"/>
          <w:highlight w:val="none"/>
          <w:u w:val="single"/>
        </w:rPr>
        <w:t>采用综合评分法</w:t>
      </w:r>
    </w:p>
    <w:p w14:paraId="7E0B9500">
      <w:pPr>
        <w:topLinePunct/>
        <w:autoSpaceDE w:val="0"/>
        <w:autoSpaceDN w:val="0"/>
        <w:adjustRightInd w:val="0"/>
        <w:snapToGrid w:val="0"/>
        <w:spacing w:line="360" w:lineRule="auto"/>
        <w:ind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2.</w:t>
      </w:r>
      <w:r>
        <w:rPr>
          <w:rFonts w:hint="eastAsia" w:ascii="Times New Roman" w:hAnsi="Times New Roman" w:eastAsia="宋体" w:cs="Times New Roman"/>
          <w:b/>
          <w:color w:val="auto"/>
          <w:szCs w:val="21"/>
          <w:highlight w:val="none"/>
        </w:rPr>
        <w:t>评</w:t>
      </w:r>
      <w:r>
        <w:rPr>
          <w:rFonts w:hint="eastAsia" w:ascii="Times New Roman" w:hAnsi="Times New Roman" w:cs="Times New Roman"/>
          <w:b/>
          <w:color w:val="auto"/>
          <w:szCs w:val="21"/>
          <w:highlight w:val="none"/>
          <w:lang w:val="en-US" w:eastAsia="zh-CN"/>
        </w:rPr>
        <w:t>审</w:t>
      </w:r>
      <w:r>
        <w:rPr>
          <w:rFonts w:hint="eastAsia" w:ascii="Times New Roman" w:hAnsi="Times New Roman" w:eastAsia="宋体" w:cs="Times New Roman"/>
          <w:b/>
          <w:color w:val="auto"/>
          <w:szCs w:val="21"/>
          <w:highlight w:val="none"/>
        </w:rPr>
        <w:t>标准</w:t>
      </w:r>
    </w:p>
    <w:p w14:paraId="6A67E6A0">
      <w:pPr>
        <w:spacing w:line="360" w:lineRule="auto"/>
        <w:ind w:firstLine="420" w:firstLineChars="20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 xml:space="preserve">2.1 </w:t>
      </w:r>
      <w:r>
        <w:rPr>
          <w:rFonts w:hint="eastAsia" w:ascii="Times New Roman" w:hAnsi="Times New Roman" w:eastAsia="宋体" w:cs="Times New Roman"/>
          <w:color w:val="auto"/>
          <w:kern w:val="0"/>
          <w:szCs w:val="21"/>
          <w:highlight w:val="none"/>
        </w:rPr>
        <w:t>本项目</w:t>
      </w:r>
      <w:r>
        <w:rPr>
          <w:rFonts w:hint="eastAsia" w:ascii="Times New Roman" w:hAnsi="Times New Roman" w:eastAsia="宋体" w:cs="Times New Roman"/>
          <w:b/>
          <w:color w:val="auto"/>
          <w:kern w:val="0"/>
          <w:szCs w:val="21"/>
          <w:highlight w:val="none"/>
          <w:u w:val="single"/>
        </w:rPr>
        <w:t>采用</w:t>
      </w:r>
      <w:r>
        <w:rPr>
          <w:rFonts w:hint="eastAsia" w:ascii="Times New Roman" w:hAnsi="Times New Roman" w:eastAsia="宋体" w:cs="Times New Roman"/>
          <w:b/>
          <w:color w:val="auto"/>
          <w:szCs w:val="21"/>
          <w:highlight w:val="none"/>
          <w:u w:val="single"/>
        </w:rPr>
        <w:t>百分制</w:t>
      </w:r>
      <w:r>
        <w:rPr>
          <w:rFonts w:hint="eastAsia" w:ascii="Times New Roman" w:hAnsi="Times New Roman" w:eastAsia="宋体" w:cs="Times New Roman"/>
          <w:b/>
          <w:color w:val="auto"/>
          <w:kern w:val="0"/>
          <w:szCs w:val="21"/>
          <w:highlight w:val="none"/>
          <w:u w:val="single"/>
        </w:rPr>
        <w:t>综合评分法</w:t>
      </w:r>
      <w:r>
        <w:rPr>
          <w:rFonts w:hint="eastAsia" w:ascii="Times New Roman" w:hAnsi="Times New Roman" w:eastAsia="宋体" w:cs="Times New Roman"/>
          <w:color w:val="auto"/>
          <w:kern w:val="0"/>
          <w:szCs w:val="21"/>
          <w:highlight w:val="none"/>
        </w:rPr>
        <w:t>进行</w:t>
      </w:r>
      <w:r>
        <w:rPr>
          <w:rFonts w:hint="eastAsia" w:ascii="Times New Roman" w:hAnsi="Times New Roman" w:eastAsia="宋体" w:cs="Times New Roman"/>
          <w:color w:val="auto"/>
          <w:kern w:val="0"/>
          <w:szCs w:val="21"/>
          <w:highlight w:val="none"/>
          <w:lang w:eastAsia="zh-CN"/>
        </w:rPr>
        <w:t>评审</w:t>
      </w:r>
      <w:r>
        <w:rPr>
          <w:rFonts w:hint="eastAsia" w:ascii="Times New Roman" w:hAnsi="Times New Roman" w:eastAsia="宋体" w:cs="Times New Roman"/>
          <w:color w:val="auto"/>
          <w:kern w:val="0"/>
          <w:szCs w:val="21"/>
          <w:highlight w:val="none"/>
        </w:rPr>
        <w:t>，综合评分法是指</w:t>
      </w:r>
      <w:r>
        <w:rPr>
          <w:rFonts w:hint="eastAsia" w:ascii="Times New Roman" w:hAnsi="Times New Roman" w:eastAsia="宋体" w:cs="Times New Roman"/>
          <w:color w:val="auto"/>
          <w:kern w:val="0"/>
          <w:szCs w:val="21"/>
          <w:highlight w:val="none"/>
          <w:lang w:eastAsia="zh-CN"/>
        </w:rPr>
        <w:t>响应</w:t>
      </w:r>
      <w:r>
        <w:rPr>
          <w:rFonts w:hint="eastAsia" w:ascii="Times New Roman" w:hAnsi="Times New Roman" w:eastAsia="宋体" w:cs="Times New Roman"/>
          <w:color w:val="auto"/>
          <w:kern w:val="0"/>
          <w:szCs w:val="21"/>
          <w:highlight w:val="none"/>
        </w:rPr>
        <w:t>文件满足</w:t>
      </w:r>
      <w:r>
        <w:rPr>
          <w:rFonts w:hint="eastAsia" w:ascii="Times New Roman" w:hAnsi="Times New Roman" w:eastAsia="宋体" w:cs="Times New Roman"/>
          <w:color w:val="auto"/>
          <w:kern w:val="0"/>
          <w:szCs w:val="21"/>
          <w:highlight w:val="none"/>
          <w:lang w:eastAsia="zh-CN"/>
        </w:rPr>
        <w:t>磋商</w:t>
      </w:r>
      <w:r>
        <w:rPr>
          <w:rFonts w:hint="eastAsia" w:ascii="Times New Roman" w:hAnsi="Times New Roman" w:eastAsia="宋体" w:cs="Times New Roman"/>
          <w:color w:val="auto"/>
          <w:kern w:val="0"/>
          <w:szCs w:val="21"/>
          <w:highlight w:val="none"/>
        </w:rPr>
        <w:t>文件全部实质性要求，且按照评审因素的量化指标评审得分最高的为</w:t>
      </w:r>
      <w:r>
        <w:rPr>
          <w:rFonts w:hint="eastAsia" w:ascii="Times New Roman" w:hAnsi="Times New Roman" w:eastAsia="宋体" w:cs="Times New Roman"/>
          <w:color w:val="auto"/>
          <w:kern w:val="0"/>
          <w:szCs w:val="21"/>
          <w:highlight w:val="none"/>
          <w:lang w:eastAsia="zh-CN"/>
        </w:rPr>
        <w:t>成交</w:t>
      </w:r>
      <w:r>
        <w:rPr>
          <w:rFonts w:hint="eastAsia" w:ascii="Times New Roman" w:hAnsi="Times New Roman" w:cs="Times New Roman"/>
          <w:color w:val="auto"/>
          <w:kern w:val="0"/>
          <w:szCs w:val="21"/>
          <w:highlight w:val="none"/>
          <w:lang w:val="en-US" w:eastAsia="zh-CN"/>
        </w:rPr>
        <w:t>供应商</w:t>
      </w:r>
      <w:r>
        <w:rPr>
          <w:rFonts w:hint="eastAsia" w:ascii="Times New Roman" w:hAnsi="Times New Roman" w:eastAsia="宋体" w:cs="Times New Roman"/>
          <w:color w:val="auto"/>
          <w:kern w:val="0"/>
          <w:szCs w:val="21"/>
          <w:highlight w:val="none"/>
        </w:rPr>
        <w:t>的</w:t>
      </w:r>
      <w:r>
        <w:rPr>
          <w:rFonts w:hint="eastAsia" w:ascii="Times New Roman" w:hAnsi="Times New Roman" w:eastAsia="宋体" w:cs="Times New Roman"/>
          <w:color w:val="auto"/>
          <w:kern w:val="0"/>
          <w:szCs w:val="21"/>
          <w:highlight w:val="none"/>
          <w:lang w:eastAsia="zh-CN"/>
        </w:rPr>
        <w:t>评审</w:t>
      </w:r>
      <w:r>
        <w:rPr>
          <w:rFonts w:hint="eastAsia" w:ascii="Times New Roman" w:hAnsi="Times New Roman" w:eastAsia="宋体" w:cs="Times New Roman"/>
          <w:color w:val="auto"/>
          <w:kern w:val="0"/>
          <w:szCs w:val="21"/>
          <w:highlight w:val="none"/>
        </w:rPr>
        <w:t>方法。评审因素主要内容如下表。</w:t>
      </w:r>
    </w:p>
    <w:p w14:paraId="53D5EAF8">
      <w:pPr>
        <w:topLinePunct/>
        <w:autoSpaceDE w:val="0"/>
        <w:autoSpaceDN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2.2 </w:t>
      </w:r>
      <w:r>
        <w:rPr>
          <w:rFonts w:hint="eastAsia" w:ascii="Times New Roman" w:hAnsi="Times New Roman" w:eastAsia="宋体" w:cs="Times New Roman"/>
          <w:color w:val="auto"/>
          <w:szCs w:val="21"/>
          <w:highlight w:val="none"/>
        </w:rPr>
        <w:t>本项目价格分值为</w:t>
      </w:r>
      <w:r>
        <w:rPr>
          <w:rFonts w:hint="eastAsia" w:ascii="Times New Roman" w:hAnsi="Times New Roman" w:cs="Times New Roman"/>
          <w:color w:val="auto"/>
          <w:szCs w:val="21"/>
          <w:highlight w:val="none"/>
          <w:u w:val="single"/>
          <w:lang w:val="en-US" w:eastAsia="zh-CN"/>
        </w:rPr>
        <w:t>15</w:t>
      </w:r>
      <w:r>
        <w:rPr>
          <w:rFonts w:hint="eastAsia" w:ascii="Times New Roman" w:hAnsi="Times New Roman" w:eastAsia="宋体" w:cs="Times New Roman"/>
          <w:color w:val="auto"/>
          <w:szCs w:val="21"/>
          <w:highlight w:val="none"/>
        </w:rPr>
        <w:t>分，其余评审因素分值为</w:t>
      </w:r>
      <w:r>
        <w:rPr>
          <w:rFonts w:hint="eastAsia" w:ascii="Times New Roman" w:hAnsi="Times New Roman" w:cs="Times New Roman"/>
          <w:color w:val="auto"/>
          <w:szCs w:val="21"/>
          <w:highlight w:val="none"/>
          <w:u w:val="single"/>
          <w:lang w:val="en-US" w:eastAsia="zh-CN"/>
        </w:rPr>
        <w:t>85</w:t>
      </w:r>
      <w:r>
        <w:rPr>
          <w:rFonts w:hint="eastAsia" w:ascii="Times New Roman" w:hAnsi="Times New Roman" w:eastAsia="宋体" w:cs="Times New Roman"/>
          <w:color w:val="auto"/>
          <w:szCs w:val="21"/>
          <w:highlight w:val="none"/>
        </w:rPr>
        <w:t>分，按四舍五入取至百分位。</w:t>
      </w:r>
    </w:p>
    <w:p w14:paraId="3142D637">
      <w:pPr>
        <w:topLinePunct/>
        <w:autoSpaceDE w:val="0"/>
        <w:autoSpaceDN w:val="0"/>
        <w:adjustRightInd w:val="0"/>
        <w:snapToGrid w:val="0"/>
        <w:spacing w:line="360" w:lineRule="auto"/>
        <w:ind w:firstLine="422" w:firstLineChars="200"/>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3</w:t>
      </w:r>
      <w:r>
        <w:rPr>
          <w:rFonts w:ascii="Times New Roman" w:hAnsi="Times New Roman" w:eastAsia="宋体" w:cs="Times New Roman"/>
          <w:b/>
          <w:color w:val="auto"/>
          <w:szCs w:val="21"/>
          <w:highlight w:val="none"/>
        </w:rPr>
        <w:t>.</w:t>
      </w:r>
      <w:r>
        <w:rPr>
          <w:rFonts w:hint="eastAsia" w:ascii="Times New Roman" w:hAnsi="Times New Roman" w:eastAsia="宋体" w:cs="Times New Roman"/>
          <w:b/>
          <w:color w:val="auto"/>
          <w:szCs w:val="21"/>
          <w:highlight w:val="none"/>
        </w:rPr>
        <w:t>评委构成：</w:t>
      </w:r>
    </w:p>
    <w:p w14:paraId="446E0413">
      <w:pPr>
        <w:topLinePunct/>
        <w:autoSpaceDE w:val="0"/>
        <w:autoSpaceDN w:val="0"/>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本项目</w:t>
      </w:r>
      <w:r>
        <w:rPr>
          <w:rFonts w:hint="eastAsia" w:ascii="Times New Roman" w:hAnsi="Times New Roman" w:eastAsia="宋体" w:cs="Times New Roman"/>
          <w:color w:val="auto"/>
          <w:szCs w:val="21"/>
          <w:highlight w:val="none"/>
          <w:lang w:eastAsia="zh-CN"/>
        </w:rPr>
        <w:t>磋商小组</w:t>
      </w:r>
      <w:r>
        <w:rPr>
          <w:rFonts w:hint="eastAsia" w:ascii="Times New Roman" w:hAnsi="Times New Roman" w:eastAsia="宋体" w:cs="Times New Roman"/>
          <w:color w:val="auto"/>
          <w:szCs w:val="21"/>
          <w:highlight w:val="none"/>
        </w:rPr>
        <w:t>由采购人代表和评审专家组成，成员人数为</w:t>
      </w:r>
      <w:r>
        <w:rPr>
          <w:rFonts w:hint="eastAsia" w:ascii="Times New Roman" w:hAnsi="Times New Roman" w:eastAsia="宋体" w:cs="Times New Roman"/>
          <w:color w:val="auto"/>
          <w:szCs w:val="21"/>
          <w:highlight w:val="none"/>
          <w:lang w:val="en-US" w:eastAsia="zh-CN"/>
        </w:rPr>
        <w:t>3</w:t>
      </w:r>
      <w:r>
        <w:rPr>
          <w:rFonts w:hint="eastAsia" w:ascii="Times New Roman" w:hAnsi="Times New Roman" w:eastAsia="宋体" w:cs="Times New Roman"/>
          <w:color w:val="auto"/>
          <w:szCs w:val="21"/>
          <w:highlight w:val="none"/>
        </w:rPr>
        <w:t>人，其中评审专家不得少于成员总数的三分之二。</w:t>
      </w:r>
    </w:p>
    <w:p w14:paraId="7BB793A7">
      <w:pPr>
        <w:topLinePunct/>
        <w:autoSpaceDE w:val="0"/>
        <w:autoSpaceDN w:val="0"/>
        <w:spacing w:line="360" w:lineRule="auto"/>
        <w:ind w:firstLine="422" w:firstLineChars="200"/>
        <w:rPr>
          <w:rFonts w:hint="eastAsia"/>
          <w:color w:val="auto"/>
          <w:highlight w:val="none"/>
          <w:lang w:val="en-US" w:eastAsia="zh-CN"/>
        </w:rPr>
      </w:pPr>
      <w:r>
        <w:rPr>
          <w:rFonts w:hint="eastAsia" w:ascii="Times New Roman" w:hAnsi="Times New Roman" w:eastAsia="宋体" w:cs="Times New Roman"/>
          <w:b/>
          <w:color w:val="auto"/>
          <w:kern w:val="2"/>
          <w:sz w:val="21"/>
          <w:szCs w:val="21"/>
          <w:highlight w:val="none"/>
          <w:u w:val="none"/>
          <w:lang w:val="en-US" w:eastAsia="zh-CN" w:bidi="ar-SA"/>
        </w:rPr>
        <w:t>4.评审标准如下表：</w:t>
      </w:r>
      <w:r>
        <w:rPr>
          <w:rFonts w:hint="eastAsia"/>
          <w:color w:val="auto"/>
          <w:highlight w:val="none"/>
          <w:lang w:val="en-US" w:eastAsia="zh-CN"/>
        </w:rPr>
        <w:t xml:space="preserve">     </w:t>
      </w:r>
    </w:p>
    <w:p w14:paraId="133A7A83">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本办法所称的“以上”“以下”“内”“以内”，包括本数；所称的“不足”，不包括本数。</w:t>
      </w:r>
    </w:p>
    <w:tbl>
      <w:tblPr>
        <w:tblStyle w:val="20"/>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707"/>
        <w:gridCol w:w="720"/>
        <w:gridCol w:w="6150"/>
        <w:gridCol w:w="772"/>
      </w:tblGrid>
      <w:tr w14:paraId="3475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0" w:type="dxa"/>
            <w:noWrap/>
            <w:vAlign w:val="center"/>
          </w:tcPr>
          <w:p w14:paraId="69B5E37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07" w:type="dxa"/>
            <w:noWrap/>
            <w:vAlign w:val="center"/>
          </w:tcPr>
          <w:p w14:paraId="298F90F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720" w:type="dxa"/>
            <w:noWrap/>
            <w:vAlign w:val="center"/>
          </w:tcPr>
          <w:p w14:paraId="167E5AF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主要内容</w:t>
            </w:r>
          </w:p>
        </w:tc>
        <w:tc>
          <w:tcPr>
            <w:tcW w:w="6150" w:type="dxa"/>
            <w:noWrap/>
            <w:vAlign w:val="center"/>
          </w:tcPr>
          <w:p w14:paraId="5232AD0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指标要求</w:t>
            </w:r>
          </w:p>
        </w:tc>
        <w:tc>
          <w:tcPr>
            <w:tcW w:w="772" w:type="dxa"/>
            <w:noWrap/>
            <w:vAlign w:val="center"/>
          </w:tcPr>
          <w:p w14:paraId="5EA9E89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细项</w:t>
            </w:r>
          </w:p>
          <w:p w14:paraId="3F42823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r>
      <w:tr w14:paraId="2F44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3" w:hRule="atLeast"/>
          <w:jc w:val="center"/>
        </w:trPr>
        <w:tc>
          <w:tcPr>
            <w:tcW w:w="650" w:type="dxa"/>
            <w:noWrap/>
            <w:vAlign w:val="center"/>
          </w:tcPr>
          <w:p w14:paraId="7D1FBBB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07" w:type="dxa"/>
            <w:noWrap/>
            <w:vAlign w:val="center"/>
          </w:tcPr>
          <w:p w14:paraId="3E477267">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最后</w:t>
            </w:r>
            <w:r>
              <w:rPr>
                <w:rFonts w:hint="eastAsia" w:ascii="宋体" w:hAnsi="宋体" w:eastAsia="宋体" w:cs="宋体"/>
                <w:color w:val="auto"/>
                <w:sz w:val="21"/>
                <w:szCs w:val="21"/>
                <w:highlight w:val="none"/>
                <w:lang w:val="zh-CN"/>
              </w:rPr>
              <w:t>报价</w:t>
            </w:r>
          </w:p>
          <w:p w14:paraId="596B8DD4">
            <w:pPr>
              <w:pStyle w:val="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720" w:type="dxa"/>
            <w:noWrap/>
            <w:vAlign w:val="center"/>
          </w:tcPr>
          <w:p w14:paraId="31F7E174">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价格</w:t>
            </w:r>
          </w:p>
          <w:p w14:paraId="3CA167EF">
            <w:pPr>
              <w:pStyle w:val="2"/>
              <w:spacing w:line="360" w:lineRule="auto"/>
              <w:rPr>
                <w:rFonts w:hint="eastAsia" w:ascii="宋体" w:hAnsi="宋体" w:eastAsia="宋体" w:cs="宋体"/>
                <w:color w:val="auto"/>
                <w:sz w:val="21"/>
                <w:szCs w:val="21"/>
                <w:highlight w:val="none"/>
              </w:rPr>
            </w:pPr>
          </w:p>
        </w:tc>
        <w:tc>
          <w:tcPr>
            <w:tcW w:w="6150" w:type="dxa"/>
            <w:noWrap/>
            <w:vAlign w:val="center"/>
          </w:tcPr>
          <w:p w14:paraId="08EC00F2">
            <w:pPr>
              <w:keepNext w:val="0"/>
              <w:keepLines w:val="0"/>
              <w:widowControl w:val="0"/>
              <w:overflowPunct/>
              <w:autoSpaceDE/>
              <w:autoSpaceDN/>
              <w:adjustRightInd/>
              <w:spacing w:line="360" w:lineRule="auto"/>
              <w:ind w:firstLine="420" w:firstLineChars="20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价格分=（基准价/供应商的评审价）×</w:t>
            </w:r>
            <w:r>
              <w:rPr>
                <w:rFonts w:hint="eastAsia" w:ascii="宋体" w:hAnsi="宋体" w:cs="宋体"/>
                <w:bCs/>
                <w:color w:val="auto"/>
                <w:sz w:val="21"/>
                <w:szCs w:val="21"/>
                <w:highlight w:val="none"/>
                <w:lang w:val="en-US" w:eastAsia="zh-CN"/>
              </w:rPr>
              <w:t>15</w:t>
            </w:r>
            <w:r>
              <w:rPr>
                <w:rFonts w:hint="eastAsia" w:ascii="宋体" w:hAnsi="宋体" w:eastAsia="宋体" w:cs="宋体"/>
                <w:bCs/>
                <w:color w:val="auto"/>
                <w:sz w:val="21"/>
                <w:szCs w:val="21"/>
                <w:highlight w:val="none"/>
                <w:lang w:eastAsia="zh-CN"/>
              </w:rPr>
              <w:t>分。</w:t>
            </w:r>
          </w:p>
          <w:p w14:paraId="2374F190">
            <w:pPr>
              <w:keepNext w:val="0"/>
              <w:keepLines w:val="0"/>
              <w:widowControl w:val="0"/>
              <w:overflowPunct/>
              <w:autoSpaceDE/>
              <w:autoSpaceDN/>
              <w:adjustRightInd/>
              <w:spacing w:line="360" w:lineRule="auto"/>
              <w:ind w:firstLine="420" w:firstLineChars="20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注：</w:t>
            </w:r>
          </w:p>
          <w:p w14:paraId="05BBDB7D">
            <w:pPr>
              <w:keepNext w:val="0"/>
              <w:keepLines w:val="0"/>
              <w:widowControl w:val="0"/>
              <w:overflowPunct/>
              <w:autoSpaceDE/>
              <w:autoSpaceDN/>
              <w:adjustRightInd/>
              <w:spacing w:line="360" w:lineRule="auto"/>
              <w:ind w:firstLine="420" w:firstLineChars="20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（1）本项目为专门面</w:t>
            </w:r>
            <w:r>
              <w:rPr>
                <w:rFonts w:hint="eastAsia" w:ascii="宋体" w:hAnsi="宋体" w:cs="宋体"/>
                <w:bCs/>
                <w:color w:val="auto"/>
                <w:sz w:val="21"/>
                <w:szCs w:val="21"/>
                <w:highlight w:val="none"/>
                <w:lang w:val="en-US" w:eastAsia="zh-CN"/>
              </w:rPr>
              <w:t>向</w:t>
            </w:r>
            <w:r>
              <w:rPr>
                <w:rFonts w:hint="eastAsia" w:ascii="宋体" w:hAnsi="宋体" w:eastAsia="宋体" w:cs="宋体"/>
                <w:bCs/>
                <w:color w:val="auto"/>
                <w:sz w:val="21"/>
                <w:szCs w:val="21"/>
                <w:highlight w:val="none"/>
                <w:lang w:eastAsia="zh-CN"/>
              </w:rPr>
              <w:t>中小企业项目</w:t>
            </w:r>
            <w:r>
              <w:rPr>
                <w:rFonts w:hint="eastAsia" w:ascii="宋体" w:hAnsi="宋体" w:cs="宋体"/>
                <w:bCs/>
                <w:color w:val="auto"/>
                <w:sz w:val="21"/>
                <w:szCs w:val="21"/>
                <w:highlight w:val="none"/>
                <w:lang w:val="en-US" w:eastAsia="zh-CN"/>
              </w:rPr>
              <w:t>采购</w:t>
            </w:r>
            <w:r>
              <w:rPr>
                <w:rFonts w:hint="eastAsia" w:ascii="宋体" w:hAnsi="宋体" w:eastAsia="宋体" w:cs="宋体"/>
                <w:bCs/>
                <w:color w:val="auto"/>
                <w:sz w:val="21"/>
                <w:szCs w:val="21"/>
                <w:highlight w:val="none"/>
                <w:lang w:eastAsia="zh-CN"/>
              </w:rPr>
              <w:t>，按照《政府采购促进中小企业发展管理办法》（财库〔2020〕46号）规定，小微企业、监狱企业、残疾人福利性单位不再执行价格评审优惠的扶持政策。</w:t>
            </w:r>
          </w:p>
          <w:p w14:paraId="072A994B">
            <w:pPr>
              <w:keepNext w:val="0"/>
              <w:keepLines w:val="0"/>
              <w:widowControl w:val="0"/>
              <w:overflowPunct/>
              <w:autoSpaceDE/>
              <w:autoSpaceDN/>
              <w:adjustRightInd/>
              <w:spacing w:line="360" w:lineRule="auto"/>
              <w:ind w:firstLine="420" w:firstLineChars="20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（2）评审价为供应商的最后报价（如有修正，以确认修正后的最后报价为准），最终成交供应商的成交金额等于</w:t>
            </w:r>
            <w:r>
              <w:rPr>
                <w:rFonts w:hint="eastAsia" w:ascii="宋体" w:hAnsi="宋体" w:eastAsia="宋体" w:cs="宋体"/>
                <w:bCs/>
                <w:color w:val="auto"/>
                <w:sz w:val="21"/>
                <w:szCs w:val="21"/>
                <w:highlight w:val="none"/>
                <w:lang w:val="en-US" w:eastAsia="zh-CN"/>
              </w:rPr>
              <w:t>其</w:t>
            </w:r>
            <w:r>
              <w:rPr>
                <w:rFonts w:hint="eastAsia" w:ascii="宋体" w:hAnsi="宋体" w:eastAsia="宋体" w:cs="宋体"/>
                <w:bCs/>
                <w:color w:val="auto"/>
                <w:sz w:val="21"/>
                <w:szCs w:val="21"/>
                <w:highlight w:val="none"/>
                <w:lang w:eastAsia="zh-CN"/>
              </w:rPr>
              <w:t>最后报价。</w:t>
            </w:r>
          </w:p>
          <w:p w14:paraId="73A1C710">
            <w:pPr>
              <w:keepNext w:val="0"/>
              <w:keepLines w:val="0"/>
              <w:widowControl w:val="0"/>
              <w:overflowPunct/>
              <w:autoSpaceDE/>
              <w:autoSpaceDN/>
              <w:adjustRightInd/>
              <w:spacing w:line="360" w:lineRule="auto"/>
              <w:ind w:firstLine="420" w:firstLine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bCs/>
                <w:color w:val="auto"/>
                <w:sz w:val="21"/>
                <w:szCs w:val="21"/>
                <w:highlight w:val="none"/>
                <w:lang w:eastAsia="zh-CN"/>
              </w:rPr>
              <w:t>（3）以进入评审环节供应商的最低报价为基准价，供应商的最后报价等于基准价的，价格分为满分</w:t>
            </w:r>
            <w:r>
              <w:rPr>
                <w:rFonts w:hint="eastAsia" w:ascii="宋体" w:hAnsi="宋体" w:cs="宋体"/>
                <w:bCs/>
                <w:color w:val="auto"/>
                <w:sz w:val="21"/>
                <w:szCs w:val="21"/>
                <w:highlight w:val="none"/>
                <w:lang w:val="en-US" w:eastAsia="zh-CN"/>
              </w:rPr>
              <w:t>15</w:t>
            </w:r>
            <w:r>
              <w:rPr>
                <w:rFonts w:hint="eastAsia" w:ascii="宋体" w:hAnsi="宋体" w:eastAsia="宋体" w:cs="宋体"/>
                <w:bCs/>
                <w:color w:val="auto"/>
                <w:sz w:val="21"/>
                <w:szCs w:val="21"/>
                <w:highlight w:val="none"/>
                <w:lang w:eastAsia="zh-CN"/>
              </w:rPr>
              <w:t>分。</w:t>
            </w:r>
          </w:p>
        </w:tc>
        <w:tc>
          <w:tcPr>
            <w:tcW w:w="772" w:type="dxa"/>
            <w:noWrap/>
            <w:vAlign w:val="center"/>
          </w:tcPr>
          <w:p w14:paraId="7E1DB7BD">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r>
      <w:tr w14:paraId="223A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jc w:val="center"/>
        </w:trPr>
        <w:tc>
          <w:tcPr>
            <w:tcW w:w="650" w:type="dxa"/>
            <w:vMerge w:val="restart"/>
            <w:noWrap/>
            <w:vAlign w:val="center"/>
          </w:tcPr>
          <w:p w14:paraId="6F61FD12">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07" w:type="dxa"/>
            <w:vMerge w:val="restart"/>
            <w:noWrap/>
            <w:vAlign w:val="center"/>
          </w:tcPr>
          <w:p w14:paraId="6AE3599F">
            <w:pPr>
              <w:pStyle w:val="2"/>
              <w:keepNext w:val="0"/>
              <w:keepLines w:val="0"/>
              <w:pageBreakBefore w:val="0"/>
              <w:kinsoku/>
              <w:wordWrap/>
              <w:topLinePunct w:val="0"/>
              <w:bidi w:val="0"/>
              <w:spacing w:line="360" w:lineRule="auto"/>
              <w:jc w:val="center"/>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履约</w:t>
            </w:r>
          </w:p>
          <w:p w14:paraId="2178FADF">
            <w:pPr>
              <w:pStyle w:val="2"/>
              <w:keepNext w:val="0"/>
              <w:keepLines w:val="0"/>
              <w:pageBreakBefore w:val="0"/>
              <w:kinsoku/>
              <w:wordWrap/>
              <w:topLinePunct w:val="0"/>
              <w:bidi w:val="0"/>
              <w:spacing w:line="360" w:lineRule="auto"/>
              <w:jc w:val="center"/>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能力</w:t>
            </w:r>
          </w:p>
          <w:p w14:paraId="703CEF50">
            <w:pPr>
              <w:pStyle w:val="2"/>
              <w:spacing w:line="360" w:lineRule="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zh-CN"/>
              </w:rPr>
              <w:t>(</w:t>
            </w:r>
            <w:r>
              <w:rPr>
                <w:rFonts w:hint="eastAsia" w:ascii="宋体" w:hAnsi="宋体" w:eastAsia="宋体" w:cs="宋体"/>
                <w:b/>
                <w:bCs w:val="0"/>
                <w:color w:val="auto"/>
                <w:sz w:val="21"/>
                <w:szCs w:val="21"/>
                <w:highlight w:val="none"/>
                <w:lang w:val="en-US" w:eastAsia="zh-CN"/>
              </w:rPr>
              <w:t>满分</w:t>
            </w:r>
            <w:r>
              <w:rPr>
                <w:rFonts w:hint="eastAsia" w:ascii="宋体" w:hAnsi="宋体" w:cs="宋体"/>
                <w:b/>
                <w:bCs w:val="0"/>
                <w:color w:val="auto"/>
                <w:sz w:val="21"/>
                <w:szCs w:val="21"/>
                <w:highlight w:val="none"/>
                <w:lang w:val="en-US" w:eastAsia="zh-CN"/>
              </w:rPr>
              <w:t>46</w:t>
            </w:r>
            <w:r>
              <w:rPr>
                <w:rFonts w:hint="eastAsia" w:ascii="宋体" w:hAnsi="宋体" w:eastAsia="宋体" w:cs="宋体"/>
                <w:b/>
                <w:bCs w:val="0"/>
                <w:color w:val="auto"/>
                <w:sz w:val="21"/>
                <w:szCs w:val="21"/>
                <w:highlight w:val="none"/>
                <w:lang w:val="zh-CN"/>
              </w:rPr>
              <w:t>分)</w:t>
            </w:r>
          </w:p>
        </w:tc>
        <w:tc>
          <w:tcPr>
            <w:tcW w:w="720" w:type="dxa"/>
            <w:shd w:val="clear" w:color="auto" w:fill="auto"/>
            <w:noWrap/>
            <w:vAlign w:val="center"/>
          </w:tcPr>
          <w:p w14:paraId="4A7B9D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成功</w:t>
            </w:r>
          </w:p>
          <w:p w14:paraId="2F9F6E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案例</w:t>
            </w:r>
          </w:p>
        </w:tc>
        <w:tc>
          <w:tcPr>
            <w:tcW w:w="6150" w:type="dxa"/>
            <w:shd w:val="clear" w:color="auto" w:fill="auto"/>
            <w:noWrap/>
            <w:vAlign w:val="center"/>
          </w:tcPr>
          <w:p w14:paraId="4A66943C">
            <w:pPr>
              <w:keepNext w:val="0"/>
              <w:keepLines w:val="0"/>
              <w:widowControl w:val="0"/>
              <w:overflowPunct/>
              <w:autoSpaceDE/>
              <w:autoSpaceDN/>
              <w:adjustRightInd/>
              <w:spacing w:line="360" w:lineRule="auto"/>
              <w:ind w:firstLine="420" w:firstLine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供应商</w:t>
            </w:r>
            <w:r>
              <w:rPr>
                <w:rFonts w:hint="eastAsia" w:ascii="宋体" w:hAnsi="宋体" w:eastAsia="宋体" w:cs="宋体"/>
                <w:color w:val="auto"/>
                <w:sz w:val="21"/>
                <w:szCs w:val="21"/>
                <w:highlight w:val="none"/>
                <w:lang w:val="zh-CN"/>
              </w:rPr>
              <w:t>自202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月1日至</w:t>
            </w:r>
            <w:r>
              <w:rPr>
                <w:rFonts w:hint="eastAsia" w:ascii="宋体" w:hAnsi="宋体" w:eastAsia="宋体" w:cs="宋体"/>
                <w:color w:val="auto"/>
                <w:sz w:val="21"/>
                <w:szCs w:val="21"/>
                <w:highlight w:val="none"/>
                <w:lang w:val="en-US" w:eastAsia="zh-CN"/>
              </w:rPr>
              <w:t>响应文件递交</w:t>
            </w:r>
            <w:r>
              <w:rPr>
                <w:rFonts w:hint="eastAsia" w:ascii="宋体" w:hAnsi="宋体" w:eastAsia="宋体" w:cs="宋体"/>
                <w:color w:val="auto"/>
                <w:sz w:val="21"/>
                <w:szCs w:val="21"/>
                <w:highlight w:val="none"/>
                <w:lang w:val="zh-CN"/>
              </w:rPr>
              <w:t>截止日（以合同签订时间为准），每承担一个类似项目业绩，得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分，满分</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分。</w:t>
            </w:r>
          </w:p>
          <w:p w14:paraId="125BA8EE">
            <w:pPr>
              <w:keepNext w:val="0"/>
              <w:keepLines w:val="0"/>
              <w:widowControl w:val="0"/>
              <w:overflowPunct/>
              <w:autoSpaceDE/>
              <w:autoSpaceDN/>
              <w:adjustRightInd/>
              <w:spacing w:line="360" w:lineRule="auto"/>
              <w:ind w:firstLine="422"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val="0"/>
                <w:color w:val="auto"/>
                <w:sz w:val="21"/>
                <w:szCs w:val="21"/>
                <w:highlight w:val="none"/>
                <w:lang w:val="zh-CN"/>
              </w:rPr>
              <w:t>注：</w:t>
            </w:r>
            <w:r>
              <w:rPr>
                <w:rFonts w:hint="eastAsia" w:asciiTheme="minorEastAsia" w:hAnsiTheme="minorEastAsia" w:eastAsiaTheme="minorEastAsia" w:cstheme="minorEastAsia"/>
                <w:b/>
                <w:bCs w:val="0"/>
                <w:color w:val="auto"/>
                <w:sz w:val="21"/>
                <w:szCs w:val="21"/>
                <w:highlight w:val="none"/>
              </w:rPr>
              <w:t>类似项目业绩是指办公用房为主的综合性物业管理服务项目</w:t>
            </w:r>
            <w:r>
              <w:rPr>
                <w:rFonts w:hint="eastAsia" w:cstheme="minorEastAsia"/>
                <w:b/>
                <w:bCs w:val="0"/>
                <w:color w:val="auto"/>
                <w:sz w:val="21"/>
                <w:szCs w:val="21"/>
                <w:highlight w:val="none"/>
                <w:lang w:val="en-US" w:eastAsia="zh-CN"/>
              </w:rPr>
              <w:t>（</w:t>
            </w:r>
            <w:r>
              <w:rPr>
                <w:rFonts w:hint="eastAsia" w:asciiTheme="minorEastAsia" w:hAnsiTheme="minorEastAsia" w:eastAsiaTheme="minorEastAsia" w:cstheme="minorEastAsia"/>
                <w:b/>
                <w:bCs w:val="0"/>
                <w:color w:val="auto"/>
                <w:sz w:val="21"/>
                <w:szCs w:val="21"/>
                <w:highlight w:val="none"/>
              </w:rPr>
              <w:t>合同服务内容仅有</w:t>
            </w:r>
            <w:r>
              <w:rPr>
                <w:rFonts w:hint="eastAsia" w:cstheme="minorEastAsia"/>
                <w:b/>
                <w:bCs w:val="0"/>
                <w:color w:val="auto"/>
                <w:sz w:val="21"/>
                <w:szCs w:val="21"/>
                <w:highlight w:val="none"/>
                <w:lang w:eastAsia="zh-CN"/>
              </w:rPr>
              <w:t>保安服务</w:t>
            </w:r>
            <w:r>
              <w:rPr>
                <w:rFonts w:hint="eastAsia" w:asciiTheme="minorEastAsia" w:hAnsiTheme="minorEastAsia" w:eastAsiaTheme="minorEastAsia" w:cstheme="minorEastAsia"/>
                <w:b/>
                <w:bCs w:val="0"/>
                <w:color w:val="auto"/>
                <w:sz w:val="21"/>
                <w:szCs w:val="21"/>
                <w:highlight w:val="none"/>
              </w:rPr>
              <w:t>和保洁服务或仅有单项服务内容的项目均不得分</w:t>
            </w:r>
            <w:r>
              <w:rPr>
                <w:rFonts w:hint="eastAsia" w:cstheme="minorEastAsia"/>
                <w:b/>
                <w:bCs w:val="0"/>
                <w:color w:val="auto"/>
                <w:sz w:val="21"/>
                <w:szCs w:val="21"/>
                <w:highlight w:val="none"/>
                <w:lang w:val="en-US" w:eastAsia="zh-CN"/>
              </w:rPr>
              <w:t>）</w:t>
            </w:r>
            <w:r>
              <w:rPr>
                <w:rFonts w:hint="eastAsia" w:cstheme="minorEastAsia"/>
                <w:b/>
                <w:bCs w:val="0"/>
                <w:color w:val="auto"/>
                <w:sz w:val="21"/>
                <w:szCs w:val="21"/>
                <w:highlight w:val="none"/>
                <w:lang w:eastAsia="zh-CN"/>
              </w:rPr>
              <w:t>。</w:t>
            </w:r>
            <w:r>
              <w:rPr>
                <w:rFonts w:hint="eastAsia" w:asciiTheme="minorEastAsia" w:hAnsiTheme="minorEastAsia" w:eastAsiaTheme="minorEastAsia" w:cstheme="minorEastAsia"/>
                <w:b/>
                <w:bCs w:val="0"/>
                <w:color w:val="auto"/>
                <w:sz w:val="21"/>
                <w:szCs w:val="21"/>
                <w:highlight w:val="none"/>
                <w:lang w:val="zh-CN"/>
              </w:rPr>
              <w:t>同一项目多份合同不重复计分。</w:t>
            </w:r>
          </w:p>
        </w:tc>
        <w:tc>
          <w:tcPr>
            <w:tcW w:w="772" w:type="dxa"/>
            <w:shd w:val="clear" w:color="auto" w:fill="auto"/>
            <w:noWrap/>
            <w:vAlign w:val="center"/>
          </w:tcPr>
          <w:p w14:paraId="32193F9E">
            <w:pPr>
              <w:keepNext w:val="0"/>
              <w:keepLines w:val="0"/>
              <w:pageBreakBefore w:val="0"/>
              <w:kinsoku/>
              <w:wordWrap/>
              <w:topLinePunct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r>
      <w:tr w14:paraId="43E5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50" w:type="dxa"/>
            <w:vMerge w:val="continue"/>
            <w:noWrap/>
            <w:vAlign w:val="center"/>
          </w:tcPr>
          <w:p w14:paraId="2C8BBC1C">
            <w:pPr>
              <w:spacing w:line="360" w:lineRule="auto"/>
              <w:rPr>
                <w:rFonts w:hint="eastAsia" w:ascii="宋体" w:hAnsi="宋体" w:eastAsia="宋体" w:cs="宋体"/>
                <w:color w:val="auto"/>
                <w:sz w:val="21"/>
                <w:szCs w:val="21"/>
                <w:highlight w:val="none"/>
              </w:rPr>
            </w:pPr>
          </w:p>
        </w:tc>
        <w:tc>
          <w:tcPr>
            <w:tcW w:w="707" w:type="dxa"/>
            <w:vMerge w:val="continue"/>
            <w:noWrap/>
            <w:vAlign w:val="top"/>
          </w:tcPr>
          <w:p w14:paraId="5D056DF5">
            <w:pPr>
              <w:spacing w:line="360" w:lineRule="auto"/>
              <w:rPr>
                <w:rFonts w:hint="eastAsia" w:ascii="宋体" w:hAnsi="宋体" w:eastAsia="宋体" w:cs="宋体"/>
                <w:color w:val="auto"/>
                <w:sz w:val="21"/>
                <w:szCs w:val="21"/>
                <w:highlight w:val="none"/>
              </w:rPr>
            </w:pPr>
          </w:p>
        </w:tc>
        <w:tc>
          <w:tcPr>
            <w:tcW w:w="720" w:type="dxa"/>
            <w:noWrap/>
            <w:vAlign w:val="center"/>
          </w:tcPr>
          <w:p w14:paraId="64950C36">
            <w:pPr>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拟投入服务团队人员</w:t>
            </w:r>
          </w:p>
          <w:p w14:paraId="701907DC">
            <w:pPr>
              <w:bidi w:val="0"/>
              <w:spacing w:line="360" w:lineRule="auto"/>
              <w:jc w:val="left"/>
              <w:rPr>
                <w:rFonts w:hint="eastAsia" w:ascii="宋体" w:hAnsi="宋体" w:eastAsia="宋体" w:cs="宋体"/>
                <w:color w:val="auto"/>
                <w:sz w:val="21"/>
                <w:szCs w:val="21"/>
                <w:highlight w:val="none"/>
              </w:rPr>
            </w:pPr>
          </w:p>
        </w:tc>
        <w:tc>
          <w:tcPr>
            <w:tcW w:w="6150" w:type="dxa"/>
            <w:noWrap/>
            <w:vAlign w:val="top"/>
          </w:tcPr>
          <w:p w14:paraId="0B7E3E5F">
            <w:pPr>
              <w:bidi w:val="0"/>
              <w:spacing w:line="360" w:lineRule="auto"/>
              <w:ind w:firstLine="422" w:firstLineChars="20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拟投入服务团队人员在满足本项目采购需求“（六）物业管理服务组织及人员配置”</w:t>
            </w:r>
            <w:r>
              <w:rPr>
                <w:rFonts w:hint="eastAsia" w:ascii="宋体" w:hAnsi="宋体" w:cs="宋体"/>
                <w:b/>
                <w:bCs w:val="0"/>
                <w:color w:val="auto"/>
                <w:sz w:val="21"/>
                <w:szCs w:val="21"/>
                <w:highlight w:val="none"/>
                <w:lang w:val="en-US" w:eastAsia="zh-CN"/>
              </w:rPr>
              <w:t>人员的</w:t>
            </w:r>
            <w:r>
              <w:rPr>
                <w:rFonts w:hint="eastAsia" w:ascii="宋体" w:hAnsi="宋体" w:eastAsia="宋体" w:cs="宋体"/>
                <w:b/>
                <w:bCs w:val="0"/>
                <w:color w:val="auto"/>
                <w:sz w:val="21"/>
                <w:szCs w:val="21"/>
                <w:highlight w:val="none"/>
                <w:lang w:val="en-US" w:eastAsia="zh-CN"/>
              </w:rPr>
              <w:t>数量、</w:t>
            </w:r>
            <w:r>
              <w:rPr>
                <w:rFonts w:hint="eastAsia" w:ascii="宋体" w:hAnsi="宋体" w:cs="宋体"/>
                <w:b/>
                <w:bCs w:val="0"/>
                <w:color w:val="auto"/>
                <w:sz w:val="21"/>
                <w:szCs w:val="21"/>
                <w:highlight w:val="none"/>
                <w:lang w:val="en-US" w:eastAsia="zh-CN"/>
              </w:rPr>
              <w:t>资历条件</w:t>
            </w:r>
            <w:r>
              <w:rPr>
                <w:rFonts w:hint="eastAsia" w:ascii="宋体" w:hAnsi="宋体" w:eastAsia="宋体" w:cs="宋体"/>
                <w:b/>
                <w:bCs w:val="0"/>
                <w:color w:val="auto"/>
                <w:sz w:val="21"/>
                <w:szCs w:val="21"/>
                <w:highlight w:val="none"/>
                <w:lang w:val="en-US" w:eastAsia="zh-CN"/>
              </w:rPr>
              <w:t>要求</w:t>
            </w:r>
            <w:r>
              <w:rPr>
                <w:rFonts w:hint="eastAsia" w:ascii="宋体" w:hAnsi="宋体" w:eastAsia="宋体" w:cs="宋体"/>
                <w:b/>
                <w:bCs w:val="0"/>
                <w:color w:val="auto"/>
                <w:sz w:val="21"/>
                <w:szCs w:val="21"/>
                <w:highlight w:val="none"/>
              </w:rPr>
              <w:t>的基础上，对下列指标进行考核评分：</w:t>
            </w:r>
          </w:p>
          <w:p w14:paraId="4403F141">
            <w:pPr>
              <w:bidi w:val="0"/>
              <w:spacing w:line="360" w:lineRule="auto"/>
              <w:ind w:firstLine="422" w:firstLineChars="200"/>
              <w:jc w:val="left"/>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拟投入本项目的</w:t>
            </w:r>
            <w:r>
              <w:rPr>
                <w:rFonts w:hint="eastAsia" w:ascii="宋体" w:hAnsi="宋体" w:eastAsia="宋体" w:cs="宋体"/>
                <w:b/>
                <w:bCs/>
                <w:color w:val="auto"/>
                <w:sz w:val="21"/>
                <w:szCs w:val="21"/>
                <w:highlight w:val="none"/>
                <w:lang w:val="en-US" w:eastAsia="zh-CN"/>
              </w:rPr>
              <w:t>项目经理</w:t>
            </w:r>
            <w:r>
              <w:rPr>
                <w:rFonts w:hint="eastAsia" w:ascii="宋体" w:hAnsi="宋体" w:cs="宋体"/>
                <w:b/>
                <w:bCs/>
                <w:color w:val="auto"/>
                <w:sz w:val="21"/>
                <w:szCs w:val="21"/>
                <w:highlight w:val="none"/>
                <w:lang w:val="en-US" w:eastAsia="zh-CN"/>
              </w:rPr>
              <w:t>资历</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人）（满分</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p>
          <w:p w14:paraId="76640074">
            <w:pPr>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年以上不足</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rPr>
              <w:t>物业</w:t>
            </w:r>
            <w:r>
              <w:rPr>
                <w:rFonts w:hint="eastAsia" w:ascii="宋体" w:hAnsi="宋体" w:eastAsia="宋体" w:cs="宋体"/>
                <w:color w:val="auto"/>
                <w:sz w:val="21"/>
                <w:szCs w:val="21"/>
                <w:highlight w:val="none"/>
                <w:lang w:eastAsia="zh-CN"/>
              </w:rPr>
              <w:t>服务项目</w:t>
            </w:r>
            <w:r>
              <w:rPr>
                <w:rFonts w:hint="eastAsia" w:ascii="宋体" w:hAnsi="宋体" w:eastAsia="宋体" w:cs="宋体"/>
                <w:color w:val="auto"/>
                <w:sz w:val="21"/>
                <w:szCs w:val="21"/>
                <w:highlight w:val="none"/>
                <w:lang w:val="en-US" w:eastAsia="zh-CN"/>
              </w:rPr>
              <w:t>管理</w:t>
            </w:r>
            <w:r>
              <w:rPr>
                <w:rFonts w:hint="eastAsia" w:ascii="宋体" w:hAnsi="宋体" w:cs="宋体"/>
                <w:color w:val="auto"/>
                <w:sz w:val="21"/>
                <w:szCs w:val="21"/>
                <w:highlight w:val="none"/>
                <w:lang w:val="en-US" w:eastAsia="zh-CN"/>
              </w:rPr>
              <w:t>工作</w:t>
            </w:r>
            <w:r>
              <w:rPr>
                <w:rFonts w:hint="eastAsia" w:ascii="宋体" w:hAnsi="宋体" w:eastAsia="宋体" w:cs="宋体"/>
                <w:color w:val="auto"/>
                <w:sz w:val="21"/>
                <w:szCs w:val="21"/>
                <w:highlight w:val="none"/>
                <w:lang w:eastAsia="zh-CN"/>
              </w:rPr>
              <w:t>经验</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w:t>
            </w:r>
            <w:r>
              <w:rPr>
                <w:rFonts w:hint="eastAsia" w:ascii="宋体" w:hAnsi="宋体" w:eastAsia="宋体" w:cs="宋体"/>
                <w:color w:val="auto"/>
                <w:sz w:val="21"/>
                <w:szCs w:val="21"/>
                <w:highlight w:val="none"/>
                <w:lang w:val="en-US" w:eastAsia="zh-CN"/>
              </w:rPr>
              <w:t>6年以上</w:t>
            </w:r>
            <w:r>
              <w:rPr>
                <w:rFonts w:hint="eastAsia" w:ascii="宋体" w:hAnsi="宋体" w:eastAsia="宋体" w:cs="宋体"/>
                <w:color w:val="auto"/>
                <w:sz w:val="21"/>
                <w:szCs w:val="21"/>
                <w:highlight w:val="none"/>
              </w:rPr>
              <w:t>物业</w:t>
            </w:r>
            <w:r>
              <w:rPr>
                <w:rFonts w:hint="eastAsia" w:ascii="宋体" w:hAnsi="宋体" w:eastAsia="宋体" w:cs="宋体"/>
                <w:color w:val="auto"/>
                <w:sz w:val="21"/>
                <w:szCs w:val="21"/>
                <w:highlight w:val="none"/>
                <w:lang w:eastAsia="zh-CN"/>
              </w:rPr>
              <w:t>服务项目</w:t>
            </w:r>
            <w:r>
              <w:rPr>
                <w:rFonts w:hint="eastAsia" w:ascii="宋体" w:hAnsi="宋体" w:eastAsia="宋体" w:cs="宋体"/>
                <w:color w:val="auto"/>
                <w:sz w:val="21"/>
                <w:szCs w:val="21"/>
                <w:highlight w:val="none"/>
                <w:lang w:val="en-US" w:eastAsia="zh-CN"/>
              </w:rPr>
              <w:t>管理</w:t>
            </w:r>
            <w:r>
              <w:rPr>
                <w:rFonts w:hint="eastAsia" w:ascii="宋体" w:hAnsi="宋体" w:cs="宋体"/>
                <w:color w:val="auto"/>
                <w:sz w:val="21"/>
                <w:szCs w:val="21"/>
                <w:highlight w:val="none"/>
                <w:lang w:val="en-US" w:eastAsia="zh-CN"/>
              </w:rPr>
              <w:t>工作</w:t>
            </w:r>
            <w:r>
              <w:rPr>
                <w:rFonts w:hint="eastAsia" w:ascii="宋体" w:hAnsi="宋体" w:eastAsia="宋体" w:cs="宋体"/>
                <w:color w:val="auto"/>
                <w:sz w:val="21"/>
                <w:szCs w:val="21"/>
                <w:highlight w:val="none"/>
                <w:lang w:eastAsia="zh-CN"/>
              </w:rPr>
              <w:t>经验</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6118D692">
            <w:pPr>
              <w:bidi w:val="0"/>
              <w:spacing w:line="360" w:lineRule="auto"/>
              <w:ind w:firstLine="422" w:firstLineChars="200"/>
              <w:jc w:val="left"/>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拟投入本项目的会务、收发员</w:t>
            </w:r>
            <w:r>
              <w:rPr>
                <w:rFonts w:hint="eastAsia" w:ascii="宋体" w:hAnsi="宋体" w:cs="宋体"/>
                <w:b/>
                <w:bCs/>
                <w:color w:val="auto"/>
                <w:sz w:val="21"/>
                <w:szCs w:val="21"/>
                <w:highlight w:val="none"/>
                <w:lang w:val="en-US" w:eastAsia="zh-CN"/>
              </w:rPr>
              <w:t>资历</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人）（满分</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p>
          <w:p w14:paraId="054C8F90">
            <w:pPr>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年以上不足</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年物业服务</w:t>
            </w:r>
            <w:r>
              <w:rPr>
                <w:rFonts w:hint="eastAsia" w:ascii="宋体" w:hAnsi="宋体" w:cs="宋体"/>
                <w:color w:val="auto"/>
                <w:sz w:val="21"/>
                <w:szCs w:val="21"/>
                <w:highlight w:val="none"/>
                <w:lang w:val="en-US" w:eastAsia="zh-CN"/>
              </w:rPr>
              <w:t>工作</w:t>
            </w:r>
            <w:r>
              <w:rPr>
                <w:rFonts w:hint="eastAsia" w:ascii="宋体" w:hAnsi="宋体" w:eastAsia="宋体" w:cs="宋体"/>
                <w:color w:val="auto"/>
                <w:sz w:val="21"/>
                <w:szCs w:val="21"/>
                <w:highlight w:val="none"/>
                <w:lang w:eastAsia="zh-CN"/>
              </w:rPr>
              <w:t>经验</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每人</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w:t>
            </w:r>
            <w:r>
              <w:rPr>
                <w:rFonts w:hint="eastAsia" w:ascii="宋体" w:hAnsi="宋体" w:eastAsia="宋体" w:cs="宋体"/>
                <w:color w:val="auto"/>
                <w:sz w:val="21"/>
                <w:szCs w:val="21"/>
                <w:highlight w:val="none"/>
                <w:lang w:val="en-US" w:eastAsia="zh-CN"/>
              </w:rPr>
              <w:t>4年以上物业服务</w:t>
            </w:r>
            <w:r>
              <w:rPr>
                <w:rFonts w:hint="eastAsia" w:ascii="宋体" w:hAnsi="宋体" w:cs="宋体"/>
                <w:color w:val="auto"/>
                <w:sz w:val="21"/>
                <w:szCs w:val="21"/>
                <w:highlight w:val="none"/>
                <w:lang w:val="en-US" w:eastAsia="zh-CN"/>
              </w:rPr>
              <w:t>工作</w:t>
            </w:r>
            <w:r>
              <w:rPr>
                <w:rFonts w:hint="eastAsia" w:ascii="宋体" w:hAnsi="宋体" w:eastAsia="宋体" w:cs="宋体"/>
                <w:color w:val="auto"/>
                <w:sz w:val="21"/>
                <w:szCs w:val="21"/>
                <w:highlight w:val="none"/>
                <w:lang w:eastAsia="zh-CN"/>
              </w:rPr>
              <w:t>经验</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每人</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满分</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59E2A525">
            <w:pPr>
              <w:bidi w:val="0"/>
              <w:spacing w:line="360" w:lineRule="auto"/>
              <w:ind w:firstLine="422" w:firstLineChars="200"/>
              <w:jc w:val="left"/>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拟投入本项目的供电设备管理员</w:t>
            </w:r>
            <w:r>
              <w:rPr>
                <w:rFonts w:hint="eastAsia" w:ascii="宋体" w:hAnsi="宋体" w:cs="宋体"/>
                <w:b/>
                <w:bCs/>
                <w:color w:val="auto"/>
                <w:sz w:val="21"/>
                <w:szCs w:val="21"/>
                <w:highlight w:val="none"/>
                <w:lang w:val="en-US" w:eastAsia="zh-CN"/>
              </w:rPr>
              <w:t>资历</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人）（满分</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p>
          <w:p w14:paraId="5A61B9AA">
            <w:pPr>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年以上不足</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年物业服务</w:t>
            </w:r>
            <w:r>
              <w:rPr>
                <w:rFonts w:hint="eastAsia" w:ascii="宋体" w:hAnsi="宋体" w:cs="宋体"/>
                <w:color w:val="auto"/>
                <w:sz w:val="21"/>
                <w:szCs w:val="21"/>
                <w:highlight w:val="none"/>
                <w:lang w:val="en-US" w:eastAsia="zh-CN"/>
              </w:rPr>
              <w:t>工作</w:t>
            </w:r>
            <w:r>
              <w:rPr>
                <w:rFonts w:hint="eastAsia" w:ascii="宋体" w:hAnsi="宋体" w:eastAsia="宋体" w:cs="宋体"/>
                <w:color w:val="auto"/>
                <w:sz w:val="21"/>
                <w:szCs w:val="21"/>
                <w:highlight w:val="none"/>
                <w:lang w:eastAsia="zh-CN"/>
              </w:rPr>
              <w:t>经验</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每人</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w:t>
            </w:r>
            <w:r>
              <w:rPr>
                <w:rFonts w:hint="eastAsia" w:ascii="宋体" w:hAnsi="宋体" w:eastAsia="宋体" w:cs="宋体"/>
                <w:color w:val="auto"/>
                <w:sz w:val="21"/>
                <w:szCs w:val="21"/>
                <w:highlight w:val="none"/>
                <w:lang w:val="en-US" w:eastAsia="zh-CN"/>
              </w:rPr>
              <w:t>4年以上物业服务</w:t>
            </w:r>
            <w:r>
              <w:rPr>
                <w:rFonts w:hint="eastAsia" w:ascii="宋体" w:hAnsi="宋体" w:cs="宋体"/>
                <w:color w:val="auto"/>
                <w:sz w:val="21"/>
                <w:szCs w:val="21"/>
                <w:highlight w:val="none"/>
                <w:lang w:val="en-US" w:eastAsia="zh-CN"/>
              </w:rPr>
              <w:t>工作</w:t>
            </w:r>
            <w:r>
              <w:rPr>
                <w:rFonts w:hint="eastAsia" w:ascii="宋体" w:hAnsi="宋体" w:eastAsia="宋体" w:cs="宋体"/>
                <w:color w:val="auto"/>
                <w:sz w:val="21"/>
                <w:szCs w:val="21"/>
                <w:highlight w:val="none"/>
                <w:lang w:eastAsia="zh-CN"/>
              </w:rPr>
              <w:t>经验</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每人</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满分</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44E089CF">
            <w:pPr>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拟投入本项目的</w:t>
            </w:r>
            <w:r>
              <w:rPr>
                <w:rFonts w:hint="eastAsia" w:ascii="宋体" w:hAnsi="宋体" w:cs="宋体"/>
                <w:b/>
                <w:bCs/>
                <w:color w:val="auto"/>
                <w:sz w:val="21"/>
                <w:szCs w:val="21"/>
                <w:highlight w:val="none"/>
                <w:lang w:val="en-US" w:eastAsia="zh-CN"/>
              </w:rPr>
              <w:t>食堂人员</w:t>
            </w:r>
            <w:r>
              <w:rPr>
                <w:rFonts w:hint="eastAsia" w:ascii="宋体" w:hAnsi="宋体" w:eastAsia="宋体" w:cs="宋体"/>
                <w:b/>
                <w:bCs/>
                <w:color w:val="auto"/>
                <w:sz w:val="21"/>
                <w:szCs w:val="21"/>
                <w:highlight w:val="none"/>
                <w:lang w:val="en-US" w:eastAsia="zh-CN"/>
              </w:rPr>
              <w:t>资历</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人）（满分</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p>
          <w:p w14:paraId="77E4F810">
            <w:pPr>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年以上不足</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年</w:t>
            </w:r>
            <w:r>
              <w:rPr>
                <w:rFonts w:hint="eastAsia"/>
                <w:color w:val="auto"/>
                <w:highlight w:val="none"/>
                <w:lang w:val="en-US" w:eastAsia="zh-CN"/>
              </w:rPr>
              <w:t>厨师</w:t>
            </w:r>
            <w:r>
              <w:rPr>
                <w:rFonts w:hint="eastAsia" w:ascii="宋体" w:hAnsi="宋体" w:eastAsia="宋体" w:cs="宋体"/>
                <w:color w:val="auto"/>
                <w:sz w:val="21"/>
                <w:szCs w:val="21"/>
                <w:highlight w:val="none"/>
                <w:lang w:val="en-US" w:eastAsia="zh-CN"/>
              </w:rPr>
              <w:t>工作经验</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年以上</w:t>
            </w:r>
            <w:r>
              <w:rPr>
                <w:rFonts w:hint="eastAsia"/>
                <w:color w:val="auto"/>
                <w:highlight w:val="none"/>
                <w:lang w:val="en-US" w:eastAsia="zh-CN"/>
              </w:rPr>
              <w:t>厨师</w:t>
            </w:r>
            <w:r>
              <w:rPr>
                <w:rFonts w:hint="eastAsia" w:ascii="宋体" w:hAnsi="宋体" w:eastAsia="宋体" w:cs="宋体"/>
                <w:color w:val="auto"/>
                <w:sz w:val="21"/>
                <w:szCs w:val="21"/>
                <w:highlight w:val="none"/>
                <w:lang w:val="en-US" w:eastAsia="zh-CN"/>
              </w:rPr>
              <w:t>工作经验</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每人</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满分</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752C28A9">
            <w:pPr>
              <w:bidi w:val="0"/>
              <w:spacing w:line="360" w:lineRule="auto"/>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拟投入本项目的保安</w:t>
            </w:r>
            <w:r>
              <w:rPr>
                <w:rFonts w:hint="eastAsia" w:ascii="宋体" w:hAnsi="宋体" w:cs="宋体"/>
                <w:b/>
                <w:bCs/>
                <w:color w:val="auto"/>
                <w:sz w:val="21"/>
                <w:szCs w:val="21"/>
                <w:highlight w:val="none"/>
                <w:lang w:val="en-US" w:eastAsia="zh-CN"/>
              </w:rPr>
              <w:t>人员资历</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人）（满分</w:t>
            </w:r>
            <w:r>
              <w:rPr>
                <w:rFonts w:hint="eastAsia" w:ascii="宋体" w:hAnsi="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分）：</w:t>
            </w:r>
          </w:p>
          <w:p w14:paraId="605E4D52">
            <w:pPr>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年以上不足</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rPr>
              <w:t>物业服务</w:t>
            </w:r>
            <w:r>
              <w:rPr>
                <w:rFonts w:hint="eastAsia" w:ascii="宋体" w:hAnsi="宋体" w:cs="宋体"/>
                <w:color w:val="auto"/>
                <w:sz w:val="21"/>
                <w:szCs w:val="21"/>
                <w:highlight w:val="none"/>
                <w:lang w:val="en-US" w:eastAsia="zh-CN"/>
              </w:rPr>
              <w:t>工作</w:t>
            </w:r>
            <w:r>
              <w:rPr>
                <w:rFonts w:hint="eastAsia" w:ascii="宋体" w:hAnsi="宋体" w:eastAsia="宋体" w:cs="宋体"/>
                <w:color w:val="auto"/>
                <w:sz w:val="21"/>
                <w:szCs w:val="21"/>
                <w:highlight w:val="none"/>
                <w:lang w:eastAsia="zh-CN"/>
              </w:rPr>
              <w:t>经验</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w:t>
            </w:r>
            <w:r>
              <w:rPr>
                <w:rFonts w:hint="eastAsia" w:ascii="宋体" w:hAnsi="宋体" w:eastAsia="宋体" w:cs="宋体"/>
                <w:color w:val="auto"/>
                <w:sz w:val="21"/>
                <w:szCs w:val="21"/>
                <w:highlight w:val="none"/>
                <w:lang w:val="en-US" w:eastAsia="zh-CN"/>
              </w:rPr>
              <w:t>4年以上</w:t>
            </w:r>
            <w:r>
              <w:rPr>
                <w:rFonts w:hint="eastAsia" w:ascii="宋体" w:hAnsi="宋体" w:eastAsia="宋体" w:cs="宋体"/>
                <w:color w:val="auto"/>
                <w:sz w:val="21"/>
                <w:szCs w:val="21"/>
                <w:highlight w:val="none"/>
              </w:rPr>
              <w:t>物业服务</w:t>
            </w:r>
            <w:r>
              <w:rPr>
                <w:rFonts w:hint="eastAsia" w:ascii="宋体" w:hAnsi="宋体" w:cs="宋体"/>
                <w:color w:val="auto"/>
                <w:sz w:val="21"/>
                <w:szCs w:val="21"/>
                <w:highlight w:val="none"/>
                <w:lang w:val="en-US" w:eastAsia="zh-CN"/>
              </w:rPr>
              <w:t>工作</w:t>
            </w:r>
            <w:r>
              <w:rPr>
                <w:rFonts w:hint="eastAsia" w:ascii="宋体" w:hAnsi="宋体" w:eastAsia="宋体" w:cs="宋体"/>
                <w:color w:val="auto"/>
                <w:sz w:val="21"/>
                <w:szCs w:val="21"/>
                <w:highlight w:val="none"/>
                <w:lang w:eastAsia="zh-CN"/>
              </w:rPr>
              <w:t>经验</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每人</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满分</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p w14:paraId="14C976B9">
            <w:pPr>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拟投入本项目的保</w:t>
            </w:r>
            <w:r>
              <w:rPr>
                <w:rFonts w:hint="eastAsia" w:ascii="宋体" w:hAnsi="宋体" w:eastAsia="宋体" w:cs="宋体"/>
                <w:b/>
                <w:bCs/>
                <w:color w:val="auto"/>
                <w:sz w:val="21"/>
                <w:szCs w:val="21"/>
                <w:highlight w:val="none"/>
                <w:lang w:val="en-US" w:eastAsia="zh-CN"/>
              </w:rPr>
              <w:t>洁</w:t>
            </w:r>
            <w:r>
              <w:rPr>
                <w:rFonts w:hint="eastAsia" w:ascii="宋体" w:hAnsi="宋体" w:eastAsia="宋体" w:cs="宋体"/>
                <w:b/>
                <w:bCs/>
                <w:color w:val="auto"/>
                <w:sz w:val="21"/>
                <w:szCs w:val="21"/>
                <w:highlight w:val="none"/>
              </w:rPr>
              <w:t>员</w:t>
            </w:r>
            <w:r>
              <w:rPr>
                <w:rFonts w:hint="eastAsia" w:ascii="宋体" w:hAnsi="宋体" w:eastAsia="宋体" w:cs="宋体"/>
                <w:b/>
                <w:bCs/>
                <w:color w:val="auto"/>
                <w:sz w:val="21"/>
                <w:szCs w:val="21"/>
                <w:highlight w:val="none"/>
                <w:lang w:val="en-US" w:eastAsia="zh-CN"/>
              </w:rPr>
              <w:t>资历</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人）（满分</w:t>
            </w:r>
            <w:r>
              <w:rPr>
                <w:rFonts w:hint="eastAsia" w:ascii="宋体" w:hAnsi="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分）：</w:t>
            </w:r>
          </w:p>
          <w:p w14:paraId="3AE4AD10">
            <w:pPr>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w:t>
            </w:r>
            <w:r>
              <w:rPr>
                <w:rFonts w:hint="eastAsia" w:ascii="宋体" w:hAnsi="宋体" w:eastAsia="宋体" w:cs="宋体"/>
                <w:color w:val="auto"/>
                <w:sz w:val="21"/>
                <w:szCs w:val="21"/>
                <w:highlight w:val="none"/>
                <w:lang w:val="en-US" w:eastAsia="zh-CN"/>
              </w:rPr>
              <w:t>2年以上不足4年</w:t>
            </w:r>
            <w:r>
              <w:rPr>
                <w:rFonts w:hint="eastAsia" w:ascii="宋体" w:hAnsi="宋体" w:eastAsia="宋体" w:cs="宋体"/>
                <w:color w:val="auto"/>
                <w:sz w:val="21"/>
                <w:szCs w:val="21"/>
                <w:highlight w:val="none"/>
              </w:rPr>
              <w:t>物业服务</w:t>
            </w:r>
            <w:r>
              <w:rPr>
                <w:rFonts w:hint="eastAsia" w:ascii="宋体" w:hAnsi="宋体" w:eastAsia="宋体" w:cs="宋体"/>
                <w:color w:val="auto"/>
                <w:sz w:val="21"/>
                <w:szCs w:val="21"/>
                <w:highlight w:val="none"/>
                <w:lang w:val="en-US" w:eastAsia="zh-CN"/>
              </w:rPr>
              <w:t>工作经验</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每人</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w:t>
            </w:r>
            <w:r>
              <w:rPr>
                <w:rFonts w:hint="eastAsia" w:ascii="宋体" w:hAnsi="宋体" w:eastAsia="宋体" w:cs="宋体"/>
                <w:color w:val="auto"/>
                <w:sz w:val="21"/>
                <w:szCs w:val="21"/>
                <w:highlight w:val="none"/>
                <w:lang w:val="en-US" w:eastAsia="zh-CN"/>
              </w:rPr>
              <w:t>4年以上</w:t>
            </w:r>
            <w:r>
              <w:rPr>
                <w:rFonts w:hint="eastAsia" w:ascii="宋体" w:hAnsi="宋体" w:eastAsia="宋体" w:cs="宋体"/>
                <w:color w:val="auto"/>
                <w:sz w:val="21"/>
                <w:szCs w:val="21"/>
                <w:highlight w:val="none"/>
              </w:rPr>
              <w:t>物业服务</w:t>
            </w:r>
            <w:r>
              <w:rPr>
                <w:rFonts w:hint="eastAsia" w:ascii="宋体" w:hAnsi="宋体" w:eastAsia="宋体" w:cs="宋体"/>
                <w:color w:val="auto"/>
                <w:sz w:val="21"/>
                <w:szCs w:val="21"/>
                <w:highlight w:val="none"/>
                <w:lang w:val="en-US" w:eastAsia="zh-CN"/>
              </w:rPr>
              <w:t>工作经验</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每人</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满分</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p w14:paraId="713FFA06">
            <w:pPr>
              <w:bidi w:val="0"/>
              <w:spacing w:line="360" w:lineRule="auto"/>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注：</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需提供拟投入人员清单、</w:t>
            </w:r>
            <w:r>
              <w:rPr>
                <w:rFonts w:hint="eastAsia" w:ascii="宋体" w:hAnsi="宋体" w:cs="宋体"/>
                <w:b/>
                <w:bCs w:val="0"/>
                <w:color w:val="auto"/>
                <w:sz w:val="21"/>
                <w:szCs w:val="21"/>
                <w:highlight w:val="none"/>
                <w:lang w:val="en-US" w:eastAsia="zh-CN"/>
              </w:rPr>
              <w:t>保安员提供保安员证书、电工提供</w:t>
            </w:r>
            <w:r>
              <w:rPr>
                <w:rFonts w:hint="eastAsia" w:ascii="宋体" w:hAnsi="宋体" w:cs="宋体"/>
                <w:b/>
                <w:bCs w:val="0"/>
                <w:color w:val="auto"/>
                <w:szCs w:val="21"/>
                <w:highlight w:val="none"/>
              </w:rPr>
              <w:t>《特种作业操作证》（操作项目：低压电工作业）</w:t>
            </w:r>
            <w:r>
              <w:rPr>
                <w:rFonts w:hint="eastAsia" w:ascii="宋体" w:hAnsi="宋体" w:cs="宋体"/>
                <w:b/>
                <w:bCs w:val="0"/>
                <w:color w:val="auto"/>
                <w:szCs w:val="21"/>
                <w:highlight w:val="none"/>
                <w:lang w:eastAsia="zh-CN"/>
              </w:rPr>
              <w:t>、</w:t>
            </w:r>
            <w:r>
              <w:rPr>
                <w:rFonts w:hint="eastAsia" w:ascii="宋体" w:hAnsi="宋体" w:eastAsia="宋体" w:cs="宋体"/>
                <w:b/>
                <w:bCs w:val="0"/>
                <w:color w:val="auto"/>
                <w:sz w:val="21"/>
                <w:szCs w:val="21"/>
                <w:highlight w:val="none"/>
              </w:rPr>
              <w:t>同类工作</w:t>
            </w:r>
            <w:r>
              <w:rPr>
                <w:rFonts w:hint="eastAsia" w:ascii="宋体" w:hAnsi="宋体" w:eastAsia="宋体" w:cs="宋体"/>
                <w:b/>
                <w:bCs w:val="0"/>
                <w:color w:val="auto"/>
                <w:sz w:val="21"/>
                <w:szCs w:val="21"/>
                <w:highlight w:val="none"/>
                <w:lang w:val="en-US" w:eastAsia="zh-CN"/>
              </w:rPr>
              <w:t>经验</w:t>
            </w:r>
            <w:r>
              <w:rPr>
                <w:rFonts w:hint="eastAsia" w:ascii="宋体" w:hAnsi="宋体" w:eastAsia="宋体" w:cs="宋体"/>
                <w:b/>
                <w:bCs w:val="0"/>
                <w:color w:val="auto"/>
                <w:sz w:val="21"/>
                <w:szCs w:val="21"/>
                <w:highlight w:val="none"/>
              </w:rPr>
              <w:t>年限证明</w:t>
            </w:r>
            <w:r>
              <w:rPr>
                <w:rFonts w:hint="eastAsia" w:ascii="宋体" w:hAnsi="宋体" w:cs="宋体"/>
                <w:b/>
                <w:bCs w:val="0"/>
                <w:color w:val="auto"/>
                <w:sz w:val="21"/>
                <w:szCs w:val="21"/>
                <w:highlight w:val="none"/>
                <w:lang w:eastAsia="zh-CN"/>
              </w:rPr>
              <w:t>（</w:t>
            </w:r>
            <w:r>
              <w:rPr>
                <w:rFonts w:hint="eastAsia" w:asciiTheme="minorEastAsia" w:hAnsiTheme="minorEastAsia" w:eastAsiaTheme="minorEastAsia" w:cstheme="minorEastAsia"/>
                <w:b/>
                <w:bCs w:val="0"/>
                <w:color w:val="auto"/>
                <w:kern w:val="0"/>
                <w:sz w:val="21"/>
                <w:szCs w:val="21"/>
                <w:highlight w:val="none"/>
              </w:rPr>
              <w:t>相关工作经验可提供人员参与类似项目名称、在该项目中担任的工作履历</w:t>
            </w:r>
            <w:r>
              <w:rPr>
                <w:rFonts w:hint="eastAsia" w:asciiTheme="minorEastAsia" w:hAnsiTheme="minorEastAsia" w:eastAsiaTheme="minorEastAsia" w:cstheme="minorEastAsia"/>
                <w:b/>
                <w:bCs w:val="0"/>
                <w:color w:val="auto"/>
                <w:kern w:val="0"/>
                <w:sz w:val="21"/>
                <w:szCs w:val="21"/>
                <w:highlight w:val="none"/>
                <w:lang w:val="en-US" w:eastAsia="zh-CN"/>
              </w:rPr>
              <w:t>或工作简历</w:t>
            </w:r>
            <w:r>
              <w:rPr>
                <w:rFonts w:hint="eastAsia" w:asciiTheme="minorEastAsia" w:hAnsiTheme="minorEastAsia" w:eastAsiaTheme="minorEastAsia" w:cstheme="minorEastAsia"/>
                <w:b/>
                <w:bCs w:val="0"/>
                <w:color w:val="auto"/>
                <w:kern w:val="0"/>
                <w:sz w:val="21"/>
                <w:szCs w:val="21"/>
                <w:highlight w:val="none"/>
              </w:rPr>
              <w:t>等</w:t>
            </w:r>
            <w:r>
              <w:rPr>
                <w:rFonts w:hint="eastAsia" w:ascii="宋体"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和拟投入人员与</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签署的劳动合同(</w:t>
            </w:r>
            <w:r>
              <w:rPr>
                <w:rFonts w:hint="eastAsia" w:ascii="宋体" w:hAnsi="宋体" w:eastAsia="宋体" w:cs="宋体"/>
                <w:b/>
                <w:bCs w:val="0"/>
                <w:color w:val="auto"/>
                <w:sz w:val="21"/>
                <w:szCs w:val="21"/>
                <w:highlight w:val="none"/>
                <w:lang w:val="zh-CN" w:eastAsia="zh-CN"/>
              </w:rPr>
              <w:t>截止到本项目</w:t>
            </w:r>
            <w:r>
              <w:rPr>
                <w:rFonts w:hint="eastAsia" w:ascii="宋体" w:hAnsi="宋体" w:eastAsia="宋体" w:cs="宋体"/>
                <w:b/>
                <w:bCs w:val="0"/>
                <w:color w:val="auto"/>
                <w:sz w:val="21"/>
                <w:szCs w:val="21"/>
                <w:highlight w:val="none"/>
                <w:lang w:val="en-US" w:eastAsia="zh-CN"/>
              </w:rPr>
              <w:t>响应文件递交截止时间</w:t>
            </w:r>
            <w:r>
              <w:rPr>
                <w:rFonts w:hint="eastAsia" w:ascii="宋体" w:hAnsi="宋体" w:eastAsia="宋体" w:cs="宋体"/>
                <w:b/>
                <w:bCs w:val="0"/>
                <w:color w:val="auto"/>
                <w:sz w:val="21"/>
                <w:szCs w:val="21"/>
                <w:highlight w:val="none"/>
              </w:rPr>
              <w:t>当天合同仍在有效期内)复印件。</w:t>
            </w:r>
          </w:p>
        </w:tc>
        <w:tc>
          <w:tcPr>
            <w:tcW w:w="772" w:type="dxa"/>
            <w:noWrap/>
            <w:vAlign w:val="center"/>
          </w:tcPr>
          <w:p w14:paraId="7BDB113F">
            <w:pPr>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38</w:t>
            </w:r>
            <w:r>
              <w:rPr>
                <w:rFonts w:hint="eastAsia" w:ascii="宋体" w:hAnsi="宋体" w:eastAsia="宋体" w:cs="宋体"/>
                <w:color w:val="auto"/>
                <w:sz w:val="21"/>
                <w:szCs w:val="21"/>
                <w:highlight w:val="none"/>
              </w:rPr>
              <w:t>分</w:t>
            </w:r>
          </w:p>
        </w:tc>
      </w:tr>
      <w:tr w14:paraId="5584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50" w:type="dxa"/>
            <w:vMerge w:val="restart"/>
            <w:noWrap/>
            <w:vAlign w:val="center"/>
          </w:tcPr>
          <w:p w14:paraId="5D4782CE">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07" w:type="dxa"/>
            <w:vMerge w:val="restart"/>
            <w:noWrap/>
            <w:vAlign w:val="center"/>
          </w:tcPr>
          <w:p w14:paraId="5A84FAD9">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技术因素</w:t>
            </w:r>
          </w:p>
          <w:p w14:paraId="550780CC">
            <w:pPr>
              <w:pStyle w:val="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w:t>
            </w:r>
            <w:r>
              <w:rPr>
                <w:rFonts w:hint="eastAsia" w:ascii="宋体" w:hAnsi="宋体" w:cs="宋体"/>
                <w:color w:val="auto"/>
                <w:sz w:val="21"/>
                <w:szCs w:val="21"/>
                <w:highlight w:val="none"/>
                <w:lang w:val="en-US" w:eastAsia="zh-CN"/>
              </w:rPr>
              <w:t>39</w:t>
            </w:r>
            <w:r>
              <w:rPr>
                <w:rFonts w:hint="eastAsia" w:ascii="宋体" w:hAnsi="宋体" w:eastAsia="宋体" w:cs="宋体"/>
                <w:color w:val="auto"/>
                <w:sz w:val="21"/>
                <w:szCs w:val="21"/>
                <w:highlight w:val="none"/>
              </w:rPr>
              <w:t>分）</w:t>
            </w:r>
          </w:p>
        </w:tc>
        <w:tc>
          <w:tcPr>
            <w:tcW w:w="720" w:type="dxa"/>
            <w:shd w:val="clear" w:color="auto" w:fill="auto"/>
            <w:noWrap/>
            <w:vAlign w:val="center"/>
          </w:tcPr>
          <w:p w14:paraId="273F5692">
            <w:pPr>
              <w:keepNext w:val="0"/>
              <w:keepLines w:val="0"/>
              <w:pageBreakBefore w:val="0"/>
              <w:widowControl/>
              <w:kinsoku/>
              <w:wordWrap/>
              <w:overflowPunct w:val="0"/>
              <w:topLinePunct w:val="0"/>
              <w:autoSpaceDE w:val="0"/>
              <w:autoSpaceDN w:val="0"/>
              <w:bidi w:val="0"/>
              <w:adjustRightInd w:val="0"/>
              <w:snapToGrid/>
              <w:spacing w:after="0" w:line="360" w:lineRule="auto"/>
              <w:jc w:val="center"/>
              <w:textAlignment w:val="baseline"/>
              <w:rPr>
                <w:rFonts w:hint="eastAsia" w:ascii="宋体" w:hAnsi="宋体" w:eastAsia="宋体" w:cs="宋体"/>
                <w:bCs/>
                <w:color w:val="auto"/>
                <w:kern w:val="2"/>
                <w:sz w:val="21"/>
                <w:szCs w:val="22"/>
                <w:highlight w:val="none"/>
                <w:lang w:val="en-US" w:eastAsia="zh-CN" w:bidi="ar-SA"/>
              </w:rPr>
            </w:pPr>
            <w:r>
              <w:rPr>
                <w:rFonts w:hint="eastAsia" w:ascii="宋体" w:hAnsi="宋体" w:eastAsia="宋体" w:cs="宋体"/>
                <w:b w:val="0"/>
                <w:bCs w:val="0"/>
                <w:color w:val="auto"/>
                <w:spacing w:val="8"/>
                <w:sz w:val="21"/>
                <w:szCs w:val="21"/>
                <w:highlight w:val="none"/>
                <w:lang w:val="en-US" w:eastAsia="zh-CN"/>
              </w:rPr>
              <w:t>综合服务及会议服务方案</w:t>
            </w:r>
          </w:p>
        </w:tc>
        <w:tc>
          <w:tcPr>
            <w:tcW w:w="6150" w:type="dxa"/>
            <w:shd w:val="clear" w:color="auto" w:fill="auto"/>
            <w:noWrap/>
            <w:vAlign w:val="center"/>
          </w:tcPr>
          <w:p w14:paraId="7F950768">
            <w:pPr>
              <w:keepNext w:val="0"/>
              <w:keepLines w:val="0"/>
              <w:pageBreakBefore w:val="0"/>
              <w:widowControl/>
              <w:kinsoku/>
              <w:wordWrap/>
              <w:overflowPunct w:val="0"/>
              <w:topLinePunct w:val="0"/>
              <w:autoSpaceDE w:val="0"/>
              <w:autoSpaceDN w:val="0"/>
              <w:bidi w:val="0"/>
              <w:adjustRightInd w:val="0"/>
              <w:snapToGrid/>
              <w:spacing w:after="0" w:line="360" w:lineRule="auto"/>
              <w:ind w:firstLine="452" w:firstLineChars="200"/>
              <w:jc w:val="left"/>
              <w:textAlignment w:val="baseline"/>
              <w:rPr>
                <w:rFonts w:hint="eastAsia" w:ascii="宋体" w:hAnsi="宋体" w:eastAsia="宋体" w:cs="宋体"/>
                <w:b w:val="0"/>
                <w:bCs w:val="0"/>
                <w:color w:val="auto"/>
                <w:spacing w:val="8"/>
                <w:sz w:val="21"/>
                <w:szCs w:val="21"/>
                <w:highlight w:val="none"/>
                <w:lang w:val="en-US" w:eastAsia="zh-CN"/>
              </w:rPr>
            </w:pPr>
            <w:r>
              <w:rPr>
                <w:rFonts w:hint="eastAsia" w:ascii="宋体" w:hAnsi="宋体" w:eastAsia="宋体" w:cs="宋体"/>
                <w:b w:val="0"/>
                <w:bCs w:val="0"/>
                <w:color w:val="auto"/>
                <w:spacing w:val="8"/>
                <w:sz w:val="21"/>
                <w:szCs w:val="21"/>
                <w:highlight w:val="none"/>
                <w:lang w:val="en-US" w:eastAsia="zh-CN"/>
              </w:rPr>
              <w:t>磋商小组根据供应商的综合服务及会议服务方案内容进行评价。以下各项不重复计分：</w:t>
            </w:r>
          </w:p>
          <w:p w14:paraId="73572EA9">
            <w:pPr>
              <w:keepNext w:val="0"/>
              <w:keepLines w:val="0"/>
              <w:pageBreakBefore w:val="0"/>
              <w:widowControl/>
              <w:kinsoku/>
              <w:wordWrap/>
              <w:overflowPunct w:val="0"/>
              <w:topLinePunct w:val="0"/>
              <w:autoSpaceDE w:val="0"/>
              <w:autoSpaceDN w:val="0"/>
              <w:bidi w:val="0"/>
              <w:adjustRightInd w:val="0"/>
              <w:snapToGrid/>
              <w:spacing w:after="0" w:line="360" w:lineRule="auto"/>
              <w:ind w:firstLine="452" w:firstLineChars="200"/>
              <w:jc w:val="left"/>
              <w:textAlignment w:val="baseline"/>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en-US" w:eastAsia="zh-CN"/>
              </w:rPr>
              <w:t>①供应商制订的综合服务及会议服务方案能完全响应项目</w:t>
            </w:r>
            <w:r>
              <w:rPr>
                <w:rFonts w:hint="eastAsia" w:ascii="宋体" w:hAnsi="宋体" w:eastAsia="宋体" w:cs="宋体"/>
                <w:color w:val="auto"/>
                <w:highlight w:val="none"/>
                <w:lang w:eastAsia="zh-CN"/>
              </w:rPr>
              <w:t>采购</w:t>
            </w:r>
            <w:r>
              <w:rPr>
                <w:rFonts w:hint="eastAsia" w:ascii="宋体" w:hAnsi="宋体" w:eastAsia="宋体" w:cs="宋体"/>
                <w:color w:val="auto"/>
                <w:spacing w:val="8"/>
                <w:sz w:val="21"/>
                <w:szCs w:val="21"/>
                <w:highlight w:val="none"/>
                <w:lang w:val="en-US" w:eastAsia="zh-CN"/>
              </w:rPr>
              <w:t>需求的服务内容要求前提下，根据服务要求制定具体的综合服务及会议服务措施，得3分；</w:t>
            </w:r>
          </w:p>
          <w:p w14:paraId="75C71F30">
            <w:pPr>
              <w:keepNext w:val="0"/>
              <w:keepLines w:val="0"/>
              <w:pageBreakBefore w:val="0"/>
              <w:widowControl/>
              <w:kinsoku/>
              <w:wordWrap/>
              <w:overflowPunct w:val="0"/>
              <w:topLinePunct w:val="0"/>
              <w:autoSpaceDE w:val="0"/>
              <w:autoSpaceDN w:val="0"/>
              <w:bidi w:val="0"/>
              <w:adjustRightInd w:val="0"/>
              <w:snapToGrid/>
              <w:spacing w:after="0" w:line="360" w:lineRule="auto"/>
              <w:ind w:firstLine="420" w:firstLineChars="200"/>
              <w:jc w:val="left"/>
              <w:textAlignment w:val="baseline"/>
              <w:rPr>
                <w:rFonts w:hint="eastAsia" w:ascii="宋体" w:hAnsi="宋体" w:eastAsia="宋体" w:cs="宋体"/>
                <w:color w:val="auto"/>
                <w:spacing w:val="8"/>
                <w:sz w:val="21"/>
                <w:szCs w:val="21"/>
                <w:highlight w:val="none"/>
                <w:lang w:val="en-US"/>
              </w:rPr>
            </w:pPr>
            <w:r>
              <w:rPr>
                <w:rFonts w:hint="eastAsia" w:ascii="宋体" w:hAnsi="宋体" w:eastAsia="宋体" w:cs="宋体"/>
                <w:color w:val="auto"/>
                <w:sz w:val="21"/>
                <w:szCs w:val="21"/>
                <w:highlight w:val="none"/>
                <w:lang w:val="zh-CN"/>
              </w:rPr>
              <w:t>②</w:t>
            </w:r>
            <w:r>
              <w:rPr>
                <w:rFonts w:hint="eastAsia" w:ascii="宋体" w:hAnsi="宋体" w:eastAsia="宋体" w:cs="宋体"/>
                <w:color w:val="auto"/>
                <w:spacing w:val="8"/>
                <w:sz w:val="21"/>
                <w:szCs w:val="21"/>
                <w:highlight w:val="none"/>
                <w:lang w:eastAsia="zh-CN"/>
              </w:rPr>
              <w:t>在本项</w:t>
            </w:r>
            <w:r>
              <w:rPr>
                <w:rFonts w:hint="eastAsia" w:ascii="宋体" w:hAnsi="宋体" w:eastAsia="宋体" w:cs="宋体"/>
                <w:color w:val="auto"/>
                <w:spacing w:val="8"/>
                <w:sz w:val="21"/>
                <w:szCs w:val="21"/>
                <w:highlight w:val="none"/>
                <w:lang w:val="en-US" w:eastAsia="zh-CN"/>
              </w:rPr>
              <w:t>①</w:t>
            </w:r>
            <w:r>
              <w:rPr>
                <w:rFonts w:hint="eastAsia" w:ascii="宋体" w:hAnsi="宋体" w:eastAsia="宋体" w:cs="宋体"/>
                <w:color w:val="auto"/>
                <w:sz w:val="21"/>
                <w:szCs w:val="21"/>
                <w:highlight w:val="none"/>
                <w:lang w:val="en-US" w:eastAsia="zh-CN"/>
              </w:rPr>
              <w:t>项的基础上</w:t>
            </w:r>
            <w:r>
              <w:rPr>
                <w:rFonts w:hint="eastAsia" w:ascii="宋体" w:hAnsi="宋体" w:eastAsia="宋体" w:cs="宋体"/>
                <w:color w:val="auto"/>
                <w:spacing w:val="8"/>
                <w:sz w:val="21"/>
                <w:szCs w:val="21"/>
                <w:highlight w:val="none"/>
                <w:lang w:val="en-US" w:eastAsia="zh-CN"/>
              </w:rPr>
              <w:t>，能根据项目采购需求的综合服务及会议服务要求制定有针对性的、具体的服务流程、服务计划，得6分；</w:t>
            </w:r>
          </w:p>
          <w:p w14:paraId="10F82DDF">
            <w:pPr>
              <w:keepNext w:val="0"/>
              <w:keepLines w:val="0"/>
              <w:pageBreakBefore w:val="0"/>
              <w:widowControl/>
              <w:kinsoku/>
              <w:wordWrap/>
              <w:overflowPunct w:val="0"/>
              <w:topLinePunct w:val="0"/>
              <w:autoSpaceDE w:val="0"/>
              <w:autoSpaceDN w:val="0"/>
              <w:bidi w:val="0"/>
              <w:adjustRightInd w:val="0"/>
              <w:snapToGrid/>
              <w:spacing w:after="0" w:line="360" w:lineRule="auto"/>
              <w:ind w:firstLine="452" w:firstLineChars="200"/>
              <w:jc w:val="left"/>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8"/>
                <w:sz w:val="21"/>
                <w:szCs w:val="21"/>
                <w:highlight w:val="none"/>
              </w:rPr>
              <w:t>③</w:t>
            </w:r>
            <w:r>
              <w:rPr>
                <w:rFonts w:hint="eastAsia" w:ascii="宋体" w:hAnsi="宋体" w:eastAsia="宋体" w:cs="宋体"/>
                <w:color w:val="auto"/>
                <w:spacing w:val="8"/>
                <w:sz w:val="21"/>
                <w:szCs w:val="21"/>
                <w:highlight w:val="none"/>
                <w:lang w:val="en-US" w:eastAsia="zh-CN"/>
              </w:rPr>
              <w:t>在本项</w:t>
            </w:r>
            <w:r>
              <w:rPr>
                <w:rFonts w:hint="eastAsia" w:ascii="宋体" w:hAnsi="宋体" w:eastAsia="宋体" w:cs="宋体"/>
                <w:color w:val="auto"/>
                <w:sz w:val="21"/>
                <w:szCs w:val="21"/>
                <w:highlight w:val="none"/>
                <w:lang w:val="zh-CN"/>
              </w:rPr>
              <w:t>②</w:t>
            </w:r>
            <w:r>
              <w:rPr>
                <w:rFonts w:hint="eastAsia" w:ascii="宋体" w:hAnsi="宋体" w:eastAsia="宋体" w:cs="宋体"/>
                <w:color w:val="auto"/>
                <w:sz w:val="21"/>
                <w:szCs w:val="21"/>
                <w:highlight w:val="none"/>
                <w:lang w:val="en-US" w:eastAsia="zh-CN"/>
              </w:rPr>
              <w:t>项的基础上，针对综合服务</w:t>
            </w:r>
            <w:r>
              <w:rPr>
                <w:rFonts w:hint="eastAsia" w:ascii="宋体" w:hAnsi="宋体" w:eastAsia="宋体" w:cs="宋体"/>
                <w:color w:val="auto"/>
                <w:spacing w:val="8"/>
                <w:sz w:val="21"/>
                <w:szCs w:val="21"/>
                <w:highlight w:val="none"/>
                <w:lang w:val="en-US" w:eastAsia="zh-CN"/>
              </w:rPr>
              <w:t>及会议服务要求制定有内部管理架</w:t>
            </w:r>
            <w:r>
              <w:rPr>
                <w:rFonts w:hint="eastAsia" w:ascii="宋体" w:hAnsi="宋体" w:eastAsia="宋体" w:cs="宋体"/>
                <w:color w:val="auto"/>
                <w:spacing w:val="7"/>
                <w:sz w:val="21"/>
                <w:szCs w:val="21"/>
                <w:highlight w:val="none"/>
                <w:lang w:val="en-US" w:eastAsia="zh-CN"/>
              </w:rPr>
              <w:t>构；综合服务及会议服务相关的管理</w:t>
            </w:r>
            <w:r>
              <w:rPr>
                <w:rFonts w:hint="eastAsia" w:ascii="宋体" w:hAnsi="宋体" w:eastAsia="宋体" w:cs="宋体"/>
                <w:color w:val="auto"/>
                <w:spacing w:val="7"/>
                <w:sz w:val="21"/>
                <w:szCs w:val="21"/>
                <w:highlight w:val="none"/>
                <w:lang w:eastAsia="zh-CN"/>
              </w:rPr>
              <w:t>制度齐全；岗位责任和岗位培训方案完善，</w:t>
            </w:r>
            <w:r>
              <w:rPr>
                <w:rFonts w:hint="eastAsia" w:ascii="宋体" w:hAnsi="宋体" w:eastAsia="宋体" w:cs="宋体"/>
                <w:color w:val="auto"/>
                <w:spacing w:val="7"/>
                <w:sz w:val="21"/>
                <w:szCs w:val="21"/>
                <w:highlight w:val="none"/>
                <w:lang w:val="en-US" w:eastAsia="zh-CN"/>
              </w:rPr>
              <w:t>得9分。</w:t>
            </w:r>
          </w:p>
          <w:p w14:paraId="6207173D">
            <w:pPr>
              <w:keepNext w:val="0"/>
              <w:keepLines w:val="0"/>
              <w:pageBreakBefore w:val="0"/>
              <w:widowControl/>
              <w:kinsoku/>
              <w:wordWrap/>
              <w:overflowPunct w:val="0"/>
              <w:topLinePunct w:val="0"/>
              <w:autoSpaceDE w:val="0"/>
              <w:autoSpaceDN w:val="0"/>
              <w:bidi w:val="0"/>
              <w:adjustRightInd w:val="0"/>
              <w:snapToGrid/>
              <w:spacing w:line="360" w:lineRule="auto"/>
              <w:jc w:val="left"/>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 xml:space="preserve">     </w:t>
            </w:r>
            <w:r>
              <w:rPr>
                <w:rFonts w:hint="eastAsia" w:ascii="宋体" w:hAnsi="宋体" w:eastAsia="宋体" w:cs="宋体"/>
                <w:b/>
                <w:bCs/>
                <w:color w:val="auto"/>
                <w:sz w:val="21"/>
                <w:szCs w:val="21"/>
                <w:highlight w:val="none"/>
              </w:rPr>
              <w:t>注：未提供</w:t>
            </w:r>
            <w:r>
              <w:rPr>
                <w:rFonts w:hint="eastAsia" w:ascii="宋体" w:hAnsi="宋体" w:eastAsia="宋体" w:cs="宋体"/>
                <w:b/>
                <w:bCs w:val="0"/>
                <w:color w:val="auto"/>
                <w:sz w:val="21"/>
                <w:szCs w:val="21"/>
                <w:highlight w:val="none"/>
                <w:lang w:val="en-US" w:eastAsia="zh-CN"/>
              </w:rPr>
              <w:t>综合服务</w:t>
            </w:r>
            <w:r>
              <w:rPr>
                <w:rFonts w:hint="eastAsia" w:ascii="宋体" w:hAnsi="宋体" w:eastAsia="宋体" w:cs="宋体"/>
                <w:b/>
                <w:bCs/>
                <w:color w:val="auto"/>
                <w:sz w:val="21"/>
                <w:szCs w:val="21"/>
                <w:highlight w:val="none"/>
              </w:rPr>
              <w:t>及会议服务方案或</w:t>
            </w:r>
            <w:r>
              <w:rPr>
                <w:rFonts w:hint="eastAsia" w:ascii="宋体" w:hAnsi="宋体" w:eastAsia="宋体" w:cs="宋体"/>
                <w:b/>
                <w:bCs w:val="0"/>
                <w:color w:val="auto"/>
                <w:sz w:val="21"/>
                <w:szCs w:val="21"/>
                <w:highlight w:val="none"/>
                <w:lang w:val="en-US" w:eastAsia="zh-CN"/>
              </w:rPr>
              <w:t>综合服务</w:t>
            </w:r>
            <w:r>
              <w:rPr>
                <w:rFonts w:hint="eastAsia" w:ascii="宋体" w:hAnsi="宋体" w:eastAsia="宋体" w:cs="宋体"/>
                <w:b/>
                <w:bCs/>
                <w:color w:val="auto"/>
                <w:sz w:val="21"/>
                <w:szCs w:val="21"/>
                <w:highlight w:val="none"/>
              </w:rPr>
              <w:t>及会议服务方案未达到①标准要求的，得0分。</w:t>
            </w:r>
          </w:p>
        </w:tc>
        <w:tc>
          <w:tcPr>
            <w:tcW w:w="772" w:type="dxa"/>
            <w:shd w:val="clear" w:color="auto" w:fill="auto"/>
            <w:noWrap/>
            <w:vAlign w:val="center"/>
          </w:tcPr>
          <w:p w14:paraId="24CAF2AD">
            <w:pPr>
              <w:keepNext w:val="0"/>
              <w:keepLines w:val="0"/>
              <w:pageBreakBefore w:val="0"/>
              <w:widowControl/>
              <w:kinsoku/>
              <w:wordWrap/>
              <w:overflowPunct w:val="0"/>
              <w:topLinePunct w:val="0"/>
              <w:autoSpaceDE w:val="0"/>
              <w:autoSpaceDN w:val="0"/>
              <w:bidi w:val="0"/>
              <w:adjustRightInd w:val="0"/>
              <w:snapToGrid/>
              <w:spacing w:after="0" w:line="360" w:lineRule="auto"/>
              <w:jc w:val="center"/>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9分</w:t>
            </w:r>
          </w:p>
        </w:tc>
      </w:tr>
      <w:tr w14:paraId="412C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50" w:type="dxa"/>
            <w:vMerge w:val="continue"/>
            <w:noWrap/>
            <w:vAlign w:val="center"/>
          </w:tcPr>
          <w:p w14:paraId="0B697F44">
            <w:pPr>
              <w:spacing w:line="360" w:lineRule="auto"/>
              <w:jc w:val="center"/>
              <w:rPr>
                <w:rFonts w:hint="eastAsia" w:ascii="宋体" w:hAnsi="宋体" w:eastAsia="宋体" w:cs="宋体"/>
                <w:color w:val="auto"/>
                <w:sz w:val="21"/>
                <w:szCs w:val="21"/>
                <w:highlight w:val="none"/>
                <w:lang w:val="en-US" w:eastAsia="zh-CN"/>
              </w:rPr>
            </w:pPr>
          </w:p>
        </w:tc>
        <w:tc>
          <w:tcPr>
            <w:tcW w:w="707" w:type="dxa"/>
            <w:vMerge w:val="continue"/>
            <w:noWrap/>
            <w:vAlign w:val="center"/>
          </w:tcPr>
          <w:p w14:paraId="0C6A87F1">
            <w:pPr>
              <w:pStyle w:val="2"/>
              <w:spacing w:line="360" w:lineRule="auto"/>
              <w:rPr>
                <w:rFonts w:hint="eastAsia" w:ascii="宋体" w:hAnsi="宋体" w:eastAsia="宋体" w:cs="宋体"/>
                <w:color w:val="auto"/>
                <w:sz w:val="21"/>
                <w:szCs w:val="21"/>
                <w:highlight w:val="none"/>
              </w:rPr>
            </w:pPr>
          </w:p>
        </w:tc>
        <w:tc>
          <w:tcPr>
            <w:tcW w:w="720" w:type="dxa"/>
            <w:shd w:val="clear" w:color="auto" w:fill="auto"/>
            <w:noWrap/>
            <w:vAlign w:val="center"/>
          </w:tcPr>
          <w:p w14:paraId="6039A549">
            <w:pPr>
              <w:spacing w:line="360" w:lineRule="auto"/>
              <w:jc w:val="center"/>
              <w:textAlignment w:val="baseline"/>
              <w:rPr>
                <w:rFonts w:hint="eastAsia" w:ascii="宋体" w:hAnsi="宋体" w:eastAsia="宋体" w:cs="宋体"/>
                <w:snapToGrid w:val="0"/>
                <w:color w:val="auto"/>
                <w:kern w:val="2"/>
                <w:sz w:val="21"/>
                <w:szCs w:val="21"/>
                <w:highlight w:val="none"/>
                <w:lang w:val="en-US" w:eastAsia="zh-CN" w:bidi="ar-SA"/>
              </w:rPr>
            </w:pPr>
            <w:r>
              <w:rPr>
                <w:rFonts w:hint="eastAsia" w:hAnsi="宋体" w:cs="宋体"/>
                <w:color w:val="auto"/>
                <w:szCs w:val="21"/>
                <w:highlight w:val="none"/>
                <w:lang w:val="en-US" w:eastAsia="zh-CN"/>
              </w:rPr>
              <w:t>保安</w:t>
            </w:r>
            <w:r>
              <w:rPr>
                <w:rFonts w:hint="eastAsia" w:hAnsi="宋体" w:cs="宋体"/>
                <w:color w:val="auto"/>
                <w:szCs w:val="21"/>
                <w:highlight w:val="none"/>
              </w:rPr>
              <w:t>服务方案</w:t>
            </w:r>
          </w:p>
        </w:tc>
        <w:tc>
          <w:tcPr>
            <w:tcW w:w="6150" w:type="dxa"/>
            <w:shd w:val="clear" w:color="auto" w:fill="auto"/>
            <w:noWrap/>
            <w:vAlign w:val="center"/>
          </w:tcPr>
          <w:p w14:paraId="14214ABF">
            <w:pPr>
              <w:pStyle w:val="11"/>
              <w:spacing w:line="360" w:lineRule="auto"/>
              <w:ind w:firstLine="420" w:firstLineChars="200"/>
              <w:rPr>
                <w:rFonts w:hAnsi="宋体" w:cs="宋体"/>
                <w:color w:val="auto"/>
                <w:highlight w:val="none"/>
              </w:rPr>
            </w:pPr>
            <w:r>
              <w:rPr>
                <w:rFonts w:hint="eastAsia" w:hAnsi="宋体" w:cs="宋体"/>
                <w:color w:val="auto"/>
                <w:highlight w:val="none"/>
              </w:rPr>
              <w:t>磋商小组根据供应商的</w:t>
            </w:r>
            <w:r>
              <w:rPr>
                <w:rFonts w:hint="eastAsia" w:hAnsi="宋体" w:cs="宋体"/>
                <w:color w:val="auto"/>
                <w:highlight w:val="none"/>
                <w:lang w:val="en-US" w:eastAsia="zh-CN"/>
              </w:rPr>
              <w:t>保安</w:t>
            </w:r>
            <w:r>
              <w:rPr>
                <w:rFonts w:hint="eastAsia" w:hAnsi="宋体" w:cs="宋体"/>
                <w:color w:val="auto"/>
                <w:highlight w:val="none"/>
              </w:rPr>
              <w:t>服务方案内容进行评</w:t>
            </w:r>
            <w:r>
              <w:rPr>
                <w:rFonts w:hint="eastAsia" w:hAnsi="宋体" w:cs="宋体"/>
                <w:bCs/>
                <w:color w:val="auto"/>
                <w:kern w:val="0"/>
                <w:highlight w:val="none"/>
              </w:rPr>
              <w:t>价</w:t>
            </w:r>
            <w:r>
              <w:rPr>
                <w:rFonts w:hint="eastAsia" w:hAnsi="宋体" w:cs="宋体"/>
                <w:color w:val="auto"/>
                <w:highlight w:val="none"/>
              </w:rPr>
              <w:t>。以下各项不重复计分：</w:t>
            </w:r>
          </w:p>
          <w:p w14:paraId="5D3DDC8B">
            <w:pPr>
              <w:spacing w:line="360" w:lineRule="auto"/>
              <w:ind w:firstLine="420" w:firstLineChars="200"/>
              <w:rPr>
                <w:rFonts w:ascii="宋体" w:hAnsi="宋体" w:cs="宋体"/>
                <w:color w:val="auto"/>
                <w:szCs w:val="21"/>
                <w:highlight w:val="none"/>
              </w:rPr>
            </w:pPr>
            <w:r>
              <w:rPr>
                <w:rFonts w:hint="eastAsia" w:hAnsi="宋体" w:cs="宋体"/>
                <w:color w:val="auto"/>
                <w:szCs w:val="21"/>
                <w:highlight w:val="none"/>
              </w:rPr>
              <w:t>①供应商的</w:t>
            </w:r>
            <w:r>
              <w:rPr>
                <w:rFonts w:hint="eastAsia" w:hAnsi="宋体" w:cs="宋体"/>
                <w:color w:val="auto"/>
                <w:highlight w:val="none"/>
                <w:lang w:val="en-US" w:eastAsia="zh-CN"/>
              </w:rPr>
              <w:t>保安</w:t>
            </w:r>
            <w:r>
              <w:rPr>
                <w:rFonts w:hint="eastAsia" w:hAnsi="宋体" w:cs="宋体"/>
                <w:color w:val="auto"/>
                <w:szCs w:val="21"/>
                <w:highlight w:val="none"/>
              </w:rPr>
              <w:t>服务方案能完全响应项目采购需求的服务内容要求前提下，能根据服务要求制订具体的</w:t>
            </w:r>
            <w:r>
              <w:rPr>
                <w:rFonts w:hint="eastAsia" w:hAnsi="宋体" w:cs="宋体"/>
                <w:color w:val="auto"/>
                <w:highlight w:val="none"/>
                <w:lang w:val="en-US" w:eastAsia="zh-CN"/>
              </w:rPr>
              <w:t>保安</w:t>
            </w:r>
            <w:r>
              <w:rPr>
                <w:rFonts w:hint="eastAsia" w:hAnsi="宋体" w:cs="宋体"/>
                <w:color w:val="auto"/>
                <w:szCs w:val="21"/>
                <w:highlight w:val="none"/>
              </w:rPr>
              <w:t>服务措施</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730500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②在本项①项的基础上，建立明确的</w:t>
            </w:r>
            <w:r>
              <w:rPr>
                <w:rFonts w:hint="eastAsia" w:hAnsi="宋体" w:cs="宋体"/>
                <w:color w:val="auto"/>
                <w:highlight w:val="none"/>
                <w:lang w:val="en-US" w:eastAsia="zh-CN"/>
              </w:rPr>
              <w:t>保安</w:t>
            </w:r>
            <w:r>
              <w:rPr>
                <w:rFonts w:hint="eastAsia" w:ascii="宋体" w:hAnsi="宋体" w:cs="宋体"/>
                <w:color w:val="auto"/>
                <w:szCs w:val="21"/>
                <w:highlight w:val="none"/>
              </w:rPr>
              <w:t>服务工作职责，工作流程；针对本项目制定相对固定的巡视路线，对重要区域、部位、节假日、夜间制订重点巡查方案；制订有齐全的日常安全巡检的记录台账（表单），得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69FF1241">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③在本项第②项的基础上，建立完善的进出管理制度、交接制度、车辆管理制度等，安全保卫服务措施得力；针对各类突发事件（包括但不限于出现灾害性天气、突发火灾、停电、供水管道爆裂、燃气泄</w:t>
            </w:r>
            <w:r>
              <w:rPr>
                <w:rFonts w:hint="eastAsia" w:ascii="宋体" w:hAnsi="宋体" w:cs="宋体"/>
                <w:color w:val="auto"/>
                <w:szCs w:val="21"/>
                <w:highlight w:val="none"/>
                <w:lang w:val="en-US" w:eastAsia="zh-CN"/>
              </w:rPr>
              <w:t>漏</w:t>
            </w:r>
            <w:r>
              <w:rPr>
                <w:rFonts w:hint="eastAsia" w:ascii="宋体" w:hAnsi="宋体" w:cs="宋体"/>
                <w:color w:val="auto"/>
                <w:szCs w:val="21"/>
                <w:highlight w:val="none"/>
              </w:rPr>
              <w:t>、突发治安或刑事事件等）制订合理、有预见性、有针对性的处置措施，得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p w14:paraId="6117D0F3">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hAnsi="宋体" w:cs="宋体"/>
                <w:color w:val="auto"/>
                <w:szCs w:val="21"/>
                <w:highlight w:val="none"/>
              </w:rPr>
              <w:t>注：供应商</w:t>
            </w:r>
            <w:r>
              <w:rPr>
                <w:rFonts w:hAnsi="宋体" w:cs="宋体"/>
                <w:color w:val="auto"/>
                <w:szCs w:val="21"/>
                <w:highlight w:val="none"/>
                <w:lang w:val="zh-CN"/>
              </w:rPr>
              <w:t>不提供</w:t>
            </w:r>
            <w:r>
              <w:rPr>
                <w:rFonts w:hint="eastAsia" w:hAnsi="宋体" w:cs="宋体"/>
                <w:color w:val="auto"/>
                <w:highlight w:val="none"/>
                <w:lang w:val="en-US" w:eastAsia="zh-CN"/>
              </w:rPr>
              <w:t>保安</w:t>
            </w:r>
            <w:r>
              <w:rPr>
                <w:rFonts w:hint="eastAsia" w:hAnsi="宋体" w:cs="宋体"/>
                <w:color w:val="auto"/>
                <w:szCs w:val="21"/>
                <w:highlight w:val="none"/>
              </w:rPr>
              <w:t>服务方案</w:t>
            </w:r>
            <w:r>
              <w:rPr>
                <w:rFonts w:hAnsi="宋体" w:cs="宋体"/>
                <w:color w:val="auto"/>
                <w:szCs w:val="21"/>
                <w:highlight w:val="none"/>
                <w:lang w:val="zh-CN"/>
              </w:rPr>
              <w:t>或提供的</w:t>
            </w:r>
            <w:r>
              <w:rPr>
                <w:rFonts w:hint="eastAsia" w:hAnsi="宋体" w:cs="宋体"/>
                <w:color w:val="auto"/>
                <w:highlight w:val="none"/>
                <w:lang w:val="en-US" w:eastAsia="zh-CN"/>
              </w:rPr>
              <w:t>保安</w:t>
            </w:r>
            <w:r>
              <w:rPr>
                <w:rFonts w:hint="eastAsia" w:hAnsi="宋体" w:cs="宋体"/>
                <w:color w:val="auto"/>
                <w:szCs w:val="21"/>
                <w:highlight w:val="none"/>
              </w:rPr>
              <w:t>服务方案</w:t>
            </w:r>
            <w:r>
              <w:rPr>
                <w:rFonts w:hint="eastAsia" w:hAnsi="宋体" w:cs="宋体"/>
                <w:color w:val="auto"/>
                <w:szCs w:val="21"/>
                <w:highlight w:val="none"/>
                <w:lang w:val="zh-CN"/>
              </w:rPr>
              <w:t>未达</w:t>
            </w:r>
            <w:r>
              <w:rPr>
                <w:rFonts w:hint="eastAsia" w:hAnsi="宋体" w:cs="宋体"/>
                <w:color w:val="auto"/>
                <w:szCs w:val="21"/>
                <w:highlight w:val="none"/>
              </w:rPr>
              <w:t>①标准</w:t>
            </w:r>
            <w:r>
              <w:rPr>
                <w:rFonts w:hAnsi="宋体" w:cs="宋体"/>
                <w:color w:val="auto"/>
                <w:szCs w:val="21"/>
                <w:highlight w:val="none"/>
                <w:lang w:val="zh-CN"/>
              </w:rPr>
              <w:t>的，计0分。</w:t>
            </w:r>
          </w:p>
        </w:tc>
        <w:tc>
          <w:tcPr>
            <w:tcW w:w="772" w:type="dxa"/>
            <w:shd w:val="clear" w:color="auto" w:fill="auto"/>
            <w:noWrap/>
            <w:vAlign w:val="center"/>
          </w:tcPr>
          <w:p w14:paraId="088272B5">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lang w:val="en-US" w:eastAsia="zh-CN"/>
              </w:rPr>
              <w:t>9</w:t>
            </w:r>
            <w:r>
              <w:rPr>
                <w:rFonts w:hint="eastAsia" w:ascii="宋体" w:hAnsi="宋体" w:eastAsia="宋体" w:cs="宋体"/>
                <w:color w:val="auto"/>
                <w:highlight w:val="none"/>
              </w:rPr>
              <w:t>分</w:t>
            </w:r>
          </w:p>
        </w:tc>
      </w:tr>
      <w:tr w14:paraId="0EA9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50" w:type="dxa"/>
            <w:vMerge w:val="continue"/>
            <w:noWrap/>
            <w:vAlign w:val="center"/>
          </w:tcPr>
          <w:p w14:paraId="503C7FD1">
            <w:pPr>
              <w:spacing w:line="360" w:lineRule="auto"/>
              <w:jc w:val="center"/>
              <w:rPr>
                <w:rFonts w:hint="eastAsia" w:ascii="宋体" w:hAnsi="宋体" w:eastAsia="宋体" w:cs="宋体"/>
                <w:color w:val="auto"/>
                <w:sz w:val="21"/>
                <w:szCs w:val="21"/>
                <w:highlight w:val="none"/>
                <w:lang w:val="en-US" w:eastAsia="zh-CN"/>
              </w:rPr>
            </w:pPr>
          </w:p>
        </w:tc>
        <w:tc>
          <w:tcPr>
            <w:tcW w:w="707" w:type="dxa"/>
            <w:vMerge w:val="continue"/>
            <w:noWrap/>
            <w:vAlign w:val="center"/>
          </w:tcPr>
          <w:p w14:paraId="4668CA46">
            <w:pPr>
              <w:pStyle w:val="2"/>
              <w:spacing w:line="360" w:lineRule="auto"/>
              <w:rPr>
                <w:rFonts w:hint="eastAsia" w:ascii="宋体" w:hAnsi="宋体" w:eastAsia="宋体" w:cs="宋体"/>
                <w:color w:val="auto"/>
                <w:sz w:val="21"/>
                <w:szCs w:val="21"/>
                <w:highlight w:val="none"/>
              </w:rPr>
            </w:pPr>
          </w:p>
        </w:tc>
        <w:tc>
          <w:tcPr>
            <w:tcW w:w="720" w:type="dxa"/>
            <w:shd w:val="clear" w:color="auto" w:fill="auto"/>
            <w:noWrap/>
            <w:vAlign w:val="center"/>
          </w:tcPr>
          <w:p w14:paraId="29867944">
            <w:pPr>
              <w:spacing w:line="360" w:lineRule="auto"/>
              <w:jc w:val="center"/>
              <w:textAlignment w:val="baseline"/>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Cs/>
                <w:color w:val="auto"/>
                <w:highlight w:val="none"/>
              </w:rPr>
              <w:t>保洁服务方案</w:t>
            </w:r>
          </w:p>
        </w:tc>
        <w:tc>
          <w:tcPr>
            <w:tcW w:w="6150" w:type="dxa"/>
            <w:shd w:val="clear" w:color="auto" w:fill="auto"/>
            <w:noWrap/>
            <w:vAlign w:val="center"/>
          </w:tcPr>
          <w:p w14:paraId="49323661">
            <w:pPr>
              <w:widowControl/>
              <w:overflowPunct w:val="0"/>
              <w:autoSpaceDE w:val="0"/>
              <w:autoSpaceDN w:val="0"/>
              <w:adjustRightInd w:val="0"/>
              <w:spacing w:line="360" w:lineRule="auto"/>
              <w:ind w:firstLine="420" w:firstLineChars="200"/>
              <w:jc w:val="left"/>
              <w:textAlignment w:val="baseline"/>
              <w:rPr>
                <w:rFonts w:hAnsi="宋体" w:cs="宋体"/>
                <w:color w:val="auto"/>
                <w:szCs w:val="21"/>
                <w:highlight w:val="none"/>
              </w:rPr>
            </w:pPr>
            <w:r>
              <w:rPr>
                <w:rFonts w:hint="eastAsia" w:hAnsi="宋体" w:cs="宋体"/>
                <w:color w:val="auto"/>
                <w:szCs w:val="21"/>
                <w:highlight w:val="none"/>
              </w:rPr>
              <w:t>磋商小组根据供应商的</w:t>
            </w:r>
            <w:r>
              <w:rPr>
                <w:rFonts w:hint="eastAsia" w:ascii="宋体" w:hAnsi="宋体" w:cs="宋体"/>
                <w:bCs/>
                <w:color w:val="auto"/>
                <w:highlight w:val="none"/>
              </w:rPr>
              <w:t>保洁服务</w:t>
            </w:r>
            <w:r>
              <w:rPr>
                <w:rFonts w:hint="eastAsia" w:hAnsi="宋体" w:cs="宋体"/>
                <w:color w:val="auto"/>
                <w:szCs w:val="21"/>
                <w:highlight w:val="none"/>
              </w:rPr>
              <w:t>方案内容进行评</w:t>
            </w:r>
            <w:r>
              <w:rPr>
                <w:rFonts w:hint="eastAsia" w:ascii="宋体" w:hAnsi="宋体" w:cs="宋体"/>
                <w:bCs/>
                <w:color w:val="auto"/>
                <w:kern w:val="0"/>
                <w:szCs w:val="21"/>
                <w:highlight w:val="none"/>
              </w:rPr>
              <w:t>价</w:t>
            </w:r>
            <w:r>
              <w:rPr>
                <w:rFonts w:hint="eastAsia" w:hAnsi="宋体" w:cs="宋体"/>
                <w:color w:val="auto"/>
                <w:szCs w:val="21"/>
                <w:highlight w:val="none"/>
              </w:rPr>
              <w:t>。以下各项不重复计分：</w:t>
            </w:r>
          </w:p>
          <w:p w14:paraId="733A610D">
            <w:pPr>
              <w:widowControl/>
              <w:overflowPunct w:val="0"/>
              <w:autoSpaceDE w:val="0"/>
              <w:autoSpaceDN w:val="0"/>
              <w:adjustRightInd w:val="0"/>
              <w:spacing w:line="360" w:lineRule="auto"/>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①供应商</w:t>
            </w:r>
            <w:r>
              <w:rPr>
                <w:rFonts w:hint="eastAsia" w:ascii="宋体" w:hAnsi="宋体" w:cs="宋体"/>
                <w:color w:val="auto"/>
                <w:kern w:val="0"/>
                <w:szCs w:val="21"/>
                <w:highlight w:val="none"/>
              </w:rPr>
              <w:t>制订有</w:t>
            </w:r>
            <w:r>
              <w:rPr>
                <w:rFonts w:hint="eastAsia" w:ascii="宋体" w:hAnsi="宋体" w:cs="宋体"/>
                <w:bCs/>
                <w:color w:val="auto"/>
                <w:highlight w:val="none"/>
              </w:rPr>
              <w:t>保洁服务方案</w:t>
            </w:r>
            <w:r>
              <w:rPr>
                <w:rFonts w:hint="eastAsia" w:ascii="宋体" w:hAnsi="宋体" w:cs="宋体"/>
                <w:color w:val="auto"/>
                <w:kern w:val="0"/>
                <w:szCs w:val="21"/>
                <w:highlight w:val="none"/>
              </w:rPr>
              <w:t>，</w:t>
            </w:r>
            <w:r>
              <w:rPr>
                <w:rFonts w:hint="eastAsia" w:ascii="宋体" w:hAnsi="宋体" w:cs="宋体"/>
                <w:bCs/>
                <w:color w:val="auto"/>
                <w:highlight w:val="none"/>
              </w:rPr>
              <w:t>保洁</w:t>
            </w:r>
            <w:r>
              <w:rPr>
                <w:rFonts w:hint="eastAsia" w:ascii="宋体" w:hAnsi="宋体" w:cs="宋体"/>
                <w:bCs/>
                <w:color w:val="auto"/>
                <w:highlight w:val="none"/>
                <w:lang w:eastAsia="zh-CN"/>
              </w:rPr>
              <w:t>服务</w:t>
            </w:r>
            <w:r>
              <w:rPr>
                <w:rFonts w:hint="eastAsia" w:ascii="宋体" w:hAnsi="宋体" w:cs="宋体"/>
                <w:color w:val="auto"/>
                <w:kern w:val="0"/>
                <w:szCs w:val="21"/>
                <w:highlight w:val="none"/>
              </w:rPr>
              <w:t>内容及要求符合采购需求的要求，得</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分</w:t>
            </w:r>
            <w:r>
              <w:rPr>
                <w:rFonts w:hint="eastAsia" w:ascii="宋体" w:hAnsi="宋体" w:cs="宋体"/>
                <w:color w:val="auto"/>
                <w:szCs w:val="21"/>
                <w:highlight w:val="none"/>
              </w:rPr>
              <w:t>；</w:t>
            </w:r>
          </w:p>
          <w:p w14:paraId="4D4B1FA2">
            <w:pPr>
              <w:widowControl/>
              <w:overflowPunct w:val="0"/>
              <w:autoSpaceDE w:val="0"/>
              <w:autoSpaceDN w:val="0"/>
              <w:adjustRightInd w:val="0"/>
              <w:spacing w:line="360" w:lineRule="auto"/>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②在本项①项的基础上，制订有具体的日常保洁计划、服务要求及标准，制订有针对保洁服务内容的相应管理制度、考核制度，得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510206D6">
            <w:pPr>
              <w:widowControl/>
              <w:overflowPunct w:val="0"/>
              <w:autoSpaceDE w:val="0"/>
              <w:autoSpaceDN w:val="0"/>
              <w:adjustRightInd w:val="0"/>
              <w:spacing w:line="360" w:lineRule="auto"/>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③在本项②项的基础上，针对保洁服务内容提出服务的重点难点，并能提供解决措施；针对垃圾分类管理工作提出切实可行的实施方案及落实保障措施，得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p w14:paraId="5257F0D2">
            <w:pPr>
              <w:tabs>
                <w:tab w:val="left" w:pos="1160"/>
              </w:tabs>
              <w:spacing w:line="360" w:lineRule="auto"/>
              <w:ind w:firstLine="420" w:firstLineChars="200"/>
              <w:rPr>
                <w:rFonts w:hint="eastAsia" w:ascii="宋体" w:hAnsi="宋体" w:eastAsia="宋体" w:cs="宋体"/>
                <w:b/>
                <w:bCs/>
                <w:color w:val="auto"/>
                <w:kern w:val="2"/>
                <w:sz w:val="21"/>
                <w:szCs w:val="21"/>
                <w:highlight w:val="none"/>
                <w:lang w:val="en-US" w:eastAsia="zh-CN" w:bidi="ar-SA"/>
              </w:rPr>
            </w:pPr>
            <w:r>
              <w:rPr>
                <w:rFonts w:hint="eastAsia" w:ascii="宋体" w:hAnsi="宋体" w:cs="宋体"/>
                <w:color w:val="auto"/>
                <w:szCs w:val="21"/>
                <w:highlight w:val="none"/>
              </w:rPr>
              <w:t>注：供应商</w:t>
            </w:r>
            <w:r>
              <w:rPr>
                <w:rFonts w:ascii="宋体" w:hAnsi="宋体" w:cs="宋体"/>
                <w:color w:val="auto"/>
                <w:szCs w:val="21"/>
                <w:highlight w:val="none"/>
                <w:lang w:val="zh-CN"/>
              </w:rPr>
              <w:t>不提供</w:t>
            </w:r>
            <w:r>
              <w:rPr>
                <w:rFonts w:hint="eastAsia" w:ascii="宋体" w:hAnsi="宋体" w:cs="宋体"/>
                <w:bCs/>
                <w:color w:val="auto"/>
                <w:highlight w:val="none"/>
              </w:rPr>
              <w:t>保洁服务</w:t>
            </w:r>
            <w:r>
              <w:rPr>
                <w:rFonts w:hint="eastAsia" w:ascii="宋体" w:hAnsi="宋体" w:cs="宋体"/>
                <w:color w:val="auto"/>
                <w:szCs w:val="21"/>
                <w:highlight w:val="none"/>
              </w:rPr>
              <w:t>方案</w:t>
            </w:r>
            <w:r>
              <w:rPr>
                <w:rFonts w:ascii="宋体" w:hAnsi="宋体" w:cs="宋体"/>
                <w:color w:val="auto"/>
                <w:szCs w:val="21"/>
                <w:highlight w:val="none"/>
                <w:lang w:val="zh-CN"/>
              </w:rPr>
              <w:t>或提供的</w:t>
            </w:r>
            <w:r>
              <w:rPr>
                <w:rFonts w:hint="eastAsia" w:ascii="宋体" w:hAnsi="宋体" w:cs="宋体"/>
                <w:bCs/>
                <w:color w:val="auto"/>
                <w:highlight w:val="none"/>
              </w:rPr>
              <w:t>保洁服务</w:t>
            </w:r>
            <w:r>
              <w:rPr>
                <w:rFonts w:hint="eastAsia" w:ascii="宋体" w:hAnsi="宋体" w:cs="宋体"/>
                <w:color w:val="auto"/>
                <w:szCs w:val="21"/>
                <w:highlight w:val="none"/>
              </w:rPr>
              <w:t>方案</w:t>
            </w:r>
            <w:r>
              <w:rPr>
                <w:rFonts w:hint="eastAsia" w:ascii="宋体" w:hAnsi="宋体" w:cs="宋体"/>
                <w:color w:val="auto"/>
                <w:szCs w:val="21"/>
                <w:highlight w:val="none"/>
                <w:lang w:val="zh-CN"/>
              </w:rPr>
              <w:t>未达</w:t>
            </w:r>
            <w:r>
              <w:rPr>
                <w:rFonts w:hint="eastAsia" w:ascii="宋体" w:hAnsi="宋体" w:cs="宋体"/>
                <w:color w:val="auto"/>
                <w:szCs w:val="21"/>
                <w:highlight w:val="none"/>
              </w:rPr>
              <w:t>①标准</w:t>
            </w:r>
            <w:r>
              <w:rPr>
                <w:rFonts w:ascii="宋体" w:hAnsi="宋体" w:cs="宋体"/>
                <w:color w:val="auto"/>
                <w:szCs w:val="21"/>
                <w:highlight w:val="none"/>
                <w:lang w:val="zh-CN"/>
              </w:rPr>
              <w:t>的，计</w:t>
            </w:r>
            <w:r>
              <w:rPr>
                <w:rFonts w:hint="eastAsia" w:ascii="宋体" w:hAnsi="宋体" w:cs="宋体"/>
                <w:color w:val="auto"/>
                <w:szCs w:val="21"/>
                <w:highlight w:val="none"/>
                <w:lang w:val="zh-CN"/>
              </w:rPr>
              <w:t>0</w:t>
            </w:r>
            <w:r>
              <w:rPr>
                <w:rFonts w:ascii="宋体" w:hAnsi="宋体" w:cs="宋体"/>
                <w:color w:val="auto"/>
                <w:szCs w:val="21"/>
                <w:highlight w:val="none"/>
                <w:lang w:val="zh-CN"/>
              </w:rPr>
              <w:t>分。</w:t>
            </w:r>
          </w:p>
        </w:tc>
        <w:tc>
          <w:tcPr>
            <w:tcW w:w="772" w:type="dxa"/>
            <w:shd w:val="clear" w:color="auto" w:fill="auto"/>
            <w:noWrap/>
            <w:vAlign w:val="center"/>
          </w:tcPr>
          <w:p w14:paraId="5E80233F">
            <w:pPr>
              <w:widowControl/>
              <w:overflowPunct w:val="0"/>
              <w:autoSpaceDE w:val="0"/>
              <w:autoSpaceDN w:val="0"/>
              <w:adjustRightInd w:val="0"/>
              <w:spacing w:after="0"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9分</w:t>
            </w:r>
          </w:p>
        </w:tc>
      </w:tr>
      <w:tr w14:paraId="5F96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50" w:type="dxa"/>
            <w:vMerge w:val="continue"/>
            <w:noWrap/>
            <w:vAlign w:val="center"/>
          </w:tcPr>
          <w:p w14:paraId="616DAB03">
            <w:pPr>
              <w:spacing w:line="360" w:lineRule="auto"/>
              <w:rPr>
                <w:rFonts w:hint="eastAsia" w:ascii="宋体" w:hAnsi="宋体" w:eastAsia="宋体" w:cs="宋体"/>
                <w:color w:val="auto"/>
                <w:sz w:val="21"/>
                <w:szCs w:val="21"/>
                <w:highlight w:val="none"/>
                <w:lang w:val="en-US" w:eastAsia="zh-CN"/>
              </w:rPr>
            </w:pPr>
          </w:p>
        </w:tc>
        <w:tc>
          <w:tcPr>
            <w:tcW w:w="707" w:type="dxa"/>
            <w:vMerge w:val="continue"/>
            <w:noWrap/>
            <w:vAlign w:val="center"/>
          </w:tcPr>
          <w:p w14:paraId="293FD863">
            <w:pPr>
              <w:pStyle w:val="2"/>
              <w:spacing w:line="360" w:lineRule="auto"/>
              <w:rPr>
                <w:rFonts w:hint="eastAsia" w:ascii="宋体" w:hAnsi="宋体" w:eastAsia="宋体" w:cs="宋体"/>
                <w:color w:val="auto"/>
                <w:sz w:val="21"/>
                <w:szCs w:val="21"/>
                <w:highlight w:val="none"/>
              </w:rPr>
            </w:pPr>
          </w:p>
        </w:tc>
        <w:tc>
          <w:tcPr>
            <w:tcW w:w="720" w:type="dxa"/>
            <w:shd w:val="clear" w:color="auto" w:fill="auto"/>
            <w:noWrap/>
            <w:vAlign w:val="center"/>
          </w:tcPr>
          <w:p w14:paraId="1A91B77C">
            <w:pPr>
              <w:widowControl/>
              <w:overflowPunct w:val="0"/>
              <w:autoSpaceDE w:val="0"/>
              <w:autoSpaceDN w:val="0"/>
              <w:adjustRightInd w:val="0"/>
              <w:spacing w:line="360" w:lineRule="auto"/>
              <w:jc w:val="left"/>
              <w:textAlignment w:val="baseline"/>
              <w:rPr>
                <w:rFonts w:hint="eastAsia" w:ascii="宋体" w:hAnsi="宋体" w:eastAsia="宋体" w:cs="宋体"/>
                <w:bCs/>
                <w:color w:val="auto"/>
                <w:sz w:val="21"/>
                <w:szCs w:val="21"/>
                <w:highlight w:val="none"/>
                <w:lang w:val="en-US" w:eastAsia="zh-CN" w:bidi="ar-SA"/>
              </w:rPr>
            </w:pPr>
            <w:r>
              <w:rPr>
                <w:rFonts w:hint="eastAsia" w:ascii="宋体" w:hAnsi="宋体" w:cs="宋体"/>
                <w:color w:val="auto"/>
                <w:szCs w:val="21"/>
                <w:highlight w:val="none"/>
                <w:lang w:val="en-US" w:eastAsia="zh-CN"/>
              </w:rPr>
              <w:t>供电</w:t>
            </w:r>
            <w:r>
              <w:rPr>
                <w:rFonts w:hint="eastAsia" w:ascii="宋体" w:hAnsi="宋体" w:cs="宋体"/>
                <w:color w:val="auto"/>
                <w:szCs w:val="21"/>
                <w:highlight w:val="none"/>
              </w:rPr>
              <w:t>设备</w:t>
            </w:r>
            <w:r>
              <w:rPr>
                <w:rFonts w:hint="eastAsia" w:ascii="宋体" w:hAnsi="宋体" w:cs="宋体"/>
                <w:color w:val="auto"/>
                <w:szCs w:val="21"/>
                <w:highlight w:val="none"/>
                <w:lang w:val="en-US" w:eastAsia="zh-CN"/>
              </w:rPr>
              <w:t>监控</w:t>
            </w:r>
            <w:r>
              <w:rPr>
                <w:rFonts w:hint="eastAsia" w:ascii="宋体" w:hAnsi="宋体" w:cs="宋体"/>
                <w:color w:val="auto"/>
                <w:szCs w:val="21"/>
                <w:highlight w:val="none"/>
              </w:rPr>
              <w:t>维护管理方案</w:t>
            </w:r>
          </w:p>
        </w:tc>
        <w:tc>
          <w:tcPr>
            <w:tcW w:w="6150" w:type="dxa"/>
            <w:shd w:val="clear" w:color="auto" w:fill="auto"/>
            <w:noWrap/>
            <w:vAlign w:val="center"/>
          </w:tcPr>
          <w:p w14:paraId="0EAD1D41">
            <w:pPr>
              <w:widowControl/>
              <w:overflowPunct w:val="0"/>
              <w:autoSpaceDE w:val="0"/>
              <w:autoSpaceDN w:val="0"/>
              <w:adjustRightInd w:val="0"/>
              <w:spacing w:line="360" w:lineRule="auto"/>
              <w:ind w:firstLine="420" w:firstLineChars="200"/>
              <w:jc w:val="left"/>
              <w:textAlignment w:val="baseline"/>
              <w:rPr>
                <w:rFonts w:hAnsi="宋体" w:cs="宋体"/>
                <w:color w:val="auto"/>
                <w:szCs w:val="21"/>
                <w:highlight w:val="none"/>
              </w:rPr>
            </w:pPr>
            <w:r>
              <w:rPr>
                <w:rFonts w:hint="eastAsia" w:hAnsi="宋体" w:cs="宋体"/>
                <w:color w:val="auto"/>
                <w:szCs w:val="21"/>
                <w:highlight w:val="none"/>
              </w:rPr>
              <w:t>磋商小组根据供应商的</w:t>
            </w:r>
            <w:r>
              <w:rPr>
                <w:rFonts w:hint="eastAsia" w:ascii="宋体" w:hAnsi="宋体" w:cs="宋体"/>
                <w:color w:val="auto"/>
                <w:szCs w:val="21"/>
                <w:highlight w:val="none"/>
                <w:lang w:val="en-US" w:eastAsia="zh-CN"/>
              </w:rPr>
              <w:t>供电</w:t>
            </w:r>
            <w:r>
              <w:rPr>
                <w:rFonts w:hint="eastAsia" w:ascii="宋体" w:hAnsi="宋体" w:cs="宋体"/>
                <w:color w:val="auto"/>
                <w:szCs w:val="21"/>
                <w:highlight w:val="none"/>
              </w:rPr>
              <w:t>设备</w:t>
            </w:r>
            <w:r>
              <w:rPr>
                <w:rFonts w:hint="eastAsia" w:ascii="宋体" w:hAnsi="宋体" w:cs="宋体"/>
                <w:color w:val="auto"/>
                <w:szCs w:val="21"/>
                <w:highlight w:val="none"/>
                <w:lang w:val="en-US" w:eastAsia="zh-CN"/>
              </w:rPr>
              <w:t>监控</w:t>
            </w:r>
            <w:r>
              <w:rPr>
                <w:rFonts w:hint="eastAsia" w:ascii="宋体" w:hAnsi="宋体" w:cs="宋体"/>
                <w:color w:val="auto"/>
                <w:szCs w:val="21"/>
                <w:highlight w:val="none"/>
              </w:rPr>
              <w:t>维护管理</w:t>
            </w:r>
            <w:r>
              <w:rPr>
                <w:rFonts w:hint="eastAsia" w:hAnsi="宋体" w:cs="宋体"/>
                <w:color w:val="auto"/>
                <w:szCs w:val="21"/>
                <w:highlight w:val="none"/>
              </w:rPr>
              <w:t>方案内容进行评</w:t>
            </w:r>
            <w:r>
              <w:rPr>
                <w:rFonts w:hint="eastAsia" w:ascii="宋体" w:hAnsi="宋体" w:cs="宋体"/>
                <w:bCs/>
                <w:color w:val="auto"/>
                <w:kern w:val="0"/>
                <w:szCs w:val="21"/>
                <w:highlight w:val="none"/>
              </w:rPr>
              <w:t>价</w:t>
            </w:r>
            <w:r>
              <w:rPr>
                <w:rFonts w:hint="eastAsia" w:hAnsi="宋体" w:cs="宋体"/>
                <w:color w:val="auto"/>
                <w:szCs w:val="21"/>
                <w:highlight w:val="none"/>
              </w:rPr>
              <w:t>。以下各项不重复计分：</w:t>
            </w:r>
          </w:p>
          <w:p w14:paraId="72004E42">
            <w:pPr>
              <w:widowControl/>
              <w:overflowPunct w:val="0"/>
              <w:autoSpaceDE w:val="0"/>
              <w:autoSpaceDN w:val="0"/>
              <w:adjustRightInd w:val="0"/>
              <w:spacing w:line="360" w:lineRule="auto"/>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①供应商</w:t>
            </w:r>
            <w:r>
              <w:rPr>
                <w:rFonts w:hint="eastAsia" w:ascii="宋体" w:hAnsi="宋体" w:cs="宋体"/>
                <w:color w:val="auto"/>
                <w:kern w:val="0"/>
                <w:szCs w:val="21"/>
                <w:highlight w:val="none"/>
              </w:rPr>
              <w:t>制订有</w:t>
            </w:r>
            <w:r>
              <w:rPr>
                <w:rFonts w:hint="eastAsia" w:ascii="宋体" w:hAnsi="宋体" w:cs="宋体"/>
                <w:color w:val="auto"/>
                <w:szCs w:val="21"/>
                <w:highlight w:val="none"/>
                <w:lang w:val="en-US" w:eastAsia="zh-CN"/>
              </w:rPr>
              <w:t>供电</w:t>
            </w:r>
            <w:r>
              <w:rPr>
                <w:rFonts w:hint="eastAsia" w:ascii="宋体" w:hAnsi="宋体" w:cs="宋体"/>
                <w:color w:val="auto"/>
                <w:szCs w:val="21"/>
                <w:highlight w:val="none"/>
              </w:rPr>
              <w:t>设备</w:t>
            </w:r>
            <w:r>
              <w:rPr>
                <w:rFonts w:hint="eastAsia" w:ascii="宋体" w:hAnsi="宋体" w:cs="宋体"/>
                <w:color w:val="auto"/>
                <w:szCs w:val="21"/>
                <w:highlight w:val="none"/>
                <w:lang w:val="en-US" w:eastAsia="zh-CN"/>
              </w:rPr>
              <w:t>监控</w:t>
            </w:r>
            <w:r>
              <w:rPr>
                <w:rFonts w:hint="eastAsia" w:ascii="宋体" w:hAnsi="宋体" w:cs="宋体"/>
                <w:color w:val="auto"/>
                <w:szCs w:val="21"/>
                <w:highlight w:val="none"/>
              </w:rPr>
              <w:t>维护管理</w:t>
            </w:r>
            <w:r>
              <w:rPr>
                <w:rFonts w:hint="eastAsia" w:ascii="宋体" w:hAnsi="宋体" w:cs="宋体"/>
                <w:color w:val="auto"/>
                <w:kern w:val="0"/>
                <w:szCs w:val="21"/>
                <w:highlight w:val="none"/>
              </w:rPr>
              <w:t>方案，</w:t>
            </w:r>
            <w:r>
              <w:rPr>
                <w:rFonts w:hint="eastAsia" w:ascii="宋体" w:hAnsi="宋体" w:cs="宋体"/>
                <w:color w:val="auto"/>
                <w:kern w:val="0"/>
                <w:szCs w:val="21"/>
                <w:highlight w:val="none"/>
                <w:lang w:val="en-US" w:eastAsia="zh-CN"/>
              </w:rPr>
              <w:t>供电</w:t>
            </w:r>
            <w:r>
              <w:rPr>
                <w:rFonts w:hint="eastAsia" w:ascii="宋体" w:hAnsi="宋体" w:cs="宋体"/>
                <w:color w:val="auto"/>
                <w:szCs w:val="21"/>
                <w:highlight w:val="none"/>
              </w:rPr>
              <w:t>设备及</w:t>
            </w:r>
            <w:r>
              <w:rPr>
                <w:rFonts w:hint="eastAsia" w:ascii="宋体" w:hAnsi="宋体" w:cs="宋体"/>
                <w:color w:val="auto"/>
                <w:szCs w:val="21"/>
                <w:highlight w:val="none"/>
                <w:lang w:val="en-US" w:eastAsia="zh-CN"/>
              </w:rPr>
              <w:t>监控</w:t>
            </w:r>
            <w:r>
              <w:rPr>
                <w:rFonts w:hint="eastAsia" w:ascii="宋体" w:hAnsi="宋体" w:cs="宋体"/>
                <w:color w:val="auto"/>
                <w:szCs w:val="21"/>
                <w:highlight w:val="none"/>
              </w:rPr>
              <w:t>维护</w:t>
            </w:r>
            <w:r>
              <w:rPr>
                <w:rFonts w:hint="eastAsia" w:ascii="宋体" w:hAnsi="宋体" w:cs="宋体"/>
                <w:color w:val="auto"/>
                <w:kern w:val="0"/>
                <w:szCs w:val="21"/>
                <w:highlight w:val="none"/>
              </w:rPr>
              <w:t>服务内容及要求符合采购需求的要求，得</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w:t>
            </w:r>
            <w:r>
              <w:rPr>
                <w:rFonts w:hint="eastAsia" w:ascii="宋体" w:hAnsi="宋体" w:cs="宋体"/>
                <w:color w:val="auto"/>
                <w:szCs w:val="21"/>
                <w:highlight w:val="none"/>
              </w:rPr>
              <w:t>；</w:t>
            </w:r>
          </w:p>
          <w:p w14:paraId="36D15687">
            <w:pPr>
              <w:widowControl/>
              <w:overflowPunct w:val="0"/>
              <w:autoSpaceDE w:val="0"/>
              <w:autoSpaceDN w:val="0"/>
              <w:adjustRightInd w:val="0"/>
              <w:spacing w:line="360" w:lineRule="auto"/>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②在本项①项的基础上，制订有具体的</w:t>
            </w:r>
            <w:r>
              <w:rPr>
                <w:rFonts w:hint="eastAsia" w:ascii="宋体" w:hAnsi="宋体" w:cs="宋体"/>
                <w:color w:val="auto"/>
                <w:kern w:val="0"/>
                <w:szCs w:val="21"/>
                <w:highlight w:val="none"/>
                <w:lang w:val="en-US" w:eastAsia="zh-CN"/>
              </w:rPr>
              <w:t>供电</w:t>
            </w:r>
            <w:r>
              <w:rPr>
                <w:rFonts w:hint="eastAsia" w:ascii="宋体" w:hAnsi="宋体" w:cs="宋体"/>
                <w:color w:val="auto"/>
                <w:szCs w:val="21"/>
                <w:highlight w:val="none"/>
              </w:rPr>
              <w:t>设备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监控</w:t>
            </w:r>
            <w:r>
              <w:rPr>
                <w:rFonts w:hint="eastAsia" w:ascii="宋体" w:hAnsi="宋体" w:cs="宋体"/>
                <w:color w:val="auto"/>
                <w:szCs w:val="21"/>
                <w:highlight w:val="none"/>
              </w:rPr>
              <w:t>设施巡检、维护、维修计划、服务流程；设备设施的巡检、维护、维修记录台账（表单）齐全，得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02B19684">
            <w:pPr>
              <w:widowControl/>
              <w:overflowPunct w:val="0"/>
              <w:autoSpaceDE w:val="0"/>
              <w:autoSpaceDN w:val="0"/>
              <w:adjustRightInd w:val="0"/>
              <w:spacing w:line="360" w:lineRule="auto"/>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③在本项②项的基础上，</w:t>
            </w:r>
            <w:r>
              <w:rPr>
                <w:rFonts w:hint="eastAsia" w:ascii="宋体" w:hAnsi="宋体" w:cs="宋体"/>
                <w:color w:val="auto"/>
                <w:szCs w:val="21"/>
                <w:highlight w:val="none"/>
                <w:lang w:val="en-US" w:eastAsia="zh-CN"/>
              </w:rPr>
              <w:t>供电</w:t>
            </w:r>
            <w:r>
              <w:rPr>
                <w:rFonts w:hint="eastAsia" w:ascii="宋体" w:hAnsi="宋体" w:cs="宋体"/>
                <w:color w:val="auto"/>
                <w:szCs w:val="21"/>
                <w:highlight w:val="none"/>
              </w:rPr>
              <w:t>设备</w:t>
            </w:r>
            <w:r>
              <w:rPr>
                <w:rFonts w:hint="eastAsia" w:ascii="宋体" w:hAnsi="宋体" w:cs="宋体"/>
                <w:color w:val="auto"/>
                <w:szCs w:val="21"/>
                <w:highlight w:val="none"/>
                <w:lang w:val="en-US" w:eastAsia="zh-CN"/>
              </w:rPr>
              <w:t>监控</w:t>
            </w:r>
            <w:r>
              <w:rPr>
                <w:rFonts w:hint="eastAsia" w:ascii="宋体" w:hAnsi="宋体" w:cs="宋体"/>
                <w:color w:val="auto"/>
                <w:szCs w:val="21"/>
                <w:highlight w:val="none"/>
              </w:rPr>
              <w:t>维护管理方案内容详细，针对性强，有详细的日常设备及设施维护计划，常见问题解决措施可行、合理，有针对设备及设施服务的内部管理制度及服务</w:t>
            </w:r>
            <w:r>
              <w:rPr>
                <w:rFonts w:hint="eastAsia" w:ascii="宋体" w:hAnsi="宋体" w:cs="宋体"/>
                <w:color w:val="auto"/>
                <w:szCs w:val="21"/>
                <w:highlight w:val="none"/>
                <w:lang w:eastAsia="zh-CN"/>
              </w:rPr>
              <w:t>标准</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69C816EA">
            <w:pPr>
              <w:widowControl/>
              <w:overflowPunct w:val="0"/>
              <w:autoSpaceDE w:val="0"/>
              <w:autoSpaceDN w:val="0"/>
              <w:adjustRightInd w:val="0"/>
              <w:spacing w:line="360" w:lineRule="auto"/>
              <w:ind w:firstLine="420" w:firstLineChars="200"/>
              <w:jc w:val="left"/>
              <w:textAlignment w:val="baseline"/>
              <w:rPr>
                <w:rFonts w:hint="eastAsia" w:ascii="宋体" w:hAnsi="宋体" w:eastAsia="宋体" w:cs="宋体"/>
                <w:bCs/>
                <w:color w:val="auto"/>
                <w:sz w:val="21"/>
                <w:szCs w:val="21"/>
                <w:highlight w:val="none"/>
                <w:lang w:val="zh-CN" w:eastAsia="zh-CN" w:bidi="ar-SA"/>
              </w:rPr>
            </w:pPr>
            <w:r>
              <w:rPr>
                <w:rFonts w:hint="eastAsia" w:ascii="宋体" w:hAnsi="宋体" w:cs="宋体"/>
                <w:color w:val="auto"/>
                <w:szCs w:val="21"/>
                <w:highlight w:val="none"/>
              </w:rPr>
              <w:t>注：供应商</w:t>
            </w:r>
            <w:r>
              <w:rPr>
                <w:rFonts w:ascii="宋体" w:hAnsi="宋体" w:cs="宋体"/>
                <w:color w:val="auto"/>
                <w:szCs w:val="21"/>
                <w:highlight w:val="none"/>
                <w:lang w:val="zh-CN"/>
              </w:rPr>
              <w:t>不提供</w:t>
            </w:r>
            <w:r>
              <w:rPr>
                <w:rFonts w:hint="eastAsia" w:ascii="宋体" w:hAnsi="宋体" w:cs="宋体"/>
                <w:color w:val="auto"/>
                <w:szCs w:val="21"/>
                <w:highlight w:val="none"/>
                <w:lang w:val="en-US" w:eastAsia="zh-CN"/>
              </w:rPr>
              <w:t>供电</w:t>
            </w:r>
            <w:r>
              <w:rPr>
                <w:rFonts w:hint="eastAsia" w:ascii="宋体" w:hAnsi="宋体" w:cs="宋体"/>
                <w:color w:val="auto"/>
                <w:szCs w:val="21"/>
                <w:highlight w:val="none"/>
              </w:rPr>
              <w:t>设备</w:t>
            </w:r>
            <w:r>
              <w:rPr>
                <w:rFonts w:hint="eastAsia" w:ascii="宋体" w:hAnsi="宋体" w:cs="宋体"/>
                <w:color w:val="auto"/>
                <w:szCs w:val="21"/>
                <w:highlight w:val="none"/>
                <w:lang w:val="en-US" w:eastAsia="zh-CN"/>
              </w:rPr>
              <w:t>监控</w:t>
            </w:r>
            <w:r>
              <w:rPr>
                <w:rFonts w:hint="eastAsia" w:ascii="宋体" w:hAnsi="宋体" w:cs="宋体"/>
                <w:color w:val="auto"/>
                <w:szCs w:val="21"/>
                <w:highlight w:val="none"/>
              </w:rPr>
              <w:t>维护管理方案</w:t>
            </w:r>
            <w:r>
              <w:rPr>
                <w:rFonts w:ascii="宋体" w:hAnsi="宋体" w:cs="宋体"/>
                <w:color w:val="auto"/>
                <w:szCs w:val="21"/>
                <w:highlight w:val="none"/>
                <w:lang w:val="zh-CN"/>
              </w:rPr>
              <w:t>或提供的</w:t>
            </w:r>
            <w:r>
              <w:rPr>
                <w:rFonts w:hint="eastAsia" w:ascii="宋体" w:hAnsi="宋体" w:cs="宋体"/>
                <w:color w:val="auto"/>
                <w:szCs w:val="21"/>
                <w:highlight w:val="none"/>
                <w:lang w:val="en-US" w:eastAsia="zh-CN"/>
              </w:rPr>
              <w:t>供电</w:t>
            </w:r>
            <w:r>
              <w:rPr>
                <w:rFonts w:hint="eastAsia" w:ascii="宋体" w:hAnsi="宋体" w:cs="宋体"/>
                <w:color w:val="auto"/>
                <w:szCs w:val="21"/>
                <w:highlight w:val="none"/>
              </w:rPr>
              <w:t>设备</w:t>
            </w:r>
            <w:r>
              <w:rPr>
                <w:rFonts w:hint="eastAsia" w:ascii="宋体" w:hAnsi="宋体" w:cs="宋体"/>
                <w:color w:val="auto"/>
                <w:szCs w:val="21"/>
                <w:highlight w:val="none"/>
                <w:lang w:val="en-US" w:eastAsia="zh-CN"/>
              </w:rPr>
              <w:t>监控</w:t>
            </w:r>
            <w:r>
              <w:rPr>
                <w:rFonts w:hint="eastAsia" w:ascii="宋体" w:hAnsi="宋体" w:cs="宋体"/>
                <w:color w:val="auto"/>
                <w:szCs w:val="21"/>
                <w:highlight w:val="none"/>
              </w:rPr>
              <w:t>维护管理方案</w:t>
            </w:r>
            <w:r>
              <w:rPr>
                <w:rFonts w:hint="eastAsia" w:ascii="宋体" w:hAnsi="宋体" w:cs="宋体"/>
                <w:color w:val="auto"/>
                <w:szCs w:val="21"/>
                <w:highlight w:val="none"/>
                <w:lang w:val="zh-CN"/>
              </w:rPr>
              <w:t>未达</w:t>
            </w:r>
            <w:r>
              <w:rPr>
                <w:rFonts w:hint="eastAsia" w:ascii="宋体" w:hAnsi="宋体" w:cs="宋体"/>
                <w:color w:val="auto"/>
                <w:szCs w:val="21"/>
                <w:highlight w:val="none"/>
              </w:rPr>
              <w:t>①标准</w:t>
            </w:r>
            <w:r>
              <w:rPr>
                <w:rFonts w:ascii="宋体" w:hAnsi="宋体" w:cs="宋体"/>
                <w:color w:val="auto"/>
                <w:szCs w:val="21"/>
                <w:highlight w:val="none"/>
                <w:lang w:val="zh-CN"/>
              </w:rPr>
              <w:t>的，计</w:t>
            </w:r>
            <w:r>
              <w:rPr>
                <w:rFonts w:hint="eastAsia" w:ascii="宋体" w:hAnsi="宋体" w:cs="宋体"/>
                <w:color w:val="auto"/>
                <w:szCs w:val="21"/>
                <w:highlight w:val="none"/>
                <w:lang w:val="zh-CN"/>
              </w:rPr>
              <w:t>0</w:t>
            </w:r>
            <w:r>
              <w:rPr>
                <w:rFonts w:ascii="宋体" w:hAnsi="宋体" w:cs="宋体"/>
                <w:color w:val="auto"/>
                <w:szCs w:val="21"/>
                <w:highlight w:val="none"/>
                <w:lang w:val="zh-CN"/>
              </w:rPr>
              <w:t>分。</w:t>
            </w:r>
          </w:p>
        </w:tc>
        <w:tc>
          <w:tcPr>
            <w:tcW w:w="772" w:type="dxa"/>
            <w:shd w:val="clear" w:color="auto" w:fill="auto"/>
            <w:noWrap/>
            <w:vAlign w:val="center"/>
          </w:tcPr>
          <w:p w14:paraId="02F38494">
            <w:pPr>
              <w:keepNext w:val="0"/>
              <w:keepLines w:val="0"/>
              <w:pageBreakBefore w:val="0"/>
              <w:widowControl/>
              <w:kinsoku/>
              <w:wordWrap/>
              <w:overflowPunct w:val="0"/>
              <w:topLinePunct w:val="0"/>
              <w:autoSpaceDE w:val="0"/>
              <w:autoSpaceDN w:val="0"/>
              <w:bidi w:val="0"/>
              <w:adjustRightInd w:val="0"/>
              <w:snapToGrid/>
              <w:spacing w:after="0" w:line="360" w:lineRule="auto"/>
              <w:jc w:val="center"/>
              <w:textAlignment w:val="baseline"/>
              <w:rPr>
                <w:rFonts w:hint="eastAsia" w:ascii="宋体" w:hAnsi="宋体" w:eastAsia="宋体" w:cs="宋体"/>
                <w:bCs/>
                <w:color w:val="auto"/>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6分</w:t>
            </w:r>
          </w:p>
        </w:tc>
      </w:tr>
      <w:tr w14:paraId="7A4D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50" w:type="dxa"/>
            <w:vMerge w:val="continue"/>
            <w:noWrap/>
            <w:vAlign w:val="center"/>
          </w:tcPr>
          <w:p w14:paraId="5F049395">
            <w:pPr>
              <w:spacing w:line="360" w:lineRule="auto"/>
              <w:rPr>
                <w:rFonts w:hint="eastAsia" w:ascii="宋体" w:hAnsi="宋体" w:eastAsia="宋体" w:cs="宋体"/>
                <w:color w:val="auto"/>
                <w:sz w:val="21"/>
                <w:szCs w:val="21"/>
                <w:highlight w:val="none"/>
              </w:rPr>
            </w:pPr>
          </w:p>
        </w:tc>
        <w:tc>
          <w:tcPr>
            <w:tcW w:w="707" w:type="dxa"/>
            <w:vMerge w:val="continue"/>
            <w:noWrap/>
            <w:vAlign w:val="center"/>
          </w:tcPr>
          <w:p w14:paraId="0E15CB99">
            <w:pPr>
              <w:pStyle w:val="2"/>
              <w:spacing w:line="360" w:lineRule="auto"/>
              <w:rPr>
                <w:rFonts w:hint="eastAsia" w:ascii="宋体" w:hAnsi="宋体" w:eastAsia="宋体" w:cs="宋体"/>
                <w:color w:val="auto"/>
                <w:sz w:val="21"/>
                <w:szCs w:val="21"/>
                <w:highlight w:val="none"/>
              </w:rPr>
            </w:pPr>
          </w:p>
        </w:tc>
        <w:tc>
          <w:tcPr>
            <w:tcW w:w="720" w:type="dxa"/>
            <w:shd w:val="clear" w:color="auto" w:fill="FFFFFF"/>
            <w:noWrap/>
            <w:vAlign w:val="center"/>
          </w:tcPr>
          <w:p w14:paraId="154C694D">
            <w:pPr>
              <w:widowControl/>
              <w:overflowPunct w:val="0"/>
              <w:autoSpaceDE w:val="0"/>
              <w:autoSpaceDN w:val="0"/>
              <w:adjustRightInd w:val="0"/>
              <w:spacing w:after="0"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hAnsi="宋体" w:cs="宋体"/>
                <w:color w:val="auto"/>
                <w:highlight w:val="none"/>
              </w:rPr>
              <w:t>食堂</w:t>
            </w:r>
            <w:r>
              <w:rPr>
                <w:rFonts w:hint="eastAsia" w:hAnsi="宋体" w:cs="宋体"/>
                <w:color w:val="auto"/>
                <w:highlight w:val="none"/>
                <w:lang w:val="en-US" w:eastAsia="zh-CN"/>
              </w:rPr>
              <w:t>餐饮</w:t>
            </w:r>
            <w:r>
              <w:rPr>
                <w:rFonts w:hint="eastAsia" w:ascii="宋体" w:hAnsi="宋体" w:eastAsia="宋体" w:cs="宋体"/>
                <w:b w:val="0"/>
                <w:bCs w:val="0"/>
                <w:color w:val="auto"/>
                <w:spacing w:val="8"/>
                <w:sz w:val="21"/>
                <w:szCs w:val="21"/>
                <w:highlight w:val="none"/>
                <w:lang w:val="en-US" w:eastAsia="zh-CN"/>
              </w:rPr>
              <w:t>服务方案</w:t>
            </w:r>
          </w:p>
        </w:tc>
        <w:tc>
          <w:tcPr>
            <w:tcW w:w="6150" w:type="dxa"/>
            <w:shd w:val="clear" w:color="auto" w:fill="FFFFFF"/>
            <w:noWrap/>
            <w:vAlign w:val="center"/>
          </w:tcPr>
          <w:p w14:paraId="681DE48D">
            <w:pPr>
              <w:widowControl/>
              <w:overflowPunct w:val="0"/>
              <w:autoSpaceDE w:val="0"/>
              <w:autoSpaceDN w:val="0"/>
              <w:adjustRightInd w:val="0"/>
              <w:spacing w:line="360" w:lineRule="auto"/>
              <w:ind w:firstLine="420" w:firstLineChars="200"/>
              <w:jc w:val="left"/>
              <w:textAlignment w:val="baseline"/>
              <w:rPr>
                <w:rFonts w:hint="eastAsia"/>
                <w:b/>
                <w:bCs w:val="0"/>
                <w:color w:val="auto"/>
                <w:highlight w:val="none"/>
                <w:lang w:val="en-US" w:eastAsia="zh-CN"/>
              </w:rPr>
            </w:pPr>
            <w:r>
              <w:rPr>
                <w:rFonts w:hint="eastAsia" w:hAnsi="宋体" w:cs="宋体"/>
                <w:color w:val="auto"/>
                <w:szCs w:val="21"/>
                <w:highlight w:val="none"/>
              </w:rPr>
              <w:t>磋商小组根据供应商的</w:t>
            </w:r>
            <w:r>
              <w:rPr>
                <w:rFonts w:hint="eastAsia" w:hAnsi="宋体" w:cs="宋体"/>
                <w:color w:val="auto"/>
                <w:highlight w:val="none"/>
              </w:rPr>
              <w:t>食堂</w:t>
            </w:r>
            <w:r>
              <w:rPr>
                <w:rFonts w:hint="eastAsia" w:hAnsi="宋体" w:cs="宋体"/>
                <w:color w:val="auto"/>
                <w:highlight w:val="none"/>
                <w:lang w:val="en-US" w:eastAsia="zh-CN"/>
              </w:rPr>
              <w:t>餐饮</w:t>
            </w:r>
            <w:r>
              <w:rPr>
                <w:rFonts w:hint="eastAsia" w:ascii="宋体" w:hAnsi="宋体" w:eastAsia="宋体" w:cs="宋体"/>
                <w:b w:val="0"/>
                <w:bCs w:val="0"/>
                <w:color w:val="auto"/>
                <w:spacing w:val="8"/>
                <w:sz w:val="21"/>
                <w:szCs w:val="21"/>
                <w:highlight w:val="none"/>
                <w:lang w:val="en-US" w:eastAsia="zh-CN"/>
              </w:rPr>
              <w:t>服务</w:t>
            </w:r>
            <w:r>
              <w:rPr>
                <w:rFonts w:hint="eastAsia" w:hAnsi="宋体" w:cs="宋体"/>
                <w:color w:val="auto"/>
                <w:szCs w:val="21"/>
                <w:highlight w:val="none"/>
              </w:rPr>
              <w:t>方案内容进行评</w:t>
            </w:r>
            <w:r>
              <w:rPr>
                <w:rFonts w:hint="eastAsia" w:ascii="宋体" w:hAnsi="宋体" w:cs="宋体"/>
                <w:bCs/>
                <w:color w:val="auto"/>
                <w:kern w:val="0"/>
                <w:szCs w:val="21"/>
                <w:highlight w:val="none"/>
              </w:rPr>
              <w:t>价</w:t>
            </w:r>
            <w:r>
              <w:rPr>
                <w:rFonts w:hint="eastAsia" w:hAnsi="宋体" w:cs="宋体"/>
                <w:color w:val="auto"/>
                <w:szCs w:val="21"/>
                <w:highlight w:val="none"/>
              </w:rPr>
              <w:t>。以下各项不重复计分：</w:t>
            </w:r>
          </w:p>
          <w:p w14:paraId="740E81B7">
            <w:pPr>
              <w:widowControl/>
              <w:overflowPunct w:val="0"/>
              <w:autoSpaceDE w:val="0"/>
              <w:autoSpaceDN w:val="0"/>
              <w:adjustRightInd w:val="0"/>
              <w:spacing w:after="0" w:line="360" w:lineRule="auto"/>
              <w:ind w:firstLine="420" w:firstLineChars="200"/>
              <w:jc w:val="left"/>
              <w:textAlignment w:val="baseline"/>
              <w:rPr>
                <w:rFonts w:hint="eastAsia" w:ascii="宋体" w:hAnsi="宋体" w:eastAsia="宋体" w:cs="宋体"/>
                <w:color w:val="auto"/>
                <w:highlight w:val="none"/>
                <w:lang w:val="en-US" w:eastAsia="zh-CN"/>
              </w:rPr>
            </w:pPr>
            <w:r>
              <w:rPr>
                <w:rFonts w:hint="eastAsia"/>
                <w:color w:val="auto"/>
                <w:highlight w:val="none"/>
                <w:lang w:val="en-US" w:eastAsia="zh-CN"/>
              </w:rPr>
              <w:t>①供应商制订的食堂餐饮服务方案能完全响应项目采购需求食堂餐饮服务内容要求的前提下，能根据食堂餐饮服务要求制订具体的服务措施</w:t>
            </w:r>
            <w:r>
              <w:rPr>
                <w:rFonts w:hint="eastAsia" w:ascii="宋体" w:hAnsi="宋体" w:eastAsia="宋体" w:cs="宋体"/>
                <w:color w:val="auto"/>
                <w:highlight w:val="none"/>
                <w:lang w:val="en-US" w:eastAsia="zh-CN"/>
              </w:rPr>
              <w:t>，得2分；</w:t>
            </w:r>
          </w:p>
          <w:p w14:paraId="3767DD20">
            <w:pPr>
              <w:widowControl/>
              <w:overflowPunct w:val="0"/>
              <w:autoSpaceDE w:val="0"/>
              <w:autoSpaceDN w:val="0"/>
              <w:adjustRightInd w:val="0"/>
              <w:spacing w:after="0" w:line="360" w:lineRule="auto"/>
              <w:ind w:firstLine="420" w:firstLineChars="200"/>
              <w:jc w:val="left"/>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②在本项第①项的基础上，能制订具体的食堂餐饮服务计划及服务流程；制订有针对食堂餐饮服务内容的相应管理制度、考核制度；得4分；</w:t>
            </w:r>
          </w:p>
          <w:p w14:paraId="4DF44550">
            <w:pPr>
              <w:widowControl/>
              <w:overflowPunct w:val="0"/>
              <w:autoSpaceDE w:val="0"/>
              <w:autoSpaceDN w:val="0"/>
              <w:adjustRightInd w:val="0"/>
              <w:spacing w:after="0" w:line="360" w:lineRule="auto"/>
              <w:ind w:firstLine="420" w:firstLineChars="200"/>
              <w:jc w:val="left"/>
              <w:textAlignment w:val="baseline"/>
              <w:rPr>
                <w:rFonts w:hint="eastAsia"/>
                <w:color w:val="auto"/>
                <w:highlight w:val="none"/>
                <w:lang w:val="en-US" w:eastAsia="zh-CN"/>
              </w:rPr>
            </w:pPr>
            <w:r>
              <w:rPr>
                <w:rFonts w:hint="eastAsia" w:ascii="宋体" w:hAnsi="宋体" w:eastAsia="宋体" w:cs="宋体"/>
                <w:color w:val="auto"/>
                <w:highlight w:val="none"/>
                <w:lang w:val="en-US" w:eastAsia="zh-CN"/>
              </w:rPr>
              <w:t>③在本项第②项的基础上，针对食堂餐饮服务内容提出服务的重点难点，并能提供解决措施，针对本项目制订有利于提升服务质量的日常供餐、菜谱搭配方案，有项目实际运用案例，得6分</w:t>
            </w:r>
            <w:r>
              <w:rPr>
                <w:rFonts w:hint="eastAsia"/>
                <w:color w:val="auto"/>
                <w:highlight w:val="none"/>
                <w:lang w:val="en-US" w:eastAsia="zh-CN"/>
              </w:rPr>
              <w:t>。</w:t>
            </w:r>
          </w:p>
          <w:p w14:paraId="16F5B062">
            <w:pPr>
              <w:widowControl/>
              <w:overflowPunct w:val="0"/>
              <w:autoSpaceDE w:val="0"/>
              <w:autoSpaceDN w:val="0"/>
              <w:adjustRightInd w:val="0"/>
              <w:spacing w:after="0" w:line="360" w:lineRule="auto"/>
              <w:ind w:firstLine="422" w:firstLineChars="200"/>
              <w:jc w:val="left"/>
              <w:textAlignment w:val="baseline"/>
              <w:rPr>
                <w:rFonts w:hint="eastAsia" w:ascii="宋体" w:hAnsi="宋体" w:eastAsia="宋体" w:cs="宋体"/>
                <w:color w:val="auto"/>
                <w:kern w:val="2"/>
                <w:sz w:val="21"/>
                <w:szCs w:val="21"/>
                <w:highlight w:val="none"/>
                <w:lang w:val="en-US" w:eastAsia="zh-CN" w:bidi="ar-SA"/>
              </w:rPr>
            </w:pPr>
            <w:r>
              <w:rPr>
                <w:rFonts w:hint="eastAsia"/>
                <w:b/>
                <w:bCs w:val="0"/>
                <w:color w:val="auto"/>
                <w:highlight w:val="none"/>
                <w:lang w:val="en-US" w:eastAsia="zh-CN"/>
              </w:rPr>
              <w:t>注：供应商不提供食堂餐饮服务方案或食堂餐饮服务方案未达到①标准要求的，得0分。</w:t>
            </w:r>
          </w:p>
        </w:tc>
        <w:tc>
          <w:tcPr>
            <w:tcW w:w="772" w:type="dxa"/>
            <w:shd w:val="clear" w:color="auto" w:fill="FFFFFF"/>
            <w:noWrap/>
            <w:vAlign w:val="center"/>
          </w:tcPr>
          <w:p w14:paraId="03689FC0">
            <w:pPr>
              <w:widowControl/>
              <w:overflowPunct w:val="0"/>
              <w:autoSpaceDE w:val="0"/>
              <w:autoSpaceDN w:val="0"/>
              <w:adjustRightInd w:val="0"/>
              <w:spacing w:after="0"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6分</w:t>
            </w:r>
          </w:p>
        </w:tc>
      </w:tr>
      <w:tr w14:paraId="182C5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227" w:type="dxa"/>
            <w:gridSpan w:val="4"/>
            <w:noWrap/>
            <w:vAlign w:val="center"/>
          </w:tcPr>
          <w:p w14:paraId="773EC69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     计</w:t>
            </w:r>
          </w:p>
        </w:tc>
        <w:tc>
          <w:tcPr>
            <w:tcW w:w="772" w:type="dxa"/>
            <w:noWrap/>
            <w:vAlign w:val="center"/>
          </w:tcPr>
          <w:p w14:paraId="1F2A9CC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100 </w:t>
            </w:r>
          </w:p>
        </w:tc>
      </w:tr>
    </w:tbl>
    <w:p w14:paraId="62A5599A">
      <w:pPr>
        <w:topLinePunct/>
        <w:autoSpaceDE w:val="0"/>
        <w:autoSpaceDN w:val="0"/>
        <w:spacing w:line="360" w:lineRule="auto"/>
        <w:ind w:firstLine="420" w:firstLineChars="200"/>
        <w:rPr>
          <w:rFonts w:hint="eastAsia" w:asciiTheme="minorEastAsia" w:hAnsiTheme="minorEastAsia" w:eastAsiaTheme="minorEastAsia" w:cstheme="minorEastAsia"/>
          <w:color w:val="auto"/>
          <w:szCs w:val="21"/>
          <w:highlight w:val="none"/>
        </w:rPr>
      </w:pPr>
    </w:p>
    <w:p w14:paraId="5D2905B6">
      <w:pPr>
        <w:topLinePunct/>
        <w:autoSpaceDE w:val="0"/>
        <w:autoSpaceDN w:val="0"/>
        <w:spacing w:line="360" w:lineRule="auto"/>
        <w:ind w:firstLine="42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Cs w:val="21"/>
          <w:highlight w:val="none"/>
          <w:lang w:val="en-US" w:eastAsia="zh-CN"/>
        </w:rPr>
        <w:t>5.</w:t>
      </w:r>
      <w:r>
        <w:rPr>
          <w:rFonts w:hint="eastAsia" w:asciiTheme="minorEastAsia" w:hAnsiTheme="minorEastAsia" w:eastAsiaTheme="minorEastAsia" w:cstheme="minorEastAsia"/>
          <w:b/>
          <w:bCs/>
          <w:color w:val="auto"/>
          <w:szCs w:val="21"/>
          <w:highlight w:val="none"/>
        </w:rPr>
        <w:t>落实采购政策进行价格调整的规则：</w:t>
      </w:r>
    </w:p>
    <w:tbl>
      <w:tblPr>
        <w:tblStyle w:val="21"/>
        <w:tblW w:w="94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70"/>
        <w:gridCol w:w="4931"/>
        <w:gridCol w:w="2302"/>
      </w:tblGrid>
      <w:tr w14:paraId="32F39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70" w:type="dxa"/>
            <w:vAlign w:val="center"/>
          </w:tcPr>
          <w:p w14:paraId="058158ED">
            <w:pPr>
              <w:pStyle w:val="32"/>
              <w:widowControl w:val="0"/>
              <w:spacing w:line="360" w:lineRule="auto"/>
              <w:jc w:val="center"/>
              <w:rPr>
                <w:rFonts w:hint="default" w:ascii="Times New Roman" w:hAnsi="Times New Roman"/>
                <w:b/>
                <w:color w:val="auto"/>
                <w:kern w:val="2"/>
                <w:sz w:val="21"/>
                <w:szCs w:val="21"/>
                <w:highlight w:val="none"/>
              </w:rPr>
            </w:pPr>
            <w:r>
              <w:rPr>
                <w:rFonts w:hint="default" w:ascii="Times New Roman" w:hAnsi="Times New Roman"/>
                <w:b/>
                <w:color w:val="auto"/>
                <w:kern w:val="2"/>
                <w:sz w:val="21"/>
                <w:szCs w:val="21"/>
                <w:highlight w:val="none"/>
              </w:rPr>
              <w:t>采购政策</w:t>
            </w:r>
          </w:p>
        </w:tc>
        <w:tc>
          <w:tcPr>
            <w:tcW w:w="4931" w:type="dxa"/>
            <w:vAlign w:val="center"/>
          </w:tcPr>
          <w:p w14:paraId="67802C21">
            <w:pPr>
              <w:pStyle w:val="32"/>
              <w:widowControl w:val="0"/>
              <w:spacing w:line="360" w:lineRule="auto"/>
              <w:jc w:val="center"/>
              <w:rPr>
                <w:rFonts w:hint="default" w:ascii="Times New Roman" w:hAnsi="Times New Roman"/>
                <w:b/>
                <w:color w:val="auto"/>
                <w:kern w:val="2"/>
                <w:sz w:val="21"/>
                <w:szCs w:val="21"/>
                <w:highlight w:val="none"/>
              </w:rPr>
            </w:pPr>
            <w:r>
              <w:rPr>
                <w:rFonts w:hint="default" w:ascii="Times New Roman" w:hAnsi="Times New Roman"/>
                <w:b/>
                <w:color w:val="auto"/>
                <w:kern w:val="2"/>
                <w:sz w:val="21"/>
                <w:szCs w:val="21"/>
                <w:highlight w:val="none"/>
              </w:rPr>
              <w:t>价格扣除规则</w:t>
            </w:r>
          </w:p>
        </w:tc>
        <w:tc>
          <w:tcPr>
            <w:tcW w:w="2302" w:type="dxa"/>
            <w:vAlign w:val="center"/>
          </w:tcPr>
          <w:p w14:paraId="70E41D9B">
            <w:pPr>
              <w:pStyle w:val="32"/>
              <w:widowControl w:val="0"/>
              <w:spacing w:line="360" w:lineRule="auto"/>
              <w:jc w:val="center"/>
              <w:rPr>
                <w:rFonts w:hint="default" w:ascii="Times New Roman" w:hAnsi="Times New Roman"/>
                <w:b/>
                <w:color w:val="auto"/>
                <w:kern w:val="2"/>
                <w:sz w:val="21"/>
                <w:szCs w:val="21"/>
                <w:highlight w:val="none"/>
              </w:rPr>
            </w:pPr>
            <w:r>
              <w:rPr>
                <w:rFonts w:hint="default" w:ascii="Times New Roman" w:hAnsi="Times New Roman"/>
                <w:b/>
                <w:color w:val="auto"/>
                <w:kern w:val="2"/>
                <w:sz w:val="21"/>
                <w:szCs w:val="21"/>
                <w:highlight w:val="none"/>
              </w:rPr>
              <w:t>享受价格扣除的条件</w:t>
            </w:r>
          </w:p>
        </w:tc>
      </w:tr>
      <w:tr w14:paraId="6DFA9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0" w:type="dxa"/>
            <w:vAlign w:val="center"/>
          </w:tcPr>
          <w:p w14:paraId="2EF8DB76">
            <w:pPr>
              <w:pStyle w:val="32"/>
              <w:widowControl w:val="0"/>
              <w:spacing w:line="360" w:lineRule="auto"/>
              <w:jc w:val="center"/>
              <w:rPr>
                <w:rFonts w:hint="default" w:ascii="宋体" w:hAnsi="宋体"/>
                <w:color w:val="auto"/>
                <w:kern w:val="2"/>
                <w:sz w:val="21"/>
                <w:szCs w:val="21"/>
                <w:highlight w:val="none"/>
              </w:rPr>
            </w:pPr>
            <w:r>
              <w:rPr>
                <w:rFonts w:ascii="宋体" w:hAnsi="宋体"/>
                <w:color w:val="auto"/>
                <w:kern w:val="2"/>
                <w:sz w:val="21"/>
                <w:szCs w:val="21"/>
                <w:highlight w:val="none"/>
              </w:rPr>
              <w:t>节约能源政策</w:t>
            </w:r>
          </w:p>
        </w:tc>
        <w:tc>
          <w:tcPr>
            <w:tcW w:w="4931" w:type="dxa"/>
            <w:vAlign w:val="center"/>
          </w:tcPr>
          <w:p w14:paraId="44A14BB7">
            <w:pPr>
              <w:pStyle w:val="32"/>
              <w:widowControl w:val="0"/>
              <w:spacing w:line="360" w:lineRule="auto"/>
              <w:jc w:val="center"/>
              <w:rPr>
                <w:rFonts w:hint="default" w:ascii="宋体" w:hAnsi="宋体"/>
                <w:color w:val="auto"/>
                <w:kern w:val="2"/>
                <w:sz w:val="21"/>
                <w:szCs w:val="21"/>
                <w:highlight w:val="none"/>
              </w:rPr>
            </w:pPr>
            <w:r>
              <w:rPr>
                <w:rFonts w:ascii="宋体" w:hAnsi="宋体"/>
                <w:color w:val="auto"/>
                <w:kern w:val="2"/>
                <w:sz w:val="21"/>
                <w:szCs w:val="21"/>
                <w:highlight w:val="none"/>
              </w:rPr>
              <w:t>/</w:t>
            </w:r>
          </w:p>
        </w:tc>
        <w:tc>
          <w:tcPr>
            <w:tcW w:w="2302" w:type="dxa"/>
            <w:vAlign w:val="center"/>
          </w:tcPr>
          <w:p w14:paraId="70C01470">
            <w:pPr>
              <w:pStyle w:val="32"/>
              <w:widowControl w:val="0"/>
              <w:spacing w:line="360" w:lineRule="auto"/>
              <w:jc w:val="center"/>
              <w:rPr>
                <w:rFonts w:hint="default" w:ascii="宋体" w:hAnsi="宋体"/>
                <w:color w:val="auto"/>
                <w:kern w:val="2"/>
                <w:sz w:val="21"/>
                <w:szCs w:val="21"/>
                <w:highlight w:val="none"/>
              </w:rPr>
            </w:pPr>
            <w:r>
              <w:rPr>
                <w:rFonts w:ascii="宋体" w:hAnsi="宋体"/>
                <w:color w:val="auto"/>
                <w:kern w:val="2"/>
                <w:sz w:val="21"/>
                <w:szCs w:val="21"/>
                <w:highlight w:val="none"/>
              </w:rPr>
              <w:t>/</w:t>
            </w:r>
          </w:p>
        </w:tc>
      </w:tr>
      <w:tr w14:paraId="1CE45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0" w:type="dxa"/>
            <w:vAlign w:val="center"/>
          </w:tcPr>
          <w:p w14:paraId="3FB41BF9">
            <w:pPr>
              <w:pStyle w:val="32"/>
              <w:widowControl w:val="0"/>
              <w:spacing w:line="360" w:lineRule="auto"/>
              <w:jc w:val="center"/>
              <w:rPr>
                <w:rFonts w:hint="default" w:ascii="宋体" w:hAnsi="宋体"/>
                <w:color w:val="auto"/>
                <w:kern w:val="2"/>
                <w:sz w:val="21"/>
                <w:szCs w:val="21"/>
                <w:highlight w:val="none"/>
              </w:rPr>
            </w:pPr>
            <w:r>
              <w:rPr>
                <w:rFonts w:ascii="宋体" w:hAnsi="宋体"/>
                <w:color w:val="auto"/>
                <w:kern w:val="2"/>
                <w:sz w:val="21"/>
                <w:szCs w:val="21"/>
                <w:highlight w:val="none"/>
              </w:rPr>
              <w:t>保护环境政策</w:t>
            </w:r>
          </w:p>
        </w:tc>
        <w:tc>
          <w:tcPr>
            <w:tcW w:w="4931" w:type="dxa"/>
            <w:vAlign w:val="center"/>
          </w:tcPr>
          <w:p w14:paraId="509AED3A">
            <w:pPr>
              <w:pStyle w:val="32"/>
              <w:widowControl w:val="0"/>
              <w:spacing w:line="360" w:lineRule="auto"/>
              <w:jc w:val="center"/>
              <w:rPr>
                <w:rFonts w:hint="default" w:ascii="宋体" w:hAnsi="宋体"/>
                <w:color w:val="auto"/>
                <w:kern w:val="2"/>
                <w:sz w:val="21"/>
                <w:szCs w:val="21"/>
                <w:highlight w:val="none"/>
              </w:rPr>
            </w:pPr>
            <w:r>
              <w:rPr>
                <w:rFonts w:ascii="宋体" w:hAnsi="宋体"/>
                <w:color w:val="auto"/>
                <w:kern w:val="2"/>
                <w:sz w:val="21"/>
                <w:szCs w:val="21"/>
                <w:highlight w:val="none"/>
              </w:rPr>
              <w:t>/</w:t>
            </w:r>
          </w:p>
        </w:tc>
        <w:tc>
          <w:tcPr>
            <w:tcW w:w="2302" w:type="dxa"/>
            <w:vAlign w:val="center"/>
          </w:tcPr>
          <w:p w14:paraId="290798E6">
            <w:pPr>
              <w:pStyle w:val="32"/>
              <w:widowControl w:val="0"/>
              <w:spacing w:line="360" w:lineRule="auto"/>
              <w:jc w:val="center"/>
              <w:rPr>
                <w:rFonts w:hint="default" w:ascii="宋体" w:hAnsi="宋体"/>
                <w:color w:val="auto"/>
                <w:kern w:val="2"/>
                <w:sz w:val="21"/>
                <w:szCs w:val="21"/>
                <w:highlight w:val="none"/>
              </w:rPr>
            </w:pPr>
            <w:r>
              <w:rPr>
                <w:rFonts w:ascii="宋体" w:hAnsi="宋体"/>
                <w:color w:val="auto"/>
                <w:kern w:val="2"/>
                <w:sz w:val="21"/>
                <w:szCs w:val="21"/>
                <w:highlight w:val="none"/>
              </w:rPr>
              <w:t>/</w:t>
            </w:r>
          </w:p>
        </w:tc>
      </w:tr>
      <w:tr w14:paraId="76AE7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0" w:type="dxa"/>
            <w:vAlign w:val="center"/>
          </w:tcPr>
          <w:p w14:paraId="1C871942">
            <w:pPr>
              <w:pStyle w:val="32"/>
              <w:widowControl w:val="0"/>
              <w:spacing w:line="360" w:lineRule="auto"/>
              <w:jc w:val="center"/>
              <w:rPr>
                <w:rFonts w:hint="default" w:ascii="宋体" w:hAnsi="宋体"/>
                <w:color w:val="auto"/>
                <w:kern w:val="2"/>
                <w:sz w:val="21"/>
                <w:szCs w:val="21"/>
                <w:highlight w:val="none"/>
              </w:rPr>
            </w:pPr>
            <w:r>
              <w:rPr>
                <w:rFonts w:ascii="宋体" w:hAnsi="宋体"/>
                <w:color w:val="auto"/>
                <w:kern w:val="2"/>
                <w:sz w:val="21"/>
                <w:szCs w:val="21"/>
                <w:highlight w:val="none"/>
              </w:rPr>
              <w:t>促进中小企业</w:t>
            </w:r>
          </w:p>
          <w:p w14:paraId="541814DE">
            <w:pPr>
              <w:pStyle w:val="32"/>
              <w:widowControl w:val="0"/>
              <w:spacing w:line="360" w:lineRule="auto"/>
              <w:jc w:val="center"/>
              <w:rPr>
                <w:rFonts w:ascii="宋体" w:hAnsi="宋体"/>
                <w:color w:val="auto"/>
                <w:kern w:val="2"/>
                <w:sz w:val="21"/>
                <w:szCs w:val="21"/>
                <w:highlight w:val="none"/>
              </w:rPr>
            </w:pPr>
            <w:r>
              <w:rPr>
                <w:rFonts w:ascii="宋体" w:hAnsi="宋体"/>
                <w:color w:val="auto"/>
                <w:kern w:val="2"/>
                <w:sz w:val="21"/>
                <w:szCs w:val="21"/>
                <w:highlight w:val="none"/>
              </w:rPr>
              <w:t>发展政策</w:t>
            </w:r>
          </w:p>
        </w:tc>
        <w:tc>
          <w:tcPr>
            <w:tcW w:w="4931" w:type="dxa"/>
            <w:vAlign w:val="center"/>
          </w:tcPr>
          <w:p w14:paraId="0467FFF1">
            <w:pPr>
              <w:spacing w:line="440" w:lineRule="exact"/>
              <w:jc w:val="left"/>
              <w:rPr>
                <w:rFonts w:ascii="宋体" w:hAnsi="宋体"/>
                <w:color w:val="auto"/>
                <w:kern w:val="2"/>
                <w:sz w:val="21"/>
                <w:szCs w:val="21"/>
                <w:highlight w:val="none"/>
              </w:rPr>
            </w:pPr>
            <w:r>
              <w:rPr>
                <w:rFonts w:hint="eastAsia" w:asciiTheme="minorEastAsia" w:hAnsiTheme="minorEastAsia" w:eastAsiaTheme="minorEastAsia" w:cstheme="minorEastAsia"/>
                <w:color w:val="auto"/>
                <w:sz w:val="21"/>
                <w:szCs w:val="21"/>
                <w:highlight w:val="none"/>
              </w:rPr>
              <w:t>本项目为专门面向中小企业采购项目，按照《政府采购促进中小企业发展管理办法》（财库〔2020〕46号）规定，小微企业不再执行价格评审优惠的扶持政策。</w:t>
            </w:r>
          </w:p>
        </w:tc>
        <w:tc>
          <w:tcPr>
            <w:tcW w:w="2302" w:type="dxa"/>
            <w:vAlign w:val="center"/>
          </w:tcPr>
          <w:p w14:paraId="5A6BF9C3">
            <w:pPr>
              <w:pStyle w:val="32"/>
              <w:widowControl w:val="0"/>
              <w:spacing w:line="440" w:lineRule="exact"/>
              <w:jc w:val="center"/>
              <w:rPr>
                <w:rFonts w:hint="default" w:ascii="宋体" w:hAnsi="宋体" w:eastAsia="宋体"/>
                <w:color w:val="auto"/>
                <w:kern w:val="2"/>
                <w:sz w:val="21"/>
                <w:szCs w:val="21"/>
                <w:highlight w:val="none"/>
                <w:lang w:val="en-US" w:eastAsia="zh-CN"/>
              </w:rPr>
            </w:pPr>
            <w:r>
              <w:rPr>
                <w:rFonts w:asciiTheme="minorEastAsia" w:hAnsiTheme="minorEastAsia" w:eastAsiaTheme="minorEastAsia" w:cstheme="minorEastAsia"/>
                <w:color w:val="auto"/>
                <w:sz w:val="21"/>
                <w:szCs w:val="21"/>
                <w:highlight w:val="none"/>
              </w:rPr>
              <w:t>/</w:t>
            </w:r>
          </w:p>
        </w:tc>
      </w:tr>
      <w:tr w14:paraId="7DE76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0" w:type="dxa"/>
            <w:shd w:val="clear" w:color="auto" w:fill="auto"/>
            <w:vAlign w:val="center"/>
          </w:tcPr>
          <w:p w14:paraId="6AC7C344">
            <w:pPr>
              <w:pStyle w:val="32"/>
              <w:widowControl w:val="0"/>
              <w:spacing w:line="360" w:lineRule="auto"/>
              <w:jc w:val="center"/>
              <w:rPr>
                <w:rFonts w:hint="default" w:ascii="宋体" w:hAnsi="宋体" w:eastAsia="宋体" w:cs="Times New Roman"/>
                <w:color w:val="auto"/>
                <w:kern w:val="2"/>
                <w:sz w:val="21"/>
                <w:szCs w:val="21"/>
                <w:highlight w:val="none"/>
                <w:lang w:val="en-US" w:eastAsia="zh-CN" w:bidi="ar-SA"/>
              </w:rPr>
            </w:pPr>
            <w:r>
              <w:rPr>
                <w:rFonts w:ascii="宋体" w:hAnsi="宋体"/>
                <w:color w:val="auto"/>
                <w:kern w:val="2"/>
                <w:sz w:val="21"/>
                <w:szCs w:val="21"/>
                <w:highlight w:val="none"/>
              </w:rPr>
              <w:t>促进残疾人就业政策</w:t>
            </w:r>
          </w:p>
        </w:tc>
        <w:tc>
          <w:tcPr>
            <w:tcW w:w="4931" w:type="dxa"/>
            <w:vAlign w:val="center"/>
          </w:tcPr>
          <w:p w14:paraId="437F6644">
            <w:pPr>
              <w:pStyle w:val="32"/>
              <w:widowControl w:val="0"/>
              <w:spacing w:line="440" w:lineRule="exact"/>
              <w:rPr>
                <w:rFonts w:hint="default" w:ascii="宋体" w:hAnsi="宋体"/>
                <w:color w:val="auto"/>
                <w:kern w:val="2"/>
                <w:sz w:val="21"/>
                <w:szCs w:val="21"/>
                <w:highlight w:val="none"/>
              </w:rPr>
            </w:pPr>
            <w:r>
              <w:rPr>
                <w:rFonts w:asciiTheme="minorEastAsia" w:hAnsiTheme="minorEastAsia" w:eastAsiaTheme="minorEastAsia" w:cstheme="minorEastAsia"/>
                <w:color w:val="auto"/>
                <w:kern w:val="2"/>
                <w:sz w:val="21"/>
                <w:szCs w:val="21"/>
                <w:highlight w:val="none"/>
              </w:rPr>
              <w:t>本项目为专门面向中小企业采购项目，按照《政府采购促进中小企业发展管理办法》（财库〔2020〕46号）规定，残疾人福利性单位不再执行价格评审优惠的扶持政策。</w:t>
            </w:r>
          </w:p>
        </w:tc>
        <w:tc>
          <w:tcPr>
            <w:tcW w:w="2302" w:type="dxa"/>
            <w:vAlign w:val="center"/>
          </w:tcPr>
          <w:p w14:paraId="7692AE07">
            <w:pPr>
              <w:pStyle w:val="11"/>
              <w:spacing w:line="440" w:lineRule="exact"/>
              <w:ind w:firstLine="420" w:firstLineChars="20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p w14:paraId="4A6FFBDB">
            <w:pPr>
              <w:pStyle w:val="32"/>
              <w:widowControl w:val="0"/>
              <w:spacing w:line="440" w:lineRule="exact"/>
              <w:jc w:val="center"/>
              <w:rPr>
                <w:rFonts w:ascii="宋体" w:hAnsi="宋体"/>
                <w:color w:val="auto"/>
                <w:kern w:val="2"/>
                <w:sz w:val="21"/>
                <w:szCs w:val="21"/>
                <w:highlight w:val="none"/>
              </w:rPr>
            </w:pPr>
          </w:p>
        </w:tc>
      </w:tr>
      <w:tr w14:paraId="33D7B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0" w:type="dxa"/>
            <w:shd w:val="clear" w:color="auto" w:fill="auto"/>
            <w:vAlign w:val="center"/>
          </w:tcPr>
          <w:p w14:paraId="1CF1931D">
            <w:pPr>
              <w:pStyle w:val="32"/>
              <w:widowControl w:val="0"/>
              <w:spacing w:line="360" w:lineRule="auto"/>
              <w:jc w:val="center"/>
              <w:rPr>
                <w:rFonts w:hint="default" w:ascii="宋体" w:hAnsi="宋体"/>
                <w:color w:val="auto"/>
                <w:kern w:val="2"/>
                <w:sz w:val="21"/>
                <w:szCs w:val="21"/>
                <w:highlight w:val="none"/>
              </w:rPr>
            </w:pPr>
            <w:r>
              <w:rPr>
                <w:rFonts w:ascii="宋体" w:hAnsi="宋体"/>
                <w:color w:val="auto"/>
                <w:kern w:val="2"/>
                <w:sz w:val="21"/>
                <w:szCs w:val="21"/>
                <w:highlight w:val="none"/>
              </w:rPr>
              <w:t>支持监狱企业</w:t>
            </w:r>
          </w:p>
          <w:p w14:paraId="06CF2684">
            <w:pPr>
              <w:pStyle w:val="32"/>
              <w:widowControl w:val="0"/>
              <w:spacing w:line="360" w:lineRule="auto"/>
              <w:jc w:val="center"/>
              <w:rPr>
                <w:rFonts w:hint="default" w:ascii="宋体" w:hAnsi="宋体" w:eastAsia="宋体" w:cs="Times New Roman"/>
                <w:color w:val="auto"/>
                <w:kern w:val="2"/>
                <w:sz w:val="21"/>
                <w:szCs w:val="21"/>
                <w:highlight w:val="none"/>
                <w:lang w:val="en-US" w:eastAsia="zh-CN" w:bidi="ar-SA"/>
              </w:rPr>
            </w:pPr>
            <w:r>
              <w:rPr>
                <w:rFonts w:ascii="宋体" w:hAnsi="宋体"/>
                <w:color w:val="auto"/>
                <w:kern w:val="2"/>
                <w:sz w:val="21"/>
                <w:szCs w:val="21"/>
                <w:highlight w:val="none"/>
              </w:rPr>
              <w:t>发展政策</w:t>
            </w:r>
          </w:p>
        </w:tc>
        <w:tc>
          <w:tcPr>
            <w:tcW w:w="4931" w:type="dxa"/>
            <w:vAlign w:val="center"/>
          </w:tcPr>
          <w:p w14:paraId="51FAAF4F">
            <w:pPr>
              <w:pStyle w:val="32"/>
              <w:widowControl w:val="0"/>
              <w:spacing w:line="440" w:lineRule="exact"/>
              <w:rPr>
                <w:rFonts w:hint="default" w:ascii="宋体" w:hAnsi="宋体"/>
                <w:color w:val="auto"/>
                <w:kern w:val="2"/>
                <w:sz w:val="21"/>
                <w:szCs w:val="21"/>
                <w:highlight w:val="none"/>
              </w:rPr>
            </w:pPr>
            <w:r>
              <w:rPr>
                <w:rFonts w:asciiTheme="minorEastAsia" w:hAnsiTheme="minorEastAsia" w:eastAsiaTheme="minorEastAsia" w:cstheme="minorEastAsia"/>
                <w:color w:val="auto"/>
                <w:kern w:val="2"/>
                <w:sz w:val="21"/>
                <w:szCs w:val="21"/>
                <w:highlight w:val="none"/>
              </w:rPr>
              <w:t>本项目为专门面向中小企业采购项目，按照《政府采购促进中小企业发展管理办法》（财库〔2020〕46号）规定，监狱企业不再执行价格评审优惠的扶持政策。</w:t>
            </w:r>
          </w:p>
        </w:tc>
        <w:tc>
          <w:tcPr>
            <w:tcW w:w="2302" w:type="dxa"/>
            <w:vAlign w:val="center"/>
          </w:tcPr>
          <w:p w14:paraId="0896D57A">
            <w:pPr>
              <w:pStyle w:val="32"/>
              <w:widowControl w:val="0"/>
              <w:spacing w:line="440" w:lineRule="exact"/>
              <w:jc w:val="center"/>
              <w:rPr>
                <w:rFonts w:ascii="宋体" w:hAnsi="宋体"/>
                <w:color w:val="auto"/>
                <w:kern w:val="2"/>
                <w:sz w:val="21"/>
                <w:szCs w:val="21"/>
                <w:highlight w:val="none"/>
              </w:rPr>
            </w:pPr>
            <w:r>
              <w:rPr>
                <w:rFonts w:asciiTheme="minorEastAsia" w:hAnsiTheme="minorEastAsia" w:eastAsiaTheme="minorEastAsia" w:cstheme="minorEastAsia"/>
                <w:color w:val="auto"/>
                <w:sz w:val="21"/>
                <w:szCs w:val="21"/>
                <w:highlight w:val="none"/>
              </w:rPr>
              <w:t>/</w:t>
            </w:r>
          </w:p>
        </w:tc>
      </w:tr>
    </w:tbl>
    <w:p w14:paraId="7265817F">
      <w:pPr>
        <w:pStyle w:val="32"/>
        <w:widowControl w:val="0"/>
        <w:spacing w:line="360" w:lineRule="auto"/>
        <w:ind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推荐成交候选人</w:t>
      </w:r>
    </w:p>
    <w:p w14:paraId="15E13470">
      <w:pPr>
        <w:widowControl/>
        <w:topLinePunct/>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.1按评审后得分由高到低顺序排列。得分相同的，按最</w:t>
      </w:r>
      <w:r>
        <w:rPr>
          <w:rFonts w:hint="eastAsia" w:asciiTheme="minorEastAsia" w:hAnsiTheme="minorEastAsia" w:eastAsiaTheme="minorEastAsia" w:cstheme="minorEastAsia"/>
          <w:color w:val="auto"/>
          <w:szCs w:val="21"/>
          <w:highlight w:val="none"/>
          <w:lang w:eastAsia="zh-CN"/>
        </w:rPr>
        <w:t>后</w:t>
      </w:r>
      <w:r>
        <w:rPr>
          <w:rFonts w:hint="eastAsia" w:asciiTheme="minorEastAsia" w:hAnsiTheme="minorEastAsia" w:eastAsiaTheme="minorEastAsia" w:cstheme="minorEastAsia"/>
          <w:color w:val="auto"/>
          <w:szCs w:val="21"/>
          <w:highlight w:val="none"/>
        </w:rPr>
        <w:t>报价由低到高顺序排列。得分且最终报价相同的并列</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按照</w:t>
      </w:r>
      <w:r>
        <w:rPr>
          <w:rFonts w:hint="eastAsia" w:asciiTheme="minorEastAsia" w:hAnsiTheme="minorEastAsia" w:eastAsiaTheme="minorEastAsia" w:cstheme="minorEastAsia"/>
          <w:color w:val="auto"/>
          <w:highlight w:val="none"/>
          <w:u w:val="single"/>
        </w:rPr>
        <w:t>技术指标优</w:t>
      </w:r>
      <w:r>
        <w:rPr>
          <w:rFonts w:hint="eastAsia" w:asciiTheme="minorEastAsia" w:hAnsiTheme="minorEastAsia" w:eastAsiaTheme="minorEastAsia" w:cstheme="minorEastAsia"/>
          <w:color w:val="auto"/>
          <w:highlight w:val="none"/>
          <w:u w:val="single"/>
          <w:lang w:val="en-US" w:eastAsia="zh-CN"/>
        </w:rPr>
        <w:t>劣顺序排列（按照保安服务方案、保洁服务方案、档案管理及会议服务方案、供电设备监控维护管理方案、食堂餐饮服务方案的顺序，评审得分高者排名优先）</w:t>
      </w:r>
      <w:r>
        <w:rPr>
          <w:rFonts w:hint="eastAsia" w:asciiTheme="minorEastAsia" w:hAnsiTheme="minorEastAsia" w:eastAsiaTheme="minorEastAsia" w:cstheme="minorEastAsia"/>
          <w:color w:val="auto"/>
          <w:szCs w:val="21"/>
          <w:highlight w:val="none"/>
        </w:rPr>
        <w:t>的方式确定</w:t>
      </w:r>
      <w:r>
        <w:rPr>
          <w:rFonts w:hint="eastAsia" w:asciiTheme="minorEastAsia" w:hAnsiTheme="minorEastAsia" w:eastAsiaTheme="minorEastAsia" w:cstheme="minorEastAsia"/>
          <w:color w:val="auto"/>
          <w:szCs w:val="21"/>
          <w:highlight w:val="none"/>
          <w:lang w:val="en-US" w:eastAsia="zh-CN"/>
        </w:rPr>
        <w:t>成交</w:t>
      </w:r>
      <w:r>
        <w:rPr>
          <w:rFonts w:hint="eastAsia" w:asciiTheme="minorEastAsia" w:hAnsiTheme="minorEastAsia" w:eastAsiaTheme="minorEastAsia" w:cstheme="minorEastAsia"/>
          <w:color w:val="auto"/>
          <w:highlight w:val="none"/>
        </w:rPr>
        <w:t>候选</w:t>
      </w:r>
      <w:r>
        <w:rPr>
          <w:rFonts w:hint="eastAsia" w:asciiTheme="minorEastAsia" w:hAnsiTheme="minorEastAsia" w:eastAsiaTheme="minorEastAsia" w:cstheme="minorEastAsia"/>
          <w:color w:val="auto"/>
          <w:szCs w:val="21"/>
          <w:highlight w:val="none"/>
          <w:lang w:val="en-US" w:eastAsia="zh-CN"/>
        </w:rPr>
        <w:t>供应商</w:t>
      </w:r>
      <w:r>
        <w:rPr>
          <w:rFonts w:hint="eastAsia" w:asciiTheme="minorEastAsia" w:hAnsiTheme="minorEastAsia" w:eastAsiaTheme="minorEastAsia" w:cstheme="minorEastAsia"/>
          <w:color w:val="auto"/>
          <w:szCs w:val="21"/>
          <w:highlight w:val="none"/>
        </w:rPr>
        <w:t>。</w:t>
      </w:r>
    </w:p>
    <w:p w14:paraId="112C954A">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.2推荐</w:t>
      </w:r>
      <w:r>
        <w:rPr>
          <w:rFonts w:hint="eastAsia" w:asciiTheme="minorEastAsia" w:hAnsiTheme="minorEastAsia" w:eastAsiaTheme="minorEastAsia" w:cstheme="minorEastAsia"/>
          <w:color w:val="auto"/>
          <w:highlight w:val="none"/>
          <w:lang w:val="en-US" w:eastAsia="zh-CN"/>
        </w:rPr>
        <w:t>成交</w:t>
      </w:r>
      <w:r>
        <w:rPr>
          <w:rFonts w:hint="eastAsia" w:asciiTheme="minorEastAsia" w:hAnsiTheme="minorEastAsia" w:eastAsiaTheme="minorEastAsia" w:cstheme="minorEastAsia"/>
          <w:color w:val="auto"/>
          <w:highlight w:val="none"/>
        </w:rPr>
        <w:t>候选</w:t>
      </w:r>
      <w:r>
        <w:rPr>
          <w:rFonts w:hint="eastAsia" w:asciiTheme="minorEastAsia" w:hAnsiTheme="minorEastAsia" w:eastAsiaTheme="minorEastAsia" w:cstheme="minorEastAsia"/>
          <w:color w:val="auto"/>
          <w:szCs w:val="21"/>
          <w:highlight w:val="none"/>
          <w:lang w:val="en-US" w:eastAsia="zh-CN"/>
        </w:rPr>
        <w:t>供应商</w:t>
      </w:r>
      <w:r>
        <w:rPr>
          <w:rFonts w:hint="eastAsia" w:asciiTheme="minorEastAsia" w:hAnsiTheme="minorEastAsia" w:eastAsiaTheme="minorEastAsia" w:cstheme="minorEastAsia"/>
          <w:color w:val="auto"/>
          <w:highlight w:val="none"/>
        </w:rPr>
        <w:t>的数量：</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家。</w:t>
      </w:r>
    </w:p>
    <w:p w14:paraId="38256E9E">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val="en-US" w:eastAsia="zh-CN"/>
        </w:rPr>
        <w:t>成交供应商</w:t>
      </w:r>
      <w:r>
        <w:rPr>
          <w:rFonts w:hint="eastAsia" w:asciiTheme="minorEastAsia" w:hAnsiTheme="minorEastAsia" w:eastAsiaTheme="minorEastAsia" w:cstheme="minorEastAsia"/>
          <w:color w:val="auto"/>
          <w:highlight w:val="none"/>
        </w:rPr>
        <w:t>数量：</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家。</w:t>
      </w:r>
    </w:p>
    <w:p w14:paraId="362F1243">
      <w:pPr>
        <w:rPr>
          <w:rFonts w:hint="eastAsia" w:ascii="Calibri" w:hAnsi="Calibri" w:eastAsia="宋体" w:cs="Times New Roman"/>
          <w:color w:val="auto"/>
          <w:kern w:val="2"/>
          <w:sz w:val="21"/>
          <w:szCs w:val="22"/>
          <w:highlight w:val="none"/>
          <w:lang w:val="en-US" w:eastAsia="zh-CN" w:bidi="ar-SA"/>
        </w:rPr>
      </w:pPr>
    </w:p>
    <w:p w14:paraId="612E0673">
      <w:pPr>
        <w:pStyle w:val="3"/>
        <w:numPr>
          <w:ilvl w:val="0"/>
          <w:numId w:val="0"/>
        </w:numPr>
        <w:jc w:val="center"/>
        <w:rPr>
          <w:rFonts w:cs="宋体"/>
          <w:color w:val="auto"/>
          <w:sz w:val="30"/>
          <w:szCs w:val="30"/>
          <w:highlight w:val="none"/>
        </w:rPr>
      </w:pPr>
      <w:bookmarkStart w:id="31" w:name="_Toc5245"/>
    </w:p>
    <w:p w14:paraId="4051D069">
      <w:pPr>
        <w:rPr>
          <w:rFonts w:cs="宋体"/>
          <w:color w:val="auto"/>
          <w:sz w:val="30"/>
          <w:szCs w:val="30"/>
          <w:highlight w:val="none"/>
        </w:rPr>
      </w:pPr>
    </w:p>
    <w:p w14:paraId="2ED619BE">
      <w:pPr>
        <w:pStyle w:val="2"/>
        <w:rPr>
          <w:rFonts w:cs="宋体"/>
          <w:color w:val="auto"/>
          <w:sz w:val="30"/>
          <w:szCs w:val="30"/>
          <w:highlight w:val="none"/>
        </w:rPr>
      </w:pPr>
    </w:p>
    <w:p w14:paraId="078F7929">
      <w:pPr>
        <w:rPr>
          <w:rFonts w:cs="宋体"/>
          <w:color w:val="auto"/>
          <w:sz w:val="30"/>
          <w:szCs w:val="30"/>
          <w:highlight w:val="none"/>
        </w:rPr>
      </w:pPr>
    </w:p>
    <w:p w14:paraId="26C39D50">
      <w:pPr>
        <w:pStyle w:val="2"/>
        <w:rPr>
          <w:rFonts w:cs="宋体"/>
          <w:color w:val="auto"/>
          <w:sz w:val="30"/>
          <w:szCs w:val="30"/>
          <w:highlight w:val="none"/>
        </w:rPr>
      </w:pPr>
    </w:p>
    <w:p w14:paraId="5347523C">
      <w:pPr>
        <w:rPr>
          <w:rFonts w:cs="宋体"/>
          <w:color w:val="auto"/>
          <w:sz w:val="30"/>
          <w:szCs w:val="30"/>
          <w:highlight w:val="none"/>
        </w:rPr>
      </w:pPr>
    </w:p>
    <w:p w14:paraId="783DBDA7">
      <w:pPr>
        <w:pStyle w:val="2"/>
        <w:rPr>
          <w:rFonts w:cs="宋体"/>
          <w:color w:val="auto"/>
          <w:sz w:val="30"/>
          <w:szCs w:val="30"/>
          <w:highlight w:val="none"/>
        </w:rPr>
      </w:pPr>
    </w:p>
    <w:p w14:paraId="45F0D4E3">
      <w:pPr>
        <w:rPr>
          <w:color w:val="auto"/>
          <w:highlight w:val="none"/>
        </w:rPr>
      </w:pPr>
    </w:p>
    <w:p w14:paraId="6810AC20">
      <w:pPr>
        <w:pStyle w:val="7"/>
        <w:rPr>
          <w:color w:val="auto"/>
          <w:highlight w:val="none"/>
        </w:rPr>
      </w:pPr>
    </w:p>
    <w:p w14:paraId="38639EAF">
      <w:pPr>
        <w:rPr>
          <w:color w:val="auto"/>
          <w:highlight w:val="none"/>
        </w:rPr>
      </w:pPr>
    </w:p>
    <w:p w14:paraId="11E07F17">
      <w:pPr>
        <w:pStyle w:val="2"/>
        <w:rPr>
          <w:color w:val="auto"/>
          <w:highlight w:val="none"/>
        </w:rPr>
      </w:pPr>
    </w:p>
    <w:p w14:paraId="1C46D47A">
      <w:pPr>
        <w:rPr>
          <w:color w:val="auto"/>
          <w:highlight w:val="none"/>
        </w:rPr>
      </w:pPr>
    </w:p>
    <w:p w14:paraId="0776AB0B">
      <w:pPr>
        <w:pStyle w:val="2"/>
        <w:rPr>
          <w:color w:val="auto"/>
          <w:highlight w:val="none"/>
        </w:rPr>
      </w:pPr>
    </w:p>
    <w:p w14:paraId="107E94F2">
      <w:pPr>
        <w:rPr>
          <w:color w:val="auto"/>
          <w:highlight w:val="none"/>
        </w:rPr>
      </w:pPr>
    </w:p>
    <w:p w14:paraId="0BE432F7">
      <w:pPr>
        <w:pStyle w:val="2"/>
        <w:rPr>
          <w:color w:val="auto"/>
          <w:highlight w:val="none"/>
        </w:rPr>
      </w:pPr>
    </w:p>
    <w:p w14:paraId="64A3F4EB">
      <w:pPr>
        <w:rPr>
          <w:color w:val="auto"/>
          <w:highlight w:val="none"/>
        </w:rPr>
      </w:pPr>
    </w:p>
    <w:p w14:paraId="1294F57A">
      <w:pPr>
        <w:pStyle w:val="2"/>
        <w:rPr>
          <w:color w:val="auto"/>
          <w:highlight w:val="none"/>
        </w:rPr>
      </w:pPr>
    </w:p>
    <w:p w14:paraId="409207A0">
      <w:pPr>
        <w:rPr>
          <w:color w:val="auto"/>
          <w:highlight w:val="none"/>
        </w:rPr>
      </w:pPr>
    </w:p>
    <w:p w14:paraId="37A38E60">
      <w:pPr>
        <w:pStyle w:val="2"/>
        <w:rPr>
          <w:color w:val="auto"/>
          <w:highlight w:val="none"/>
        </w:rPr>
      </w:pPr>
    </w:p>
    <w:p w14:paraId="08BB3112">
      <w:pPr>
        <w:rPr>
          <w:color w:val="auto"/>
          <w:highlight w:val="none"/>
        </w:rPr>
      </w:pPr>
    </w:p>
    <w:p w14:paraId="4D8E9EEC">
      <w:pPr>
        <w:pStyle w:val="3"/>
        <w:numPr>
          <w:ilvl w:val="0"/>
          <w:numId w:val="0"/>
        </w:numPr>
        <w:jc w:val="center"/>
        <w:rPr>
          <w:rFonts w:hint="default" w:cs="宋体"/>
          <w:color w:val="auto"/>
          <w:sz w:val="30"/>
          <w:szCs w:val="30"/>
          <w:highlight w:val="none"/>
        </w:rPr>
      </w:pPr>
      <w:r>
        <w:rPr>
          <w:rFonts w:cs="宋体"/>
          <w:color w:val="auto"/>
          <w:sz w:val="30"/>
          <w:szCs w:val="30"/>
          <w:highlight w:val="none"/>
        </w:rPr>
        <w:t>第四章  采购合同文本</w:t>
      </w:r>
      <w:bookmarkEnd w:id="31"/>
    </w:p>
    <w:p w14:paraId="0E20D789">
      <w:pPr>
        <w:rPr>
          <w:rFonts w:hint="eastAsia"/>
          <w:color w:val="auto"/>
          <w:highlight w:val="none"/>
        </w:rPr>
      </w:pPr>
    </w:p>
    <w:p w14:paraId="7021F6D6">
      <w:pPr>
        <w:pStyle w:val="11"/>
        <w:jc w:val="center"/>
        <w:rPr>
          <w:rFonts w:ascii="黑体" w:hAnsi="宋体" w:eastAsia="黑体" w:cs="Times New Roman"/>
          <w:b/>
          <w:color w:val="auto"/>
          <w:sz w:val="44"/>
          <w:szCs w:val="44"/>
          <w:highlight w:val="none"/>
        </w:rPr>
      </w:pPr>
    </w:p>
    <w:p w14:paraId="7E376F02">
      <w:pPr>
        <w:pStyle w:val="11"/>
        <w:jc w:val="center"/>
        <w:rPr>
          <w:rFonts w:ascii="黑体" w:hAnsi="宋体" w:eastAsia="黑体" w:cs="Times New Roman"/>
          <w:b/>
          <w:color w:val="auto"/>
          <w:sz w:val="44"/>
          <w:szCs w:val="44"/>
          <w:highlight w:val="none"/>
        </w:rPr>
      </w:pPr>
      <w:r>
        <w:rPr>
          <w:rFonts w:hint="eastAsia" w:ascii="黑体" w:hAnsi="宋体" w:eastAsia="黑体" w:cs="Times New Roman"/>
          <w:b/>
          <w:color w:val="auto"/>
          <w:sz w:val="44"/>
          <w:szCs w:val="44"/>
          <w:highlight w:val="none"/>
        </w:rPr>
        <w:t>采</w:t>
      </w:r>
      <w:r>
        <w:rPr>
          <w:rFonts w:ascii="黑体" w:hAnsi="宋体" w:eastAsia="黑体" w:cs="Times New Roman"/>
          <w:b/>
          <w:color w:val="auto"/>
          <w:sz w:val="44"/>
          <w:szCs w:val="44"/>
          <w:highlight w:val="none"/>
        </w:rPr>
        <w:t xml:space="preserve"> </w:t>
      </w:r>
      <w:r>
        <w:rPr>
          <w:rFonts w:hint="eastAsia" w:ascii="黑体" w:hAnsi="宋体" w:eastAsia="黑体" w:cs="Times New Roman"/>
          <w:b/>
          <w:color w:val="auto"/>
          <w:sz w:val="44"/>
          <w:szCs w:val="44"/>
          <w:highlight w:val="none"/>
        </w:rPr>
        <w:t>购</w:t>
      </w:r>
      <w:r>
        <w:rPr>
          <w:rFonts w:ascii="黑体" w:hAnsi="宋体" w:eastAsia="黑体" w:cs="Times New Roman"/>
          <w:b/>
          <w:color w:val="auto"/>
          <w:sz w:val="44"/>
          <w:szCs w:val="44"/>
          <w:highlight w:val="none"/>
        </w:rPr>
        <w:t xml:space="preserve"> </w:t>
      </w:r>
      <w:r>
        <w:rPr>
          <w:rFonts w:hint="eastAsia" w:ascii="黑体" w:hAnsi="宋体" w:eastAsia="黑体" w:cs="Times New Roman"/>
          <w:b/>
          <w:color w:val="auto"/>
          <w:sz w:val="44"/>
          <w:szCs w:val="44"/>
          <w:highlight w:val="none"/>
        </w:rPr>
        <w:t>合</w:t>
      </w:r>
      <w:r>
        <w:rPr>
          <w:rFonts w:ascii="黑体" w:hAnsi="宋体" w:eastAsia="黑体" w:cs="Times New Roman"/>
          <w:b/>
          <w:color w:val="auto"/>
          <w:sz w:val="44"/>
          <w:szCs w:val="44"/>
          <w:highlight w:val="none"/>
        </w:rPr>
        <w:t xml:space="preserve"> </w:t>
      </w:r>
      <w:r>
        <w:rPr>
          <w:rFonts w:hint="eastAsia" w:ascii="黑体" w:hAnsi="宋体" w:eastAsia="黑体" w:cs="Times New Roman"/>
          <w:b/>
          <w:color w:val="auto"/>
          <w:sz w:val="44"/>
          <w:szCs w:val="44"/>
          <w:highlight w:val="none"/>
        </w:rPr>
        <w:t>同</w:t>
      </w:r>
    </w:p>
    <w:p w14:paraId="105204EF">
      <w:pPr>
        <w:pStyle w:val="11"/>
        <w:ind w:firstLine="560" w:firstLineChars="200"/>
        <w:jc w:val="center"/>
        <w:rPr>
          <w:rFonts w:hAnsi="宋体" w:cs="Times New Roman"/>
          <w:color w:val="auto"/>
          <w:sz w:val="28"/>
          <w:szCs w:val="28"/>
          <w:highlight w:val="none"/>
        </w:rPr>
      </w:pPr>
    </w:p>
    <w:p w14:paraId="2002D15D">
      <w:pPr>
        <w:pStyle w:val="11"/>
        <w:ind w:firstLine="560" w:firstLineChars="200"/>
        <w:jc w:val="center"/>
        <w:rPr>
          <w:rFonts w:hAnsi="宋体" w:cs="Times New Roman"/>
          <w:color w:val="auto"/>
          <w:sz w:val="28"/>
          <w:szCs w:val="28"/>
          <w:highlight w:val="none"/>
        </w:rPr>
      </w:pPr>
      <w:r>
        <w:rPr>
          <w:rFonts w:hint="eastAsia" w:hAnsi="宋体" w:cs="Times New Roman"/>
          <w:color w:val="auto"/>
          <w:sz w:val="28"/>
          <w:szCs w:val="28"/>
          <w:highlight w:val="none"/>
        </w:rPr>
        <w:t>（年</w:t>
      </w:r>
      <w:r>
        <w:rPr>
          <w:rFonts w:hAnsi="宋体" w:cs="Times New Roman"/>
          <w:color w:val="auto"/>
          <w:sz w:val="28"/>
          <w:szCs w:val="28"/>
          <w:highlight w:val="none"/>
        </w:rPr>
        <w:t xml:space="preserve"> </w:t>
      </w:r>
      <w:r>
        <w:rPr>
          <w:rFonts w:hint="eastAsia" w:hAnsi="宋体" w:cs="Times New Roman"/>
          <w:color w:val="auto"/>
          <w:sz w:val="28"/>
          <w:szCs w:val="28"/>
          <w:highlight w:val="none"/>
        </w:rPr>
        <w:t>度</w:t>
      </w:r>
      <w:r>
        <w:rPr>
          <w:rFonts w:hAnsi="宋体" w:cs="Times New Roman"/>
          <w:color w:val="auto"/>
          <w:sz w:val="28"/>
          <w:szCs w:val="28"/>
          <w:highlight w:val="none"/>
          <w:u w:val="single"/>
        </w:rPr>
        <w:t xml:space="preserve">         </w:t>
      </w:r>
      <w:r>
        <w:rPr>
          <w:rFonts w:hint="eastAsia" w:hAnsi="宋体" w:cs="Times New Roman"/>
          <w:color w:val="auto"/>
          <w:sz w:val="28"/>
          <w:szCs w:val="28"/>
          <w:highlight w:val="none"/>
        </w:rPr>
        <w:t>）</w:t>
      </w:r>
    </w:p>
    <w:p w14:paraId="55F350EB">
      <w:pPr>
        <w:pStyle w:val="11"/>
        <w:ind w:firstLine="600" w:firstLineChars="200"/>
        <w:jc w:val="center"/>
        <w:rPr>
          <w:rFonts w:hAnsi="宋体" w:cs="Times New Roman"/>
          <w:color w:val="auto"/>
          <w:sz w:val="30"/>
          <w:szCs w:val="30"/>
          <w:highlight w:val="none"/>
        </w:rPr>
      </w:pPr>
    </w:p>
    <w:p w14:paraId="00017AA4">
      <w:pPr>
        <w:pStyle w:val="11"/>
        <w:ind w:firstLine="1500" w:firstLineChars="500"/>
        <w:rPr>
          <w:rFonts w:hint="eastAsia" w:hAnsi="宋体" w:cs="Times New Roman"/>
          <w:color w:val="auto"/>
          <w:sz w:val="30"/>
          <w:szCs w:val="30"/>
          <w:highlight w:val="none"/>
        </w:rPr>
      </w:pPr>
    </w:p>
    <w:p w14:paraId="4125B03F">
      <w:pPr>
        <w:pStyle w:val="11"/>
        <w:ind w:firstLine="1500" w:firstLineChars="500"/>
        <w:rPr>
          <w:rFonts w:hint="eastAsia" w:hAnsi="宋体" w:cs="Times New Roman"/>
          <w:color w:val="auto"/>
          <w:sz w:val="30"/>
          <w:szCs w:val="30"/>
          <w:highlight w:val="none"/>
        </w:rPr>
      </w:pPr>
    </w:p>
    <w:p w14:paraId="691BE1AE">
      <w:pPr>
        <w:pStyle w:val="11"/>
        <w:ind w:firstLine="1500" w:firstLineChars="500"/>
        <w:rPr>
          <w:rFonts w:hint="eastAsia" w:hAnsi="宋体" w:cs="Times New Roman"/>
          <w:color w:val="auto"/>
          <w:sz w:val="30"/>
          <w:szCs w:val="30"/>
          <w:highlight w:val="none"/>
        </w:rPr>
      </w:pPr>
      <w:r>
        <w:rPr>
          <w:rFonts w:hint="eastAsia" w:hAnsi="宋体" w:cs="Times New Roman"/>
          <w:color w:val="auto"/>
          <w:sz w:val="30"/>
          <w:szCs w:val="30"/>
          <w:highlight w:val="none"/>
        </w:rPr>
        <w:t>项目名称：</w:t>
      </w:r>
      <w:r>
        <w:rPr>
          <w:rFonts w:hAnsi="宋体" w:cs="Times New Roman"/>
          <w:color w:val="auto"/>
          <w:sz w:val="30"/>
          <w:szCs w:val="30"/>
          <w:highlight w:val="none"/>
        </w:rPr>
        <w:t xml:space="preserve"> </w:t>
      </w:r>
    </w:p>
    <w:p w14:paraId="69E639E4">
      <w:pPr>
        <w:pStyle w:val="11"/>
        <w:ind w:left="0" w:leftChars="0" w:firstLine="1479" w:firstLineChars="493"/>
        <w:rPr>
          <w:rFonts w:hint="eastAsia" w:hAnsi="宋体" w:eastAsia="宋体" w:cs="Times New Roman"/>
          <w:color w:val="auto"/>
          <w:sz w:val="30"/>
          <w:szCs w:val="30"/>
          <w:highlight w:val="none"/>
          <w:lang w:val="en-US" w:eastAsia="zh-CN"/>
        </w:rPr>
      </w:pPr>
      <w:r>
        <w:rPr>
          <w:rFonts w:hint="eastAsia" w:hAnsi="宋体" w:cs="Times New Roman"/>
          <w:color w:val="auto"/>
          <w:sz w:val="30"/>
          <w:szCs w:val="30"/>
          <w:highlight w:val="none"/>
          <w:lang w:val="en-US" w:eastAsia="zh-CN"/>
        </w:rPr>
        <w:t>包    号：</w:t>
      </w:r>
    </w:p>
    <w:p w14:paraId="69F8FE18">
      <w:pPr>
        <w:pStyle w:val="11"/>
        <w:ind w:firstLine="1458" w:firstLineChars="486"/>
        <w:rPr>
          <w:rFonts w:hint="eastAsia" w:hAnsi="宋体" w:cs="Times New Roman"/>
          <w:color w:val="auto"/>
          <w:sz w:val="30"/>
          <w:szCs w:val="30"/>
          <w:highlight w:val="none"/>
          <w:u w:val="single"/>
        </w:rPr>
      </w:pPr>
      <w:r>
        <w:rPr>
          <w:rFonts w:hint="eastAsia" w:hAnsi="宋体" w:cs="Times New Roman"/>
          <w:color w:val="auto"/>
          <w:sz w:val="30"/>
          <w:szCs w:val="30"/>
          <w:highlight w:val="none"/>
        </w:rPr>
        <w:t>合同编号：</w:t>
      </w:r>
    </w:p>
    <w:p w14:paraId="2A7A6D8F">
      <w:pPr>
        <w:pStyle w:val="17"/>
        <w:rPr>
          <w:rFonts w:hAnsi="宋体" w:cs="Times New Roman"/>
          <w:color w:val="auto"/>
          <w:sz w:val="30"/>
          <w:szCs w:val="30"/>
          <w:highlight w:val="none"/>
        </w:rPr>
      </w:pPr>
    </w:p>
    <w:p w14:paraId="31C9176D">
      <w:pPr>
        <w:pStyle w:val="11"/>
        <w:ind w:firstLine="444" w:firstLineChars="148"/>
        <w:rPr>
          <w:rFonts w:hAnsi="宋体" w:cs="Times New Roman"/>
          <w:color w:val="auto"/>
          <w:sz w:val="30"/>
          <w:szCs w:val="30"/>
          <w:highlight w:val="none"/>
        </w:rPr>
      </w:pPr>
      <w:r>
        <w:rPr>
          <w:rFonts w:hint="eastAsia" w:hAnsi="宋体" w:cs="Times New Roman"/>
          <w:color w:val="auto"/>
          <w:sz w:val="30"/>
          <w:szCs w:val="30"/>
          <w:highlight w:val="none"/>
        </w:rPr>
        <w:t>甲方</w:t>
      </w:r>
      <w:r>
        <w:rPr>
          <w:rFonts w:hAnsi="宋体" w:cs="Times New Roman"/>
          <w:color w:val="auto"/>
          <w:sz w:val="30"/>
          <w:szCs w:val="30"/>
          <w:highlight w:val="none"/>
        </w:rPr>
        <w:t>(</w:t>
      </w:r>
      <w:r>
        <w:rPr>
          <w:rFonts w:hint="eastAsia" w:hAnsi="宋体" w:cs="Times New Roman"/>
          <w:color w:val="auto"/>
          <w:sz w:val="30"/>
          <w:szCs w:val="30"/>
          <w:highlight w:val="none"/>
        </w:rPr>
        <w:t>采购人名称</w:t>
      </w:r>
      <w:r>
        <w:rPr>
          <w:rFonts w:hAnsi="宋体" w:cs="Times New Roman"/>
          <w:color w:val="auto"/>
          <w:sz w:val="30"/>
          <w:szCs w:val="30"/>
          <w:highlight w:val="none"/>
        </w:rPr>
        <w:t>)</w:t>
      </w:r>
      <w:r>
        <w:rPr>
          <w:rFonts w:hint="eastAsia" w:hAnsi="宋体" w:cs="Times New Roman"/>
          <w:color w:val="auto"/>
          <w:sz w:val="30"/>
          <w:szCs w:val="30"/>
          <w:highlight w:val="none"/>
        </w:rPr>
        <w:t>：</w:t>
      </w:r>
      <w:r>
        <w:rPr>
          <w:rFonts w:hint="eastAsia" w:hAnsi="宋体" w:cs="Times New Roman"/>
          <w:color w:val="auto"/>
          <w:sz w:val="30"/>
          <w:szCs w:val="30"/>
          <w:highlight w:val="none"/>
          <w:u w:val="single"/>
          <w:lang w:eastAsia="zh-CN"/>
        </w:rPr>
        <w:t>国家税务总局南丹县税务局</w:t>
      </w:r>
      <w:r>
        <w:rPr>
          <w:rFonts w:hAnsi="宋体" w:cs="Times New Roman"/>
          <w:color w:val="auto"/>
          <w:sz w:val="30"/>
          <w:szCs w:val="30"/>
          <w:highlight w:val="none"/>
          <w:u w:val="none"/>
        </w:rPr>
        <w:t xml:space="preserve">       </w:t>
      </w:r>
    </w:p>
    <w:p w14:paraId="70B254B7">
      <w:pPr>
        <w:pStyle w:val="11"/>
        <w:rPr>
          <w:rFonts w:hAnsi="宋体" w:cs="Times New Roman"/>
          <w:color w:val="auto"/>
          <w:sz w:val="30"/>
          <w:szCs w:val="30"/>
          <w:highlight w:val="none"/>
        </w:rPr>
      </w:pPr>
    </w:p>
    <w:p w14:paraId="7992F50B">
      <w:pPr>
        <w:pStyle w:val="11"/>
        <w:ind w:firstLine="444" w:firstLineChars="148"/>
        <w:rPr>
          <w:rFonts w:hAnsi="宋体" w:cs="Times New Roman"/>
          <w:color w:val="auto"/>
          <w:sz w:val="30"/>
          <w:szCs w:val="30"/>
          <w:highlight w:val="none"/>
          <w:u w:val="single"/>
        </w:rPr>
      </w:pPr>
      <w:r>
        <w:rPr>
          <w:rFonts w:hint="eastAsia" w:hAnsi="宋体" w:cs="Times New Roman"/>
          <w:color w:val="auto"/>
          <w:sz w:val="30"/>
          <w:szCs w:val="30"/>
          <w:highlight w:val="none"/>
        </w:rPr>
        <w:t>乙方</w:t>
      </w:r>
      <w:r>
        <w:rPr>
          <w:rFonts w:hAnsi="宋体" w:cs="Times New Roman"/>
          <w:color w:val="auto"/>
          <w:sz w:val="30"/>
          <w:szCs w:val="30"/>
          <w:highlight w:val="none"/>
        </w:rPr>
        <w:t>(</w:t>
      </w:r>
      <w:r>
        <w:rPr>
          <w:rFonts w:hint="eastAsia" w:hAnsi="宋体" w:cs="Times New Roman"/>
          <w:color w:val="auto"/>
          <w:sz w:val="30"/>
          <w:szCs w:val="30"/>
          <w:highlight w:val="none"/>
        </w:rPr>
        <w:t>供应商名称</w:t>
      </w:r>
      <w:r>
        <w:rPr>
          <w:rFonts w:hAnsi="宋体" w:cs="Times New Roman"/>
          <w:color w:val="auto"/>
          <w:sz w:val="30"/>
          <w:szCs w:val="30"/>
          <w:highlight w:val="none"/>
        </w:rPr>
        <w:t>)</w:t>
      </w:r>
      <w:r>
        <w:rPr>
          <w:rFonts w:hint="eastAsia" w:hAnsi="宋体" w:cs="Times New Roman"/>
          <w:color w:val="auto"/>
          <w:sz w:val="30"/>
          <w:szCs w:val="30"/>
          <w:highlight w:val="none"/>
        </w:rPr>
        <w:t>：</w:t>
      </w:r>
      <w:r>
        <w:rPr>
          <w:rFonts w:hAnsi="宋体" w:cs="Times New Roman"/>
          <w:color w:val="auto"/>
          <w:sz w:val="30"/>
          <w:szCs w:val="30"/>
          <w:highlight w:val="none"/>
          <w:u w:val="single"/>
        </w:rPr>
        <w:t xml:space="preserve">                    </w:t>
      </w:r>
      <w:r>
        <w:rPr>
          <w:rFonts w:hint="eastAsia" w:hAnsi="宋体" w:cs="Times New Roman"/>
          <w:color w:val="auto"/>
          <w:sz w:val="30"/>
          <w:szCs w:val="30"/>
          <w:highlight w:val="none"/>
          <w:u w:val="single"/>
        </w:rPr>
        <w:t xml:space="preserve">    </w:t>
      </w:r>
      <w:r>
        <w:rPr>
          <w:rFonts w:hAnsi="宋体" w:cs="Times New Roman"/>
          <w:color w:val="auto"/>
          <w:sz w:val="30"/>
          <w:szCs w:val="30"/>
          <w:highlight w:val="none"/>
          <w:u w:val="single"/>
        </w:rPr>
        <w:t xml:space="preserve"> </w:t>
      </w:r>
    </w:p>
    <w:p w14:paraId="7616BB58">
      <w:pPr>
        <w:pStyle w:val="11"/>
        <w:rPr>
          <w:rFonts w:hint="eastAsia" w:hAnsi="宋体" w:cs="Times New Roman"/>
          <w:color w:val="auto"/>
          <w:sz w:val="30"/>
          <w:szCs w:val="30"/>
          <w:highlight w:val="none"/>
        </w:rPr>
      </w:pPr>
    </w:p>
    <w:p w14:paraId="06D89858">
      <w:pPr>
        <w:pStyle w:val="11"/>
        <w:ind w:left="0" w:leftChars="0" w:firstLine="416" w:firstLineChars="139"/>
        <w:jc w:val="both"/>
        <w:rPr>
          <w:rFonts w:hAnsi="宋体" w:cs="Times New Roman"/>
          <w:color w:val="auto"/>
          <w:sz w:val="30"/>
          <w:szCs w:val="30"/>
          <w:highlight w:val="none"/>
        </w:rPr>
      </w:pPr>
      <w:r>
        <w:rPr>
          <w:rFonts w:hint="eastAsia" w:hAnsi="宋体" w:cs="Times New Roman"/>
          <w:color w:val="auto"/>
          <w:sz w:val="30"/>
          <w:szCs w:val="30"/>
          <w:highlight w:val="none"/>
        </w:rPr>
        <w:t>日</w:t>
      </w:r>
      <w:r>
        <w:rPr>
          <w:rFonts w:hAnsi="宋体" w:cs="Times New Roman"/>
          <w:color w:val="auto"/>
          <w:sz w:val="30"/>
          <w:szCs w:val="30"/>
          <w:highlight w:val="none"/>
        </w:rPr>
        <w:t xml:space="preserve"> </w:t>
      </w:r>
      <w:r>
        <w:rPr>
          <w:rFonts w:hint="eastAsia" w:hAnsi="宋体" w:cs="Times New Roman"/>
          <w:color w:val="auto"/>
          <w:sz w:val="30"/>
          <w:szCs w:val="30"/>
          <w:highlight w:val="none"/>
        </w:rPr>
        <w:t>期：</w:t>
      </w:r>
      <w:r>
        <w:rPr>
          <w:rFonts w:hAnsi="宋体" w:cs="Times New Roman"/>
          <w:color w:val="auto"/>
          <w:sz w:val="30"/>
          <w:szCs w:val="30"/>
          <w:highlight w:val="none"/>
        </w:rPr>
        <w:t xml:space="preserve">       </w:t>
      </w:r>
      <w:r>
        <w:rPr>
          <w:rFonts w:hint="eastAsia" w:hAnsi="宋体" w:cs="Times New Roman"/>
          <w:color w:val="auto"/>
          <w:sz w:val="30"/>
          <w:szCs w:val="30"/>
          <w:highlight w:val="none"/>
        </w:rPr>
        <w:t>年</w:t>
      </w:r>
      <w:r>
        <w:rPr>
          <w:rFonts w:hAnsi="宋体" w:cs="Times New Roman"/>
          <w:color w:val="auto"/>
          <w:sz w:val="30"/>
          <w:szCs w:val="30"/>
          <w:highlight w:val="none"/>
        </w:rPr>
        <w:t xml:space="preserve">    </w:t>
      </w:r>
      <w:r>
        <w:rPr>
          <w:rFonts w:hint="eastAsia" w:hAnsi="宋体" w:cs="Times New Roman"/>
          <w:color w:val="auto"/>
          <w:sz w:val="30"/>
          <w:szCs w:val="30"/>
          <w:highlight w:val="none"/>
        </w:rPr>
        <w:t xml:space="preserve">  月</w:t>
      </w:r>
      <w:r>
        <w:rPr>
          <w:rFonts w:hAnsi="宋体" w:cs="Times New Roman"/>
          <w:color w:val="auto"/>
          <w:sz w:val="30"/>
          <w:szCs w:val="30"/>
          <w:highlight w:val="none"/>
        </w:rPr>
        <w:t xml:space="preserve">     </w:t>
      </w:r>
      <w:r>
        <w:rPr>
          <w:rFonts w:hint="eastAsia" w:hAnsi="宋体" w:cs="Times New Roman"/>
          <w:color w:val="auto"/>
          <w:sz w:val="30"/>
          <w:szCs w:val="30"/>
          <w:highlight w:val="none"/>
        </w:rPr>
        <w:t>日</w:t>
      </w:r>
    </w:p>
    <w:p w14:paraId="63E3DDEE">
      <w:pPr>
        <w:spacing w:line="300" w:lineRule="auto"/>
        <w:jc w:val="center"/>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br w:type="page"/>
      </w:r>
    </w:p>
    <w:p w14:paraId="119E20DC">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目  录</w:t>
      </w:r>
    </w:p>
    <w:p w14:paraId="08063C29">
      <w:pPr>
        <w:pStyle w:val="28"/>
        <w:spacing w:line="360" w:lineRule="auto"/>
        <w:rPr>
          <w:rFonts w:hint="default"/>
          <w:color w:val="auto"/>
          <w:highlight w:val="none"/>
          <w:lang w:val="en-US" w:eastAsia="zh-CN"/>
        </w:rPr>
      </w:pPr>
    </w:p>
    <w:p w14:paraId="7A5FFA49">
      <w:pPr>
        <w:bidi w:val="0"/>
        <w:spacing w:line="360" w:lineRule="auto"/>
        <w:rPr>
          <w:rFonts w:hint="default"/>
          <w:color w:val="auto"/>
          <w:sz w:val="24"/>
          <w:szCs w:val="24"/>
          <w:highlight w:val="none"/>
          <w:lang w:val="en-US" w:eastAsia="zh-CN"/>
        </w:rPr>
      </w:pPr>
      <w:r>
        <w:rPr>
          <w:rFonts w:hint="eastAsia"/>
          <w:color w:val="auto"/>
          <w:sz w:val="24"/>
          <w:szCs w:val="24"/>
          <w:highlight w:val="none"/>
          <w:lang w:val="en-US" w:eastAsia="zh-CN"/>
        </w:rPr>
        <w:t>合同条款前附表............................................................................................................</w:t>
      </w:r>
    </w:p>
    <w:p w14:paraId="0BDA3818">
      <w:pPr>
        <w:bidi w:val="0"/>
        <w:spacing w:line="360" w:lineRule="auto"/>
        <w:rPr>
          <w:rFonts w:hint="default"/>
          <w:color w:val="auto"/>
          <w:sz w:val="24"/>
          <w:szCs w:val="24"/>
          <w:highlight w:val="none"/>
          <w:lang w:val="en-US" w:eastAsia="zh-CN"/>
        </w:rPr>
      </w:pPr>
      <w:r>
        <w:rPr>
          <w:rFonts w:hint="eastAsia"/>
          <w:color w:val="auto"/>
          <w:sz w:val="24"/>
          <w:szCs w:val="24"/>
          <w:highlight w:val="none"/>
        </w:rPr>
        <w:t>一  合  同</w:t>
      </w:r>
      <w:r>
        <w:rPr>
          <w:rFonts w:hint="eastAsia"/>
          <w:color w:val="auto"/>
          <w:sz w:val="24"/>
          <w:szCs w:val="24"/>
          <w:highlight w:val="none"/>
          <w:lang w:val="en-US" w:eastAsia="zh-CN"/>
        </w:rPr>
        <w:t xml:space="preserve">................................................................................................................... </w:t>
      </w:r>
    </w:p>
    <w:p w14:paraId="03D1B507">
      <w:pPr>
        <w:bidi w:val="0"/>
        <w:spacing w:line="360" w:lineRule="auto"/>
        <w:rPr>
          <w:rFonts w:hint="default"/>
          <w:color w:val="auto"/>
          <w:sz w:val="24"/>
          <w:szCs w:val="24"/>
          <w:highlight w:val="none"/>
          <w:lang w:val="en-US" w:eastAsia="zh-CN"/>
        </w:rPr>
      </w:pPr>
      <w:r>
        <w:rPr>
          <w:color w:val="auto"/>
          <w:sz w:val="24"/>
          <w:szCs w:val="24"/>
          <w:highlight w:val="none"/>
        </w:rPr>
        <w:t>二  合 同 通 用 条 款</w:t>
      </w:r>
      <w:r>
        <w:rPr>
          <w:rFonts w:hint="eastAsia"/>
          <w:color w:val="auto"/>
          <w:sz w:val="24"/>
          <w:szCs w:val="24"/>
          <w:highlight w:val="none"/>
          <w:lang w:val="en-US" w:eastAsia="zh-CN"/>
        </w:rPr>
        <w:t>.............................................................................................</w:t>
      </w:r>
    </w:p>
    <w:p w14:paraId="0FBF9428">
      <w:pPr>
        <w:bidi w:val="0"/>
        <w:spacing w:line="360" w:lineRule="auto"/>
        <w:rPr>
          <w:rFonts w:hint="default"/>
          <w:color w:val="auto"/>
          <w:sz w:val="24"/>
          <w:szCs w:val="24"/>
          <w:highlight w:val="none"/>
          <w:lang w:val="en-US" w:eastAsia="zh-CN"/>
        </w:rPr>
      </w:pPr>
      <w:r>
        <w:rPr>
          <w:rFonts w:hint="eastAsia"/>
          <w:color w:val="auto"/>
          <w:sz w:val="24"/>
          <w:szCs w:val="24"/>
          <w:highlight w:val="none"/>
        </w:rPr>
        <w:t xml:space="preserve">三  </w:t>
      </w:r>
      <w:r>
        <w:rPr>
          <w:rFonts w:hint="eastAsia"/>
          <w:color w:val="auto"/>
          <w:sz w:val="24"/>
          <w:szCs w:val="24"/>
          <w:highlight w:val="none"/>
          <w:lang w:val="en-US" w:eastAsia="zh-CN"/>
        </w:rPr>
        <w:t>磋商</w:t>
      </w:r>
      <w:r>
        <w:rPr>
          <w:rFonts w:hint="eastAsia"/>
          <w:color w:val="auto"/>
          <w:sz w:val="24"/>
          <w:szCs w:val="24"/>
          <w:highlight w:val="none"/>
        </w:rPr>
        <w:t>文件及</w:t>
      </w:r>
      <w:r>
        <w:rPr>
          <w:rFonts w:hint="eastAsia"/>
          <w:color w:val="auto"/>
          <w:sz w:val="24"/>
          <w:szCs w:val="24"/>
          <w:highlight w:val="none"/>
          <w:lang w:val="en-US" w:eastAsia="zh-CN"/>
        </w:rPr>
        <w:t>响应</w:t>
      </w:r>
      <w:r>
        <w:rPr>
          <w:rFonts w:hint="eastAsia"/>
          <w:color w:val="auto"/>
          <w:sz w:val="24"/>
          <w:szCs w:val="24"/>
          <w:highlight w:val="none"/>
        </w:rPr>
        <w:t>文件（另附）</w:t>
      </w:r>
      <w:r>
        <w:rPr>
          <w:rFonts w:hint="eastAsia"/>
          <w:color w:val="auto"/>
          <w:sz w:val="24"/>
          <w:szCs w:val="24"/>
          <w:highlight w:val="none"/>
          <w:lang w:val="en-US" w:eastAsia="zh-CN"/>
        </w:rPr>
        <w:t>...........................................................................</w:t>
      </w:r>
    </w:p>
    <w:p w14:paraId="480460BB">
      <w:pPr>
        <w:bidi w:val="0"/>
        <w:spacing w:line="360" w:lineRule="auto"/>
        <w:rPr>
          <w:rFonts w:hint="default"/>
          <w:color w:val="auto"/>
          <w:sz w:val="24"/>
          <w:szCs w:val="24"/>
          <w:highlight w:val="none"/>
          <w:lang w:val="en-US" w:eastAsia="zh-CN"/>
        </w:rPr>
      </w:pPr>
      <w:r>
        <w:rPr>
          <w:rFonts w:hint="eastAsia"/>
          <w:color w:val="auto"/>
          <w:sz w:val="24"/>
          <w:szCs w:val="24"/>
          <w:highlight w:val="none"/>
        </w:rPr>
        <w:t xml:space="preserve">四 </w:t>
      </w:r>
      <w:r>
        <w:rPr>
          <w:rFonts w:hint="eastAsia"/>
          <w:color w:val="auto"/>
          <w:sz w:val="24"/>
          <w:szCs w:val="24"/>
          <w:highlight w:val="none"/>
          <w:lang w:val="en-US" w:eastAsia="zh-CN"/>
        </w:rPr>
        <w:t xml:space="preserve"> 最后报价表..........................................................................................................</w:t>
      </w:r>
    </w:p>
    <w:p w14:paraId="7F24012B">
      <w:pPr>
        <w:spacing w:line="300" w:lineRule="auto"/>
        <w:jc w:val="center"/>
        <w:rPr>
          <w:rFonts w:hint="eastAsia" w:ascii="宋体" w:hAnsi="宋体" w:cs="宋体"/>
          <w:bCs/>
          <w:color w:val="auto"/>
          <w:sz w:val="24"/>
          <w:szCs w:val="24"/>
          <w:highlight w:val="none"/>
          <w:u w:val="single"/>
        </w:rPr>
      </w:pPr>
    </w:p>
    <w:p w14:paraId="5A473069">
      <w:pPr>
        <w:spacing w:line="300" w:lineRule="auto"/>
        <w:jc w:val="center"/>
        <w:rPr>
          <w:rFonts w:hint="eastAsia" w:ascii="宋体" w:hAnsi="宋体" w:cs="宋体"/>
          <w:bCs/>
          <w:color w:val="auto"/>
          <w:sz w:val="24"/>
          <w:szCs w:val="24"/>
          <w:highlight w:val="none"/>
          <w:u w:val="single"/>
        </w:rPr>
      </w:pPr>
    </w:p>
    <w:p w14:paraId="1B7E1A65">
      <w:pPr>
        <w:spacing w:line="300" w:lineRule="auto"/>
        <w:jc w:val="center"/>
        <w:rPr>
          <w:rFonts w:hint="eastAsia" w:ascii="宋体" w:hAnsi="宋体" w:cs="宋体"/>
          <w:bCs/>
          <w:color w:val="auto"/>
          <w:sz w:val="24"/>
          <w:szCs w:val="24"/>
          <w:highlight w:val="none"/>
          <w:u w:val="single"/>
        </w:rPr>
      </w:pPr>
    </w:p>
    <w:p w14:paraId="658E2FEA">
      <w:pPr>
        <w:spacing w:line="300" w:lineRule="auto"/>
        <w:jc w:val="center"/>
        <w:rPr>
          <w:rFonts w:hint="eastAsia" w:ascii="宋体" w:hAnsi="宋体" w:cs="宋体"/>
          <w:bCs/>
          <w:color w:val="auto"/>
          <w:sz w:val="24"/>
          <w:szCs w:val="24"/>
          <w:highlight w:val="none"/>
          <w:u w:val="single"/>
        </w:rPr>
      </w:pPr>
    </w:p>
    <w:p w14:paraId="06A49EF4">
      <w:pPr>
        <w:spacing w:line="300" w:lineRule="auto"/>
        <w:jc w:val="center"/>
        <w:rPr>
          <w:rFonts w:hint="eastAsia" w:ascii="宋体" w:hAnsi="宋体" w:cs="宋体"/>
          <w:bCs/>
          <w:color w:val="auto"/>
          <w:sz w:val="24"/>
          <w:szCs w:val="24"/>
          <w:highlight w:val="none"/>
          <w:u w:val="single"/>
        </w:rPr>
      </w:pPr>
    </w:p>
    <w:p w14:paraId="31C22AF1">
      <w:pPr>
        <w:spacing w:line="300" w:lineRule="auto"/>
        <w:jc w:val="center"/>
        <w:rPr>
          <w:rFonts w:hint="eastAsia" w:ascii="宋体" w:hAnsi="宋体" w:cs="宋体"/>
          <w:bCs/>
          <w:color w:val="auto"/>
          <w:sz w:val="24"/>
          <w:szCs w:val="24"/>
          <w:highlight w:val="none"/>
          <w:u w:val="single"/>
        </w:rPr>
      </w:pPr>
    </w:p>
    <w:p w14:paraId="61EB1BA5">
      <w:pPr>
        <w:spacing w:line="300" w:lineRule="auto"/>
        <w:jc w:val="center"/>
        <w:rPr>
          <w:rFonts w:hint="eastAsia" w:ascii="宋体" w:hAnsi="宋体" w:cs="宋体"/>
          <w:bCs/>
          <w:color w:val="auto"/>
          <w:sz w:val="24"/>
          <w:szCs w:val="24"/>
          <w:highlight w:val="none"/>
          <w:u w:val="single"/>
        </w:rPr>
      </w:pPr>
    </w:p>
    <w:p w14:paraId="0069A98F">
      <w:pPr>
        <w:spacing w:line="300" w:lineRule="auto"/>
        <w:jc w:val="center"/>
        <w:rPr>
          <w:rFonts w:hint="eastAsia" w:ascii="宋体" w:hAnsi="宋体" w:cs="宋体"/>
          <w:bCs/>
          <w:color w:val="auto"/>
          <w:sz w:val="24"/>
          <w:szCs w:val="24"/>
          <w:highlight w:val="none"/>
          <w:u w:val="single"/>
        </w:rPr>
      </w:pPr>
    </w:p>
    <w:p w14:paraId="26040893">
      <w:pPr>
        <w:spacing w:line="300" w:lineRule="auto"/>
        <w:jc w:val="center"/>
        <w:rPr>
          <w:rFonts w:hint="eastAsia" w:ascii="宋体" w:hAnsi="宋体" w:cs="宋体"/>
          <w:bCs/>
          <w:color w:val="auto"/>
          <w:sz w:val="24"/>
          <w:szCs w:val="24"/>
          <w:highlight w:val="none"/>
          <w:u w:val="single"/>
        </w:rPr>
      </w:pPr>
    </w:p>
    <w:p w14:paraId="32734794">
      <w:pPr>
        <w:spacing w:line="300" w:lineRule="auto"/>
        <w:jc w:val="center"/>
        <w:rPr>
          <w:rFonts w:hint="eastAsia" w:ascii="宋体" w:hAnsi="宋体" w:cs="宋体"/>
          <w:bCs/>
          <w:color w:val="auto"/>
          <w:sz w:val="24"/>
          <w:szCs w:val="24"/>
          <w:highlight w:val="none"/>
          <w:u w:val="single"/>
        </w:rPr>
      </w:pPr>
    </w:p>
    <w:p w14:paraId="44313487">
      <w:pPr>
        <w:spacing w:line="300" w:lineRule="auto"/>
        <w:jc w:val="center"/>
        <w:rPr>
          <w:rFonts w:hint="eastAsia" w:ascii="宋体" w:hAnsi="宋体" w:cs="宋体"/>
          <w:bCs/>
          <w:color w:val="auto"/>
          <w:sz w:val="24"/>
          <w:szCs w:val="24"/>
          <w:highlight w:val="none"/>
          <w:u w:val="single"/>
        </w:rPr>
      </w:pPr>
    </w:p>
    <w:p w14:paraId="1A8D5DC3">
      <w:pPr>
        <w:spacing w:line="300" w:lineRule="auto"/>
        <w:jc w:val="center"/>
        <w:rPr>
          <w:rFonts w:hint="eastAsia" w:ascii="宋体" w:hAnsi="宋体" w:cs="宋体"/>
          <w:bCs/>
          <w:color w:val="auto"/>
          <w:sz w:val="24"/>
          <w:szCs w:val="24"/>
          <w:highlight w:val="none"/>
          <w:u w:val="single"/>
        </w:rPr>
      </w:pPr>
    </w:p>
    <w:p w14:paraId="5FDA1915">
      <w:pPr>
        <w:spacing w:line="300" w:lineRule="auto"/>
        <w:jc w:val="center"/>
        <w:rPr>
          <w:rFonts w:hint="eastAsia" w:ascii="宋体" w:hAnsi="宋体" w:cs="宋体"/>
          <w:bCs/>
          <w:color w:val="auto"/>
          <w:sz w:val="24"/>
          <w:szCs w:val="24"/>
          <w:highlight w:val="none"/>
          <w:u w:val="single"/>
        </w:rPr>
      </w:pPr>
    </w:p>
    <w:p w14:paraId="2250417A">
      <w:pPr>
        <w:spacing w:line="300" w:lineRule="auto"/>
        <w:jc w:val="center"/>
        <w:rPr>
          <w:rFonts w:hint="eastAsia" w:ascii="宋体" w:hAnsi="宋体" w:cs="宋体"/>
          <w:bCs/>
          <w:color w:val="auto"/>
          <w:sz w:val="24"/>
          <w:szCs w:val="24"/>
          <w:highlight w:val="none"/>
          <w:u w:val="single"/>
        </w:rPr>
      </w:pPr>
    </w:p>
    <w:p w14:paraId="7882F4D6">
      <w:pPr>
        <w:spacing w:line="300" w:lineRule="auto"/>
        <w:jc w:val="center"/>
        <w:rPr>
          <w:rFonts w:hint="eastAsia" w:ascii="宋体" w:hAnsi="宋体" w:cs="宋体"/>
          <w:bCs/>
          <w:color w:val="auto"/>
          <w:sz w:val="24"/>
          <w:szCs w:val="24"/>
          <w:highlight w:val="none"/>
          <w:u w:val="single"/>
        </w:rPr>
      </w:pPr>
    </w:p>
    <w:p w14:paraId="441E5B64">
      <w:pPr>
        <w:spacing w:line="300" w:lineRule="auto"/>
        <w:jc w:val="center"/>
        <w:rPr>
          <w:rFonts w:hint="eastAsia" w:ascii="宋体" w:hAnsi="宋体" w:cs="宋体"/>
          <w:bCs/>
          <w:color w:val="auto"/>
          <w:sz w:val="24"/>
          <w:szCs w:val="24"/>
          <w:highlight w:val="none"/>
          <w:u w:val="single"/>
        </w:rPr>
      </w:pPr>
    </w:p>
    <w:p w14:paraId="1DA78256">
      <w:pPr>
        <w:spacing w:line="300" w:lineRule="auto"/>
        <w:jc w:val="center"/>
        <w:rPr>
          <w:rFonts w:hint="eastAsia" w:ascii="宋体" w:hAnsi="宋体" w:cs="宋体"/>
          <w:bCs/>
          <w:color w:val="auto"/>
          <w:sz w:val="24"/>
          <w:szCs w:val="24"/>
          <w:highlight w:val="none"/>
          <w:u w:val="single"/>
        </w:rPr>
      </w:pPr>
    </w:p>
    <w:p w14:paraId="76974191">
      <w:pPr>
        <w:spacing w:line="300" w:lineRule="auto"/>
        <w:jc w:val="center"/>
        <w:rPr>
          <w:rFonts w:hint="eastAsia" w:ascii="宋体" w:hAnsi="宋体" w:cs="宋体"/>
          <w:bCs/>
          <w:color w:val="auto"/>
          <w:sz w:val="24"/>
          <w:szCs w:val="24"/>
          <w:highlight w:val="none"/>
          <w:u w:val="single"/>
        </w:rPr>
      </w:pPr>
    </w:p>
    <w:p w14:paraId="78667D40">
      <w:pPr>
        <w:bidi w:val="0"/>
        <w:rPr>
          <w:rFonts w:hint="eastAsia"/>
          <w:color w:val="auto"/>
          <w:highlight w:val="none"/>
        </w:rPr>
      </w:pPr>
    </w:p>
    <w:p w14:paraId="4A3C4EFD">
      <w:pPr>
        <w:pStyle w:val="17"/>
        <w:rPr>
          <w:rFonts w:hint="eastAsia"/>
          <w:color w:val="auto"/>
          <w:highlight w:val="none"/>
        </w:rPr>
      </w:pPr>
    </w:p>
    <w:p w14:paraId="70529D3C">
      <w:pPr>
        <w:spacing w:line="300" w:lineRule="auto"/>
        <w:jc w:val="center"/>
        <w:rPr>
          <w:rFonts w:hint="eastAsia" w:ascii="宋体" w:hAnsi="宋体" w:cs="宋体"/>
          <w:bCs/>
          <w:color w:val="auto"/>
          <w:sz w:val="24"/>
          <w:szCs w:val="24"/>
          <w:highlight w:val="none"/>
          <w:u w:val="single"/>
        </w:rPr>
      </w:pPr>
    </w:p>
    <w:p w14:paraId="1C312EE1">
      <w:pPr>
        <w:spacing w:line="300" w:lineRule="auto"/>
        <w:jc w:val="center"/>
        <w:rPr>
          <w:rFonts w:hint="eastAsia" w:ascii="宋体" w:hAnsi="宋体" w:cs="宋体"/>
          <w:bCs/>
          <w:color w:val="auto"/>
          <w:sz w:val="24"/>
          <w:szCs w:val="24"/>
          <w:highlight w:val="none"/>
          <w:u w:val="single"/>
        </w:rPr>
      </w:pPr>
    </w:p>
    <w:p w14:paraId="4815BC13">
      <w:pPr>
        <w:pStyle w:val="2"/>
        <w:rPr>
          <w:rFonts w:hint="eastAsia"/>
          <w:color w:val="auto"/>
          <w:highlight w:val="none"/>
        </w:rPr>
      </w:pPr>
    </w:p>
    <w:p w14:paraId="6705C4AB">
      <w:pPr>
        <w:spacing w:line="300" w:lineRule="auto"/>
        <w:jc w:val="center"/>
        <w:rPr>
          <w:rFonts w:hint="eastAsia" w:ascii="宋体" w:hAnsi="宋体" w:cs="宋体"/>
          <w:bCs/>
          <w:color w:val="auto"/>
          <w:sz w:val="24"/>
          <w:szCs w:val="24"/>
          <w:highlight w:val="none"/>
          <w:u w:val="single"/>
        </w:rPr>
      </w:pPr>
    </w:p>
    <w:p w14:paraId="3F361FF0">
      <w:pPr>
        <w:spacing w:line="300" w:lineRule="auto"/>
        <w:jc w:val="center"/>
        <w:rPr>
          <w:rFonts w:hint="eastAsia" w:ascii="宋体" w:hAnsi="宋体" w:cs="宋体"/>
          <w:bCs/>
          <w:color w:val="auto"/>
          <w:sz w:val="24"/>
          <w:szCs w:val="24"/>
          <w:highlight w:val="none"/>
          <w:u w:val="single"/>
        </w:rPr>
      </w:pPr>
    </w:p>
    <w:p w14:paraId="5541E21D">
      <w:pPr>
        <w:spacing w:line="30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合同条款前附表</w:t>
      </w:r>
    </w:p>
    <w:p w14:paraId="77A5B65E">
      <w:pPr>
        <w:pStyle w:val="2"/>
        <w:rPr>
          <w:color w:val="auto"/>
          <w:highlight w:val="none"/>
        </w:rPr>
      </w:pPr>
    </w:p>
    <w:tbl>
      <w:tblPr>
        <w:tblStyle w:val="20"/>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409"/>
        <w:gridCol w:w="1518"/>
        <w:gridCol w:w="6435"/>
      </w:tblGrid>
      <w:tr w14:paraId="5CE4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Align w:val="center"/>
          </w:tcPr>
          <w:p w14:paraId="11D1E0D4">
            <w:pPr>
              <w:tabs>
                <w:tab w:val="left" w:pos="700"/>
              </w:tabs>
              <w:adjustRightInd w:val="0"/>
              <w:snapToGrid w:val="0"/>
              <w:spacing w:line="360" w:lineRule="auto"/>
              <w:jc w:val="center"/>
              <w:rPr>
                <w:rFonts w:ascii="Times New Roman" w:hAnsi="Times New Roman"/>
                <w:b/>
                <w:color w:val="auto"/>
                <w:szCs w:val="21"/>
                <w:highlight w:val="none"/>
              </w:rPr>
            </w:pPr>
            <w:r>
              <w:rPr>
                <w:rFonts w:ascii="Times New Roman" w:hAnsi="Times New Roman"/>
                <w:b/>
                <w:color w:val="auto"/>
                <w:szCs w:val="21"/>
                <w:highlight w:val="none"/>
              </w:rPr>
              <w:t>序号</w:t>
            </w:r>
          </w:p>
        </w:tc>
        <w:tc>
          <w:tcPr>
            <w:tcW w:w="8362" w:type="dxa"/>
            <w:gridSpan w:val="3"/>
            <w:vAlign w:val="center"/>
          </w:tcPr>
          <w:p w14:paraId="275FC0D3">
            <w:pPr>
              <w:tabs>
                <w:tab w:val="left" w:pos="700"/>
              </w:tabs>
              <w:adjustRightInd w:val="0"/>
              <w:snapToGrid w:val="0"/>
              <w:spacing w:line="360" w:lineRule="auto"/>
              <w:jc w:val="center"/>
              <w:rPr>
                <w:rFonts w:ascii="Times New Roman" w:hAnsi="Times New Roman"/>
                <w:b/>
                <w:color w:val="auto"/>
                <w:szCs w:val="21"/>
                <w:highlight w:val="none"/>
              </w:rPr>
            </w:pPr>
            <w:r>
              <w:rPr>
                <w:rFonts w:ascii="Times New Roman" w:hAnsi="Times New Roman"/>
                <w:b/>
                <w:color w:val="auto"/>
                <w:szCs w:val="21"/>
                <w:highlight w:val="none"/>
              </w:rPr>
              <w:t>内        容</w:t>
            </w:r>
          </w:p>
        </w:tc>
      </w:tr>
      <w:tr w14:paraId="4280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trPr>
        <w:tc>
          <w:tcPr>
            <w:tcW w:w="655" w:type="dxa"/>
            <w:vAlign w:val="center"/>
          </w:tcPr>
          <w:p w14:paraId="7295F6DA">
            <w:pPr>
              <w:tabs>
                <w:tab w:val="left" w:pos="700"/>
              </w:tabs>
              <w:adjustRightInd w:val="0"/>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1</w:t>
            </w:r>
          </w:p>
        </w:tc>
        <w:tc>
          <w:tcPr>
            <w:tcW w:w="1927" w:type="dxa"/>
            <w:gridSpan w:val="2"/>
            <w:vAlign w:val="center"/>
          </w:tcPr>
          <w:p w14:paraId="78EB638E">
            <w:pPr>
              <w:tabs>
                <w:tab w:val="left" w:pos="700"/>
              </w:tabs>
              <w:adjustRightInd w:val="0"/>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合同名称</w:t>
            </w:r>
          </w:p>
        </w:tc>
        <w:tc>
          <w:tcPr>
            <w:tcW w:w="6435" w:type="dxa"/>
            <w:vAlign w:val="center"/>
          </w:tcPr>
          <w:p w14:paraId="65EF8E17">
            <w:pPr>
              <w:tabs>
                <w:tab w:val="left" w:pos="700"/>
              </w:tabs>
              <w:adjustRightInd w:val="0"/>
              <w:snapToGrid w:val="0"/>
              <w:spacing w:line="360" w:lineRule="auto"/>
              <w:rPr>
                <w:rFonts w:ascii="Times New Roman" w:hAnsi="Times New Roman"/>
                <w:bCs/>
                <w:color w:val="auto"/>
                <w:szCs w:val="21"/>
                <w:highlight w:val="none"/>
              </w:rPr>
            </w:pPr>
            <w:r>
              <w:rPr>
                <w:rFonts w:hint="eastAsia" w:ascii="宋体" w:hAnsi="宋体" w:cs="宋体"/>
                <w:color w:val="auto"/>
                <w:szCs w:val="21"/>
                <w:highlight w:val="none"/>
                <w:lang w:eastAsia="zh-CN"/>
              </w:rPr>
              <w:t>国家税务总局南丹县税务局2026年度物业管理服务采购</w:t>
            </w:r>
            <w:r>
              <w:rPr>
                <w:rFonts w:hint="eastAsia" w:ascii="Times New Roman" w:hAnsi="Times New Roman"/>
                <w:bCs/>
                <w:color w:val="auto"/>
                <w:szCs w:val="21"/>
                <w:highlight w:val="none"/>
              </w:rPr>
              <w:t>合同</w:t>
            </w:r>
          </w:p>
        </w:tc>
      </w:tr>
      <w:tr w14:paraId="0527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655" w:type="dxa"/>
            <w:vAlign w:val="center"/>
          </w:tcPr>
          <w:p w14:paraId="66934269">
            <w:pPr>
              <w:tabs>
                <w:tab w:val="left" w:pos="700"/>
              </w:tabs>
              <w:adjustRightInd w:val="0"/>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2</w:t>
            </w:r>
          </w:p>
        </w:tc>
        <w:tc>
          <w:tcPr>
            <w:tcW w:w="1927" w:type="dxa"/>
            <w:gridSpan w:val="2"/>
            <w:vAlign w:val="center"/>
          </w:tcPr>
          <w:p w14:paraId="3D7B0F8A">
            <w:pPr>
              <w:tabs>
                <w:tab w:val="left" w:pos="700"/>
              </w:tabs>
              <w:adjustRightInd w:val="0"/>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合同编号</w:t>
            </w:r>
          </w:p>
        </w:tc>
        <w:tc>
          <w:tcPr>
            <w:tcW w:w="6435" w:type="dxa"/>
            <w:vAlign w:val="center"/>
          </w:tcPr>
          <w:p w14:paraId="07DC0795">
            <w:pPr>
              <w:tabs>
                <w:tab w:val="left" w:pos="2160"/>
              </w:tabs>
              <w:topLinePunct/>
              <w:autoSpaceDE w:val="0"/>
              <w:autoSpaceDN w:val="0"/>
              <w:adjustRightInd w:val="0"/>
              <w:snapToGrid w:val="0"/>
              <w:spacing w:line="360" w:lineRule="auto"/>
              <w:rPr>
                <w:rFonts w:ascii="Times New Roman" w:hAnsi="Times New Roman"/>
                <w:bCs/>
                <w:color w:val="auto"/>
                <w:szCs w:val="21"/>
                <w:highlight w:val="none"/>
              </w:rPr>
            </w:pPr>
            <w:bookmarkStart w:id="32" w:name="合同表_合同编号_contractNo2"/>
            <w:bookmarkEnd w:id="32"/>
          </w:p>
        </w:tc>
      </w:tr>
      <w:tr w14:paraId="6C3B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655" w:type="dxa"/>
            <w:vAlign w:val="center"/>
          </w:tcPr>
          <w:p w14:paraId="27105917">
            <w:pPr>
              <w:tabs>
                <w:tab w:val="left" w:pos="700"/>
              </w:tabs>
              <w:adjustRightInd w:val="0"/>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3</w:t>
            </w:r>
          </w:p>
        </w:tc>
        <w:tc>
          <w:tcPr>
            <w:tcW w:w="1927" w:type="dxa"/>
            <w:gridSpan w:val="2"/>
            <w:vAlign w:val="center"/>
          </w:tcPr>
          <w:p w14:paraId="76B8F2F7">
            <w:pPr>
              <w:tabs>
                <w:tab w:val="left" w:pos="700"/>
              </w:tabs>
              <w:adjustRightInd w:val="0"/>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合同类型</w:t>
            </w:r>
          </w:p>
        </w:tc>
        <w:tc>
          <w:tcPr>
            <w:tcW w:w="6435" w:type="dxa"/>
            <w:vAlign w:val="center"/>
          </w:tcPr>
          <w:p w14:paraId="5FD16EFD">
            <w:pPr>
              <w:tabs>
                <w:tab w:val="left" w:pos="2160"/>
              </w:tabs>
              <w:topLinePunct/>
              <w:autoSpaceDE w:val="0"/>
              <w:autoSpaceDN w:val="0"/>
              <w:adjustRightInd w:val="0"/>
              <w:snapToGrid w:val="0"/>
              <w:spacing w:line="360" w:lineRule="auto"/>
              <w:rPr>
                <w:rFonts w:ascii="Times New Roman" w:hAnsi="Times New Roman"/>
                <w:b/>
                <w:bCs/>
                <w:color w:val="auto"/>
                <w:szCs w:val="21"/>
                <w:highlight w:val="none"/>
              </w:rPr>
            </w:pPr>
            <w:bookmarkStart w:id="33" w:name="合同表_合同类型_contractTypeCn"/>
            <w:bookmarkEnd w:id="33"/>
            <w:r>
              <w:rPr>
                <w:rFonts w:hint="eastAsia" w:ascii="Times New Roman" w:hAnsi="Times New Roman"/>
                <w:b/>
                <w:bCs/>
                <w:color w:val="auto"/>
                <w:szCs w:val="21"/>
                <w:highlight w:val="none"/>
                <w:lang w:val="en-US" w:eastAsia="zh-CN"/>
              </w:rPr>
              <w:t>服务</w:t>
            </w:r>
            <w:r>
              <w:rPr>
                <w:rFonts w:hint="eastAsia" w:ascii="Times New Roman" w:hAnsi="Times New Roman"/>
                <w:b/>
                <w:bCs/>
                <w:color w:val="auto"/>
                <w:szCs w:val="21"/>
                <w:highlight w:val="none"/>
              </w:rPr>
              <w:t>类</w:t>
            </w:r>
          </w:p>
        </w:tc>
      </w:tr>
      <w:tr w14:paraId="1F82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trPr>
        <w:tc>
          <w:tcPr>
            <w:tcW w:w="655" w:type="dxa"/>
            <w:vAlign w:val="center"/>
          </w:tcPr>
          <w:p w14:paraId="0EAD51B5">
            <w:pPr>
              <w:tabs>
                <w:tab w:val="left" w:pos="700"/>
              </w:tabs>
              <w:adjustRightInd w:val="0"/>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4</w:t>
            </w:r>
          </w:p>
        </w:tc>
        <w:tc>
          <w:tcPr>
            <w:tcW w:w="1927" w:type="dxa"/>
            <w:gridSpan w:val="2"/>
            <w:vAlign w:val="center"/>
          </w:tcPr>
          <w:p w14:paraId="144B1766">
            <w:pPr>
              <w:tabs>
                <w:tab w:val="left" w:pos="700"/>
              </w:tabs>
              <w:adjustRightInd w:val="0"/>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定价方式</w:t>
            </w:r>
          </w:p>
        </w:tc>
        <w:tc>
          <w:tcPr>
            <w:tcW w:w="6435" w:type="dxa"/>
            <w:vAlign w:val="center"/>
          </w:tcPr>
          <w:p w14:paraId="40297514">
            <w:pPr>
              <w:tabs>
                <w:tab w:val="left" w:pos="2160"/>
              </w:tabs>
              <w:topLinePunct/>
              <w:autoSpaceDE w:val="0"/>
              <w:autoSpaceDN w:val="0"/>
              <w:adjustRightInd w:val="0"/>
              <w:snapToGrid w:val="0"/>
              <w:spacing w:line="360" w:lineRule="auto"/>
              <w:rPr>
                <w:rFonts w:hint="eastAsia" w:ascii="Times New Roman" w:hAnsi="Times New Roman" w:eastAsia="宋体"/>
                <w:b/>
                <w:bCs/>
                <w:color w:val="auto"/>
                <w:szCs w:val="21"/>
                <w:highlight w:val="none"/>
                <w:lang w:val="en-US" w:eastAsia="zh-CN"/>
              </w:rPr>
            </w:pPr>
            <w:bookmarkStart w:id="34" w:name="合同表_定价方式_contractFixPriceTypeCn"/>
            <w:bookmarkEnd w:id="34"/>
            <w:r>
              <w:rPr>
                <w:rFonts w:hint="eastAsia" w:ascii="Times New Roman" w:hAnsi="Times New Roman"/>
                <w:b/>
                <w:bCs/>
                <w:color w:val="auto"/>
                <w:szCs w:val="21"/>
                <w:highlight w:val="none"/>
              </w:rPr>
              <w:t>固定</w:t>
            </w:r>
            <w:r>
              <w:rPr>
                <w:rFonts w:hint="eastAsia" w:ascii="Times New Roman" w:hAnsi="Times New Roman"/>
                <w:b/>
                <w:bCs/>
                <w:color w:val="auto"/>
                <w:szCs w:val="21"/>
                <w:highlight w:val="none"/>
                <w:lang w:val="en-US" w:eastAsia="zh-CN"/>
              </w:rPr>
              <w:t>总价</w:t>
            </w:r>
          </w:p>
        </w:tc>
      </w:tr>
      <w:tr w14:paraId="5D60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trPr>
        <w:tc>
          <w:tcPr>
            <w:tcW w:w="655" w:type="dxa"/>
            <w:vMerge w:val="restart"/>
            <w:vAlign w:val="center"/>
          </w:tcPr>
          <w:p w14:paraId="7FEC5B02">
            <w:pPr>
              <w:tabs>
                <w:tab w:val="left" w:pos="700"/>
              </w:tabs>
              <w:adjustRightInd w:val="0"/>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5</w:t>
            </w:r>
          </w:p>
        </w:tc>
        <w:tc>
          <w:tcPr>
            <w:tcW w:w="1927" w:type="dxa"/>
            <w:gridSpan w:val="2"/>
            <w:vAlign w:val="center"/>
          </w:tcPr>
          <w:p w14:paraId="3CA59AA5">
            <w:pPr>
              <w:tabs>
                <w:tab w:val="left" w:pos="700"/>
              </w:tabs>
              <w:adjustRightInd w:val="0"/>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甲方名称</w:t>
            </w:r>
          </w:p>
        </w:tc>
        <w:tc>
          <w:tcPr>
            <w:tcW w:w="6435" w:type="dxa"/>
            <w:vAlign w:val="center"/>
          </w:tcPr>
          <w:p w14:paraId="6AD31A39">
            <w:pPr>
              <w:tabs>
                <w:tab w:val="left" w:pos="700"/>
              </w:tabs>
              <w:adjustRightInd w:val="0"/>
              <w:snapToGrid w:val="0"/>
              <w:spacing w:line="360" w:lineRule="auto"/>
              <w:rPr>
                <w:rFonts w:hint="eastAsia" w:ascii="Times New Roman" w:hAnsi="Times New Roman" w:eastAsia="宋体"/>
                <w:color w:val="auto"/>
                <w:szCs w:val="21"/>
                <w:highlight w:val="none"/>
                <w:lang w:eastAsia="zh-CN"/>
              </w:rPr>
            </w:pPr>
            <w:r>
              <w:rPr>
                <w:rFonts w:hint="eastAsia" w:ascii="Times New Roman" w:hAnsi="Times New Roman"/>
                <w:bCs/>
                <w:color w:val="auto"/>
                <w:szCs w:val="21"/>
                <w:highlight w:val="none"/>
                <w:lang w:eastAsia="zh-CN"/>
              </w:rPr>
              <w:t>国家税务总局南丹县税务局</w:t>
            </w:r>
          </w:p>
        </w:tc>
      </w:tr>
      <w:tr w14:paraId="59B7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trPr>
        <w:tc>
          <w:tcPr>
            <w:tcW w:w="655" w:type="dxa"/>
            <w:vMerge w:val="continue"/>
            <w:vAlign w:val="center"/>
          </w:tcPr>
          <w:p w14:paraId="75F813B4">
            <w:pPr>
              <w:widowControl/>
              <w:adjustRightInd w:val="0"/>
              <w:snapToGrid w:val="0"/>
              <w:spacing w:line="360" w:lineRule="auto"/>
              <w:rPr>
                <w:rFonts w:ascii="Times New Roman" w:hAnsi="Times New Roman"/>
                <w:color w:val="auto"/>
                <w:szCs w:val="21"/>
                <w:highlight w:val="none"/>
              </w:rPr>
            </w:pPr>
          </w:p>
        </w:tc>
        <w:tc>
          <w:tcPr>
            <w:tcW w:w="1927" w:type="dxa"/>
            <w:gridSpan w:val="2"/>
            <w:vAlign w:val="center"/>
          </w:tcPr>
          <w:p w14:paraId="5FA683B3">
            <w:pPr>
              <w:tabs>
                <w:tab w:val="left" w:pos="700"/>
              </w:tabs>
              <w:adjustRightInd w:val="0"/>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甲方地址</w:t>
            </w:r>
          </w:p>
        </w:tc>
        <w:tc>
          <w:tcPr>
            <w:tcW w:w="6435" w:type="dxa"/>
            <w:vAlign w:val="center"/>
          </w:tcPr>
          <w:p w14:paraId="24E99451">
            <w:pPr>
              <w:tabs>
                <w:tab w:val="left" w:pos="700"/>
              </w:tabs>
              <w:adjustRightInd w:val="0"/>
              <w:snapToGrid w:val="0"/>
              <w:spacing w:line="360" w:lineRule="auto"/>
              <w:rPr>
                <w:rFonts w:hint="default" w:ascii="Times New Roman" w:hAnsi="Times New Roman" w:eastAsia="宋体"/>
                <w:color w:val="auto"/>
                <w:szCs w:val="21"/>
                <w:highlight w:val="none"/>
                <w:lang w:val="en-US" w:eastAsia="zh-CN"/>
              </w:rPr>
            </w:pPr>
            <w:r>
              <w:rPr>
                <w:rFonts w:hint="default" w:ascii="宋体" w:hAnsi="宋体" w:cs="宋体"/>
                <w:color w:val="auto"/>
                <w:szCs w:val="21"/>
                <w:highlight w:val="none"/>
                <w:lang w:val="en-US"/>
              </w:rPr>
              <w:t>南丹县城关镇锡都路86号</w:t>
            </w:r>
          </w:p>
        </w:tc>
      </w:tr>
      <w:tr w14:paraId="67BA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655" w:type="dxa"/>
            <w:vMerge w:val="continue"/>
            <w:vAlign w:val="center"/>
          </w:tcPr>
          <w:p w14:paraId="1412657D">
            <w:pPr>
              <w:widowControl/>
              <w:adjustRightInd w:val="0"/>
              <w:snapToGrid w:val="0"/>
              <w:spacing w:line="360" w:lineRule="auto"/>
              <w:rPr>
                <w:rFonts w:ascii="Times New Roman" w:hAnsi="Times New Roman"/>
                <w:color w:val="auto"/>
                <w:szCs w:val="21"/>
                <w:highlight w:val="none"/>
              </w:rPr>
            </w:pPr>
          </w:p>
        </w:tc>
        <w:tc>
          <w:tcPr>
            <w:tcW w:w="409" w:type="dxa"/>
            <w:vMerge w:val="restart"/>
            <w:vAlign w:val="center"/>
          </w:tcPr>
          <w:p w14:paraId="413C5A9F">
            <w:pPr>
              <w:tabs>
                <w:tab w:val="left" w:pos="700"/>
              </w:tabs>
              <w:adjustRightInd w:val="0"/>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甲方相关部门</w:t>
            </w:r>
          </w:p>
        </w:tc>
        <w:tc>
          <w:tcPr>
            <w:tcW w:w="1518" w:type="dxa"/>
            <w:vAlign w:val="center"/>
          </w:tcPr>
          <w:p w14:paraId="1D9F83F0">
            <w:pPr>
              <w:tabs>
                <w:tab w:val="left" w:pos="700"/>
              </w:tabs>
              <w:adjustRightInd w:val="0"/>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甲方采购部门</w:t>
            </w:r>
          </w:p>
        </w:tc>
        <w:tc>
          <w:tcPr>
            <w:tcW w:w="6435" w:type="dxa"/>
            <w:vAlign w:val="center"/>
          </w:tcPr>
          <w:p w14:paraId="43D5D7CE">
            <w:pPr>
              <w:tabs>
                <w:tab w:val="left" w:pos="700"/>
              </w:tabs>
              <w:adjustRightInd w:val="0"/>
              <w:snapToGrid w:val="0"/>
              <w:spacing w:line="360" w:lineRule="auto"/>
              <w:rPr>
                <w:rFonts w:hint="default" w:ascii="Times New Roman" w:hAnsi="Times New Roman"/>
                <w:color w:val="auto"/>
                <w:szCs w:val="21"/>
                <w:highlight w:val="none"/>
                <w:lang w:val="en-US"/>
              </w:rPr>
            </w:pPr>
          </w:p>
        </w:tc>
      </w:tr>
      <w:tr w14:paraId="2B9F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trPr>
        <w:tc>
          <w:tcPr>
            <w:tcW w:w="655" w:type="dxa"/>
            <w:vMerge w:val="continue"/>
            <w:vAlign w:val="center"/>
          </w:tcPr>
          <w:p w14:paraId="6B716329">
            <w:pPr>
              <w:widowControl/>
              <w:adjustRightInd w:val="0"/>
              <w:snapToGrid w:val="0"/>
              <w:spacing w:line="360" w:lineRule="auto"/>
              <w:rPr>
                <w:rFonts w:ascii="Times New Roman" w:hAnsi="Times New Roman"/>
                <w:color w:val="auto"/>
                <w:szCs w:val="21"/>
                <w:highlight w:val="none"/>
              </w:rPr>
            </w:pPr>
          </w:p>
        </w:tc>
        <w:tc>
          <w:tcPr>
            <w:tcW w:w="409" w:type="dxa"/>
            <w:vMerge w:val="continue"/>
            <w:vAlign w:val="center"/>
          </w:tcPr>
          <w:p w14:paraId="01DAAE88">
            <w:pPr>
              <w:tabs>
                <w:tab w:val="left" w:pos="700"/>
              </w:tabs>
              <w:adjustRightInd w:val="0"/>
              <w:snapToGrid w:val="0"/>
              <w:spacing w:line="360" w:lineRule="auto"/>
              <w:jc w:val="center"/>
              <w:rPr>
                <w:rFonts w:ascii="Times New Roman" w:hAnsi="Times New Roman"/>
                <w:color w:val="auto"/>
                <w:szCs w:val="21"/>
                <w:highlight w:val="none"/>
              </w:rPr>
            </w:pPr>
          </w:p>
        </w:tc>
        <w:tc>
          <w:tcPr>
            <w:tcW w:w="1518" w:type="dxa"/>
            <w:vAlign w:val="center"/>
          </w:tcPr>
          <w:p w14:paraId="4A447C23">
            <w:pPr>
              <w:tabs>
                <w:tab w:val="left" w:pos="700"/>
              </w:tabs>
              <w:adjustRightInd w:val="0"/>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联系人</w:t>
            </w:r>
          </w:p>
        </w:tc>
        <w:tc>
          <w:tcPr>
            <w:tcW w:w="6435" w:type="dxa"/>
            <w:vAlign w:val="center"/>
          </w:tcPr>
          <w:p w14:paraId="101D869A">
            <w:pPr>
              <w:tabs>
                <w:tab w:val="left" w:pos="700"/>
              </w:tabs>
              <w:adjustRightInd w:val="0"/>
              <w:snapToGrid w:val="0"/>
              <w:spacing w:line="360" w:lineRule="auto"/>
              <w:rPr>
                <w:rFonts w:ascii="Times New Roman" w:hAnsi="Times New Roman"/>
                <w:color w:val="auto"/>
                <w:szCs w:val="21"/>
                <w:highlight w:val="none"/>
              </w:rPr>
            </w:pPr>
          </w:p>
        </w:tc>
      </w:tr>
      <w:tr w14:paraId="7668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655" w:type="dxa"/>
            <w:vMerge w:val="continue"/>
            <w:vAlign w:val="center"/>
          </w:tcPr>
          <w:p w14:paraId="19D829F9">
            <w:pPr>
              <w:widowControl/>
              <w:adjustRightInd w:val="0"/>
              <w:snapToGrid w:val="0"/>
              <w:spacing w:line="360" w:lineRule="auto"/>
              <w:rPr>
                <w:rFonts w:ascii="Times New Roman" w:hAnsi="Times New Roman"/>
                <w:color w:val="auto"/>
                <w:szCs w:val="21"/>
                <w:highlight w:val="none"/>
              </w:rPr>
            </w:pPr>
          </w:p>
        </w:tc>
        <w:tc>
          <w:tcPr>
            <w:tcW w:w="409" w:type="dxa"/>
            <w:vMerge w:val="continue"/>
            <w:vAlign w:val="center"/>
          </w:tcPr>
          <w:p w14:paraId="0903E9CB">
            <w:pPr>
              <w:tabs>
                <w:tab w:val="left" w:pos="700"/>
              </w:tabs>
              <w:adjustRightInd w:val="0"/>
              <w:snapToGrid w:val="0"/>
              <w:spacing w:line="360" w:lineRule="auto"/>
              <w:jc w:val="center"/>
              <w:rPr>
                <w:rFonts w:ascii="Times New Roman" w:hAnsi="Times New Roman"/>
                <w:color w:val="auto"/>
                <w:szCs w:val="21"/>
                <w:highlight w:val="none"/>
              </w:rPr>
            </w:pPr>
          </w:p>
        </w:tc>
        <w:tc>
          <w:tcPr>
            <w:tcW w:w="1518" w:type="dxa"/>
            <w:vAlign w:val="center"/>
          </w:tcPr>
          <w:p w14:paraId="0F3C2932">
            <w:pPr>
              <w:tabs>
                <w:tab w:val="left" w:pos="700"/>
              </w:tabs>
              <w:adjustRightInd w:val="0"/>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联系电话</w:t>
            </w:r>
          </w:p>
        </w:tc>
        <w:tc>
          <w:tcPr>
            <w:tcW w:w="6435" w:type="dxa"/>
            <w:vAlign w:val="center"/>
          </w:tcPr>
          <w:p w14:paraId="100A25EC">
            <w:pPr>
              <w:tabs>
                <w:tab w:val="left" w:pos="700"/>
              </w:tabs>
              <w:adjustRightInd w:val="0"/>
              <w:snapToGrid w:val="0"/>
              <w:spacing w:line="360" w:lineRule="auto"/>
              <w:rPr>
                <w:rFonts w:ascii="Times New Roman" w:hAnsi="Times New Roman"/>
                <w:color w:val="auto"/>
                <w:szCs w:val="21"/>
                <w:highlight w:val="none"/>
              </w:rPr>
            </w:pPr>
          </w:p>
        </w:tc>
      </w:tr>
      <w:tr w14:paraId="392F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655" w:type="dxa"/>
            <w:vMerge w:val="continue"/>
            <w:vAlign w:val="center"/>
          </w:tcPr>
          <w:p w14:paraId="7B22A9F0">
            <w:pPr>
              <w:widowControl/>
              <w:adjustRightInd w:val="0"/>
              <w:snapToGrid w:val="0"/>
              <w:spacing w:line="360" w:lineRule="auto"/>
              <w:rPr>
                <w:rFonts w:ascii="Times New Roman" w:hAnsi="Times New Roman"/>
                <w:color w:val="auto"/>
                <w:szCs w:val="21"/>
                <w:highlight w:val="none"/>
              </w:rPr>
            </w:pPr>
          </w:p>
        </w:tc>
        <w:tc>
          <w:tcPr>
            <w:tcW w:w="409" w:type="dxa"/>
            <w:vMerge w:val="continue"/>
            <w:vAlign w:val="center"/>
          </w:tcPr>
          <w:p w14:paraId="6694FE1E">
            <w:pPr>
              <w:tabs>
                <w:tab w:val="left" w:pos="700"/>
              </w:tabs>
              <w:adjustRightInd w:val="0"/>
              <w:snapToGrid w:val="0"/>
              <w:spacing w:line="360" w:lineRule="auto"/>
              <w:jc w:val="center"/>
              <w:rPr>
                <w:rFonts w:ascii="Times New Roman" w:hAnsi="Times New Roman"/>
                <w:color w:val="auto"/>
                <w:szCs w:val="21"/>
                <w:highlight w:val="none"/>
              </w:rPr>
            </w:pPr>
          </w:p>
        </w:tc>
        <w:tc>
          <w:tcPr>
            <w:tcW w:w="1518" w:type="dxa"/>
            <w:vAlign w:val="center"/>
          </w:tcPr>
          <w:p w14:paraId="0AAFA851">
            <w:pPr>
              <w:tabs>
                <w:tab w:val="left" w:pos="700"/>
              </w:tabs>
              <w:adjustRightInd w:val="0"/>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甲方需求部门</w:t>
            </w:r>
          </w:p>
        </w:tc>
        <w:tc>
          <w:tcPr>
            <w:tcW w:w="6435" w:type="dxa"/>
            <w:vAlign w:val="center"/>
          </w:tcPr>
          <w:p w14:paraId="421CB60C">
            <w:pPr>
              <w:tabs>
                <w:tab w:val="left" w:pos="700"/>
              </w:tabs>
              <w:adjustRightInd w:val="0"/>
              <w:snapToGrid w:val="0"/>
              <w:spacing w:line="360" w:lineRule="auto"/>
              <w:rPr>
                <w:rFonts w:ascii="Times New Roman" w:hAnsi="Times New Roman"/>
                <w:color w:val="auto"/>
                <w:szCs w:val="21"/>
                <w:highlight w:val="none"/>
              </w:rPr>
            </w:pPr>
          </w:p>
        </w:tc>
      </w:tr>
      <w:tr w14:paraId="1333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trPr>
        <w:tc>
          <w:tcPr>
            <w:tcW w:w="655" w:type="dxa"/>
            <w:vMerge w:val="continue"/>
            <w:vAlign w:val="center"/>
          </w:tcPr>
          <w:p w14:paraId="4CAABDCE">
            <w:pPr>
              <w:widowControl/>
              <w:adjustRightInd w:val="0"/>
              <w:snapToGrid w:val="0"/>
              <w:spacing w:line="360" w:lineRule="auto"/>
              <w:rPr>
                <w:rFonts w:ascii="Times New Roman" w:hAnsi="Times New Roman"/>
                <w:color w:val="auto"/>
                <w:szCs w:val="21"/>
                <w:highlight w:val="none"/>
              </w:rPr>
            </w:pPr>
          </w:p>
        </w:tc>
        <w:tc>
          <w:tcPr>
            <w:tcW w:w="409" w:type="dxa"/>
            <w:vMerge w:val="continue"/>
            <w:vAlign w:val="center"/>
          </w:tcPr>
          <w:p w14:paraId="7653CFAB">
            <w:pPr>
              <w:tabs>
                <w:tab w:val="left" w:pos="700"/>
              </w:tabs>
              <w:adjustRightInd w:val="0"/>
              <w:snapToGrid w:val="0"/>
              <w:spacing w:line="360" w:lineRule="auto"/>
              <w:jc w:val="center"/>
              <w:rPr>
                <w:rFonts w:ascii="Times New Roman" w:hAnsi="Times New Roman"/>
                <w:color w:val="auto"/>
                <w:szCs w:val="21"/>
                <w:highlight w:val="none"/>
              </w:rPr>
            </w:pPr>
          </w:p>
        </w:tc>
        <w:tc>
          <w:tcPr>
            <w:tcW w:w="1518" w:type="dxa"/>
            <w:vAlign w:val="center"/>
          </w:tcPr>
          <w:p w14:paraId="6EAE2042">
            <w:pPr>
              <w:tabs>
                <w:tab w:val="left" w:pos="700"/>
              </w:tabs>
              <w:adjustRightInd w:val="0"/>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联系人</w:t>
            </w:r>
          </w:p>
        </w:tc>
        <w:tc>
          <w:tcPr>
            <w:tcW w:w="6435" w:type="dxa"/>
            <w:vAlign w:val="center"/>
          </w:tcPr>
          <w:p w14:paraId="28600052">
            <w:pPr>
              <w:tabs>
                <w:tab w:val="left" w:pos="700"/>
              </w:tabs>
              <w:adjustRightInd w:val="0"/>
              <w:snapToGrid w:val="0"/>
              <w:spacing w:line="360" w:lineRule="auto"/>
              <w:rPr>
                <w:rFonts w:ascii="Times New Roman" w:hAnsi="Times New Roman"/>
                <w:color w:val="auto"/>
                <w:szCs w:val="21"/>
                <w:highlight w:val="none"/>
              </w:rPr>
            </w:pPr>
          </w:p>
        </w:tc>
      </w:tr>
      <w:tr w14:paraId="10BC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655" w:type="dxa"/>
            <w:vMerge w:val="continue"/>
            <w:vAlign w:val="center"/>
          </w:tcPr>
          <w:p w14:paraId="57557DF8">
            <w:pPr>
              <w:widowControl/>
              <w:adjustRightInd w:val="0"/>
              <w:snapToGrid w:val="0"/>
              <w:spacing w:line="360" w:lineRule="auto"/>
              <w:rPr>
                <w:rFonts w:ascii="Times New Roman" w:hAnsi="Times New Roman"/>
                <w:color w:val="auto"/>
                <w:szCs w:val="21"/>
                <w:highlight w:val="none"/>
              </w:rPr>
            </w:pPr>
          </w:p>
        </w:tc>
        <w:tc>
          <w:tcPr>
            <w:tcW w:w="409" w:type="dxa"/>
            <w:vMerge w:val="continue"/>
            <w:vAlign w:val="center"/>
          </w:tcPr>
          <w:p w14:paraId="28473FB1">
            <w:pPr>
              <w:tabs>
                <w:tab w:val="left" w:pos="700"/>
              </w:tabs>
              <w:adjustRightInd w:val="0"/>
              <w:snapToGrid w:val="0"/>
              <w:spacing w:line="360" w:lineRule="auto"/>
              <w:jc w:val="center"/>
              <w:rPr>
                <w:rFonts w:ascii="Times New Roman" w:hAnsi="Times New Roman"/>
                <w:color w:val="auto"/>
                <w:szCs w:val="21"/>
                <w:highlight w:val="none"/>
              </w:rPr>
            </w:pPr>
          </w:p>
        </w:tc>
        <w:tc>
          <w:tcPr>
            <w:tcW w:w="1518" w:type="dxa"/>
            <w:vAlign w:val="center"/>
          </w:tcPr>
          <w:p w14:paraId="027D1671">
            <w:pPr>
              <w:tabs>
                <w:tab w:val="left" w:pos="700"/>
              </w:tabs>
              <w:adjustRightInd w:val="0"/>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联系电话</w:t>
            </w:r>
          </w:p>
        </w:tc>
        <w:tc>
          <w:tcPr>
            <w:tcW w:w="6435" w:type="dxa"/>
            <w:vAlign w:val="center"/>
          </w:tcPr>
          <w:p w14:paraId="5EB2CE0F">
            <w:pPr>
              <w:tabs>
                <w:tab w:val="left" w:pos="700"/>
              </w:tabs>
              <w:adjustRightInd w:val="0"/>
              <w:snapToGrid w:val="0"/>
              <w:spacing w:line="360" w:lineRule="auto"/>
              <w:rPr>
                <w:rFonts w:ascii="Times New Roman" w:hAnsi="Times New Roman"/>
                <w:color w:val="auto"/>
                <w:szCs w:val="21"/>
                <w:highlight w:val="none"/>
              </w:rPr>
            </w:pPr>
          </w:p>
        </w:tc>
      </w:tr>
      <w:tr w14:paraId="5621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trPr>
        <w:tc>
          <w:tcPr>
            <w:tcW w:w="655" w:type="dxa"/>
            <w:vMerge w:val="restart"/>
            <w:vAlign w:val="center"/>
          </w:tcPr>
          <w:p w14:paraId="6EF30523">
            <w:pPr>
              <w:tabs>
                <w:tab w:val="left" w:pos="700"/>
              </w:tabs>
              <w:adjustRightInd w:val="0"/>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6</w:t>
            </w:r>
          </w:p>
        </w:tc>
        <w:tc>
          <w:tcPr>
            <w:tcW w:w="1927" w:type="dxa"/>
            <w:gridSpan w:val="2"/>
            <w:vAlign w:val="center"/>
          </w:tcPr>
          <w:p w14:paraId="19CB8F4B">
            <w:pPr>
              <w:tabs>
                <w:tab w:val="left" w:pos="700"/>
              </w:tabs>
              <w:adjustRightInd w:val="0"/>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乙方名称</w:t>
            </w:r>
          </w:p>
        </w:tc>
        <w:tc>
          <w:tcPr>
            <w:tcW w:w="6435" w:type="dxa"/>
            <w:vAlign w:val="center"/>
          </w:tcPr>
          <w:p w14:paraId="08CF7BC6">
            <w:pPr>
              <w:tabs>
                <w:tab w:val="left" w:pos="700"/>
              </w:tabs>
              <w:adjustRightInd w:val="0"/>
              <w:snapToGrid w:val="0"/>
              <w:spacing w:line="360" w:lineRule="auto"/>
              <w:rPr>
                <w:rFonts w:ascii="Times New Roman" w:hAnsi="Times New Roman"/>
                <w:color w:val="auto"/>
                <w:szCs w:val="21"/>
                <w:highlight w:val="none"/>
              </w:rPr>
            </w:pPr>
          </w:p>
        </w:tc>
      </w:tr>
      <w:tr w14:paraId="52D3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trPr>
        <w:tc>
          <w:tcPr>
            <w:tcW w:w="655" w:type="dxa"/>
            <w:vMerge w:val="continue"/>
            <w:vAlign w:val="center"/>
          </w:tcPr>
          <w:p w14:paraId="310C3B31">
            <w:pPr>
              <w:widowControl/>
              <w:adjustRightInd w:val="0"/>
              <w:snapToGrid w:val="0"/>
              <w:spacing w:line="360" w:lineRule="auto"/>
              <w:rPr>
                <w:rFonts w:ascii="Times New Roman" w:hAnsi="Times New Roman"/>
                <w:color w:val="auto"/>
                <w:szCs w:val="21"/>
                <w:highlight w:val="none"/>
              </w:rPr>
            </w:pPr>
          </w:p>
        </w:tc>
        <w:tc>
          <w:tcPr>
            <w:tcW w:w="1927" w:type="dxa"/>
            <w:gridSpan w:val="2"/>
            <w:vAlign w:val="center"/>
          </w:tcPr>
          <w:p w14:paraId="0FF9B1E1">
            <w:pPr>
              <w:tabs>
                <w:tab w:val="left" w:pos="700"/>
              </w:tabs>
              <w:adjustRightInd w:val="0"/>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乙方企业性质</w:t>
            </w:r>
          </w:p>
        </w:tc>
        <w:tc>
          <w:tcPr>
            <w:tcW w:w="6435" w:type="dxa"/>
            <w:vAlign w:val="center"/>
          </w:tcPr>
          <w:p w14:paraId="2FD8B25C">
            <w:pPr>
              <w:tabs>
                <w:tab w:val="left" w:pos="700"/>
              </w:tabs>
              <w:adjustRightInd w:val="0"/>
              <w:snapToGrid w:val="0"/>
              <w:spacing w:line="360" w:lineRule="auto"/>
              <w:rPr>
                <w:rFonts w:ascii="Times New Roman" w:hAnsi="Times New Roman"/>
                <w:color w:val="auto"/>
                <w:szCs w:val="21"/>
                <w:highlight w:val="none"/>
              </w:rPr>
            </w:pPr>
            <w:r>
              <w:rPr>
                <w:rFonts w:ascii="Times New Roman" w:hAnsi="Times New Roman"/>
                <w:color w:val="auto"/>
                <w:szCs w:val="21"/>
                <w:highlight w:val="none"/>
              </w:rPr>
              <w:sym w:font="Wingdings 2" w:char="00A3"/>
            </w:r>
            <w:r>
              <w:rPr>
                <w:rFonts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大</w:t>
            </w:r>
            <w:r>
              <w:rPr>
                <w:rFonts w:ascii="Times New Roman" w:hAnsi="Times New Roman"/>
                <w:color w:val="auto"/>
                <w:szCs w:val="21"/>
                <w:highlight w:val="none"/>
              </w:rPr>
              <w:t>型企业</w:t>
            </w:r>
            <w:r>
              <w:rPr>
                <w:rFonts w:hint="eastAsia" w:ascii="Times New Roman" w:hAnsi="Times New Roman"/>
                <w:color w:val="auto"/>
                <w:szCs w:val="21"/>
                <w:highlight w:val="none"/>
                <w:lang w:val="en-US" w:eastAsia="zh-CN"/>
              </w:rPr>
              <w:t xml:space="preserve">   </w:t>
            </w:r>
            <w:r>
              <w:rPr>
                <w:rFonts w:ascii="Times New Roman" w:hAnsi="Times New Roman"/>
                <w:color w:val="auto"/>
                <w:szCs w:val="21"/>
                <w:highlight w:val="none"/>
              </w:rPr>
              <w:sym w:font="Wingdings 2" w:char="00A3"/>
            </w:r>
            <w:r>
              <w:rPr>
                <w:rFonts w:ascii="Times New Roman" w:hAnsi="Times New Roman"/>
                <w:color w:val="auto"/>
                <w:szCs w:val="21"/>
                <w:highlight w:val="none"/>
              </w:rPr>
              <w:t xml:space="preserve"> 中型企业     </w:t>
            </w:r>
            <w:r>
              <w:rPr>
                <w:rFonts w:ascii="Times New Roman" w:hAnsi="Times New Roman"/>
                <w:color w:val="auto"/>
                <w:szCs w:val="21"/>
                <w:highlight w:val="none"/>
              </w:rPr>
              <w:sym w:font="Wingdings 2" w:char="00A3"/>
            </w:r>
            <w:r>
              <w:rPr>
                <w:rFonts w:ascii="Times New Roman" w:hAnsi="Times New Roman"/>
                <w:color w:val="auto"/>
                <w:szCs w:val="21"/>
                <w:highlight w:val="none"/>
              </w:rPr>
              <w:t xml:space="preserve"> 小型企业  </w:t>
            </w:r>
            <w:r>
              <w:rPr>
                <w:rFonts w:hint="eastAsia" w:ascii="Times New Roman" w:hAnsi="Times New Roman"/>
                <w:color w:val="auto"/>
                <w:szCs w:val="21"/>
                <w:highlight w:val="none"/>
                <w:lang w:val="en-US" w:eastAsia="zh-CN"/>
              </w:rPr>
              <w:t xml:space="preserve">  </w:t>
            </w:r>
            <w:r>
              <w:rPr>
                <w:rFonts w:ascii="Times New Roman" w:hAnsi="Times New Roman"/>
                <w:color w:val="auto"/>
                <w:szCs w:val="21"/>
                <w:highlight w:val="none"/>
              </w:rPr>
              <w:t xml:space="preserve"> </w:t>
            </w:r>
            <w:r>
              <w:rPr>
                <w:rFonts w:ascii="Times New Roman" w:hAnsi="Times New Roman"/>
                <w:color w:val="auto"/>
                <w:szCs w:val="21"/>
                <w:highlight w:val="none"/>
              </w:rPr>
              <w:sym w:font="Wingdings 2" w:char="00A3"/>
            </w:r>
            <w:r>
              <w:rPr>
                <w:rFonts w:ascii="Times New Roman" w:hAnsi="Times New Roman"/>
                <w:color w:val="auto"/>
                <w:szCs w:val="21"/>
                <w:highlight w:val="none"/>
              </w:rPr>
              <w:t xml:space="preserve"> 微型企业    </w:t>
            </w:r>
          </w:p>
          <w:p w14:paraId="37A743E5">
            <w:pPr>
              <w:tabs>
                <w:tab w:val="left" w:pos="700"/>
              </w:tabs>
              <w:adjustRightInd w:val="0"/>
              <w:snapToGrid w:val="0"/>
              <w:spacing w:line="360" w:lineRule="auto"/>
              <w:rPr>
                <w:rFonts w:ascii="Times New Roman" w:hAnsi="Times New Roman"/>
                <w:color w:val="auto"/>
                <w:szCs w:val="21"/>
                <w:highlight w:val="none"/>
              </w:rPr>
            </w:pPr>
            <w:r>
              <w:rPr>
                <w:rFonts w:ascii="Times New Roman" w:hAnsi="Times New Roman"/>
                <w:color w:val="auto"/>
                <w:szCs w:val="21"/>
                <w:highlight w:val="none"/>
              </w:rPr>
              <w:sym w:font="Wingdings 2" w:char="00A3"/>
            </w:r>
            <w:r>
              <w:rPr>
                <w:rFonts w:ascii="Times New Roman" w:hAnsi="Times New Roman"/>
                <w:color w:val="auto"/>
                <w:szCs w:val="21"/>
                <w:highlight w:val="none"/>
              </w:rPr>
              <w:t xml:space="preserve">  监狱企业  </w:t>
            </w:r>
            <w:r>
              <w:rPr>
                <w:rFonts w:ascii="Times New Roman" w:hAnsi="Times New Roman"/>
                <w:color w:val="auto"/>
                <w:szCs w:val="21"/>
                <w:highlight w:val="none"/>
              </w:rPr>
              <w:sym w:font="Wingdings 2" w:char="00A3"/>
            </w:r>
            <w:r>
              <w:rPr>
                <w:rFonts w:ascii="Times New Roman" w:hAnsi="Times New Roman"/>
                <w:color w:val="auto"/>
                <w:szCs w:val="21"/>
                <w:highlight w:val="none"/>
              </w:rPr>
              <w:t xml:space="preserve"> 残疾人福利性单位    </w:t>
            </w:r>
            <w:r>
              <w:rPr>
                <w:rFonts w:ascii="Times New Roman" w:hAnsi="Times New Roman"/>
                <w:color w:val="auto"/>
                <w:szCs w:val="21"/>
                <w:highlight w:val="none"/>
              </w:rPr>
              <w:sym w:font="Wingdings 2" w:char="00A3"/>
            </w:r>
            <w:r>
              <w:rPr>
                <w:rFonts w:ascii="Times New Roman" w:hAnsi="Times New Roman"/>
                <w:color w:val="auto"/>
                <w:szCs w:val="21"/>
                <w:highlight w:val="none"/>
              </w:rPr>
              <w:t xml:space="preserve"> 其他</w:t>
            </w:r>
          </w:p>
        </w:tc>
      </w:tr>
      <w:tr w14:paraId="1B6F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655" w:type="dxa"/>
            <w:vMerge w:val="continue"/>
            <w:vAlign w:val="center"/>
          </w:tcPr>
          <w:p w14:paraId="22294181">
            <w:pPr>
              <w:widowControl/>
              <w:adjustRightInd w:val="0"/>
              <w:snapToGrid w:val="0"/>
              <w:spacing w:line="360" w:lineRule="auto"/>
              <w:rPr>
                <w:rFonts w:ascii="Times New Roman" w:hAnsi="Times New Roman"/>
                <w:color w:val="auto"/>
                <w:szCs w:val="21"/>
                <w:highlight w:val="none"/>
              </w:rPr>
            </w:pPr>
          </w:p>
        </w:tc>
        <w:tc>
          <w:tcPr>
            <w:tcW w:w="1927" w:type="dxa"/>
            <w:gridSpan w:val="2"/>
            <w:vAlign w:val="center"/>
          </w:tcPr>
          <w:p w14:paraId="793C51E8">
            <w:pPr>
              <w:tabs>
                <w:tab w:val="left" w:pos="700"/>
              </w:tabs>
              <w:adjustRightInd w:val="0"/>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乙方地址</w:t>
            </w:r>
          </w:p>
        </w:tc>
        <w:tc>
          <w:tcPr>
            <w:tcW w:w="6435" w:type="dxa"/>
            <w:vAlign w:val="center"/>
          </w:tcPr>
          <w:p w14:paraId="1FAF3DEA">
            <w:pPr>
              <w:tabs>
                <w:tab w:val="left" w:pos="700"/>
              </w:tabs>
              <w:adjustRightInd w:val="0"/>
              <w:snapToGrid w:val="0"/>
              <w:spacing w:line="360" w:lineRule="auto"/>
              <w:rPr>
                <w:rFonts w:ascii="Times New Roman" w:hAnsi="Times New Roman"/>
                <w:color w:val="auto"/>
                <w:szCs w:val="21"/>
                <w:highlight w:val="none"/>
              </w:rPr>
            </w:pPr>
          </w:p>
        </w:tc>
      </w:tr>
      <w:tr w14:paraId="1BBF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655" w:type="dxa"/>
            <w:vMerge w:val="continue"/>
            <w:vAlign w:val="center"/>
          </w:tcPr>
          <w:p w14:paraId="35B0D18F">
            <w:pPr>
              <w:widowControl/>
              <w:adjustRightInd w:val="0"/>
              <w:snapToGrid w:val="0"/>
              <w:spacing w:line="360" w:lineRule="auto"/>
              <w:rPr>
                <w:rFonts w:ascii="Times New Roman" w:hAnsi="Times New Roman"/>
                <w:color w:val="auto"/>
                <w:szCs w:val="21"/>
                <w:highlight w:val="none"/>
              </w:rPr>
            </w:pPr>
          </w:p>
        </w:tc>
        <w:tc>
          <w:tcPr>
            <w:tcW w:w="1927" w:type="dxa"/>
            <w:gridSpan w:val="2"/>
            <w:vAlign w:val="center"/>
          </w:tcPr>
          <w:p w14:paraId="1DB9F4CD">
            <w:pPr>
              <w:tabs>
                <w:tab w:val="left" w:pos="700"/>
              </w:tabs>
              <w:adjustRightInd w:val="0"/>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乙方联系人</w:t>
            </w:r>
          </w:p>
        </w:tc>
        <w:tc>
          <w:tcPr>
            <w:tcW w:w="6435" w:type="dxa"/>
            <w:vAlign w:val="center"/>
          </w:tcPr>
          <w:p w14:paraId="61799E15">
            <w:pPr>
              <w:tabs>
                <w:tab w:val="left" w:pos="700"/>
              </w:tabs>
              <w:adjustRightInd w:val="0"/>
              <w:snapToGrid w:val="0"/>
              <w:spacing w:line="360" w:lineRule="auto"/>
              <w:rPr>
                <w:rFonts w:ascii="Times New Roman" w:hAnsi="Times New Roman"/>
                <w:color w:val="auto"/>
                <w:szCs w:val="21"/>
                <w:highlight w:val="none"/>
              </w:rPr>
            </w:pPr>
          </w:p>
        </w:tc>
      </w:tr>
      <w:tr w14:paraId="11A0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trPr>
        <w:tc>
          <w:tcPr>
            <w:tcW w:w="655" w:type="dxa"/>
            <w:vMerge w:val="continue"/>
            <w:vAlign w:val="center"/>
          </w:tcPr>
          <w:p w14:paraId="4740FA79">
            <w:pPr>
              <w:widowControl/>
              <w:adjustRightInd w:val="0"/>
              <w:snapToGrid w:val="0"/>
              <w:spacing w:line="360" w:lineRule="auto"/>
              <w:rPr>
                <w:rFonts w:ascii="Times New Roman" w:hAnsi="Times New Roman"/>
                <w:color w:val="auto"/>
                <w:szCs w:val="21"/>
                <w:highlight w:val="none"/>
              </w:rPr>
            </w:pPr>
          </w:p>
        </w:tc>
        <w:tc>
          <w:tcPr>
            <w:tcW w:w="1927" w:type="dxa"/>
            <w:gridSpan w:val="2"/>
            <w:vAlign w:val="center"/>
          </w:tcPr>
          <w:p w14:paraId="2E42AB86">
            <w:pPr>
              <w:tabs>
                <w:tab w:val="left" w:pos="700"/>
              </w:tabs>
              <w:adjustRightInd w:val="0"/>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联系电话/传真</w:t>
            </w:r>
          </w:p>
        </w:tc>
        <w:tc>
          <w:tcPr>
            <w:tcW w:w="6435" w:type="dxa"/>
            <w:vAlign w:val="center"/>
          </w:tcPr>
          <w:p w14:paraId="64AC7E46">
            <w:pPr>
              <w:tabs>
                <w:tab w:val="left" w:pos="700"/>
              </w:tabs>
              <w:adjustRightInd w:val="0"/>
              <w:snapToGrid w:val="0"/>
              <w:spacing w:line="360" w:lineRule="auto"/>
              <w:rPr>
                <w:rFonts w:ascii="Times New Roman" w:hAnsi="Times New Roman"/>
                <w:color w:val="auto"/>
                <w:szCs w:val="21"/>
                <w:highlight w:val="none"/>
              </w:rPr>
            </w:pPr>
          </w:p>
        </w:tc>
      </w:tr>
      <w:tr w14:paraId="6D81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trPr>
        <w:tc>
          <w:tcPr>
            <w:tcW w:w="655" w:type="dxa"/>
            <w:vMerge w:val="continue"/>
            <w:vAlign w:val="center"/>
          </w:tcPr>
          <w:p w14:paraId="72DBEA45">
            <w:pPr>
              <w:widowControl/>
              <w:adjustRightInd w:val="0"/>
              <w:snapToGrid w:val="0"/>
              <w:spacing w:line="360" w:lineRule="auto"/>
              <w:rPr>
                <w:rFonts w:ascii="Times New Roman" w:hAnsi="Times New Roman"/>
                <w:color w:val="auto"/>
                <w:szCs w:val="21"/>
                <w:highlight w:val="none"/>
              </w:rPr>
            </w:pPr>
          </w:p>
        </w:tc>
        <w:tc>
          <w:tcPr>
            <w:tcW w:w="1927" w:type="dxa"/>
            <w:gridSpan w:val="2"/>
            <w:vAlign w:val="center"/>
          </w:tcPr>
          <w:p w14:paraId="623009F3">
            <w:pPr>
              <w:tabs>
                <w:tab w:val="left" w:pos="700"/>
              </w:tabs>
              <w:adjustRightInd w:val="0"/>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开户银行名称</w:t>
            </w:r>
          </w:p>
        </w:tc>
        <w:tc>
          <w:tcPr>
            <w:tcW w:w="6435" w:type="dxa"/>
            <w:vAlign w:val="center"/>
          </w:tcPr>
          <w:p w14:paraId="1E2ADFD4">
            <w:pPr>
              <w:tabs>
                <w:tab w:val="left" w:pos="700"/>
              </w:tabs>
              <w:adjustRightInd w:val="0"/>
              <w:snapToGrid w:val="0"/>
              <w:spacing w:line="360" w:lineRule="auto"/>
              <w:rPr>
                <w:rFonts w:ascii="Times New Roman" w:hAnsi="Times New Roman"/>
                <w:color w:val="auto"/>
                <w:szCs w:val="21"/>
                <w:highlight w:val="none"/>
              </w:rPr>
            </w:pPr>
          </w:p>
        </w:tc>
      </w:tr>
      <w:tr w14:paraId="3F1F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trPr>
        <w:tc>
          <w:tcPr>
            <w:tcW w:w="655" w:type="dxa"/>
            <w:vMerge w:val="continue"/>
            <w:vAlign w:val="center"/>
          </w:tcPr>
          <w:p w14:paraId="6AB6D53D">
            <w:pPr>
              <w:widowControl/>
              <w:adjustRightInd w:val="0"/>
              <w:snapToGrid w:val="0"/>
              <w:spacing w:line="360" w:lineRule="auto"/>
              <w:rPr>
                <w:rFonts w:ascii="Times New Roman" w:hAnsi="Times New Roman"/>
                <w:color w:val="auto"/>
                <w:szCs w:val="21"/>
                <w:highlight w:val="none"/>
              </w:rPr>
            </w:pPr>
          </w:p>
        </w:tc>
        <w:tc>
          <w:tcPr>
            <w:tcW w:w="1927" w:type="dxa"/>
            <w:gridSpan w:val="2"/>
            <w:vAlign w:val="center"/>
          </w:tcPr>
          <w:p w14:paraId="50B54C91">
            <w:pPr>
              <w:tabs>
                <w:tab w:val="left" w:pos="700"/>
              </w:tabs>
              <w:adjustRightInd w:val="0"/>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银行账号</w:t>
            </w:r>
          </w:p>
        </w:tc>
        <w:tc>
          <w:tcPr>
            <w:tcW w:w="6435" w:type="dxa"/>
            <w:vAlign w:val="center"/>
          </w:tcPr>
          <w:p w14:paraId="17388E33">
            <w:pPr>
              <w:tabs>
                <w:tab w:val="left" w:pos="700"/>
              </w:tabs>
              <w:adjustRightInd w:val="0"/>
              <w:snapToGrid w:val="0"/>
              <w:spacing w:line="360" w:lineRule="auto"/>
              <w:rPr>
                <w:rFonts w:ascii="Times New Roman" w:hAnsi="Times New Roman"/>
                <w:color w:val="auto"/>
                <w:szCs w:val="21"/>
                <w:highlight w:val="none"/>
              </w:rPr>
            </w:pPr>
          </w:p>
        </w:tc>
      </w:tr>
      <w:tr w14:paraId="68B5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55" w:type="dxa"/>
            <w:vAlign w:val="center"/>
          </w:tcPr>
          <w:p w14:paraId="381485CC">
            <w:pPr>
              <w:tabs>
                <w:tab w:val="left" w:pos="700"/>
              </w:tabs>
              <w:adjustRightInd w:val="0"/>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7</w:t>
            </w:r>
          </w:p>
        </w:tc>
        <w:tc>
          <w:tcPr>
            <w:tcW w:w="1927" w:type="dxa"/>
            <w:gridSpan w:val="2"/>
            <w:vAlign w:val="center"/>
          </w:tcPr>
          <w:p w14:paraId="1B231652">
            <w:pPr>
              <w:tabs>
                <w:tab w:val="left" w:pos="700"/>
              </w:tabs>
              <w:adjustRightInd w:val="0"/>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合同金额</w:t>
            </w:r>
          </w:p>
        </w:tc>
        <w:tc>
          <w:tcPr>
            <w:tcW w:w="6435" w:type="dxa"/>
            <w:vAlign w:val="center"/>
          </w:tcPr>
          <w:p w14:paraId="3F99459C">
            <w:pPr>
              <w:keepNext w:val="0"/>
              <w:keepLines w:val="0"/>
              <w:widowControl/>
              <w:suppressLineNumbers w:val="0"/>
              <w:jc w:val="left"/>
              <w:rPr>
                <w:rFonts w:hint="eastAsia" w:asciiTheme="minorEastAsia" w:hAnsiTheme="minorEastAsia" w:eastAsiaTheme="minorEastAsia" w:cstheme="minorEastAsia"/>
                <w:color w:val="auto"/>
                <w:szCs w:val="21"/>
                <w:highlight w:val="none"/>
              </w:rPr>
            </w:pPr>
            <w:r>
              <w:rPr>
                <w:rFonts w:ascii="Times New Roman" w:hAnsi="Times New Roman" w:eastAsia="宋体" w:cs="Times New Roman"/>
                <w:color w:val="auto"/>
                <w:szCs w:val="21"/>
                <w:highlight w:val="none"/>
              </w:rPr>
              <w:t>人民币</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元整（¥</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w:t>
            </w:r>
            <w:r>
              <w:rPr>
                <w:rFonts w:hint="eastAsia" w:ascii="宋体" w:hAnsi="宋体" w:eastAsia="宋体" w:cs="宋体"/>
                <w:color w:val="auto"/>
                <w:kern w:val="0"/>
                <w:sz w:val="21"/>
                <w:szCs w:val="21"/>
                <w:highlight w:val="none"/>
                <w:lang w:val="en-US" w:eastAsia="zh-CN" w:bidi="ar"/>
              </w:rPr>
              <w:t>。</w:t>
            </w:r>
          </w:p>
        </w:tc>
      </w:tr>
      <w:tr w14:paraId="4B2C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55" w:type="dxa"/>
            <w:vAlign w:val="center"/>
          </w:tcPr>
          <w:p w14:paraId="6733759E">
            <w:pPr>
              <w:tabs>
                <w:tab w:val="left" w:pos="700"/>
              </w:tabs>
              <w:adjustRightInd w:val="0"/>
              <w:snapToGrid w:val="0"/>
              <w:spacing w:line="360" w:lineRule="auto"/>
              <w:jc w:val="center"/>
              <w:rPr>
                <w:rFonts w:hint="eastAsia" w:ascii="Times New Roman" w:hAnsi="Times New Roman" w:eastAsia="宋体"/>
                <w:color w:val="auto"/>
                <w:szCs w:val="21"/>
                <w:highlight w:val="none"/>
                <w:lang w:val="en-US" w:eastAsia="zh-CN"/>
              </w:rPr>
            </w:pPr>
            <w:r>
              <w:rPr>
                <w:rFonts w:hint="eastAsia" w:ascii="Times New Roman" w:hAnsi="Times New Roman"/>
                <w:color w:val="auto"/>
                <w:szCs w:val="21"/>
                <w:highlight w:val="none"/>
                <w:lang w:val="en-US" w:eastAsia="zh-CN"/>
              </w:rPr>
              <w:t>8</w:t>
            </w:r>
          </w:p>
        </w:tc>
        <w:tc>
          <w:tcPr>
            <w:tcW w:w="1927" w:type="dxa"/>
            <w:gridSpan w:val="2"/>
            <w:shd w:val="clear" w:color="auto" w:fill="auto"/>
            <w:vAlign w:val="center"/>
          </w:tcPr>
          <w:p w14:paraId="07AAAB12">
            <w:pPr>
              <w:tabs>
                <w:tab w:val="left" w:pos="700"/>
              </w:tabs>
              <w:adjustRightInd w:val="0"/>
              <w:snapToGrid w:val="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zCs w:val="21"/>
                <w:highlight w:val="none"/>
              </w:rPr>
              <w:t>服务内容</w:t>
            </w:r>
          </w:p>
        </w:tc>
        <w:tc>
          <w:tcPr>
            <w:tcW w:w="6435" w:type="dxa"/>
            <w:shd w:val="clear" w:color="auto" w:fill="auto"/>
            <w:vAlign w:val="center"/>
          </w:tcPr>
          <w:p w14:paraId="7DB581D0">
            <w:pPr>
              <w:tabs>
                <w:tab w:val="left" w:pos="700"/>
              </w:tabs>
              <w:adjustRightInd w:val="0"/>
              <w:snapToGrid w:val="0"/>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zCs w:val="21"/>
                <w:highlight w:val="none"/>
              </w:rPr>
              <w:t>详见</w:t>
            </w:r>
            <w:r>
              <w:rPr>
                <w:rFonts w:hint="eastAsia" w:ascii="Times New Roman" w:hAnsi="Times New Roman" w:cs="Times New Roman"/>
                <w:color w:val="auto"/>
                <w:szCs w:val="21"/>
                <w:highlight w:val="none"/>
                <w:lang w:val="en-US" w:eastAsia="zh-CN"/>
              </w:rPr>
              <w:t>磋商</w:t>
            </w:r>
            <w:r>
              <w:rPr>
                <w:rFonts w:hint="eastAsia" w:ascii="Times New Roman" w:hAnsi="Times New Roman" w:eastAsia="宋体" w:cs="Times New Roman"/>
                <w:color w:val="auto"/>
                <w:szCs w:val="21"/>
                <w:highlight w:val="none"/>
                <w:lang w:eastAsia="zh-CN"/>
              </w:rPr>
              <w:t>文件</w:t>
            </w:r>
            <w:r>
              <w:rPr>
                <w:rFonts w:ascii="Times New Roman" w:hAnsi="Times New Roman" w:eastAsia="宋体" w:cs="Times New Roman"/>
                <w:color w:val="auto"/>
                <w:szCs w:val="21"/>
                <w:highlight w:val="none"/>
              </w:rPr>
              <w:t>采购需求。</w:t>
            </w:r>
          </w:p>
        </w:tc>
      </w:tr>
      <w:tr w14:paraId="2199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trPr>
        <w:tc>
          <w:tcPr>
            <w:tcW w:w="655" w:type="dxa"/>
            <w:vAlign w:val="center"/>
          </w:tcPr>
          <w:p w14:paraId="58D4FE1C">
            <w:pPr>
              <w:tabs>
                <w:tab w:val="left" w:pos="700"/>
              </w:tabs>
              <w:adjustRightInd w:val="0"/>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9</w:t>
            </w:r>
          </w:p>
        </w:tc>
        <w:tc>
          <w:tcPr>
            <w:tcW w:w="1927" w:type="dxa"/>
            <w:gridSpan w:val="2"/>
            <w:shd w:val="clear" w:color="auto" w:fill="auto"/>
            <w:vAlign w:val="center"/>
          </w:tcPr>
          <w:p w14:paraId="2443ABBB">
            <w:pPr>
              <w:tabs>
                <w:tab w:val="left" w:pos="700"/>
              </w:tabs>
              <w:adjustRightInd w:val="0"/>
              <w:snapToGrid w:val="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zCs w:val="21"/>
                <w:highlight w:val="none"/>
              </w:rPr>
              <w:t>合同付款</w:t>
            </w:r>
          </w:p>
        </w:tc>
        <w:tc>
          <w:tcPr>
            <w:tcW w:w="6435" w:type="dxa"/>
            <w:shd w:val="clear" w:color="auto" w:fill="auto"/>
            <w:vAlign w:val="center"/>
          </w:tcPr>
          <w:p w14:paraId="04590E91">
            <w:pPr>
              <w:tabs>
                <w:tab w:val="left" w:pos="840"/>
              </w:tabs>
              <w:adjustRightInd w:val="0"/>
              <w:snapToGrid w:val="0"/>
              <w:spacing w:line="380" w:lineRule="exact"/>
              <w:rPr>
                <w:rFonts w:ascii="宋体" w:hAnsi="宋体" w:eastAsia="宋体" w:cs="Times New Roman"/>
                <w:color w:val="auto"/>
                <w:szCs w:val="21"/>
                <w:highlight w:val="none"/>
              </w:rPr>
            </w:pPr>
            <w:r>
              <w:rPr>
                <w:rFonts w:ascii="宋体" w:hAnsi="宋体" w:eastAsia="宋体" w:cs="Times New Roman"/>
                <w:color w:val="auto"/>
                <w:szCs w:val="21"/>
                <w:highlight w:val="none"/>
              </w:rPr>
              <w:t>合同以人民币结算：</w:t>
            </w:r>
          </w:p>
          <w:p w14:paraId="59223F62">
            <w:pPr>
              <w:spacing w:line="400" w:lineRule="exact"/>
              <w:ind w:firstLine="420" w:firstLineChars="200"/>
              <w:jc w:val="left"/>
              <w:rPr>
                <w:rFonts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物业管理服务费按月支付，</w:t>
            </w:r>
            <w:r>
              <w:rPr>
                <w:rStyle w:val="25"/>
                <w:rFonts w:hint="eastAsia" w:ascii="宋体" w:hAnsi="宋体" w:eastAsia="宋体" w:cs="宋体"/>
                <w:i w:val="0"/>
                <w:iCs/>
                <w:color w:val="auto"/>
                <w:sz w:val="21"/>
                <w:szCs w:val="21"/>
                <w:highlight w:val="none"/>
                <w:lang w:val="en-US" w:eastAsia="zh-CN"/>
              </w:rPr>
              <w:t>次月 10 个工作日内甲方根据考核结果（考核标准详见磋商文件第六章附件1、附件2）支付上月物业服务费。当月实际支付物业服务费=当月应付物业服务费-不定期考核扣款-每月定期考核扣款。</w:t>
            </w:r>
            <w:r>
              <w:rPr>
                <w:rFonts w:hint="eastAsia" w:ascii="宋体" w:hAnsi="宋体" w:eastAsia="宋体" w:cs="宋体"/>
                <w:color w:val="auto"/>
                <w:sz w:val="21"/>
                <w:szCs w:val="21"/>
                <w:highlight w:val="none"/>
                <w:lang w:val="en-US" w:eastAsia="zh-CN"/>
              </w:rPr>
              <w:t>服务时间不足一个月的，按实际天数计算当月应付物业服务费。</w:t>
            </w:r>
          </w:p>
          <w:p w14:paraId="3BBCB360">
            <w:pPr>
              <w:widowControl/>
              <w:spacing w:line="360" w:lineRule="auto"/>
              <w:ind w:left="0" w:leftChars="0" w:firstLine="447" w:firstLineChars="213"/>
              <w:jc w:val="left"/>
              <w:rPr>
                <w:rFonts w:ascii="Times New Roman" w:hAnsi="Times New Roman" w:eastAsia="方正大标宋简体" w:cs="Times New Roman"/>
                <w:color w:val="auto"/>
                <w:kern w:val="2"/>
                <w:sz w:val="21"/>
                <w:szCs w:val="21"/>
                <w:highlight w:val="none"/>
                <w:lang w:val="en-US" w:eastAsia="zh-CN" w:bidi="ar-SA"/>
              </w:rPr>
            </w:pPr>
            <w:r>
              <w:rPr>
                <w:rFonts w:hint="eastAsia" w:ascii="宋体" w:hAnsi="宋体" w:cs="宋体"/>
                <w:color w:val="auto"/>
                <w:highlight w:val="none"/>
                <w:lang w:val="en-US" w:eastAsia="zh-CN"/>
              </w:rPr>
              <w:t>（2）</w:t>
            </w:r>
            <w:r>
              <w:rPr>
                <w:rFonts w:hint="eastAsia" w:ascii="宋体" w:hAnsi="宋体" w:cs="宋体"/>
                <w:b w:val="0"/>
                <w:color w:val="auto"/>
                <w:szCs w:val="21"/>
                <w:highlight w:val="none"/>
                <w:lang w:eastAsia="zh-CN"/>
              </w:rPr>
              <w:t>甲方</w:t>
            </w:r>
            <w:r>
              <w:rPr>
                <w:rFonts w:hint="eastAsia" w:ascii="宋体" w:hAnsi="宋体" w:cs="宋体"/>
                <w:b w:val="0"/>
                <w:color w:val="auto"/>
                <w:szCs w:val="21"/>
                <w:highlight w:val="none"/>
              </w:rPr>
              <w:t>付款前，</w:t>
            </w:r>
            <w:r>
              <w:rPr>
                <w:rFonts w:hint="eastAsia" w:ascii="宋体" w:hAnsi="宋体" w:cs="宋体"/>
                <w:b w:val="0"/>
                <w:color w:val="auto"/>
                <w:szCs w:val="21"/>
                <w:highlight w:val="none"/>
                <w:lang w:eastAsia="zh-CN"/>
              </w:rPr>
              <w:t>乙方</w:t>
            </w:r>
            <w:r>
              <w:rPr>
                <w:rFonts w:hint="eastAsia" w:ascii="宋体" w:hAnsi="宋体" w:cs="宋体"/>
                <w:b w:val="0"/>
                <w:color w:val="auto"/>
                <w:szCs w:val="21"/>
                <w:highlight w:val="none"/>
              </w:rPr>
              <w:t>应向</w:t>
            </w:r>
            <w:r>
              <w:rPr>
                <w:rFonts w:hint="eastAsia" w:ascii="宋体" w:hAnsi="宋体" w:cs="宋体"/>
                <w:b w:val="0"/>
                <w:color w:val="auto"/>
                <w:szCs w:val="21"/>
                <w:highlight w:val="none"/>
                <w:lang w:eastAsia="zh-CN"/>
              </w:rPr>
              <w:t>甲方</w:t>
            </w:r>
            <w:r>
              <w:rPr>
                <w:rFonts w:hint="eastAsia" w:ascii="宋体" w:hAnsi="宋体" w:cs="宋体"/>
                <w:b w:val="0"/>
                <w:color w:val="auto"/>
                <w:szCs w:val="21"/>
                <w:highlight w:val="none"/>
              </w:rPr>
              <w:t>开具等额有效的发票，</w:t>
            </w:r>
            <w:r>
              <w:rPr>
                <w:rFonts w:hint="eastAsia" w:ascii="宋体" w:hAnsi="宋体" w:cs="宋体"/>
                <w:b w:val="0"/>
                <w:color w:val="auto"/>
                <w:szCs w:val="21"/>
                <w:highlight w:val="none"/>
                <w:lang w:eastAsia="zh-CN"/>
              </w:rPr>
              <w:t>甲方</w:t>
            </w:r>
            <w:r>
              <w:rPr>
                <w:rFonts w:hint="eastAsia" w:ascii="宋体" w:hAnsi="宋体" w:cs="宋体"/>
                <w:b w:val="0"/>
                <w:color w:val="auto"/>
                <w:szCs w:val="21"/>
                <w:highlight w:val="none"/>
              </w:rPr>
              <w:t>收到</w:t>
            </w:r>
            <w:r>
              <w:rPr>
                <w:rFonts w:hint="eastAsia" w:ascii="宋体" w:hAnsi="宋体" w:cs="宋体"/>
                <w:b w:val="0"/>
                <w:color w:val="auto"/>
                <w:szCs w:val="21"/>
                <w:highlight w:val="none"/>
                <w:lang w:eastAsia="zh-CN"/>
              </w:rPr>
              <w:t>合规</w:t>
            </w:r>
            <w:r>
              <w:rPr>
                <w:rFonts w:hint="eastAsia" w:ascii="宋体" w:hAnsi="宋体" w:cs="宋体"/>
                <w:b w:val="0"/>
                <w:color w:val="auto"/>
                <w:szCs w:val="21"/>
                <w:highlight w:val="none"/>
              </w:rPr>
              <w:t>发票后10个工作日内将</w:t>
            </w:r>
            <w:r>
              <w:rPr>
                <w:rFonts w:hint="eastAsia" w:ascii="宋体" w:hAnsi="宋体" w:cs="宋体"/>
                <w:b w:val="0"/>
                <w:color w:val="auto"/>
                <w:szCs w:val="21"/>
                <w:highlight w:val="none"/>
                <w:lang w:eastAsia="zh-CN"/>
              </w:rPr>
              <w:t>合同款项</w:t>
            </w:r>
            <w:r>
              <w:rPr>
                <w:rFonts w:hint="eastAsia" w:ascii="宋体" w:hAnsi="宋体" w:cs="宋体"/>
                <w:b w:val="0"/>
                <w:color w:val="auto"/>
                <w:szCs w:val="21"/>
                <w:highlight w:val="none"/>
              </w:rPr>
              <w:t>支付到合同约定的</w:t>
            </w:r>
            <w:r>
              <w:rPr>
                <w:rFonts w:hint="eastAsia" w:ascii="宋体" w:hAnsi="宋体" w:cs="宋体"/>
                <w:b w:val="0"/>
                <w:color w:val="auto"/>
                <w:szCs w:val="21"/>
                <w:highlight w:val="none"/>
                <w:lang w:eastAsia="zh-CN"/>
              </w:rPr>
              <w:t>乙方</w:t>
            </w:r>
            <w:r>
              <w:rPr>
                <w:rFonts w:hint="eastAsia" w:ascii="宋体" w:hAnsi="宋体" w:cs="宋体"/>
                <w:b w:val="0"/>
                <w:color w:val="auto"/>
                <w:szCs w:val="21"/>
                <w:highlight w:val="none"/>
              </w:rPr>
              <w:t>账户；</w:t>
            </w:r>
            <w:r>
              <w:rPr>
                <w:rFonts w:hint="eastAsia" w:ascii="宋体" w:hAnsi="宋体" w:cs="宋体"/>
                <w:b w:val="0"/>
                <w:color w:val="auto"/>
                <w:szCs w:val="21"/>
                <w:highlight w:val="none"/>
                <w:lang w:eastAsia="zh-CN"/>
              </w:rPr>
              <w:t>甲方</w:t>
            </w:r>
            <w:r>
              <w:rPr>
                <w:rFonts w:hint="eastAsia" w:ascii="宋体" w:hAnsi="宋体" w:cs="宋体"/>
                <w:b w:val="0"/>
                <w:color w:val="auto"/>
                <w:szCs w:val="21"/>
                <w:highlight w:val="none"/>
              </w:rPr>
              <w:t>未收到</w:t>
            </w:r>
            <w:r>
              <w:rPr>
                <w:rFonts w:hint="eastAsia" w:ascii="宋体" w:hAnsi="宋体" w:cs="宋体"/>
                <w:b w:val="0"/>
                <w:color w:val="auto"/>
                <w:szCs w:val="21"/>
                <w:highlight w:val="none"/>
                <w:lang w:eastAsia="zh-CN"/>
              </w:rPr>
              <w:t>合规</w:t>
            </w:r>
            <w:r>
              <w:rPr>
                <w:rFonts w:hint="eastAsia" w:ascii="宋体" w:hAnsi="宋体" w:cs="宋体"/>
                <w:b w:val="0"/>
                <w:color w:val="auto"/>
                <w:szCs w:val="21"/>
                <w:highlight w:val="none"/>
              </w:rPr>
              <w:t>发票的，有权不予支付相应款项，并不承担延迟付款责任。</w:t>
            </w:r>
          </w:p>
        </w:tc>
      </w:tr>
      <w:tr w14:paraId="2511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55" w:type="dxa"/>
            <w:vAlign w:val="center"/>
          </w:tcPr>
          <w:p w14:paraId="62C5E877">
            <w:pPr>
              <w:tabs>
                <w:tab w:val="left" w:pos="700"/>
              </w:tabs>
              <w:adjustRightInd w:val="0"/>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10</w:t>
            </w:r>
          </w:p>
        </w:tc>
        <w:tc>
          <w:tcPr>
            <w:tcW w:w="1927" w:type="dxa"/>
            <w:gridSpan w:val="2"/>
            <w:vAlign w:val="center"/>
          </w:tcPr>
          <w:p w14:paraId="11A979C0">
            <w:pPr>
              <w:tabs>
                <w:tab w:val="left" w:pos="700"/>
              </w:tabs>
              <w:adjustRightInd w:val="0"/>
              <w:snapToGrid w:val="0"/>
              <w:spacing w:line="240" w:lineRule="auto"/>
              <w:jc w:val="center"/>
              <w:rPr>
                <w:rFonts w:ascii="Times New Roman" w:hAnsi="Times New Roman"/>
                <w:color w:val="auto"/>
                <w:szCs w:val="21"/>
                <w:highlight w:val="none"/>
              </w:rPr>
            </w:pPr>
            <w:r>
              <w:rPr>
                <w:rFonts w:ascii="Times New Roman" w:hAnsi="Times New Roman"/>
                <w:color w:val="auto"/>
                <w:szCs w:val="21"/>
                <w:highlight w:val="none"/>
              </w:rPr>
              <w:t>履约保证金及返还</w:t>
            </w:r>
          </w:p>
        </w:tc>
        <w:tc>
          <w:tcPr>
            <w:tcW w:w="6435" w:type="dxa"/>
            <w:vAlign w:val="center"/>
          </w:tcPr>
          <w:p w14:paraId="4C703B5A">
            <w:pPr>
              <w:widowControl/>
              <w:spacing w:line="360" w:lineRule="auto"/>
              <w:ind w:firstLine="420" w:firstLineChars="200"/>
              <w:jc w:val="left"/>
              <w:rPr>
                <w:color w:val="auto"/>
                <w:highlight w:val="none"/>
              </w:rPr>
            </w:pPr>
            <w:r>
              <w:rPr>
                <w:color w:val="auto"/>
                <w:highlight w:val="none"/>
              </w:rPr>
              <w:sym w:font="Wingdings 2" w:char="0052"/>
            </w:r>
            <w:r>
              <w:rPr>
                <w:rFonts w:hint="eastAsia" w:ascii="宋体" w:hAnsi="宋体" w:eastAsia="宋体" w:cs="Times New Roman"/>
                <w:color w:val="auto"/>
                <w:szCs w:val="21"/>
                <w:highlight w:val="none"/>
                <w:lang w:eastAsia="zh-CN"/>
              </w:rPr>
              <w:t>不要求提供</w:t>
            </w:r>
          </w:p>
          <w:p w14:paraId="5B4DF8E6">
            <w:pPr>
              <w:widowControl/>
              <w:spacing w:line="360" w:lineRule="auto"/>
              <w:ind w:firstLine="420" w:firstLineChars="200"/>
              <w:jc w:val="left"/>
              <w:rPr>
                <w:rFonts w:hint="eastAsia"/>
                <w:color w:val="auto"/>
                <w:highlight w:val="none"/>
              </w:rPr>
            </w:pPr>
            <w:r>
              <w:rPr>
                <w:rFonts w:hint="eastAsia"/>
                <w:color w:val="auto"/>
                <w:highlight w:val="none"/>
                <w:lang w:eastAsia="zh-CN"/>
              </w:rPr>
              <w:t>□</w:t>
            </w:r>
            <w:r>
              <w:rPr>
                <w:rFonts w:hint="eastAsia" w:ascii="宋体" w:hAnsi="宋体" w:eastAsia="宋体" w:cs="Times New Roman"/>
                <w:color w:val="auto"/>
                <w:szCs w:val="21"/>
                <w:highlight w:val="none"/>
              </w:rPr>
              <w:t>要求提供，</w:t>
            </w:r>
            <w:r>
              <w:rPr>
                <w:rFonts w:hint="eastAsia"/>
                <w:color w:val="auto"/>
                <w:highlight w:val="none"/>
                <w:lang w:eastAsia="zh-CN"/>
              </w:rPr>
              <w:t>履约保证金</w:t>
            </w:r>
            <w:r>
              <w:rPr>
                <w:rFonts w:hint="eastAsia"/>
                <w:color w:val="auto"/>
                <w:highlight w:val="none"/>
              </w:rPr>
              <w:t>的数额不得超过采购合同金额的</w:t>
            </w:r>
            <w:r>
              <w:rPr>
                <w:rFonts w:hint="eastAsia" w:asciiTheme="minorEastAsia" w:hAnsiTheme="minorEastAsia" w:eastAsiaTheme="minorEastAsia" w:cstheme="minorEastAsia"/>
                <w:color w:val="auto"/>
                <w:highlight w:val="none"/>
              </w:rPr>
              <w:t>10%</w:t>
            </w:r>
            <w:r>
              <w:rPr>
                <w:rFonts w:hint="eastAsia"/>
                <w:color w:val="auto"/>
                <w:highlight w:val="none"/>
              </w:rPr>
              <w:t>，本项目履约保证金为</w:t>
            </w:r>
            <w:r>
              <w:rPr>
                <w:rFonts w:hint="eastAsia"/>
                <w:color w:val="auto"/>
                <w:highlight w:val="none"/>
                <w:u w:val="single"/>
                <w:lang w:val="en-US" w:eastAsia="zh-CN"/>
              </w:rPr>
              <w:t xml:space="preserve">             </w:t>
            </w:r>
            <w:r>
              <w:rPr>
                <w:rFonts w:hint="eastAsia"/>
                <w:color w:val="auto"/>
                <w:highlight w:val="none"/>
              </w:rPr>
              <w:t>，乙方在签订合同前应提交履约保证金，否则，不予签订合同。提交方式为支票、汇票、本票或者金融机构、担保机构出具的保函等非现金形式。采用转账、电汇方式的，由乙方在签订合同前按规定的金额从乙方银行账户直接缴入甲方账户。</w:t>
            </w:r>
          </w:p>
          <w:p w14:paraId="03CC235B">
            <w:pPr>
              <w:widowControl/>
              <w:spacing w:line="360" w:lineRule="auto"/>
              <w:ind w:firstLine="420" w:firstLineChars="200"/>
              <w:jc w:val="left"/>
              <w:rPr>
                <w:rFonts w:hint="eastAsia"/>
                <w:color w:val="auto"/>
                <w:highlight w:val="none"/>
              </w:rPr>
            </w:pPr>
            <w:r>
              <w:rPr>
                <w:rFonts w:hint="eastAsia"/>
                <w:color w:val="auto"/>
                <w:highlight w:val="none"/>
              </w:rPr>
              <w:t>合同期满，乙方应提供履约保证金返还申请（格式另附）、合同或合同关键页复印件、合同约定的其他资料，涉及验收的，应同时提交甲方需求部门出具的项目终验意见或质量保证期（服务期）满验收意见。</w:t>
            </w:r>
          </w:p>
          <w:p w14:paraId="4D8AFB14">
            <w:pPr>
              <w:widowControl/>
              <w:spacing w:line="360" w:lineRule="auto"/>
              <w:ind w:firstLine="420" w:firstLineChars="200"/>
              <w:jc w:val="left"/>
              <w:rPr>
                <w:rFonts w:ascii="Times New Roman" w:hAnsi="Times New Roman"/>
                <w:color w:val="auto"/>
                <w:szCs w:val="21"/>
                <w:highlight w:val="none"/>
              </w:rPr>
            </w:pPr>
            <w:r>
              <w:rPr>
                <w:rFonts w:hint="eastAsia"/>
                <w:color w:val="auto"/>
                <w:highlight w:val="none"/>
              </w:rPr>
              <w:t>满足履约保证金返还条件且双方对核实结果无异议的，自完成核实之日起</w:t>
            </w:r>
            <w:r>
              <w:rPr>
                <w:rFonts w:hint="eastAsia" w:asciiTheme="minorEastAsia" w:hAnsiTheme="minorEastAsia" w:eastAsiaTheme="minorEastAsia" w:cstheme="minorEastAsia"/>
                <w:color w:val="auto"/>
                <w:highlight w:val="none"/>
              </w:rPr>
              <w:t>30</w:t>
            </w:r>
            <w:r>
              <w:rPr>
                <w:rFonts w:hint="eastAsia"/>
                <w:color w:val="auto"/>
                <w:highlight w:val="none"/>
              </w:rPr>
              <w:t>日内，甲方根据项目验收意见扣除应扣除的款项（如有）后，原路无息返还履约保证金。</w:t>
            </w:r>
          </w:p>
        </w:tc>
      </w:tr>
      <w:tr w14:paraId="4073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55" w:type="dxa"/>
            <w:vAlign w:val="center"/>
          </w:tcPr>
          <w:p w14:paraId="528EFA38">
            <w:pPr>
              <w:tabs>
                <w:tab w:val="left" w:pos="700"/>
              </w:tabs>
              <w:adjustRightInd w:val="0"/>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11</w:t>
            </w:r>
          </w:p>
        </w:tc>
        <w:tc>
          <w:tcPr>
            <w:tcW w:w="1927" w:type="dxa"/>
            <w:gridSpan w:val="2"/>
            <w:vAlign w:val="center"/>
          </w:tcPr>
          <w:p w14:paraId="11357F94">
            <w:pPr>
              <w:tabs>
                <w:tab w:val="left" w:pos="700"/>
              </w:tabs>
              <w:adjustRightInd w:val="0"/>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合同履行期限</w:t>
            </w:r>
          </w:p>
        </w:tc>
        <w:tc>
          <w:tcPr>
            <w:tcW w:w="6435" w:type="dxa"/>
            <w:vAlign w:val="center"/>
          </w:tcPr>
          <w:p w14:paraId="79C7DDBF">
            <w:pPr>
              <w:tabs>
                <w:tab w:val="left" w:pos="700"/>
              </w:tabs>
              <w:adjustRightInd w:val="0"/>
              <w:snapToGrid w:val="0"/>
              <w:spacing w:line="360" w:lineRule="auto"/>
              <w:ind w:left="0" w:leftChars="0" w:firstLine="0" w:firstLineChars="0"/>
              <w:jc w:val="both"/>
              <w:rPr>
                <w:rFonts w:hint="eastAsia" w:ascii="宋体" w:hAnsi="宋体" w:eastAsia="宋体" w:cs="宋体"/>
                <w:color w:val="auto"/>
                <w:szCs w:val="21"/>
                <w:highlight w:val="none"/>
              </w:rPr>
            </w:pPr>
            <w:r>
              <w:rPr>
                <w:rFonts w:hint="eastAsia" w:ascii="Times New Roman" w:hAnsi="Times New Roman"/>
                <w:color w:val="auto"/>
                <w:szCs w:val="21"/>
                <w:highlight w:val="none"/>
              </w:rPr>
              <w:t>服务时间、履行</w:t>
            </w:r>
            <w:r>
              <w:rPr>
                <w:rFonts w:hint="eastAsia" w:ascii="Times New Roman" w:hAnsi="Times New Roman"/>
                <w:color w:val="auto"/>
                <w:szCs w:val="21"/>
                <w:highlight w:val="none"/>
                <w:lang w:eastAsia="zh-CN"/>
              </w:rPr>
              <w:t>期限</w:t>
            </w:r>
            <w:r>
              <w:rPr>
                <w:rFonts w:hint="eastAsia" w:ascii="Times New Roman" w:hAnsi="Times New Roman"/>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年，具体时间从</w:t>
            </w:r>
            <w:r>
              <w:rPr>
                <w:rFonts w:hint="eastAsia" w:ascii="宋体" w:hAnsi="宋体" w:cs="宋体"/>
                <w:color w:val="auto"/>
                <w:szCs w:val="21"/>
                <w:highlight w:val="none"/>
                <w:lang w:val="en-US" w:eastAsia="zh-CN"/>
              </w:rPr>
              <w:t xml:space="preserve">   </w:t>
            </w:r>
            <w:r>
              <w:rPr>
                <w:rFonts w:hint="eastAsia" w:ascii="宋体" w:hAnsi="宋体" w:eastAsia="宋体" w:cs="宋体"/>
                <w:b w:val="0"/>
                <w:bCs/>
                <w:color w:val="auto"/>
                <w:sz w:val="21"/>
                <w:szCs w:val="21"/>
                <w:highlight w:val="none"/>
              </w:rPr>
              <w:t>年</w:t>
            </w:r>
            <w:r>
              <w:rPr>
                <w:rFonts w:hint="eastAsia" w:ascii="宋体" w:hAnsi="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月</w:t>
            </w:r>
            <w:r>
              <w:rPr>
                <w:rFonts w:hint="eastAsia" w:ascii="宋体" w:hAnsi="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日至</w:t>
            </w:r>
            <w:r>
              <w:rPr>
                <w:rFonts w:hint="eastAsia" w:ascii="宋体" w:hAnsi="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年</w:t>
            </w:r>
            <w:r>
              <w:rPr>
                <w:rFonts w:hint="eastAsia" w:ascii="宋体" w:hAnsi="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月</w:t>
            </w:r>
            <w:r>
              <w:rPr>
                <w:rFonts w:hint="eastAsia" w:ascii="宋体" w:hAnsi="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日止</w:t>
            </w:r>
            <w:r>
              <w:rPr>
                <w:rFonts w:hint="eastAsia" w:ascii="宋体" w:hAnsi="宋体" w:eastAsia="宋体" w:cs="宋体"/>
                <w:color w:val="auto"/>
                <w:szCs w:val="21"/>
                <w:highlight w:val="none"/>
              </w:rPr>
              <w:t>。</w:t>
            </w:r>
          </w:p>
          <w:p w14:paraId="4AC6A936">
            <w:pPr>
              <w:tabs>
                <w:tab w:val="left" w:pos="700"/>
              </w:tabs>
              <w:adjustRightInd w:val="0"/>
              <w:snapToGrid w:val="0"/>
              <w:spacing w:line="360" w:lineRule="auto"/>
              <w:ind w:left="0" w:firstLine="0" w:firstLineChars="0"/>
              <w:jc w:val="left"/>
              <w:rPr>
                <w:rFonts w:hint="eastAsia" w:ascii="Times New Roman" w:hAnsi="Times New Roman"/>
                <w:color w:val="auto"/>
                <w:szCs w:val="21"/>
                <w:highlight w:val="none"/>
              </w:rPr>
            </w:pPr>
            <w:r>
              <w:rPr>
                <w:rFonts w:hint="eastAsia" w:ascii="Calibri" w:hAnsi="宋体" w:eastAsia="宋体" w:cs="Times New Roman"/>
                <w:color w:val="auto"/>
                <w:kern w:val="2"/>
                <w:sz w:val="21"/>
                <w:szCs w:val="24"/>
                <w:highlight w:val="none"/>
                <w:lang w:val="en-US" w:eastAsia="zh-CN" w:bidi="ar-SA"/>
              </w:rPr>
              <w:t>合同期满，如甲方要求乙方继续提供本合同服务的，顺延至新的成交供应商提供服务之日或者甲方通知停止服务之日止。顺延期间，原合同服务内容、服务费用以及甲、乙双方的责任和义务等内容不变，但双方另有约定的除外。</w:t>
            </w:r>
          </w:p>
        </w:tc>
      </w:tr>
      <w:tr w14:paraId="2FFF8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55" w:type="dxa"/>
            <w:vAlign w:val="center"/>
          </w:tcPr>
          <w:p w14:paraId="0B16C913">
            <w:pPr>
              <w:tabs>
                <w:tab w:val="left" w:pos="700"/>
              </w:tabs>
              <w:adjustRightInd w:val="0"/>
              <w:snapToGrid w:val="0"/>
              <w:spacing w:line="360" w:lineRule="auto"/>
              <w:jc w:val="center"/>
              <w:rPr>
                <w:rFonts w:hint="default" w:ascii="Times New Roman" w:hAnsi="Times New Roman"/>
                <w:color w:val="auto"/>
                <w:szCs w:val="21"/>
                <w:highlight w:val="none"/>
                <w:lang w:val="en-US" w:eastAsia="zh-CN"/>
              </w:rPr>
            </w:pPr>
            <w:r>
              <w:rPr>
                <w:rFonts w:hint="eastAsia" w:ascii="Times New Roman" w:hAnsi="Times New Roman"/>
                <w:color w:val="auto"/>
                <w:szCs w:val="21"/>
                <w:highlight w:val="none"/>
                <w:lang w:val="en-US" w:eastAsia="zh-CN"/>
              </w:rPr>
              <w:t>12</w:t>
            </w:r>
          </w:p>
        </w:tc>
        <w:tc>
          <w:tcPr>
            <w:tcW w:w="1927" w:type="dxa"/>
            <w:gridSpan w:val="2"/>
            <w:shd w:val="clear" w:color="auto" w:fill="auto"/>
            <w:vAlign w:val="center"/>
          </w:tcPr>
          <w:p w14:paraId="7CBA93DF">
            <w:pPr>
              <w:tabs>
                <w:tab w:val="left" w:pos="700"/>
              </w:tabs>
              <w:adjustRightInd w:val="0"/>
              <w:snapToGrid w:val="0"/>
              <w:spacing w:line="360" w:lineRule="auto"/>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color w:val="auto"/>
                <w:szCs w:val="21"/>
                <w:highlight w:val="none"/>
              </w:rPr>
              <w:t>合同履约地点</w:t>
            </w:r>
          </w:p>
        </w:tc>
        <w:tc>
          <w:tcPr>
            <w:tcW w:w="6435" w:type="dxa"/>
            <w:shd w:val="clear" w:color="auto" w:fill="auto"/>
            <w:vAlign w:val="center"/>
          </w:tcPr>
          <w:p w14:paraId="49B20563">
            <w:pPr>
              <w:tabs>
                <w:tab w:val="left" w:pos="700"/>
              </w:tabs>
              <w:adjustRightInd w:val="0"/>
              <w:snapToGrid w:val="0"/>
              <w:spacing w:line="360" w:lineRule="auto"/>
              <w:jc w:val="both"/>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highlight w:val="none"/>
              </w:rPr>
              <w:t>国家税务总局南丹县税务局（包括办税服务厅、锡都路办公区大院及办公楼、城北办公区大院及办公楼）</w:t>
            </w:r>
          </w:p>
        </w:tc>
      </w:tr>
      <w:tr w14:paraId="03FE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5" w:type="dxa"/>
            <w:vAlign w:val="center"/>
          </w:tcPr>
          <w:p w14:paraId="6903F002">
            <w:pPr>
              <w:tabs>
                <w:tab w:val="left" w:pos="700"/>
              </w:tabs>
              <w:adjustRightInd w:val="0"/>
              <w:snapToGrid w:val="0"/>
              <w:spacing w:line="360" w:lineRule="auto"/>
              <w:jc w:val="center"/>
              <w:rPr>
                <w:rFonts w:hint="eastAsia" w:ascii="Times New Roman" w:hAnsi="Times New Roman" w:eastAsia="宋体"/>
                <w:color w:val="auto"/>
                <w:szCs w:val="21"/>
                <w:highlight w:val="none"/>
                <w:lang w:eastAsia="zh-CN"/>
              </w:rPr>
            </w:pPr>
            <w:r>
              <w:rPr>
                <w:rFonts w:ascii="Times New Roman" w:hAnsi="Times New Roman"/>
                <w:color w:val="auto"/>
                <w:szCs w:val="21"/>
                <w:highlight w:val="none"/>
              </w:rPr>
              <w:t>1</w:t>
            </w:r>
            <w:r>
              <w:rPr>
                <w:rFonts w:hint="eastAsia" w:ascii="Times New Roman" w:hAnsi="Times New Roman"/>
                <w:color w:val="auto"/>
                <w:szCs w:val="21"/>
                <w:highlight w:val="none"/>
                <w:lang w:val="en-US" w:eastAsia="zh-CN"/>
              </w:rPr>
              <w:t>3</w:t>
            </w:r>
          </w:p>
        </w:tc>
        <w:tc>
          <w:tcPr>
            <w:tcW w:w="1927" w:type="dxa"/>
            <w:gridSpan w:val="2"/>
            <w:shd w:val="clear" w:color="auto" w:fill="auto"/>
            <w:vAlign w:val="center"/>
          </w:tcPr>
          <w:p w14:paraId="1BEF3855">
            <w:pPr>
              <w:tabs>
                <w:tab w:val="left" w:pos="700"/>
              </w:tabs>
              <w:adjustRightInd w:val="0"/>
              <w:snapToGrid w:val="0"/>
              <w:spacing w:line="380" w:lineRule="exact"/>
              <w:jc w:val="center"/>
              <w:rPr>
                <w:rFonts w:ascii="Times New Roman" w:hAnsi="Times New Roman" w:eastAsia="宋体" w:cs="Times New Roman"/>
                <w:color w:val="auto"/>
                <w:kern w:val="2"/>
                <w:sz w:val="21"/>
                <w:szCs w:val="21"/>
                <w:highlight w:val="none"/>
                <w:lang w:val="en-US" w:eastAsia="zh-CN" w:bidi="ar-SA"/>
              </w:rPr>
            </w:pPr>
            <w:r>
              <w:rPr>
                <w:rFonts w:ascii="宋体" w:hAnsi="宋体" w:eastAsia="宋体" w:cs="Times New Roman"/>
                <w:color w:val="auto"/>
                <w:szCs w:val="21"/>
                <w:highlight w:val="none"/>
              </w:rPr>
              <w:t>合同纠纷解决方式</w:t>
            </w:r>
          </w:p>
        </w:tc>
        <w:tc>
          <w:tcPr>
            <w:tcW w:w="6435" w:type="dxa"/>
            <w:shd w:val="clear" w:color="auto" w:fill="auto"/>
            <w:vAlign w:val="center"/>
          </w:tcPr>
          <w:p w14:paraId="0A98C12C">
            <w:pPr>
              <w:tabs>
                <w:tab w:val="left" w:pos="700"/>
              </w:tabs>
              <w:adjustRightInd w:val="0"/>
              <w:snapToGrid w:val="0"/>
              <w:spacing w:line="380" w:lineRule="exact"/>
              <w:rPr>
                <w:rFonts w:ascii="宋体" w:hAnsi="宋体" w:eastAsia="宋体" w:cs="Times New Roman"/>
                <w:color w:val="auto"/>
                <w:szCs w:val="21"/>
                <w:highlight w:val="none"/>
              </w:rPr>
            </w:pPr>
            <w:r>
              <w:rPr>
                <w:rFonts w:ascii="宋体" w:hAnsi="宋体" w:eastAsia="宋体" w:cs="Times New Roman"/>
                <w:color w:val="auto"/>
                <w:szCs w:val="21"/>
                <w:highlight w:val="none"/>
              </w:rPr>
              <w:t>甲乙双方应首先通过友好协商解决在执行本合同中所发生的或与本合同有关的一切争端。如协商不能解决，可以选择以下途径之一解决纠纷：</w:t>
            </w:r>
          </w:p>
          <w:p w14:paraId="68A1EE14">
            <w:pPr>
              <w:tabs>
                <w:tab w:val="left" w:pos="700"/>
              </w:tabs>
              <w:adjustRightInd w:val="0"/>
              <w:snapToGrid w:val="0"/>
              <w:spacing w:line="380" w:lineRule="exact"/>
              <w:rPr>
                <w:rFonts w:ascii="宋体" w:hAnsi="宋体" w:eastAsia="宋体" w:cs="Times New Roman"/>
                <w:color w:val="auto"/>
                <w:szCs w:val="21"/>
                <w:highlight w:val="none"/>
              </w:rPr>
            </w:pPr>
            <w:r>
              <w:rPr>
                <w:rFonts w:ascii="宋体" w:hAnsi="宋体" w:eastAsia="宋体" w:cs="Times New Roman"/>
                <w:color w:val="auto"/>
                <w:szCs w:val="21"/>
                <w:highlight w:val="none"/>
              </w:rPr>
              <w:sym w:font="Wingdings 2" w:char="00A3"/>
            </w:r>
            <w:r>
              <w:rPr>
                <w:rFonts w:ascii="宋体" w:hAnsi="宋体" w:eastAsia="宋体" w:cs="Times New Roman"/>
                <w:color w:val="auto"/>
                <w:szCs w:val="21"/>
                <w:highlight w:val="none"/>
              </w:rPr>
              <w:t>向甲方所在地仲裁委员会申请仲裁</w:t>
            </w:r>
          </w:p>
          <w:p w14:paraId="72C13481">
            <w:pPr>
              <w:tabs>
                <w:tab w:val="left" w:pos="700"/>
              </w:tabs>
              <w:adjustRightInd w:val="0"/>
              <w:snapToGrid w:val="0"/>
              <w:spacing w:line="380" w:lineRule="exact"/>
              <w:rPr>
                <w:rFonts w:hint="default" w:ascii="Times New Roman" w:hAnsi="Times New Roman" w:eastAsia="宋体" w:cs="Times New Roman"/>
                <w:color w:val="auto"/>
                <w:kern w:val="2"/>
                <w:sz w:val="21"/>
                <w:szCs w:val="21"/>
                <w:highlight w:val="none"/>
                <w:lang w:val="en-US" w:eastAsia="zh-CN" w:bidi="ar-SA"/>
              </w:rPr>
            </w:pPr>
            <w:r>
              <w:rPr>
                <w:rFonts w:ascii="宋体" w:hAnsi="宋体" w:eastAsia="宋体" w:cs="Times New Roman"/>
                <w:color w:val="auto"/>
                <w:kern w:val="0"/>
                <w:szCs w:val="21"/>
                <w:highlight w:val="none"/>
              </w:rPr>
              <w:sym w:font="Wingdings 2" w:char="F052"/>
            </w:r>
            <w:r>
              <w:rPr>
                <w:rFonts w:ascii="宋体" w:hAnsi="宋体" w:eastAsia="宋体" w:cs="Times New Roman"/>
                <w:color w:val="auto"/>
                <w:szCs w:val="21"/>
                <w:highlight w:val="none"/>
              </w:rPr>
              <w:t>向甲方所在地人民法院提起诉讼</w:t>
            </w:r>
          </w:p>
        </w:tc>
      </w:tr>
    </w:tbl>
    <w:p w14:paraId="42B44083">
      <w:pPr>
        <w:tabs>
          <w:tab w:val="left" w:pos="700"/>
        </w:tabs>
        <w:topLinePunct/>
        <w:autoSpaceDE w:val="0"/>
        <w:autoSpaceDN w:val="0"/>
        <w:spacing w:line="460" w:lineRule="exact"/>
        <w:rPr>
          <w:rFonts w:ascii="宋体" w:hAnsi="宋体" w:cs="宋体"/>
          <w:b/>
          <w:color w:val="auto"/>
          <w:sz w:val="24"/>
          <w:highlight w:val="none"/>
        </w:rPr>
      </w:pPr>
      <w:r>
        <w:rPr>
          <w:rFonts w:hint="eastAsia" w:ascii="宋体" w:hAnsi="宋体" w:cs="宋体"/>
          <w:b/>
          <w:color w:val="auto"/>
          <w:sz w:val="28"/>
          <w:highlight w:val="none"/>
        </w:rPr>
        <w:br w:type="page"/>
      </w:r>
    </w:p>
    <w:p w14:paraId="4FFA872C">
      <w:pPr>
        <w:tabs>
          <w:tab w:val="left" w:pos="0"/>
        </w:tabs>
        <w:topLinePunct/>
        <w:autoSpaceDE w:val="0"/>
        <w:autoSpaceDN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 xml:space="preserve">一   合  同 </w:t>
      </w:r>
    </w:p>
    <w:p w14:paraId="3D86A29C">
      <w:pPr>
        <w:tabs>
          <w:tab w:val="left" w:pos="540"/>
        </w:tabs>
        <w:topLinePunct/>
        <w:autoSpaceDE w:val="0"/>
        <w:autoSpaceDN w:val="0"/>
        <w:spacing w:line="460" w:lineRule="exact"/>
        <w:rPr>
          <w:rFonts w:ascii="宋体" w:hAnsi="宋体" w:cs="宋体"/>
          <w:b/>
          <w:color w:val="auto"/>
          <w:sz w:val="24"/>
          <w:highlight w:val="none"/>
        </w:rPr>
      </w:pPr>
    </w:p>
    <w:p w14:paraId="027A26B4">
      <w:pPr>
        <w:tabs>
          <w:tab w:val="left" w:pos="700"/>
        </w:tabs>
        <w:topLinePunct/>
        <w:autoSpaceDE w:val="0"/>
        <w:autoSpaceDN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国家税务总局南丹县税务局</w:t>
      </w:r>
      <w:r>
        <w:rPr>
          <w:rFonts w:hint="eastAsia" w:ascii="宋体" w:hAnsi="宋体" w:cs="宋体"/>
          <w:color w:val="auto"/>
          <w:szCs w:val="21"/>
          <w:highlight w:val="none"/>
        </w:rPr>
        <w:t>（以下简称“甲方”）通过</w:t>
      </w:r>
      <w:r>
        <w:rPr>
          <w:rFonts w:hint="eastAsia" w:ascii="宋体" w:hAnsi="宋体" w:cs="宋体"/>
          <w:color w:val="auto"/>
          <w:szCs w:val="21"/>
          <w:highlight w:val="none"/>
          <w:u w:val="single"/>
        </w:rPr>
        <w:t>磋商</w:t>
      </w:r>
      <w:r>
        <w:rPr>
          <w:rFonts w:hint="eastAsia" w:ascii="宋体" w:hAnsi="宋体" w:cs="宋体"/>
          <w:color w:val="auto"/>
          <w:szCs w:val="21"/>
          <w:highlight w:val="none"/>
        </w:rPr>
        <w:t>方式采购，确定______公司（以下简称“乙方”）为《</w:t>
      </w:r>
      <w:r>
        <w:rPr>
          <w:rFonts w:hint="eastAsia" w:ascii="宋体" w:hAnsi="宋体" w:cs="宋体"/>
          <w:color w:val="auto"/>
          <w:szCs w:val="21"/>
          <w:highlight w:val="none"/>
          <w:lang w:eastAsia="zh-CN"/>
        </w:rPr>
        <w:t>国家税务总局南丹县税务局2026年度物业管理服务采购</w:t>
      </w:r>
      <w:r>
        <w:rPr>
          <w:rFonts w:hint="eastAsia" w:ascii="宋体" w:hAnsi="宋体" w:cs="宋体"/>
          <w:color w:val="auto"/>
          <w:szCs w:val="21"/>
          <w:highlight w:val="none"/>
        </w:rPr>
        <w:t>》成交供应商。甲乙双方同意按照该项目</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文件约定的内容，签署《</w:t>
      </w:r>
      <w:r>
        <w:rPr>
          <w:rFonts w:hint="eastAsia" w:ascii="宋体" w:hAnsi="宋体" w:cs="宋体"/>
          <w:color w:val="auto"/>
          <w:szCs w:val="21"/>
          <w:highlight w:val="none"/>
          <w:lang w:eastAsia="zh-CN"/>
        </w:rPr>
        <w:t>国家税务总局南丹县税务局2026年度物业管理服务采购</w:t>
      </w:r>
      <w:r>
        <w:rPr>
          <w:rFonts w:hint="eastAsia" w:ascii="宋体" w:hAnsi="宋体" w:cs="宋体"/>
          <w:color w:val="auto"/>
          <w:szCs w:val="21"/>
          <w:highlight w:val="none"/>
        </w:rPr>
        <w:t>合同》（合同编号：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，以下简称“合同”)。</w:t>
      </w:r>
    </w:p>
    <w:p w14:paraId="5E939986">
      <w:pPr>
        <w:topLinePunct/>
        <w:autoSpaceDE w:val="0"/>
        <w:autoSpaceDN w:val="0"/>
        <w:snapToGrid w:val="0"/>
        <w:spacing w:line="360" w:lineRule="auto"/>
        <w:ind w:left="48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1. 合同文件</w:t>
      </w:r>
    </w:p>
    <w:p w14:paraId="069B12FB">
      <w:pPr>
        <w:tabs>
          <w:tab w:val="left" w:pos="700"/>
        </w:tabs>
        <w:topLinePunct/>
        <w:autoSpaceDE w:val="0"/>
        <w:autoSpaceDN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本合同所附下列文件是构成本合同不可分割的部分：</w:t>
      </w:r>
    </w:p>
    <w:p w14:paraId="5065EFDF">
      <w:pPr>
        <w:tabs>
          <w:tab w:val="left" w:pos="700"/>
        </w:tabs>
        <w:topLinePunct/>
        <w:autoSpaceDE w:val="0"/>
        <w:autoSpaceDN w:val="0"/>
        <w:snapToGrid w:val="0"/>
        <w:spacing w:line="360" w:lineRule="auto"/>
        <w:ind w:firstLine="420" w:firstLineChars="20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采购需求</w:t>
      </w:r>
      <w:r>
        <w:rPr>
          <w:rFonts w:hint="eastAsia" w:ascii="Times New Roman" w:hAnsi="Times New Roman" w:eastAsia="宋体" w:cs="Times New Roman"/>
          <w:color w:val="auto"/>
          <w:szCs w:val="21"/>
          <w:highlight w:val="none"/>
          <w:lang w:eastAsia="zh-CN"/>
        </w:rPr>
        <w:t>、磋商</w:t>
      </w:r>
      <w:r>
        <w:rPr>
          <w:rFonts w:hint="eastAsia" w:ascii="Times New Roman" w:hAnsi="Times New Roman" w:eastAsia="宋体" w:cs="Times New Roman"/>
          <w:color w:val="auto"/>
          <w:szCs w:val="21"/>
          <w:highlight w:val="none"/>
        </w:rPr>
        <w:t>文件规定的合同条款；</w:t>
      </w:r>
    </w:p>
    <w:p w14:paraId="49BC38C0">
      <w:pPr>
        <w:tabs>
          <w:tab w:val="left" w:pos="700"/>
        </w:tabs>
        <w:topLinePunct/>
        <w:autoSpaceDE w:val="0"/>
        <w:autoSpaceDN w:val="0"/>
        <w:snapToGrid w:val="0"/>
        <w:spacing w:line="360" w:lineRule="auto"/>
        <w:ind w:firstLine="420" w:firstLineChars="20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（2）报价表（</w:t>
      </w:r>
      <w:r>
        <w:rPr>
          <w:rFonts w:hint="eastAsia" w:ascii="Times New Roman" w:hAnsi="Times New Roman" w:eastAsia="宋体" w:cs="Times New Roman"/>
          <w:color w:val="auto"/>
          <w:szCs w:val="21"/>
          <w:highlight w:val="none"/>
          <w:lang w:eastAsia="zh-CN"/>
        </w:rPr>
        <w:t>最后报价表</w:t>
      </w:r>
      <w:r>
        <w:rPr>
          <w:rFonts w:ascii="Times New Roman" w:hAnsi="Times New Roman" w:eastAsia="宋体" w:cs="Times New Roman"/>
          <w:color w:val="auto"/>
          <w:szCs w:val="21"/>
          <w:highlight w:val="none"/>
        </w:rPr>
        <w:t>）；</w:t>
      </w:r>
    </w:p>
    <w:p w14:paraId="0E57C8F5">
      <w:pPr>
        <w:tabs>
          <w:tab w:val="left" w:pos="700"/>
        </w:tabs>
        <w:topLinePunct/>
        <w:autoSpaceDE w:val="0"/>
        <w:autoSpaceDN w:val="0"/>
        <w:snapToGrid w:val="0"/>
        <w:spacing w:line="360" w:lineRule="auto"/>
        <w:ind w:firstLine="420" w:firstLineChars="200"/>
        <w:jc w:val="lef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3</w:t>
      </w:r>
      <w:r>
        <w:rPr>
          <w:rFonts w:hint="eastAsia" w:ascii="Times New Roman" w:hAnsi="Times New Roman" w:eastAsia="宋体" w:cs="Times New Roman"/>
          <w:color w:val="auto"/>
          <w:szCs w:val="21"/>
          <w:highlight w:val="none"/>
          <w:lang w:eastAsia="zh-CN"/>
        </w:rPr>
        <w:t>）采购需求</w:t>
      </w:r>
      <w:r>
        <w:rPr>
          <w:rFonts w:hint="eastAsia" w:ascii="Times New Roman" w:hAnsi="Times New Roman" w:eastAsia="宋体" w:cs="Times New Roman"/>
          <w:color w:val="auto"/>
          <w:szCs w:val="21"/>
          <w:highlight w:val="none"/>
        </w:rPr>
        <w:t>；</w:t>
      </w:r>
    </w:p>
    <w:p w14:paraId="2D93281D">
      <w:pPr>
        <w:tabs>
          <w:tab w:val="left" w:pos="700"/>
        </w:tabs>
        <w:topLinePunct/>
        <w:autoSpaceDE w:val="0"/>
        <w:autoSpaceDN w:val="0"/>
        <w:snapToGrid w:val="0"/>
        <w:spacing w:line="360" w:lineRule="auto"/>
        <w:ind w:firstLine="420" w:firstLineChars="20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4</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eastAsia="zh-CN"/>
        </w:rPr>
        <w:t>磋商</w:t>
      </w:r>
      <w:r>
        <w:rPr>
          <w:rFonts w:ascii="Times New Roman" w:hAnsi="Times New Roman" w:eastAsia="宋体" w:cs="Times New Roman"/>
          <w:color w:val="auto"/>
          <w:szCs w:val="21"/>
          <w:highlight w:val="none"/>
        </w:rPr>
        <w:t>文件</w:t>
      </w:r>
      <w:r>
        <w:rPr>
          <w:rFonts w:hint="eastAsia" w:ascii="Times New Roman" w:hAnsi="Times New Roman" w:eastAsia="宋体" w:cs="Times New Roman"/>
          <w:color w:val="auto"/>
          <w:szCs w:val="21"/>
          <w:highlight w:val="none"/>
        </w:rPr>
        <w:t>（另附）</w:t>
      </w:r>
      <w:r>
        <w:rPr>
          <w:rFonts w:ascii="Times New Roman" w:hAnsi="Times New Roman" w:eastAsia="宋体" w:cs="Times New Roman"/>
          <w:color w:val="auto"/>
          <w:szCs w:val="21"/>
          <w:highlight w:val="none"/>
        </w:rPr>
        <w:t>；</w:t>
      </w:r>
    </w:p>
    <w:p w14:paraId="2C5E9583">
      <w:pPr>
        <w:tabs>
          <w:tab w:val="left" w:pos="700"/>
        </w:tabs>
        <w:topLinePunct/>
        <w:autoSpaceDE w:val="0"/>
        <w:autoSpaceDN w:val="0"/>
        <w:snapToGrid w:val="0"/>
        <w:spacing w:line="360" w:lineRule="auto"/>
        <w:ind w:firstLine="420" w:firstLineChars="200"/>
        <w:jc w:val="left"/>
        <w:rPr>
          <w:rFonts w:hint="eastAsia" w:ascii="Times New Roman" w:hAnsi="Times New Roman" w:eastAsia="宋体" w:cs="Times New Roman"/>
          <w:color w:val="auto"/>
          <w:szCs w:val="21"/>
          <w:highlight w:val="none"/>
          <w:lang w:eastAsia="zh-CN"/>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5</w:t>
      </w:r>
      <w:r>
        <w:rPr>
          <w:rFonts w:ascii="Times New Roman" w:hAnsi="Times New Roman" w:eastAsia="宋体" w:cs="Times New Roman"/>
          <w:color w:val="auto"/>
          <w:szCs w:val="21"/>
          <w:highlight w:val="none"/>
        </w:rPr>
        <w:t>）响应文件</w:t>
      </w:r>
      <w:r>
        <w:rPr>
          <w:rFonts w:hint="eastAsia" w:ascii="Times New Roman" w:hAnsi="Times New Roman" w:eastAsia="宋体" w:cs="Times New Roman"/>
          <w:color w:val="auto"/>
          <w:szCs w:val="21"/>
          <w:highlight w:val="none"/>
        </w:rPr>
        <w:t>（另附）</w:t>
      </w:r>
      <w:r>
        <w:rPr>
          <w:rFonts w:hint="eastAsia" w:ascii="Times New Roman" w:hAnsi="Times New Roman" w:eastAsia="宋体" w:cs="Times New Roman"/>
          <w:color w:val="auto"/>
          <w:szCs w:val="21"/>
          <w:highlight w:val="none"/>
          <w:lang w:eastAsia="zh-CN"/>
        </w:rPr>
        <w:t>；</w:t>
      </w:r>
    </w:p>
    <w:p w14:paraId="01089A59">
      <w:pPr>
        <w:tabs>
          <w:tab w:val="left" w:pos="700"/>
        </w:tabs>
        <w:topLinePunct/>
        <w:autoSpaceDE w:val="0"/>
        <w:autoSpaceDN w:val="0"/>
        <w:snapToGrid w:val="0"/>
        <w:spacing w:line="360" w:lineRule="auto"/>
        <w:ind w:firstLine="420" w:firstLineChars="200"/>
        <w:jc w:val="left"/>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6</w:t>
      </w:r>
      <w:r>
        <w:rPr>
          <w:rFonts w:hint="eastAsia" w:ascii="Times New Roman" w:hAnsi="Times New Roman" w:eastAsia="宋体" w:cs="Times New Roman"/>
          <w:color w:val="auto"/>
          <w:szCs w:val="21"/>
          <w:highlight w:val="none"/>
        </w:rPr>
        <w:t>）甲、乙双方商定确认后的补充协议</w:t>
      </w:r>
      <w:r>
        <w:rPr>
          <w:rFonts w:hint="eastAsia" w:ascii="Times New Roman" w:hAnsi="Times New Roman" w:eastAsia="宋体" w:cs="Times New Roman"/>
          <w:color w:val="auto"/>
          <w:szCs w:val="21"/>
          <w:highlight w:val="none"/>
          <w:lang w:eastAsia="zh-CN"/>
        </w:rPr>
        <w:t>；</w:t>
      </w:r>
    </w:p>
    <w:p w14:paraId="2856AC8F">
      <w:pPr>
        <w:tabs>
          <w:tab w:val="left" w:pos="700"/>
        </w:tabs>
        <w:topLinePunct/>
        <w:autoSpaceDE w:val="0"/>
        <w:autoSpaceDN w:val="0"/>
        <w:snapToGrid w:val="0"/>
        <w:spacing w:line="360" w:lineRule="auto"/>
        <w:ind w:firstLine="420" w:firstLineChars="20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（7）</w:t>
      </w:r>
      <w:r>
        <w:rPr>
          <w:rFonts w:hint="eastAsia" w:ascii="Times New Roman" w:hAnsi="Times New Roman" w:eastAsia="宋体" w:cs="Times New Roman"/>
          <w:color w:val="auto"/>
          <w:szCs w:val="21"/>
          <w:highlight w:val="none"/>
        </w:rPr>
        <w:t>其他</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根据实际情况需要增加的内容</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w:t>
      </w:r>
    </w:p>
    <w:p w14:paraId="68B9BDF6">
      <w:pPr>
        <w:topLinePunct/>
        <w:autoSpaceDE w:val="0"/>
        <w:autoSpaceDN w:val="0"/>
        <w:snapToGrid w:val="0"/>
        <w:spacing w:line="360" w:lineRule="auto"/>
        <w:ind w:left="482"/>
        <w:jc w:val="left"/>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2. 合同</w:t>
      </w:r>
      <w:r>
        <w:rPr>
          <w:rFonts w:hint="eastAsia" w:ascii="宋体" w:hAnsi="宋体" w:cs="宋体"/>
          <w:b/>
          <w:color w:val="auto"/>
          <w:szCs w:val="21"/>
          <w:highlight w:val="none"/>
          <w:lang w:val="en-US" w:eastAsia="zh-CN"/>
        </w:rPr>
        <w:t>范围和条件</w:t>
      </w:r>
    </w:p>
    <w:p w14:paraId="5175D3B2">
      <w:pPr>
        <w:tabs>
          <w:tab w:val="left" w:pos="700"/>
        </w:tabs>
        <w:topLinePunct/>
        <w:autoSpaceDE w:val="0"/>
        <w:autoSpaceDN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本合同的范围和条件应与上述合同文件的规定相一致。</w:t>
      </w:r>
    </w:p>
    <w:p w14:paraId="091B4399">
      <w:pPr>
        <w:tabs>
          <w:tab w:val="left" w:pos="700"/>
        </w:tabs>
        <w:topLinePunct/>
        <w:autoSpaceDE w:val="0"/>
        <w:autoSpaceDN w:val="0"/>
        <w:snapToGrid w:val="0"/>
        <w:spacing w:line="360" w:lineRule="auto"/>
        <w:ind w:firstLine="413" w:firstLineChars="196"/>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 合同金额</w:t>
      </w:r>
    </w:p>
    <w:p w14:paraId="43EE718A">
      <w:pPr>
        <w:tabs>
          <w:tab w:val="left" w:pos="700"/>
        </w:tabs>
        <w:topLinePunct/>
        <w:autoSpaceDE w:val="0"/>
        <w:autoSpaceDN w:val="0"/>
        <w:snapToGrid w:val="0"/>
        <w:spacing w:line="360" w:lineRule="auto"/>
        <w:ind w:firstLine="420" w:firstLineChars="200"/>
        <w:jc w:val="left"/>
        <w:rPr>
          <w:rFonts w:hint="eastAsia" w:ascii="宋体" w:hAnsi="宋体" w:eastAsia="宋体" w:cs="宋体"/>
          <w:b w:val="0"/>
          <w:bCs w:val="0"/>
          <w:color w:val="auto"/>
          <w:szCs w:val="21"/>
          <w:highlight w:val="none"/>
          <w:lang w:val="en"/>
        </w:rPr>
      </w:pPr>
      <w:r>
        <w:rPr>
          <w:rFonts w:ascii="Times New Roman" w:hAnsi="Times New Roman" w:eastAsia="宋体" w:cs="Times New Roman"/>
          <w:color w:val="auto"/>
          <w:szCs w:val="21"/>
          <w:highlight w:val="none"/>
        </w:rPr>
        <w:t>本合同总金额为人民币</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元整（¥</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w:t>
      </w:r>
      <w:r>
        <w:rPr>
          <w:rFonts w:hint="eastAsia" w:ascii="宋体" w:hAnsi="宋体" w:eastAsia="宋体" w:cs="宋体"/>
          <w:color w:val="auto"/>
          <w:kern w:val="0"/>
          <w:sz w:val="21"/>
          <w:szCs w:val="21"/>
          <w:highlight w:val="none"/>
          <w:lang w:val="en-US" w:eastAsia="zh-CN" w:bidi="ar"/>
        </w:rPr>
        <w:t>。</w:t>
      </w:r>
      <w:r>
        <w:rPr>
          <w:rFonts w:ascii="Times New Roman" w:hAnsi="Times New Roman" w:eastAsia="宋体" w:cs="Times New Roman"/>
          <w:color w:val="auto"/>
          <w:szCs w:val="21"/>
          <w:highlight w:val="none"/>
        </w:rPr>
        <w:t>本项目以</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lang w:val="en-US" w:eastAsia="zh-CN"/>
        </w:rPr>
        <w:t>1</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个月为1个服务周期，每个服务周期合同金额为人民币</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大写）</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元整（¥</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w:t>
      </w:r>
    </w:p>
    <w:p w14:paraId="57D0CB50">
      <w:pPr>
        <w:tabs>
          <w:tab w:val="left" w:pos="700"/>
        </w:tabs>
        <w:topLinePunct/>
        <w:autoSpaceDE w:val="0"/>
        <w:autoSpaceDN w:val="0"/>
        <w:snapToGrid w:val="0"/>
        <w:spacing w:line="360" w:lineRule="auto"/>
        <w:ind w:firstLine="422" w:firstLineChars="200"/>
        <w:jc w:val="left"/>
        <w:rPr>
          <w:rFonts w:ascii="宋体" w:hAnsi="宋体" w:eastAsia="宋体" w:cs="宋体"/>
          <w:b/>
          <w:bCs/>
          <w:color w:val="auto"/>
          <w:szCs w:val="21"/>
          <w:highlight w:val="none"/>
        </w:rPr>
      </w:pPr>
      <w:r>
        <w:rPr>
          <w:rFonts w:ascii="宋体" w:hAnsi="宋体" w:eastAsia="宋体" w:cs="宋体"/>
          <w:b/>
          <w:bCs/>
          <w:color w:val="auto"/>
          <w:szCs w:val="21"/>
          <w:highlight w:val="none"/>
          <w:lang w:val="en"/>
        </w:rPr>
        <w:t>4.</w:t>
      </w:r>
      <w:r>
        <w:rPr>
          <w:rFonts w:hint="eastAsia" w:ascii="宋体" w:hAnsi="宋体" w:eastAsia="宋体" w:cs="宋体"/>
          <w:b/>
          <w:bCs/>
          <w:color w:val="auto"/>
          <w:szCs w:val="21"/>
          <w:highlight w:val="none"/>
        </w:rPr>
        <w:t>付款条件</w:t>
      </w:r>
    </w:p>
    <w:p w14:paraId="5A3C5A9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物业管理服务费按月支付，</w:t>
      </w:r>
      <w:r>
        <w:rPr>
          <w:rStyle w:val="25"/>
          <w:rFonts w:hint="eastAsia" w:ascii="宋体" w:hAnsi="宋体" w:eastAsia="宋体" w:cs="宋体"/>
          <w:i w:val="0"/>
          <w:iCs/>
          <w:color w:val="auto"/>
          <w:sz w:val="21"/>
          <w:szCs w:val="21"/>
          <w:highlight w:val="none"/>
          <w:lang w:val="en-US" w:eastAsia="zh-CN"/>
        </w:rPr>
        <w:t>次月 10 个工作日内甲方根据考核结果（考核标准详见磋商文件第六章附件1、附件2）支付上月物业服务费。当月实际支付物业服务费=当月应付物业服务费-不定期考核扣款-每月定期考核扣款。</w:t>
      </w:r>
      <w:r>
        <w:rPr>
          <w:rFonts w:hint="eastAsia" w:ascii="宋体" w:hAnsi="宋体" w:eastAsia="宋体" w:cs="宋体"/>
          <w:color w:val="auto"/>
          <w:sz w:val="21"/>
          <w:szCs w:val="21"/>
          <w:highlight w:val="none"/>
          <w:lang w:val="en-US" w:eastAsia="zh-CN"/>
        </w:rPr>
        <w:t>服务时间不足一个月的，按实际天数计算当月应付物业服务费。</w:t>
      </w:r>
    </w:p>
    <w:p w14:paraId="5D5709D4">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（2）</w:t>
      </w:r>
      <w:r>
        <w:rPr>
          <w:rFonts w:hint="eastAsia" w:ascii="宋体" w:hAnsi="宋体" w:cs="宋体"/>
          <w:b w:val="0"/>
          <w:color w:val="auto"/>
          <w:szCs w:val="21"/>
          <w:highlight w:val="none"/>
          <w:lang w:eastAsia="zh-CN"/>
        </w:rPr>
        <w:t>甲方</w:t>
      </w:r>
      <w:r>
        <w:rPr>
          <w:rFonts w:hint="eastAsia" w:ascii="宋体" w:hAnsi="宋体" w:cs="宋体"/>
          <w:b w:val="0"/>
          <w:color w:val="auto"/>
          <w:szCs w:val="21"/>
          <w:highlight w:val="none"/>
        </w:rPr>
        <w:t>付款前，</w:t>
      </w:r>
      <w:r>
        <w:rPr>
          <w:rFonts w:hint="eastAsia" w:ascii="宋体" w:hAnsi="宋体" w:cs="宋体"/>
          <w:b w:val="0"/>
          <w:color w:val="auto"/>
          <w:szCs w:val="21"/>
          <w:highlight w:val="none"/>
          <w:lang w:eastAsia="zh-CN"/>
        </w:rPr>
        <w:t>乙方</w:t>
      </w:r>
      <w:r>
        <w:rPr>
          <w:rFonts w:hint="eastAsia" w:ascii="宋体" w:hAnsi="宋体" w:cs="宋体"/>
          <w:b w:val="0"/>
          <w:color w:val="auto"/>
          <w:szCs w:val="21"/>
          <w:highlight w:val="none"/>
        </w:rPr>
        <w:t>应向</w:t>
      </w:r>
      <w:r>
        <w:rPr>
          <w:rFonts w:hint="eastAsia" w:ascii="宋体" w:hAnsi="宋体" w:cs="宋体"/>
          <w:b w:val="0"/>
          <w:color w:val="auto"/>
          <w:szCs w:val="21"/>
          <w:highlight w:val="none"/>
          <w:lang w:eastAsia="zh-CN"/>
        </w:rPr>
        <w:t>甲方</w:t>
      </w:r>
      <w:r>
        <w:rPr>
          <w:rFonts w:hint="eastAsia" w:ascii="宋体" w:hAnsi="宋体" w:cs="宋体"/>
          <w:b w:val="0"/>
          <w:color w:val="auto"/>
          <w:szCs w:val="21"/>
          <w:highlight w:val="none"/>
        </w:rPr>
        <w:t>开具等额有效的发票，</w:t>
      </w:r>
      <w:r>
        <w:rPr>
          <w:rFonts w:hint="eastAsia" w:ascii="宋体" w:hAnsi="宋体" w:cs="宋体"/>
          <w:b w:val="0"/>
          <w:color w:val="auto"/>
          <w:szCs w:val="21"/>
          <w:highlight w:val="none"/>
          <w:lang w:eastAsia="zh-CN"/>
        </w:rPr>
        <w:t>甲方</w:t>
      </w:r>
      <w:r>
        <w:rPr>
          <w:rFonts w:hint="eastAsia" w:ascii="宋体" w:hAnsi="宋体" w:cs="宋体"/>
          <w:b w:val="0"/>
          <w:color w:val="auto"/>
          <w:szCs w:val="21"/>
          <w:highlight w:val="none"/>
        </w:rPr>
        <w:t>收到</w:t>
      </w:r>
      <w:r>
        <w:rPr>
          <w:rFonts w:hint="eastAsia" w:ascii="宋体" w:hAnsi="宋体" w:cs="宋体"/>
          <w:b w:val="0"/>
          <w:color w:val="auto"/>
          <w:szCs w:val="21"/>
          <w:highlight w:val="none"/>
          <w:lang w:eastAsia="zh-CN"/>
        </w:rPr>
        <w:t>合规</w:t>
      </w:r>
      <w:r>
        <w:rPr>
          <w:rFonts w:hint="eastAsia" w:ascii="宋体" w:hAnsi="宋体" w:cs="宋体"/>
          <w:b w:val="0"/>
          <w:color w:val="auto"/>
          <w:szCs w:val="21"/>
          <w:highlight w:val="none"/>
        </w:rPr>
        <w:t>发票后10个工作日内将</w:t>
      </w:r>
      <w:r>
        <w:rPr>
          <w:rFonts w:hint="eastAsia" w:ascii="宋体" w:hAnsi="宋体" w:cs="宋体"/>
          <w:b w:val="0"/>
          <w:color w:val="auto"/>
          <w:szCs w:val="21"/>
          <w:highlight w:val="none"/>
          <w:lang w:eastAsia="zh-CN"/>
        </w:rPr>
        <w:t>合同款项</w:t>
      </w:r>
      <w:r>
        <w:rPr>
          <w:rFonts w:hint="eastAsia" w:ascii="宋体" w:hAnsi="宋体" w:cs="宋体"/>
          <w:b w:val="0"/>
          <w:color w:val="auto"/>
          <w:szCs w:val="21"/>
          <w:highlight w:val="none"/>
        </w:rPr>
        <w:t>支付到合同约定的</w:t>
      </w:r>
      <w:r>
        <w:rPr>
          <w:rFonts w:hint="eastAsia" w:ascii="宋体" w:hAnsi="宋体" w:cs="宋体"/>
          <w:b w:val="0"/>
          <w:color w:val="auto"/>
          <w:szCs w:val="21"/>
          <w:highlight w:val="none"/>
          <w:lang w:eastAsia="zh-CN"/>
        </w:rPr>
        <w:t>乙方</w:t>
      </w:r>
      <w:r>
        <w:rPr>
          <w:rFonts w:hint="eastAsia" w:ascii="宋体" w:hAnsi="宋体" w:cs="宋体"/>
          <w:b w:val="0"/>
          <w:color w:val="auto"/>
          <w:szCs w:val="21"/>
          <w:highlight w:val="none"/>
        </w:rPr>
        <w:t>账户；</w:t>
      </w:r>
      <w:r>
        <w:rPr>
          <w:rFonts w:hint="eastAsia" w:ascii="宋体" w:hAnsi="宋体" w:cs="宋体"/>
          <w:b w:val="0"/>
          <w:color w:val="auto"/>
          <w:szCs w:val="21"/>
          <w:highlight w:val="none"/>
          <w:lang w:eastAsia="zh-CN"/>
        </w:rPr>
        <w:t>甲方</w:t>
      </w:r>
      <w:r>
        <w:rPr>
          <w:rFonts w:hint="eastAsia" w:ascii="宋体" w:hAnsi="宋体" w:cs="宋体"/>
          <w:b w:val="0"/>
          <w:color w:val="auto"/>
          <w:szCs w:val="21"/>
          <w:highlight w:val="none"/>
        </w:rPr>
        <w:t>未收到</w:t>
      </w:r>
      <w:r>
        <w:rPr>
          <w:rFonts w:hint="eastAsia" w:ascii="宋体" w:hAnsi="宋体" w:cs="宋体"/>
          <w:b w:val="0"/>
          <w:color w:val="auto"/>
          <w:szCs w:val="21"/>
          <w:highlight w:val="none"/>
          <w:lang w:eastAsia="zh-CN"/>
        </w:rPr>
        <w:t>合规</w:t>
      </w:r>
      <w:r>
        <w:rPr>
          <w:rFonts w:hint="eastAsia" w:ascii="宋体" w:hAnsi="宋体" w:cs="宋体"/>
          <w:b w:val="0"/>
          <w:color w:val="auto"/>
          <w:szCs w:val="21"/>
          <w:highlight w:val="none"/>
        </w:rPr>
        <w:t>发票的，有权不予支付相应款项，并不承担延迟付款责任。</w:t>
      </w:r>
    </w:p>
    <w:p w14:paraId="00BA9F83">
      <w:pPr>
        <w:numPr>
          <w:ilvl w:val="0"/>
          <w:numId w:val="0"/>
        </w:numPr>
        <w:topLinePunct/>
        <w:autoSpaceDE w:val="0"/>
        <w:autoSpaceDN w:val="0"/>
        <w:snapToGri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5. 合同签订及生效</w:t>
      </w:r>
    </w:p>
    <w:p w14:paraId="00D94944">
      <w:pPr>
        <w:tabs>
          <w:tab w:val="left" w:pos="700"/>
        </w:tabs>
        <w:topLinePunct/>
        <w:autoSpaceDE w:val="0"/>
        <w:autoSpaceDN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本合同一式</w:t>
      </w:r>
      <w:r>
        <w:rPr>
          <w:rFonts w:hint="eastAsia" w:ascii="宋体" w:hAnsi="宋体" w:eastAsia="宋体" w:cs="宋体"/>
          <w:color w:val="auto"/>
          <w:szCs w:val="21"/>
          <w:highlight w:val="none"/>
          <w:lang w:eastAsia="zh-CN"/>
        </w:rPr>
        <w:t>七</w:t>
      </w:r>
      <w:r>
        <w:rPr>
          <w:rFonts w:hint="eastAsia" w:ascii="宋体" w:hAnsi="宋体" w:eastAsia="宋体" w:cs="宋体"/>
          <w:color w:val="auto"/>
          <w:szCs w:val="21"/>
          <w:highlight w:val="none"/>
        </w:rPr>
        <w:t>份，具有同等法律效力，甲方四份，乙方二份，采购代理机构</w:t>
      </w:r>
      <w:r>
        <w:rPr>
          <w:rFonts w:hint="eastAsia" w:ascii="宋体" w:hAnsi="宋体" w:eastAsia="宋体" w:cs="宋体"/>
          <w:color w:val="auto"/>
          <w:szCs w:val="21"/>
          <w:highlight w:val="none"/>
          <w:lang w:eastAsia="zh-CN"/>
        </w:rPr>
        <w:t>一</w:t>
      </w:r>
      <w:r>
        <w:rPr>
          <w:rFonts w:hint="eastAsia" w:ascii="宋体" w:hAnsi="宋体" w:eastAsia="宋体" w:cs="宋体"/>
          <w:color w:val="auto"/>
          <w:szCs w:val="21"/>
          <w:highlight w:val="none"/>
        </w:rPr>
        <w:t>份，应在甲方收到乙方提供的履约保证金</w:t>
      </w:r>
      <w:r>
        <w:rPr>
          <w:rFonts w:hint="eastAsia" w:ascii="宋体" w:hAnsi="宋体" w:eastAsia="宋体" w:cs="宋体"/>
          <w:color w:val="auto"/>
          <w:szCs w:val="21"/>
          <w:highlight w:val="none"/>
          <w:lang w:eastAsia="zh-CN"/>
        </w:rPr>
        <w:t>（如有）</w:t>
      </w:r>
      <w:r>
        <w:rPr>
          <w:rFonts w:hint="eastAsia" w:ascii="宋体" w:hAnsi="宋体" w:eastAsia="宋体" w:cs="宋体"/>
          <w:color w:val="auto"/>
          <w:szCs w:val="21"/>
          <w:highlight w:val="none"/>
        </w:rPr>
        <w:t>，由甲乙双方法定代表人或被授权人签字并盖章后生效。乙方由法定代表人签订合同的，应提供法定代表人身份证复印件；乙方由被授权人签订合同的，应提供授权委托书和被授权人身份证复印件。</w:t>
      </w:r>
    </w:p>
    <w:p w14:paraId="064832DE">
      <w:pPr>
        <w:tabs>
          <w:tab w:val="left" w:pos="700"/>
        </w:tabs>
        <w:topLinePunct/>
        <w:autoSpaceDE w:val="0"/>
        <w:autoSpaceDN w:val="0"/>
        <w:spacing w:line="360" w:lineRule="auto"/>
        <w:ind w:left="360"/>
        <w:jc w:val="left"/>
        <w:rPr>
          <w:rFonts w:hint="eastAsia" w:ascii="宋体" w:hAnsi="宋体" w:eastAsia="宋体" w:cs="宋体"/>
          <w:color w:val="auto"/>
          <w:szCs w:val="21"/>
          <w:highlight w:val="none"/>
        </w:rPr>
      </w:pPr>
    </w:p>
    <w:p w14:paraId="3492A642">
      <w:pPr>
        <w:tabs>
          <w:tab w:val="left" w:pos="700"/>
        </w:tabs>
        <w:topLinePunct/>
        <w:autoSpaceDE w:val="0"/>
        <w:autoSpaceDN w:val="0"/>
        <w:spacing w:line="360" w:lineRule="auto"/>
        <w:ind w:left="360"/>
        <w:jc w:val="left"/>
        <w:rPr>
          <w:rFonts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Times New Roman" w:hAnsi="Times New Roman" w:cs="Times New Roman"/>
          <w:color w:val="auto"/>
          <w:szCs w:val="21"/>
          <w:highlight w:val="none"/>
          <w:lang w:eastAsia="zh-CN"/>
        </w:rPr>
        <w:t>国家税务总局南丹县税务局</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乙方：</w:t>
      </w:r>
    </w:p>
    <w:p w14:paraId="310BD483">
      <w:pPr>
        <w:tabs>
          <w:tab w:val="left" w:pos="700"/>
        </w:tabs>
        <w:topLinePunct/>
        <w:autoSpaceDE w:val="0"/>
        <w:autoSpaceDN w:val="0"/>
        <w:spacing w:line="360" w:lineRule="auto"/>
        <w:ind w:left="36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签字：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签字：</w:t>
      </w:r>
    </w:p>
    <w:p w14:paraId="6A3E1494">
      <w:pPr>
        <w:tabs>
          <w:tab w:val="left" w:pos="700"/>
        </w:tabs>
        <w:topLinePunct/>
        <w:autoSpaceDE w:val="0"/>
        <w:autoSpaceDN w:val="0"/>
        <w:spacing w:line="360" w:lineRule="auto"/>
        <w:ind w:left="36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盖章：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盖章： </w:t>
      </w:r>
    </w:p>
    <w:p w14:paraId="2FB64DF0">
      <w:pPr>
        <w:tabs>
          <w:tab w:val="left" w:pos="700"/>
        </w:tabs>
        <w:topLinePunct/>
        <w:autoSpaceDE w:val="0"/>
        <w:autoSpaceDN w:val="0"/>
        <w:spacing w:line="360" w:lineRule="auto"/>
        <w:ind w:left="36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日期：    年    月    日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日期：     年   月   日</w:t>
      </w:r>
    </w:p>
    <w:p w14:paraId="54AA1518">
      <w:pPr>
        <w:topLinePunct/>
        <w:autoSpaceDE w:val="0"/>
        <w:autoSpaceDN w:val="0"/>
        <w:spacing w:line="360" w:lineRule="auto"/>
        <w:jc w:val="center"/>
        <w:rPr>
          <w:rFonts w:ascii="Times New Roman" w:hAnsi="Times New Roman" w:eastAsia="宋体" w:cs="Times New Roman"/>
          <w:b/>
          <w:color w:val="auto"/>
          <w:sz w:val="24"/>
          <w:highlight w:val="none"/>
        </w:rPr>
      </w:pPr>
      <w:r>
        <w:rPr>
          <w:rFonts w:ascii="宋体" w:hAnsi="宋体" w:eastAsia="宋体" w:cs="宋体"/>
          <w:b/>
          <w:color w:val="auto"/>
          <w:sz w:val="24"/>
          <w:highlight w:val="none"/>
        </w:rPr>
        <w:br w:type="page"/>
      </w:r>
      <w:r>
        <w:rPr>
          <w:rFonts w:ascii="Times New Roman" w:hAnsi="Times New Roman" w:eastAsia="宋体" w:cs="Times New Roman"/>
          <w:b/>
          <w:color w:val="auto"/>
          <w:sz w:val="24"/>
          <w:highlight w:val="none"/>
        </w:rPr>
        <w:t>二   合 同 通 用 条 款</w:t>
      </w:r>
    </w:p>
    <w:p w14:paraId="47B86051">
      <w:pPr>
        <w:topLinePunct/>
        <w:autoSpaceDE w:val="0"/>
        <w:autoSpaceDN w:val="0"/>
        <w:spacing w:line="360" w:lineRule="auto"/>
        <w:ind w:firstLine="422" w:firstLineChars="200"/>
        <w:jc w:val="left"/>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1. 定义</w:t>
      </w:r>
    </w:p>
    <w:p w14:paraId="7E82D158">
      <w:pPr>
        <w:topLinePunct/>
        <w:autoSpaceDE w:val="0"/>
        <w:autoSpaceDN w:val="0"/>
        <w:spacing w:line="360" w:lineRule="auto"/>
        <w:ind w:firstLine="420" w:firstLineChars="20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本合同下列术语应解释为：</w:t>
      </w:r>
    </w:p>
    <w:p w14:paraId="71358A92">
      <w:pPr>
        <w:tabs>
          <w:tab w:val="left" w:pos="700"/>
        </w:tabs>
        <w:spacing w:line="360" w:lineRule="auto"/>
        <w:ind w:firstLine="420" w:firstLineChars="20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1.1</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甲方</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是指</w:t>
      </w:r>
      <w:r>
        <w:rPr>
          <w:rFonts w:hint="eastAsia" w:ascii="Times New Roman" w:hAnsi="Times New Roman" w:cs="Times New Roman"/>
          <w:color w:val="auto"/>
          <w:szCs w:val="21"/>
          <w:highlight w:val="none"/>
          <w:lang w:eastAsia="zh-CN"/>
        </w:rPr>
        <w:t>国家税务总局南丹县税务局</w:t>
      </w:r>
      <w:r>
        <w:rPr>
          <w:rFonts w:ascii="Times New Roman" w:hAnsi="Times New Roman" w:eastAsia="宋体" w:cs="Times New Roman"/>
          <w:color w:val="auto"/>
          <w:szCs w:val="21"/>
          <w:highlight w:val="none"/>
        </w:rPr>
        <w:t>。</w:t>
      </w:r>
    </w:p>
    <w:p w14:paraId="0B7F9FC1">
      <w:pPr>
        <w:tabs>
          <w:tab w:val="left" w:pos="700"/>
        </w:tabs>
        <w:spacing w:line="360" w:lineRule="auto"/>
        <w:ind w:firstLine="420" w:firstLineChars="20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1.1.1</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甲方采购部门</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见</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合同条款前附表</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第5项</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甲方采购部门</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w:t>
      </w:r>
    </w:p>
    <w:p w14:paraId="3298B87B">
      <w:pPr>
        <w:tabs>
          <w:tab w:val="left" w:pos="700"/>
        </w:tabs>
        <w:spacing w:line="360" w:lineRule="auto"/>
        <w:ind w:firstLine="420" w:firstLineChars="20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1.1.2</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甲方需求部门</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见</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合同条款前附表</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第5项</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甲方需求部门</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w:t>
      </w:r>
    </w:p>
    <w:p w14:paraId="30981AF4">
      <w:pPr>
        <w:tabs>
          <w:tab w:val="left" w:pos="700"/>
        </w:tabs>
        <w:spacing w:line="360" w:lineRule="auto"/>
        <w:ind w:firstLine="420" w:firstLineChars="20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1.2</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乙方</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见</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合同条款前附表</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第6项</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乙方名称</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w:t>
      </w:r>
    </w:p>
    <w:p w14:paraId="1BB9A4F9">
      <w:pPr>
        <w:tabs>
          <w:tab w:val="left" w:pos="700"/>
        </w:tabs>
        <w:spacing w:line="360" w:lineRule="auto"/>
        <w:ind w:firstLine="420" w:firstLineChars="20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1.3 </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合同</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系指甲乙双方签订的、合同格式中载明的甲乙双方所达成的协议，包括所有的附件、附录和上述文件所提到的构成合同的所有文件。</w:t>
      </w:r>
    </w:p>
    <w:p w14:paraId="78478A0C">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1.4“服务”是指乙方按照采购、响应文件要求，向采购人提供的服务。</w:t>
      </w:r>
    </w:p>
    <w:p w14:paraId="253D0D52">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1.5“项目现场”是指甲方指定的最终服务地点。</w:t>
      </w:r>
    </w:p>
    <w:p w14:paraId="2BE093B4">
      <w:pPr>
        <w:topLinePunct/>
        <w:autoSpaceDE w:val="0"/>
        <w:autoSpaceDN w:val="0"/>
        <w:spacing w:line="360" w:lineRule="auto"/>
        <w:ind w:firstLine="420" w:firstLineChars="20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1.6 “天”除非特别指出，“天”均为自然天。</w:t>
      </w:r>
    </w:p>
    <w:p w14:paraId="18954B10">
      <w:pPr>
        <w:topLinePunct/>
        <w:autoSpaceDE w:val="0"/>
        <w:autoSpaceDN w:val="0"/>
        <w:spacing w:line="360" w:lineRule="auto"/>
        <w:ind w:firstLine="422" w:firstLineChars="200"/>
        <w:jc w:val="left"/>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2. 标准</w:t>
      </w:r>
    </w:p>
    <w:p w14:paraId="0F90A015">
      <w:pPr>
        <w:topLinePunct/>
        <w:autoSpaceDE w:val="0"/>
        <w:autoSpaceDN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2.1</w:t>
      </w:r>
      <w:r>
        <w:rPr>
          <w:rFonts w:hint="eastAsia" w:ascii="Times New Roman" w:hAnsi="Times New Roman" w:eastAsia="宋体" w:cs="Times New Roman"/>
          <w:color w:val="auto"/>
          <w:szCs w:val="21"/>
          <w:highlight w:val="none"/>
        </w:rPr>
        <w:t>服务标准：</w:t>
      </w:r>
      <w:r>
        <w:rPr>
          <w:rFonts w:ascii="Times New Roman" w:hAnsi="Times New Roman" w:eastAsia="宋体" w:cs="Times New Roman"/>
          <w:color w:val="auto"/>
          <w:szCs w:val="21"/>
          <w:highlight w:val="none"/>
        </w:rPr>
        <w:t>乙方为甲方交付或提供的服务应符合采购文件所述的标准，如果没有提及适用标准，则应符合相应的国家标准。这些标准必须是有关机构发布的最新版本的标准。</w:t>
      </w:r>
    </w:p>
    <w:p w14:paraId="0A3C8F98">
      <w:pPr>
        <w:spacing w:line="360" w:lineRule="auto"/>
        <w:ind w:firstLine="420" w:firstLineChars="20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2.2 除非技术要求中另有规定，计量单位均采用中华人民共和国法定计量单位。</w:t>
      </w:r>
    </w:p>
    <w:p w14:paraId="77D76D2F">
      <w:pPr>
        <w:spacing w:line="360" w:lineRule="auto"/>
        <w:ind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3. 服务</w:t>
      </w:r>
    </w:p>
    <w:p w14:paraId="3AC7C81B">
      <w:pPr>
        <w:tabs>
          <w:tab w:val="left" w:pos="700"/>
        </w:tabs>
        <w:spacing w:line="360" w:lineRule="auto"/>
        <w:ind w:firstLine="420" w:firstLineChars="200"/>
        <w:rPr>
          <w:rFonts w:ascii="Times New Roman" w:hAnsi="Times New Roman" w:eastAsia="宋体" w:cs="Times New Roman"/>
          <w:b/>
          <w:color w:val="auto"/>
          <w:szCs w:val="21"/>
          <w:highlight w:val="none"/>
        </w:rPr>
      </w:pPr>
      <w:r>
        <w:rPr>
          <w:rFonts w:ascii="Times New Roman" w:hAnsi="Times New Roman" w:eastAsia="宋体" w:cs="Times New Roman"/>
          <w:bCs/>
          <w:color w:val="auto"/>
          <w:szCs w:val="21"/>
          <w:highlight w:val="none"/>
        </w:rPr>
        <w:t>3.1 本项目的</w:t>
      </w:r>
      <w:r>
        <w:rPr>
          <w:rFonts w:hint="eastAsia" w:ascii="Times New Roman" w:hAnsi="Times New Roman" w:eastAsia="宋体" w:cs="Times New Roman"/>
          <w:color w:val="auto"/>
          <w:szCs w:val="21"/>
          <w:highlight w:val="none"/>
        </w:rPr>
        <w:t>“</w:t>
      </w:r>
      <w:r>
        <w:rPr>
          <w:rFonts w:ascii="Times New Roman" w:hAnsi="Times New Roman" w:eastAsia="宋体" w:cs="Times New Roman"/>
          <w:bCs/>
          <w:color w:val="auto"/>
          <w:szCs w:val="21"/>
          <w:highlight w:val="none"/>
        </w:rPr>
        <w:t>服务</w:t>
      </w:r>
      <w:r>
        <w:rPr>
          <w:rFonts w:hint="eastAsia" w:ascii="Times New Roman" w:hAnsi="Times New Roman" w:eastAsia="宋体" w:cs="Times New Roman"/>
          <w:bCs/>
          <w:color w:val="auto"/>
          <w:szCs w:val="21"/>
          <w:highlight w:val="none"/>
        </w:rPr>
        <w:t>内容</w:t>
      </w:r>
      <w:r>
        <w:rPr>
          <w:rFonts w:hint="eastAsia" w:ascii="Times New Roman" w:hAnsi="Times New Roman" w:eastAsia="宋体" w:cs="Times New Roman"/>
          <w:color w:val="auto"/>
          <w:szCs w:val="21"/>
          <w:highlight w:val="none"/>
        </w:rPr>
        <w:t>”</w:t>
      </w:r>
      <w:r>
        <w:rPr>
          <w:rFonts w:ascii="Times New Roman" w:hAnsi="Times New Roman" w:eastAsia="宋体" w:cs="Times New Roman"/>
          <w:bCs/>
          <w:color w:val="auto"/>
          <w:szCs w:val="21"/>
          <w:highlight w:val="none"/>
        </w:rPr>
        <w:t>见</w:t>
      </w:r>
      <w:r>
        <w:rPr>
          <w:rFonts w:hint="eastAsia" w:ascii="Times New Roman" w:hAnsi="Times New Roman" w:eastAsia="宋体" w:cs="Times New Roman"/>
          <w:color w:val="auto"/>
          <w:szCs w:val="21"/>
          <w:highlight w:val="none"/>
        </w:rPr>
        <w:t>“</w:t>
      </w:r>
      <w:r>
        <w:rPr>
          <w:rFonts w:ascii="Times New Roman" w:hAnsi="Times New Roman" w:eastAsia="宋体" w:cs="Times New Roman"/>
          <w:bCs/>
          <w:color w:val="auto"/>
          <w:szCs w:val="21"/>
          <w:highlight w:val="none"/>
        </w:rPr>
        <w:t>合同条款前附表</w:t>
      </w:r>
      <w:r>
        <w:rPr>
          <w:rFonts w:hint="eastAsia" w:ascii="Times New Roman" w:hAnsi="Times New Roman" w:eastAsia="宋体" w:cs="Times New Roman"/>
          <w:color w:val="auto"/>
          <w:szCs w:val="21"/>
          <w:highlight w:val="none"/>
        </w:rPr>
        <w:t>”</w:t>
      </w:r>
      <w:r>
        <w:rPr>
          <w:rFonts w:ascii="Times New Roman" w:hAnsi="Times New Roman" w:eastAsia="宋体" w:cs="Times New Roman"/>
          <w:bCs/>
          <w:color w:val="auto"/>
          <w:szCs w:val="21"/>
          <w:highlight w:val="none"/>
        </w:rPr>
        <w:t>第8项</w:t>
      </w:r>
      <w:r>
        <w:rPr>
          <w:rFonts w:hint="eastAsia" w:ascii="Times New Roman" w:hAnsi="Times New Roman" w:eastAsia="宋体" w:cs="Times New Roman"/>
          <w:color w:val="auto"/>
          <w:szCs w:val="21"/>
          <w:highlight w:val="none"/>
        </w:rPr>
        <w:t>“</w:t>
      </w:r>
      <w:r>
        <w:rPr>
          <w:rFonts w:ascii="Times New Roman" w:hAnsi="Times New Roman" w:eastAsia="宋体" w:cs="Times New Roman"/>
          <w:bCs/>
          <w:color w:val="auto"/>
          <w:szCs w:val="21"/>
          <w:highlight w:val="none"/>
        </w:rPr>
        <w:t>服务内容</w:t>
      </w:r>
      <w:r>
        <w:rPr>
          <w:rFonts w:hint="eastAsia" w:ascii="Times New Roman" w:hAnsi="Times New Roman" w:eastAsia="宋体" w:cs="Times New Roman"/>
          <w:color w:val="auto"/>
          <w:szCs w:val="21"/>
          <w:highlight w:val="none"/>
        </w:rPr>
        <w:t>”</w:t>
      </w:r>
      <w:r>
        <w:rPr>
          <w:rFonts w:ascii="Times New Roman" w:hAnsi="Times New Roman" w:eastAsia="宋体" w:cs="Times New Roman"/>
          <w:bCs/>
          <w:color w:val="auto"/>
          <w:szCs w:val="21"/>
          <w:highlight w:val="none"/>
        </w:rPr>
        <w:t>。</w:t>
      </w:r>
    </w:p>
    <w:p w14:paraId="21885E95">
      <w:pP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3.2  拟投入本项目的人员已进驻其他项目致使无法参与本项目实施的，乙方应当征得甲方同意后，派遣等于或优于拟投入人员水平和资质的其他人员参与本项目。</w:t>
      </w:r>
    </w:p>
    <w:p w14:paraId="7305F5B7">
      <w:pP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3.3乙方应保证所提供的服务符合合同规定的要求。如不符时，乙方应负全责并尽快处理解决，由此造成的损失和相关费用由乙方负责，甲方保留终止合同及索赔的权利。</w:t>
      </w:r>
    </w:p>
    <w:p w14:paraId="77368640">
      <w:pP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3.4乙方应保证通过执行合同中全部方案后，可以取得本合同约定的结果，达到本合同约定的预期目标。对任何情况下出现的问题，应尽快提出解决方案。</w:t>
      </w:r>
    </w:p>
    <w:p w14:paraId="328F67B6">
      <w:pP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3.5如果乙方提供的服务和解决方案不符合甲方要求，或在规定的时间内没有弥补缺陷，甲方有权采取一切必要的补救措施，由此产生的费用全部由乙方负责。</w:t>
      </w:r>
    </w:p>
    <w:p w14:paraId="7FAAB646">
      <w:pP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3.6除合同条款另行规定外，伴随服务的费用应含在合同价中，不单独进行支付。</w:t>
      </w:r>
    </w:p>
    <w:p w14:paraId="0A780482">
      <w:pPr>
        <w:spacing w:line="360" w:lineRule="auto"/>
        <w:ind w:firstLine="420" w:firstLineChars="200"/>
        <w:rPr>
          <w:rFonts w:hint="eastAsia" w:ascii="Times New Roman" w:hAnsi="Times New Roman" w:eastAsia="宋体" w:cs="Times New Roman"/>
          <w:color w:val="auto"/>
          <w:szCs w:val="21"/>
          <w:highlight w:val="none"/>
          <w:lang w:val="zh-CN" w:eastAsia="zh-CN"/>
        </w:rPr>
      </w:pPr>
      <w:r>
        <w:rPr>
          <w:rFonts w:hint="eastAsia" w:ascii="Times New Roman" w:hAnsi="Times New Roman" w:eastAsia="宋体" w:cs="Times New Roman"/>
          <w:color w:val="auto"/>
          <w:szCs w:val="21"/>
          <w:highlight w:val="none"/>
          <w:lang w:val="en-US" w:eastAsia="zh-CN"/>
        </w:rPr>
        <w:t>3.7</w:t>
      </w:r>
      <w:r>
        <w:rPr>
          <w:rFonts w:hint="eastAsia" w:ascii="Times New Roman" w:hAnsi="Times New Roman" w:eastAsia="宋体" w:cs="Times New Roman"/>
          <w:color w:val="auto"/>
          <w:szCs w:val="21"/>
          <w:highlight w:val="none"/>
          <w:lang w:val="zh-CN" w:eastAsia="zh-CN"/>
        </w:rPr>
        <w:t>乙方投入的服务人员不得参与涉及执法权限内的工作。</w:t>
      </w:r>
    </w:p>
    <w:p w14:paraId="2BE058DA">
      <w:pPr>
        <w:spacing w:line="360" w:lineRule="auto"/>
        <w:ind w:firstLine="420" w:firstLineChars="200"/>
        <w:rPr>
          <w:color w:val="auto"/>
          <w:highlight w:val="none"/>
        </w:rPr>
      </w:pPr>
      <w:r>
        <w:rPr>
          <w:rFonts w:hint="eastAsia" w:ascii="Times New Roman" w:hAnsi="Times New Roman" w:eastAsia="宋体" w:cs="Times New Roman"/>
          <w:color w:val="auto"/>
          <w:szCs w:val="21"/>
          <w:highlight w:val="none"/>
          <w:lang w:val="en-US" w:eastAsia="zh-CN"/>
        </w:rPr>
        <w:t>3.8乙方</w:t>
      </w:r>
      <w:r>
        <w:rPr>
          <w:rFonts w:hint="eastAsia" w:ascii="Times New Roman" w:hAnsi="Times New Roman" w:eastAsia="宋体" w:cs="Times New Roman"/>
          <w:color w:val="auto"/>
          <w:szCs w:val="21"/>
          <w:highlight w:val="none"/>
          <w:lang w:val="zh-CN" w:eastAsia="zh-CN"/>
        </w:rPr>
        <w:t>应承诺投入的服务人员在签订本项目合同前一年内没有在涉税中介机构兼职、任职，且在本项目合同服务期内不得投资参股企业或在企业兼职、任职。</w:t>
      </w:r>
    </w:p>
    <w:p w14:paraId="2C09E4F0">
      <w:pPr>
        <w:tabs>
          <w:tab w:val="left" w:pos="0"/>
          <w:tab w:val="left" w:pos="540"/>
        </w:tabs>
        <w:spacing w:line="360" w:lineRule="auto"/>
        <w:ind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4. 知识产权</w:t>
      </w:r>
    </w:p>
    <w:p w14:paraId="56C23AF2">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4.1 乙方应保证所提供的服务免受第三方提出侵犯其知识产权（专利权、商标权、软件著作权、版权等）的起诉。</w:t>
      </w:r>
      <w:r>
        <w:rPr>
          <w:rFonts w:hint="eastAsia" w:ascii="Times New Roman" w:hAnsi="Times New Roman" w:eastAsia="宋体" w:cs="Times New Roman"/>
          <w:color w:val="auto"/>
          <w:szCs w:val="21"/>
          <w:highlight w:val="none"/>
        </w:rPr>
        <w:t>因侵害他人知识产权而产生的法律责任，全部由乙方承担。</w:t>
      </w:r>
    </w:p>
    <w:p w14:paraId="0025ED14">
      <w:pPr>
        <w:spacing w:line="360" w:lineRule="auto"/>
        <w:ind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5. 保密条款</w:t>
      </w:r>
    </w:p>
    <w:p w14:paraId="106845C9">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5.1 甲乙双方应对在本合同签订或履行过程中所接触的对方信息，包括但不限于知识产权、技术资料、技术诀窍、内部管理及其他相关信息，负有保密义务。</w:t>
      </w:r>
    </w:p>
    <w:p w14:paraId="50B9D329">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5.2 乙方在使用甲方为乙方及其工作人员提供的数据、资料及甲方相关的业务和技术文档时，应遵循以下规定：</w:t>
      </w:r>
    </w:p>
    <w:p w14:paraId="00E78DD1">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 应以审慎态度避免泄漏、公开或传播甲方的信息；</w:t>
      </w:r>
    </w:p>
    <w:p w14:paraId="069F7661">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 未经甲方书面许可，不得对有关信息进行修改、补充、复制；</w:t>
      </w:r>
    </w:p>
    <w:p w14:paraId="0E34ECE7">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 未经甲方书面许可，不得将信息以任何方式（如E-mail）携带出甲方场所；</w:t>
      </w:r>
    </w:p>
    <w:p w14:paraId="76996DCB">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w:t>
      </w:r>
      <w:r>
        <w:rPr>
          <w:rFonts w:hint="eastAsia" w:ascii="Times New Roman" w:hAnsi="Times New Roman" w:cs="Times New Roman"/>
          <w:color w:val="auto"/>
          <w:szCs w:val="21"/>
          <w:highlight w:val="none"/>
          <w:lang w:val="en-US" w:eastAsia="zh-CN"/>
        </w:rPr>
        <w:t xml:space="preserve"> </w:t>
      </w:r>
      <w:r>
        <w:rPr>
          <w:rFonts w:ascii="Times New Roman" w:hAnsi="Times New Roman" w:eastAsia="宋体" w:cs="Times New Roman"/>
          <w:color w:val="auto"/>
          <w:szCs w:val="21"/>
          <w:highlight w:val="none"/>
        </w:rPr>
        <w:t>未经甲方书面许可，不得将信息透露给任何其他人；</w:t>
      </w:r>
    </w:p>
    <w:p w14:paraId="04B64606">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 甲方以书面形式提出的其他保密措施。</w:t>
      </w:r>
    </w:p>
    <w:p w14:paraId="5E8A1379">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5.3 保密期限不受合同有效期的限制，在合同有效期结束后，信息接受方仍应承担保密义务，直至该等信息成为公开信息。</w:t>
      </w:r>
    </w:p>
    <w:p w14:paraId="09E8E4DE">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5.4 甲乙双方如出现泄密行为，泄密方应承担相关的法律责任，包括</w:t>
      </w:r>
      <w:r>
        <w:rPr>
          <w:rFonts w:hint="eastAsia" w:ascii="Times New Roman" w:hAnsi="Times New Roman" w:cs="Times New Roman"/>
          <w:color w:val="auto"/>
          <w:szCs w:val="21"/>
          <w:highlight w:val="none"/>
          <w:lang w:eastAsia="zh-CN"/>
        </w:rPr>
        <w:t>但</w:t>
      </w:r>
      <w:r>
        <w:rPr>
          <w:rFonts w:ascii="Times New Roman" w:hAnsi="Times New Roman" w:eastAsia="宋体" w:cs="Times New Roman"/>
          <w:color w:val="auto"/>
          <w:szCs w:val="21"/>
          <w:highlight w:val="none"/>
        </w:rPr>
        <w:t>不限于对由此给对方造成的经济损失进行赔偿。</w:t>
      </w:r>
    </w:p>
    <w:p w14:paraId="55979946">
      <w:pPr>
        <w:topLinePunct/>
        <w:autoSpaceDE w:val="0"/>
        <w:autoSpaceDN w:val="0"/>
        <w:spacing w:line="360" w:lineRule="auto"/>
        <w:ind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6. 履约验收要求</w:t>
      </w:r>
    </w:p>
    <w:p w14:paraId="60E3F12F">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6.1 甲方需求部门严格按照采购合同开展履约验收。验收时</w:t>
      </w:r>
      <w:r>
        <w:rPr>
          <w:rFonts w:hint="eastAsia" w:ascii="Times New Roman" w:hAnsi="Times New Roman" w:cs="Times New Roman"/>
          <w:color w:val="auto"/>
          <w:szCs w:val="21"/>
          <w:highlight w:val="none"/>
          <w:lang w:eastAsia="zh-CN"/>
        </w:rPr>
        <w:t>，</w:t>
      </w:r>
      <w:r>
        <w:rPr>
          <w:rFonts w:ascii="Times New Roman" w:hAnsi="Times New Roman" w:eastAsia="宋体" w:cs="Times New Roman"/>
          <w:color w:val="auto"/>
          <w:szCs w:val="21"/>
          <w:highlight w:val="none"/>
        </w:rPr>
        <w:t>应当按照本合同约定的技术、服务和安全标准，对供应商各项义务履行情况进行验收确认。未约定相关标准的，应当按照国家强制性规定、政策要求、安全标准和行业有关标准进行验收确认。验收结束后，应当出具验收意见，列明合同事项、验收标准及验收情况，由全体验收人员签字。</w:t>
      </w:r>
    </w:p>
    <w:p w14:paraId="5C52F667">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6.2具体履约验收要求详见采购文件。</w:t>
      </w:r>
    </w:p>
    <w:p w14:paraId="2D02DE9C">
      <w:pPr>
        <w:tabs>
          <w:tab w:val="left" w:pos="0"/>
          <w:tab w:val="left" w:pos="540"/>
        </w:tabs>
        <w:spacing w:line="360" w:lineRule="auto"/>
        <w:ind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7. 履约保证金</w:t>
      </w:r>
    </w:p>
    <w:p w14:paraId="133F4675">
      <w:pPr>
        <w:tabs>
          <w:tab w:val="left" w:pos="70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7.1 需提交履约保证金的项目，乙方应按照</w:t>
      </w:r>
      <w:r>
        <w:rPr>
          <w:rFonts w:hint="eastAsia" w:ascii="Times New Roman" w:hAnsi="Times New Roman" w:eastAsia="宋体" w:cs="Times New Roman"/>
          <w:color w:val="auto"/>
          <w:szCs w:val="21"/>
          <w:highlight w:val="none"/>
          <w:lang w:eastAsia="zh-CN"/>
        </w:rPr>
        <w:t>“</w:t>
      </w:r>
      <w:r>
        <w:rPr>
          <w:rFonts w:ascii="Times New Roman" w:hAnsi="Times New Roman" w:eastAsia="宋体" w:cs="Times New Roman"/>
          <w:color w:val="auto"/>
          <w:szCs w:val="21"/>
          <w:highlight w:val="none"/>
        </w:rPr>
        <w:t>合同条款前附表</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第 10 项</w:t>
      </w:r>
      <w:r>
        <w:rPr>
          <w:rFonts w:hint="eastAsia" w:ascii="Times New Roman" w:hAnsi="Times New Roman" w:cs="Times New Roman"/>
          <w:color w:val="auto"/>
          <w:szCs w:val="21"/>
          <w:highlight w:val="none"/>
          <w:lang w:eastAsia="zh-CN"/>
        </w:rPr>
        <w:t>“</w:t>
      </w:r>
      <w:r>
        <w:rPr>
          <w:rFonts w:ascii="Times New Roman" w:hAnsi="Times New Roman" w:eastAsia="宋体" w:cs="Times New Roman"/>
          <w:color w:val="auto"/>
          <w:szCs w:val="21"/>
          <w:highlight w:val="none"/>
        </w:rPr>
        <w:t>履约保证金及返还</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提交履约保证金。</w:t>
      </w:r>
    </w:p>
    <w:p w14:paraId="45E95720">
      <w:pPr>
        <w:tabs>
          <w:tab w:val="left" w:pos="70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7.2 履约保证金的金额可用于补偿甲方因乙方不能完成其合同义务而蒙受的损失。</w:t>
      </w:r>
    </w:p>
    <w:p w14:paraId="6E6D268D">
      <w:pPr>
        <w:tabs>
          <w:tab w:val="left" w:pos="70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7.3如乙方未能按时支付合同约定的违约金、赔偿金、其他应付款项等的，甲方有权按照本合同的约定从履约保证金中扣除上述款项。乙方应在甲方扣除履约保证金后15天内，及时补充扣除部分金额。若逾期补充的，每日应按应补充金额的万分之五（0.05%）支付甲方违约金。</w:t>
      </w:r>
    </w:p>
    <w:p w14:paraId="47630D8A">
      <w:pPr>
        <w:tabs>
          <w:tab w:val="left" w:pos="70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7.4 乙方不履行合同、或者履行合同义务不符合约定使得合同目的不能实现，履约保证金不予退还，并应按合同约定支付违约金、赔偿金等。</w:t>
      </w:r>
    </w:p>
    <w:p w14:paraId="48B10189">
      <w:pPr>
        <w:tabs>
          <w:tab w:val="left" w:pos="70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7.5 履约保证金在合同履行期满后，扣除相应款项（如有）且双方无争议后，凭返还申请等资料一次性无息返还，详见</w:t>
      </w:r>
      <w:r>
        <w:rPr>
          <w:rFonts w:hint="eastAsia" w:ascii="Times New Roman" w:hAnsi="Times New Roman" w:cs="Times New Roman"/>
          <w:color w:val="auto"/>
          <w:szCs w:val="21"/>
          <w:highlight w:val="none"/>
          <w:lang w:eastAsia="zh-CN"/>
        </w:rPr>
        <w:t>“</w:t>
      </w:r>
      <w:r>
        <w:rPr>
          <w:rFonts w:ascii="Times New Roman" w:hAnsi="Times New Roman" w:eastAsia="宋体" w:cs="Times New Roman"/>
          <w:color w:val="auto"/>
          <w:szCs w:val="21"/>
          <w:highlight w:val="none"/>
        </w:rPr>
        <w:t>合同条款前附表</w:t>
      </w:r>
      <w:r>
        <w:rPr>
          <w:rFonts w:hint="eastAsia" w:ascii="Times New Roman" w:hAnsi="Times New Roman" w:cs="Times New Roman"/>
          <w:color w:val="auto"/>
          <w:szCs w:val="21"/>
          <w:highlight w:val="none"/>
          <w:lang w:eastAsia="zh-CN"/>
        </w:rPr>
        <w:t>”</w:t>
      </w:r>
      <w:r>
        <w:rPr>
          <w:rFonts w:ascii="Times New Roman" w:hAnsi="Times New Roman" w:eastAsia="宋体" w:cs="Times New Roman"/>
          <w:color w:val="auto"/>
          <w:szCs w:val="21"/>
          <w:highlight w:val="none"/>
        </w:rPr>
        <w:t>第10项</w:t>
      </w:r>
      <w:r>
        <w:rPr>
          <w:rFonts w:hint="eastAsia" w:ascii="Times New Roman" w:hAnsi="Times New Roman" w:cs="Times New Roman"/>
          <w:color w:val="auto"/>
          <w:szCs w:val="21"/>
          <w:highlight w:val="none"/>
          <w:lang w:eastAsia="zh-CN"/>
        </w:rPr>
        <w:t>“</w:t>
      </w:r>
      <w:r>
        <w:rPr>
          <w:rFonts w:ascii="Times New Roman" w:hAnsi="Times New Roman" w:eastAsia="宋体" w:cs="Times New Roman"/>
          <w:color w:val="auto"/>
          <w:szCs w:val="21"/>
          <w:highlight w:val="none"/>
        </w:rPr>
        <w:t>履约保证金及返还</w:t>
      </w:r>
      <w:r>
        <w:rPr>
          <w:rFonts w:hint="eastAsia" w:ascii="Times New Roman" w:hAnsi="Times New Roman" w:cs="Times New Roman"/>
          <w:color w:val="auto"/>
          <w:szCs w:val="21"/>
          <w:highlight w:val="none"/>
          <w:lang w:eastAsia="zh-CN"/>
        </w:rPr>
        <w:t>”</w:t>
      </w:r>
      <w:r>
        <w:rPr>
          <w:rFonts w:ascii="Times New Roman" w:hAnsi="Times New Roman" w:eastAsia="宋体" w:cs="Times New Roman"/>
          <w:color w:val="auto"/>
          <w:szCs w:val="21"/>
          <w:highlight w:val="none"/>
        </w:rPr>
        <w:t>。</w:t>
      </w:r>
    </w:p>
    <w:p w14:paraId="0ABDE0EE">
      <w:pPr>
        <w:tabs>
          <w:tab w:val="left" w:pos="0"/>
          <w:tab w:val="left" w:pos="540"/>
        </w:tabs>
        <w:spacing w:line="360" w:lineRule="auto"/>
        <w:ind w:firstLine="422" w:firstLineChars="200"/>
        <w:rPr>
          <w:rFonts w:ascii="Times New Roman" w:hAnsi="Times New Roman" w:eastAsia="宋体" w:cs="Times New Roman"/>
          <w:b/>
          <w:color w:val="auto"/>
          <w:szCs w:val="21"/>
          <w:highlight w:val="none"/>
        </w:rPr>
      </w:pPr>
      <w:r>
        <w:rPr>
          <w:rFonts w:hint="eastAsia" w:ascii="Times New Roman" w:hAnsi="Times New Roman" w:cs="Times New Roman"/>
          <w:b/>
          <w:color w:val="auto"/>
          <w:szCs w:val="21"/>
          <w:highlight w:val="none"/>
          <w:lang w:eastAsia="zh-CN"/>
        </w:rPr>
        <w:t>8.</w:t>
      </w:r>
      <w:r>
        <w:rPr>
          <w:rFonts w:ascii="Times New Roman" w:hAnsi="Times New Roman" w:eastAsia="宋体" w:cs="Times New Roman"/>
          <w:b/>
          <w:color w:val="auto"/>
          <w:szCs w:val="21"/>
          <w:highlight w:val="none"/>
        </w:rPr>
        <w:t>履约延误</w:t>
      </w:r>
    </w:p>
    <w:p w14:paraId="2C214E98">
      <w:pPr>
        <w:topLinePunct/>
        <w:autoSpaceDE w:val="0"/>
        <w:autoSpaceDN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8.1 乙方应按照本合同的规定提供服务。</w:t>
      </w:r>
    </w:p>
    <w:p w14:paraId="1CF94EC5">
      <w:pPr>
        <w:topLinePunct/>
        <w:autoSpaceDE w:val="0"/>
        <w:autoSpaceDN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8.2 如乙方迟延履行合同义务，甲方将从应付合同金额中扣除误期违约金，每延误一天误期违约金按合同总金额的万分之三（0.03%）计收。乙方支付的误期违约金不足以弥补甲方损失的，应继续承担赔偿责任。本合同约定的损失，包括但不限于：直接损失、调查取证费、诉讼费、律师费等。</w:t>
      </w:r>
    </w:p>
    <w:p w14:paraId="01A59661">
      <w:pPr>
        <w:topLinePunct/>
        <w:autoSpaceDE w:val="0"/>
        <w:autoSpaceDN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8.3 在履行合同过程中，如果乙方可能遇到妨碍按时提供服务的情况时，应及时以书面形式将拖延的事实，可能拖延的期限和理由通知甲方。甲方在收到乙方通知后，应尽快对情况进行评估，并确定是否酌情延长工期以及是否收取误期违约金。</w:t>
      </w:r>
    </w:p>
    <w:p w14:paraId="1C07A454">
      <w:pPr>
        <w:topLinePunct/>
        <w:autoSpaceDE w:val="0"/>
        <w:autoSpaceDN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8.4 除不可抗力和根据合同规定延期取得甲方同意而不收取误期违约金之外，乙方延误工期，将按合同规定被收取误期违约金。</w:t>
      </w:r>
    </w:p>
    <w:p w14:paraId="4EEDE878">
      <w:pPr>
        <w:topLinePunct/>
        <w:autoSpaceDE w:val="0"/>
        <w:autoSpaceDN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8.5 逾期退还履约保证金的违约责任。满足履约保证金返还条件的，甲方在收到返还相关信息等合同约定资料后，进行核实。对核实结果无异议的，应当自完成核实之日起30日内返还履约保证金。无特殊原因逾期退还履约保证金的，乙方可要求甲方按银行同期活期存款利率支付逾期利息。特殊原因逾期返还的，双方协商解决。</w:t>
      </w:r>
    </w:p>
    <w:p w14:paraId="70F78906">
      <w:pPr>
        <w:topLinePunct/>
        <w:autoSpaceDE w:val="0"/>
        <w:autoSpaceDN w:val="0"/>
        <w:spacing w:line="360" w:lineRule="auto"/>
        <w:ind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9. 违约责任</w:t>
      </w:r>
    </w:p>
    <w:p w14:paraId="33A1A107">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9.1　服务缺陷的补救措施和索赔</w:t>
      </w:r>
    </w:p>
    <w:p w14:paraId="5535114D">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9.1.1  如果乙方提供的服务不符合本合同约定以及</w:t>
      </w:r>
      <w:r>
        <w:rPr>
          <w:rFonts w:hint="eastAsia" w:ascii="Times New Roman" w:hAnsi="Times New Roman" w:eastAsia="宋体" w:cs="Times New Roman"/>
          <w:color w:val="auto"/>
          <w:szCs w:val="21"/>
          <w:highlight w:val="none"/>
          <w:lang w:eastAsia="zh-CN"/>
        </w:rPr>
        <w:t>采购文件</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eastAsia="zh-CN"/>
        </w:rPr>
        <w:t>响应</w:t>
      </w:r>
      <w:r>
        <w:rPr>
          <w:rFonts w:hint="eastAsia" w:ascii="Times New Roman" w:hAnsi="Times New Roman" w:eastAsia="宋体" w:cs="Times New Roman"/>
          <w:color w:val="auto"/>
          <w:szCs w:val="21"/>
          <w:highlight w:val="none"/>
        </w:rPr>
        <w:t>文件关于服务的要求和承诺，乙方应按照甲方同意的下列一种或几种方式结合起来解决索赔事宜：</w:t>
      </w:r>
    </w:p>
    <w:p w14:paraId="49310B84">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9.1.1.1  乙方同意将服务</w:t>
      </w:r>
      <w:r>
        <w:rPr>
          <w:rFonts w:hint="eastAsia" w:ascii="Times New Roman" w:hAnsi="Times New Roman" w:cs="Times New Roman"/>
          <w:color w:val="auto"/>
          <w:szCs w:val="21"/>
          <w:highlight w:val="none"/>
          <w:lang w:eastAsia="zh-CN"/>
        </w:rPr>
        <w:t>款项</w:t>
      </w:r>
      <w:r>
        <w:rPr>
          <w:rFonts w:hint="eastAsia" w:ascii="Times New Roman" w:hAnsi="Times New Roman" w:eastAsia="宋体" w:cs="Times New Roman"/>
          <w:color w:val="auto"/>
          <w:szCs w:val="21"/>
          <w:highlight w:val="none"/>
        </w:rPr>
        <w:t>退还给甲方，由此发生的一切费用和损失由乙方承担。如甲方以适当的条件和方法购买与未履约标的相类似的服务，乙方应负担新购买类似服务所超出的费用。</w:t>
      </w:r>
    </w:p>
    <w:p w14:paraId="3675AF25">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9.1.1.2  根据服务的质量状况以及甲方所遭受的损失，经过甲乙双方商定降低服务的价格。</w:t>
      </w:r>
    </w:p>
    <w:p w14:paraId="6E709BB1">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9.2 除本合同另有约定外，乙方不履行合同义务或者履行合同义务不符合合同约定的，按每违反一次从应付款项中扣除合同总金额的百分之一（1%）作为违约金；此外，应当承担继续履行、采取补救措施或者赔偿损失等违约责任。乙方支付的上述违约金、赔偿金等不足以弥补甲方损失的，应继续承担赔偿责任。本合同约定的损失，包括但不限于：直接损失、调查取证费、诉讼费、律师费等。</w:t>
      </w:r>
    </w:p>
    <w:p w14:paraId="4DABDFED">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9.3 乙方没有按照时限要求提供服务，且在甲方指定的延长期限内没有采取补救措施，甲方有权自行采取其他方式进行补救，乙方除按合同第8条约定向甲方支付误期违约金外，另外甲方所发生的一切费用和甲方损失，甲方有权从应付的乙方的合同款项中扣除，不足扣除的乙方应另行支付。</w:t>
      </w:r>
    </w:p>
    <w:p w14:paraId="56C065D0">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9.4除应支付甲方违约金等外，甲方有权根据合同或有关部门出具的检验证书向乙方提出索赔。</w:t>
      </w:r>
    </w:p>
    <w:p w14:paraId="57429DB4">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9.5如果乙方对差异负有责任而甲方提出索赔，乙方同意按照下列方式解决索赔事宜：</w:t>
      </w:r>
    </w:p>
    <w:p w14:paraId="31B79048">
      <w:pPr>
        <w:topLinePunct/>
        <w:autoSpaceDE w:val="0"/>
        <w:autoSpaceDN w:val="0"/>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如果在甲方发出索赔通知后10日内，乙方未作书面答复，上述索赔应视为已被乙方接受。如乙方未能在甲方发出索赔通知后10日内或甲方同意的延长期限内着手解决索赔事宜，甲方有权从乙方的合同款项中扣除索赔金额。</w:t>
      </w:r>
    </w:p>
    <w:p w14:paraId="1D564E83">
      <w:pPr>
        <w:topLinePunct/>
        <w:autoSpaceDE w:val="0"/>
        <w:autoSpaceDN w:val="0"/>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9.6对于本协议未约定的、采购文件技术部分中约定的违约处理条款，按采购文件技术部分相关约定执行；对本协议与采购文件技术部分约定不同的违约处理条款，以本协议约定为准。</w:t>
      </w:r>
    </w:p>
    <w:p w14:paraId="7679F39F">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9.7</w:t>
      </w:r>
      <w:r>
        <w:rPr>
          <w:rFonts w:hint="eastAsia" w:ascii="Times New Roman" w:hAnsi="Times New Roman" w:eastAsia="宋体" w:cs="Times New Roman"/>
          <w:color w:val="auto"/>
          <w:szCs w:val="21"/>
          <w:highlight w:val="none"/>
        </w:rPr>
        <w:t>　乙方迟延履约或逾期履行其他合同义务的违约责任</w:t>
      </w:r>
    </w:p>
    <w:p w14:paraId="5A95AEFD">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9.7.1</w:t>
      </w:r>
      <w:r>
        <w:rPr>
          <w:rFonts w:hint="eastAsia" w:ascii="Times New Roman" w:hAnsi="Times New Roman" w:eastAsia="宋体" w:cs="Times New Roman"/>
          <w:color w:val="auto"/>
          <w:szCs w:val="21"/>
          <w:highlight w:val="none"/>
        </w:rPr>
        <w:t>乙方应按照本合同规定的时间、地点提供服务。</w:t>
      </w:r>
    </w:p>
    <w:p w14:paraId="2851E067">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9.7.2</w:t>
      </w:r>
      <w:r>
        <w:rPr>
          <w:rFonts w:hint="eastAsia" w:ascii="Times New Roman" w:hAnsi="Times New Roman" w:eastAsia="宋体" w:cs="Times New Roman"/>
          <w:color w:val="auto"/>
          <w:szCs w:val="21"/>
          <w:highlight w:val="none"/>
        </w:rPr>
        <w:t>在履行合同过程中，如果乙方遇到可能妨碍按时提供服务的情形时，应及时以书面形式将迟延的事实、可能迟延的期限和理由通知甲方。甲方在收到乙方通知后，应尽快对情况进行评价，并确定是否同意延期提供服务。</w:t>
      </w:r>
    </w:p>
    <w:p w14:paraId="66A22780">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9.7.3</w:t>
      </w:r>
      <w:r>
        <w:rPr>
          <w:rFonts w:hint="eastAsia" w:ascii="Times New Roman" w:hAnsi="Times New Roman" w:eastAsia="宋体" w:cs="Times New Roman"/>
          <w:color w:val="auto"/>
          <w:szCs w:val="21"/>
          <w:highlight w:val="none"/>
        </w:rPr>
        <w:t>除甲乙双方另有约定外，如果乙方没有按照合同规定的时间提供服务，且没有在甲方同意的延长的期限内进行补救时，甲方有权从服务款、履约保证金中扣除或要求乙方另行支付误期违约金而不影响合同项下的其他补救方法。违约金按每日合同金额的0.5%计收，直至提供服务为止。</w:t>
      </w:r>
    </w:p>
    <w:p w14:paraId="3E1EF5D0">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9.7.4</w:t>
      </w:r>
      <w:r>
        <w:rPr>
          <w:rFonts w:hint="eastAsia" w:ascii="Times New Roman" w:hAnsi="Times New Roman" w:eastAsia="宋体" w:cs="Times New Roman"/>
          <w:color w:val="auto"/>
          <w:szCs w:val="21"/>
          <w:highlight w:val="none"/>
        </w:rPr>
        <w:t>如果乙方延迟履约或逾期履行其他合同义务超过5日，甲方有权解除全部或部分合同，要求乙方支付合同金额的20%作为解约违约金并依其认为适当的条件和方法购买与未履约类似的服务，乙方应负担购买类似服务所超出的费用。但是，乙方应继续执行合同中未解除的部分。</w:t>
      </w:r>
    </w:p>
    <w:p w14:paraId="0878453C">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9.8</w:t>
      </w:r>
      <w:r>
        <w:rPr>
          <w:rFonts w:hint="eastAsia" w:ascii="Times New Roman" w:hAnsi="Times New Roman" w:eastAsia="宋体" w:cs="Times New Roman"/>
          <w:color w:val="auto"/>
          <w:szCs w:val="21"/>
          <w:highlight w:val="none"/>
        </w:rPr>
        <w:t>未履行合同义务的违约责任</w:t>
      </w:r>
    </w:p>
    <w:p w14:paraId="4C89E91A">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9.8.1</w:t>
      </w:r>
      <w:r>
        <w:rPr>
          <w:rFonts w:hint="eastAsia" w:ascii="Times New Roman" w:hAnsi="Times New Roman" w:eastAsia="宋体" w:cs="Times New Roman"/>
          <w:color w:val="auto"/>
          <w:szCs w:val="21"/>
          <w:highlight w:val="none"/>
        </w:rPr>
        <w:t>守约方有权解除全部或部分合同。</w:t>
      </w:r>
    </w:p>
    <w:p w14:paraId="30F1FC4D">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9.8.2</w:t>
      </w:r>
      <w:r>
        <w:rPr>
          <w:rFonts w:hint="eastAsia" w:ascii="Times New Roman" w:hAnsi="Times New Roman" w:eastAsia="宋体" w:cs="Times New Roman"/>
          <w:color w:val="auto"/>
          <w:szCs w:val="21"/>
          <w:highlight w:val="none"/>
        </w:rPr>
        <w:t>不予退还全额履约保证金。</w:t>
      </w:r>
    </w:p>
    <w:p w14:paraId="471E43C5">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9.8.</w:t>
      </w:r>
      <w:r>
        <w:rPr>
          <w:rFonts w:hint="eastAsia" w:ascii="Times New Roman" w:hAnsi="Times New Roman" w:eastAsia="宋体" w:cs="Times New Roman"/>
          <w:color w:val="auto"/>
          <w:szCs w:val="21"/>
          <w:highlight w:val="none"/>
          <w:lang w:val="en-US" w:eastAsia="zh-CN"/>
        </w:rPr>
        <w:t>3</w:t>
      </w:r>
      <w:r>
        <w:rPr>
          <w:rFonts w:hint="eastAsia" w:ascii="Times New Roman" w:hAnsi="Times New Roman" w:eastAsia="宋体" w:cs="Times New Roman"/>
          <w:color w:val="auto"/>
          <w:szCs w:val="21"/>
          <w:highlight w:val="none"/>
        </w:rPr>
        <w:t>违约金不足以弥补守约方实际损失、可预见或者应当预见的损失，由违约方全额予以赔偿。</w:t>
      </w:r>
    </w:p>
    <w:p w14:paraId="106E53F6">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9.9</w:t>
      </w:r>
      <w:r>
        <w:rPr>
          <w:rFonts w:hint="eastAsia" w:ascii="Times New Roman" w:hAnsi="Times New Roman" w:eastAsia="宋体" w:cs="Times New Roman"/>
          <w:color w:val="auto"/>
          <w:szCs w:val="21"/>
          <w:highlight w:val="none"/>
        </w:rPr>
        <w:t>任一方违约，守约方因此支付的争议处理费用，包括但不限于诉讼费、律师费、鉴定费、调查费、公证费、诉讼财产保全责任保险费等均由违约方承担。</w:t>
      </w:r>
    </w:p>
    <w:p w14:paraId="07D63DF0">
      <w:pPr>
        <w:spacing w:line="360" w:lineRule="auto"/>
        <w:ind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10. 不可抗力</w:t>
      </w:r>
    </w:p>
    <w:p w14:paraId="35332375">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10.1 本条所述的“不可抗力”系指双方不可预见、不可避免、不可克服的客观情况，但不包括双方的违约或疏忽。这些事件包括但不限于：战争、严重火灾、洪水、台风、地震等。</w:t>
      </w:r>
    </w:p>
    <w:p w14:paraId="7648C0F4">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10.2</w:t>
      </w:r>
      <w:r>
        <w:rPr>
          <w:rFonts w:hint="eastAsia" w:ascii="Times New Roman" w:hAnsi="Times New Roman" w:eastAsia="宋体" w:cs="Times New Roman"/>
          <w:color w:val="auto"/>
          <w:szCs w:val="21"/>
          <w:highlight w:val="none"/>
        </w:rPr>
        <w:t>如果合同双方因不可抗力而导致合同实施延误或合同无法实施，</w:t>
      </w:r>
      <w:r>
        <w:rPr>
          <w:rFonts w:ascii="Times New Roman" w:hAnsi="Times New Roman" w:eastAsia="宋体" w:cs="Times New Roman"/>
          <w:color w:val="auto"/>
          <w:szCs w:val="21"/>
          <w:highlight w:val="none"/>
        </w:rPr>
        <w:t>不应承担误期赔偿或终止合同的责任。</w:t>
      </w:r>
    </w:p>
    <w:p w14:paraId="1B1AA6AA">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10.3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14:paraId="23F00B8A">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10.4 </w:t>
      </w:r>
      <w:r>
        <w:rPr>
          <w:rFonts w:hint="eastAsia" w:ascii="Times New Roman" w:hAnsi="Times New Roman" w:eastAsia="宋体" w:cs="Times New Roman"/>
          <w:color w:val="auto"/>
          <w:szCs w:val="21"/>
          <w:highlight w:val="none"/>
        </w:rPr>
        <w:t>因国家政策变化、技术实施所需的客观环境变化或工作计划调整等原因导致相关服务停止或部分停止的，</w:t>
      </w:r>
      <w:r>
        <w:rPr>
          <w:rFonts w:hint="eastAsia" w:ascii="Times New Roman" w:hAnsi="Times New Roman" w:eastAsia="宋体" w:cs="Times New Roman"/>
          <w:color w:val="auto"/>
          <w:szCs w:val="21"/>
          <w:highlight w:val="none"/>
          <w:lang w:eastAsia="zh-CN"/>
        </w:rPr>
        <w:t>甲方</w:t>
      </w:r>
      <w:r>
        <w:rPr>
          <w:rFonts w:hint="eastAsia" w:ascii="Times New Roman" w:hAnsi="Times New Roman" w:eastAsia="宋体" w:cs="Times New Roman"/>
          <w:color w:val="auto"/>
          <w:szCs w:val="21"/>
          <w:highlight w:val="none"/>
        </w:rPr>
        <w:t>有权提前终止或部分终止合同执行，费用按实际服务时间、实际</w:t>
      </w:r>
      <w:r>
        <w:rPr>
          <w:rFonts w:hint="eastAsia" w:ascii="Times New Roman" w:hAnsi="Times New Roman" w:eastAsia="宋体" w:cs="Times New Roman"/>
          <w:color w:val="auto"/>
          <w:szCs w:val="21"/>
          <w:highlight w:val="none"/>
          <w:lang w:val="en-US" w:eastAsia="zh-CN"/>
        </w:rPr>
        <w:t>服务</w:t>
      </w:r>
      <w:r>
        <w:rPr>
          <w:rFonts w:hint="eastAsia" w:ascii="Times New Roman" w:hAnsi="Times New Roman" w:eastAsia="宋体" w:cs="Times New Roman"/>
          <w:color w:val="auto"/>
          <w:szCs w:val="21"/>
          <w:highlight w:val="none"/>
        </w:rPr>
        <w:t>范围和考核结果据实结算，不视为</w:t>
      </w:r>
      <w:r>
        <w:rPr>
          <w:rFonts w:hint="eastAsia" w:ascii="Times New Roman" w:hAnsi="Times New Roman" w:eastAsia="宋体" w:cs="Times New Roman"/>
          <w:color w:val="auto"/>
          <w:szCs w:val="21"/>
          <w:highlight w:val="none"/>
          <w:lang w:eastAsia="zh-CN"/>
        </w:rPr>
        <w:t>甲方</w:t>
      </w:r>
      <w:r>
        <w:rPr>
          <w:rFonts w:hint="eastAsia" w:ascii="Times New Roman" w:hAnsi="Times New Roman" w:eastAsia="宋体" w:cs="Times New Roman"/>
          <w:color w:val="auto"/>
          <w:szCs w:val="21"/>
          <w:highlight w:val="none"/>
        </w:rPr>
        <w:t>违约。</w:t>
      </w:r>
    </w:p>
    <w:p w14:paraId="358B2493">
      <w:pPr>
        <w:spacing w:line="360" w:lineRule="auto"/>
        <w:ind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11. 争端的解决</w:t>
      </w:r>
    </w:p>
    <w:p w14:paraId="6F85EDED">
      <w:pP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11</w:t>
      </w:r>
      <w:r>
        <w:rPr>
          <w:rFonts w:hint="eastAsia" w:ascii="Times New Roman" w:hAnsi="Times New Roman" w:eastAsia="宋体" w:cs="Times New Roman"/>
          <w:color w:val="auto"/>
          <w:szCs w:val="21"/>
          <w:highlight w:val="none"/>
        </w:rPr>
        <w:t>.1 甲乙双方应首先通过友好协商解决在执行本合同中所发生的或与本合同有关的一切争端。如协商开始30天内仍不能解决，可以按</w:t>
      </w:r>
      <w:r>
        <w:rPr>
          <w:rFonts w:ascii="Times New Roman" w:hAnsi="Times New Roman" w:eastAsia="宋体" w:cs="Times New Roman"/>
          <w:color w:val="auto"/>
          <w:szCs w:val="21"/>
          <w:highlight w:val="none"/>
        </w:rPr>
        <w:t>“合同条款前附表”第</w:t>
      </w:r>
      <w:r>
        <w:rPr>
          <w:rFonts w:hint="eastAsia" w:ascii="Times New Roman" w:hAnsi="Times New Roman" w:eastAsia="宋体" w:cs="Times New Roman"/>
          <w:color w:val="auto"/>
          <w:szCs w:val="21"/>
          <w:highlight w:val="none"/>
          <w:lang w:val="en-US" w:eastAsia="zh-CN"/>
        </w:rPr>
        <w:t>13</w:t>
      </w:r>
      <w:r>
        <w:rPr>
          <w:rFonts w:ascii="Times New Roman" w:hAnsi="Times New Roman" w:eastAsia="宋体" w:cs="Times New Roman"/>
          <w:color w:val="auto"/>
          <w:szCs w:val="21"/>
          <w:highlight w:val="none"/>
        </w:rPr>
        <w:t>项“</w:t>
      </w:r>
      <w:r>
        <w:rPr>
          <w:rFonts w:hint="eastAsia" w:ascii="Times New Roman" w:hAnsi="Times New Roman" w:eastAsia="宋体" w:cs="Times New Roman"/>
          <w:color w:val="auto"/>
          <w:szCs w:val="21"/>
          <w:highlight w:val="none"/>
          <w:lang w:eastAsia="zh-CN"/>
        </w:rPr>
        <w:t>合同纠纷解决方式”</w:t>
      </w:r>
      <w:r>
        <w:rPr>
          <w:rFonts w:hint="eastAsia" w:ascii="Times New Roman" w:hAnsi="Times New Roman" w:eastAsia="宋体" w:cs="Times New Roman"/>
          <w:color w:val="auto"/>
          <w:szCs w:val="21"/>
          <w:highlight w:val="none"/>
        </w:rPr>
        <w:t>提起仲裁或诉讼。</w:t>
      </w:r>
    </w:p>
    <w:p w14:paraId="5859A2D3">
      <w:pP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11.2.1</w:t>
      </w:r>
      <w:r>
        <w:rPr>
          <w:rFonts w:hint="eastAsia" w:ascii="Times New Roman" w:hAnsi="Times New Roman" w:eastAsia="宋体" w:cs="Times New Roman"/>
          <w:color w:val="auto"/>
          <w:szCs w:val="21"/>
          <w:highlight w:val="none"/>
        </w:rPr>
        <w:t>诉讼应向甲方所在地人民法院提起诉讼。</w:t>
      </w:r>
    </w:p>
    <w:p w14:paraId="160F1B3B">
      <w:pP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11.2.2</w:t>
      </w:r>
      <w:r>
        <w:rPr>
          <w:rFonts w:hint="eastAsia" w:ascii="Times New Roman" w:hAnsi="Times New Roman" w:eastAsia="宋体" w:cs="Times New Roman"/>
          <w:color w:val="auto"/>
          <w:szCs w:val="21"/>
          <w:highlight w:val="none"/>
        </w:rPr>
        <w:t>诉讼费除人民法院另有判决外，应由败诉方负担。</w:t>
      </w:r>
    </w:p>
    <w:p w14:paraId="2596F5E8">
      <w:pPr>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11.2.3</w:t>
      </w:r>
      <w:r>
        <w:rPr>
          <w:rFonts w:hint="eastAsia" w:ascii="Times New Roman" w:hAnsi="Times New Roman" w:eastAsia="宋体" w:cs="Times New Roman"/>
          <w:color w:val="auto"/>
          <w:szCs w:val="21"/>
          <w:highlight w:val="none"/>
        </w:rPr>
        <w:t>在诉讼期间，除正在进行诉讼部分外，本合同的其它部分应继续执行。</w:t>
      </w:r>
    </w:p>
    <w:p w14:paraId="3582967D">
      <w:pPr>
        <w:spacing w:line="360" w:lineRule="auto"/>
        <w:ind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12. 违约终止合同</w:t>
      </w:r>
    </w:p>
    <w:p w14:paraId="10B51198">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12.1 合同在履行过程中，因采购计划调整，甲方可以要求中止履行，待计划确定后继续履行，若中止时间超过6个月的，甲方可视情况终止合同，双方互不承担责任；合同履行过程中因乙方就采购过程或结果提起投诉的，甲方认为有必要或</w:t>
      </w:r>
      <w:r>
        <w:rPr>
          <w:rFonts w:hint="eastAsia" w:ascii="Times New Roman" w:hAnsi="Times New Roman" w:cs="Times New Roman"/>
          <w:color w:val="auto"/>
          <w:szCs w:val="21"/>
          <w:highlight w:val="none"/>
          <w:lang w:val="en-US" w:eastAsia="zh-CN"/>
        </w:rPr>
        <w:t>上级主管门</w:t>
      </w:r>
      <w:r>
        <w:rPr>
          <w:rFonts w:hint="eastAsia" w:ascii="Times New Roman" w:hAnsi="Times New Roman" w:eastAsia="宋体" w:cs="Times New Roman"/>
          <w:color w:val="auto"/>
          <w:szCs w:val="21"/>
          <w:highlight w:val="none"/>
        </w:rPr>
        <w:t>责令中止的，应当中止合同的履行。</w:t>
      </w:r>
    </w:p>
    <w:p w14:paraId="67A91ABE">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12.2 若出现如下情况，在甲方对乙方违约行为而采取的任何补救措施不受影响的情况下，甲方可向乙方发出书面通知书，提出解除部分或全部合同。自甲方发出书面通知书之日起30日内，乙方应支付甲方合同总金额20%的违约金，并根据合同执行情况返还部分或全部已收取款项。乙方支付的违约金不足以弥补甲方损失的，应继续承担赔偿责任。本合同约定的损失，包括但不限于：直接损失、调查取证费、诉讼费、律师费等。</w:t>
      </w:r>
    </w:p>
    <w:p w14:paraId="13381580">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12.2.1 乙方不履行合同义务或者履行合同义务不符合合同约定累计达两次的；</w:t>
      </w:r>
    </w:p>
    <w:p w14:paraId="71C0216F">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12.2.2 如果乙方未能在合同规定的期限或甲方同意延长的期限内提供服务，迟延累计达20日的；</w:t>
      </w:r>
    </w:p>
    <w:p w14:paraId="4DB477D0">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12.2.3 因乙方人员自身技术能力、经验不足等问题造成甲方发生重大紧急故障，带来重大影响和损失的；</w:t>
      </w:r>
    </w:p>
    <w:p w14:paraId="4E6B1535">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12.2.4 乙方对重大紧急故障没有及时响应，或不能在规定时间内解决处理故障、恢复正常运行的；</w:t>
      </w:r>
    </w:p>
    <w:p w14:paraId="31471156">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12.2.5 乙方不能满足本项目技术需求的管理要求和规范，且经两次整改无明显改进的；</w:t>
      </w:r>
    </w:p>
    <w:p w14:paraId="78FC27C8">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12.2.</w:t>
      </w:r>
      <w:r>
        <w:rPr>
          <w:rFonts w:hint="eastAsia" w:ascii="Times New Roman" w:hAnsi="Times New Roman" w:cs="Times New Roman"/>
          <w:color w:val="auto"/>
          <w:szCs w:val="21"/>
          <w:highlight w:val="none"/>
          <w:lang w:val="en-US" w:eastAsia="zh-CN"/>
        </w:rPr>
        <w:t>6</w:t>
      </w:r>
      <w:r>
        <w:rPr>
          <w:rFonts w:hint="eastAsia" w:ascii="Times New Roman" w:hAnsi="Times New Roman" w:eastAsia="宋体" w:cs="Times New Roman"/>
          <w:color w:val="auto"/>
          <w:szCs w:val="21"/>
          <w:highlight w:val="none"/>
        </w:rPr>
        <w:t xml:space="preserve"> 乙方提供的服务侵犯甲方、第三方知识产权等合法权益的；</w:t>
      </w:r>
    </w:p>
    <w:p w14:paraId="3E8705DD">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12.2.</w:t>
      </w:r>
      <w:r>
        <w:rPr>
          <w:rFonts w:hint="eastAsia" w:ascii="Times New Roman" w:hAnsi="Times New Roman" w:cs="Times New Roman"/>
          <w:color w:val="auto"/>
          <w:szCs w:val="21"/>
          <w:highlight w:val="none"/>
          <w:lang w:val="en-US" w:eastAsia="zh-CN"/>
        </w:rPr>
        <w:t>7</w:t>
      </w:r>
      <w:r>
        <w:rPr>
          <w:rFonts w:hint="eastAsia" w:ascii="Times New Roman" w:hAnsi="Times New Roman" w:eastAsia="宋体" w:cs="Times New Roman"/>
          <w:color w:val="auto"/>
          <w:szCs w:val="21"/>
          <w:highlight w:val="none"/>
        </w:rPr>
        <w:t xml:space="preserve"> 乙方或乙方人员造成甲方或第三方经济损失而拒不赔偿的；</w:t>
      </w:r>
    </w:p>
    <w:p w14:paraId="5A6027C1">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12.2.</w:t>
      </w:r>
      <w:r>
        <w:rPr>
          <w:rFonts w:hint="eastAsia" w:ascii="Times New Roman" w:hAnsi="Times New Roman" w:cs="Times New Roman"/>
          <w:color w:val="auto"/>
          <w:szCs w:val="21"/>
          <w:highlight w:val="none"/>
          <w:lang w:val="en-US" w:eastAsia="zh-CN"/>
        </w:rPr>
        <w:t>8</w:t>
      </w:r>
      <w:r>
        <w:rPr>
          <w:rFonts w:hint="eastAsia" w:ascii="Times New Roman" w:hAnsi="Times New Roman" w:eastAsia="宋体" w:cs="Times New Roman"/>
          <w:color w:val="auto"/>
          <w:szCs w:val="21"/>
          <w:highlight w:val="none"/>
        </w:rPr>
        <w:t xml:space="preserve"> 乙方转让其应履行的合同义务，或未经甲方同意采取分包方式履行合同的；</w:t>
      </w:r>
    </w:p>
    <w:p w14:paraId="676D2057">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12.2.</w:t>
      </w:r>
      <w:r>
        <w:rPr>
          <w:rFonts w:hint="eastAsia" w:ascii="Times New Roman" w:hAnsi="Times New Roman" w:cs="Times New Roman"/>
          <w:color w:val="auto"/>
          <w:szCs w:val="21"/>
          <w:highlight w:val="none"/>
          <w:lang w:val="en-US" w:eastAsia="zh-CN"/>
        </w:rPr>
        <w:t>9</w:t>
      </w:r>
      <w:r>
        <w:rPr>
          <w:rFonts w:hint="eastAsia" w:ascii="Times New Roman" w:hAnsi="Times New Roman" w:eastAsia="宋体" w:cs="Times New Roman"/>
          <w:color w:val="auto"/>
          <w:szCs w:val="21"/>
          <w:highlight w:val="none"/>
        </w:rPr>
        <w:t xml:space="preserve"> 乙方有其他严重违约行为的。</w:t>
      </w:r>
    </w:p>
    <w:p w14:paraId="42D9F461">
      <w:pPr>
        <w:topLinePunct/>
        <w:autoSpaceDE w:val="0"/>
        <w:autoSpaceDN w:val="0"/>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12.3如果甲方根据上述第12.2条的规定，解除了全部或部分合同，甲方可以适当的条件和方法购买乙方未能提供的服务，乙方应对甲方购买类似服务所超出的费用负责。同时，乙方应继续执行合同中未解除的部分。</w:t>
      </w:r>
    </w:p>
    <w:p w14:paraId="108E9EB0">
      <w:pPr>
        <w:spacing w:line="360" w:lineRule="auto"/>
        <w:ind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13. 破产终止合同</w:t>
      </w:r>
    </w:p>
    <w:p w14:paraId="36CEA6C5">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13.1 如果乙方破产或无清偿能力，甲方可在任何时候以书面形式通知乙方终止合同而不给乙方补偿。</w:t>
      </w:r>
    </w:p>
    <w:p w14:paraId="1DB24EB8">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13.2该终止合同将不损害或影响甲方已经采取或将要采取的任何行动或补救措施的权利。</w:t>
      </w:r>
    </w:p>
    <w:p w14:paraId="17638FA2">
      <w:pPr>
        <w:topLinePunct/>
        <w:autoSpaceDE w:val="0"/>
        <w:autoSpaceDN w:val="0"/>
        <w:spacing w:line="360" w:lineRule="auto"/>
        <w:ind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14. 其他情况的终止合同</w:t>
      </w:r>
    </w:p>
    <w:p w14:paraId="6709A650">
      <w:pPr>
        <w:topLinePunct/>
        <w:autoSpaceDE w:val="0"/>
        <w:autoSpaceDN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Times New Roman"/>
          <w:color w:val="auto"/>
          <w:szCs w:val="21"/>
          <w:highlight w:val="none"/>
        </w:rPr>
        <w:t>14.1　若合同继续履行将给甲方造成重大损失的，</w:t>
      </w:r>
      <w:r>
        <w:rPr>
          <w:rFonts w:hint="eastAsia" w:ascii="Times New Roman" w:hAnsi="Times New Roman" w:eastAsia="宋体" w:cs="宋体"/>
          <w:color w:val="auto"/>
          <w:szCs w:val="21"/>
          <w:highlight w:val="none"/>
        </w:rPr>
        <w:t>甲方可以</w:t>
      </w:r>
      <w:r>
        <w:rPr>
          <w:rFonts w:hint="eastAsia" w:ascii="Times New Roman" w:hAnsi="Times New Roman" w:eastAsia="宋体" w:cs="宋体"/>
          <w:color w:val="auto"/>
          <w:szCs w:val="21"/>
          <w:highlight w:val="none"/>
          <w:lang w:val="en-US" w:eastAsia="zh-CN"/>
        </w:rPr>
        <w:t>单方面</w:t>
      </w:r>
      <w:r>
        <w:rPr>
          <w:rFonts w:hint="eastAsia" w:ascii="Times New Roman" w:hAnsi="Times New Roman" w:eastAsia="宋体" w:cs="宋体"/>
          <w:color w:val="auto"/>
          <w:szCs w:val="21"/>
          <w:highlight w:val="none"/>
        </w:rPr>
        <w:t>终止合同而不给予乙方任何补偿。</w:t>
      </w:r>
    </w:p>
    <w:p w14:paraId="191D08D8">
      <w:pPr>
        <w:topLinePunct/>
        <w:autoSpaceDE w:val="0"/>
        <w:autoSpaceDN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Times New Roman"/>
          <w:color w:val="auto"/>
          <w:szCs w:val="21"/>
          <w:highlight w:val="none"/>
        </w:rPr>
        <w:t>14.2 乙方在执行合同的过程中发生重大事故或变故，对履行合同有直接影响的，</w:t>
      </w:r>
      <w:r>
        <w:rPr>
          <w:rFonts w:hint="eastAsia" w:ascii="Times New Roman" w:hAnsi="Times New Roman" w:eastAsia="宋体" w:cs="宋体"/>
          <w:color w:val="auto"/>
          <w:szCs w:val="21"/>
          <w:highlight w:val="none"/>
        </w:rPr>
        <w:t>甲方可以</w:t>
      </w:r>
      <w:r>
        <w:rPr>
          <w:rFonts w:hint="eastAsia" w:ascii="Times New Roman" w:hAnsi="Times New Roman" w:eastAsia="宋体" w:cs="宋体"/>
          <w:color w:val="auto"/>
          <w:szCs w:val="21"/>
          <w:highlight w:val="none"/>
          <w:lang w:val="en-US" w:eastAsia="zh-CN"/>
        </w:rPr>
        <w:t>单方面</w:t>
      </w:r>
      <w:r>
        <w:rPr>
          <w:rFonts w:hint="eastAsia" w:ascii="Times New Roman" w:hAnsi="Times New Roman" w:eastAsia="宋体" w:cs="宋体"/>
          <w:color w:val="auto"/>
          <w:szCs w:val="21"/>
          <w:highlight w:val="none"/>
        </w:rPr>
        <w:t>终止合同而不给予乙方任何补偿。</w:t>
      </w:r>
    </w:p>
    <w:p w14:paraId="44FB8879">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14.3 在服务期内，由于甲方工作计划调整，推广使用新应用系统导致本项目相关服务停止的，</w:t>
      </w:r>
      <w:r>
        <w:rPr>
          <w:rFonts w:hint="eastAsia" w:ascii="Times New Roman" w:hAnsi="Times New Roman" w:eastAsia="宋体" w:cs="宋体"/>
          <w:color w:val="auto"/>
          <w:szCs w:val="21"/>
          <w:highlight w:val="none"/>
        </w:rPr>
        <w:t>甲方可以</w:t>
      </w:r>
      <w:r>
        <w:rPr>
          <w:rFonts w:hint="eastAsia" w:ascii="Times New Roman" w:hAnsi="Times New Roman" w:eastAsia="宋体" w:cs="宋体"/>
          <w:color w:val="auto"/>
          <w:szCs w:val="21"/>
          <w:highlight w:val="none"/>
          <w:lang w:val="en-US" w:eastAsia="zh-CN"/>
        </w:rPr>
        <w:t>单方面</w:t>
      </w:r>
      <w:r>
        <w:rPr>
          <w:rFonts w:hint="eastAsia" w:ascii="Times New Roman" w:hAnsi="Times New Roman" w:eastAsia="宋体" w:cs="宋体"/>
          <w:color w:val="auto"/>
          <w:szCs w:val="21"/>
          <w:highlight w:val="none"/>
        </w:rPr>
        <w:t>终止合同而不给予乙方任何补偿。</w:t>
      </w:r>
    </w:p>
    <w:p w14:paraId="4870E231">
      <w:pPr>
        <w:tabs>
          <w:tab w:val="left" w:pos="700"/>
        </w:tabs>
        <w:spacing w:line="360" w:lineRule="auto"/>
        <w:ind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15. 合同修改或变更</w:t>
      </w:r>
    </w:p>
    <w:p w14:paraId="1726C377">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15.1如无合同约定或法定事由，甲乙双方不得擅自变更合同。</w:t>
      </w:r>
    </w:p>
    <w:p w14:paraId="290FB829">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15.2 合同如有未尽事宜，须经甲乙双方共同协商，做出补充约定，并签订书面补充合同或变更协议。补充合同或变更协议作为本合同的一部分，与本合同具有同等效力。</w:t>
      </w:r>
    </w:p>
    <w:p w14:paraId="7C6DBABB">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15.3 除了双方签署书面修改或变更协议，并成为本合同不可分割的一部分的情况之外，本合同的条款不得有任何变化或修改。</w:t>
      </w:r>
    </w:p>
    <w:p w14:paraId="1E906AE0">
      <w:pPr>
        <w:topLinePunct/>
        <w:autoSpaceDE w:val="0"/>
        <w:autoSpaceDN w:val="0"/>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15.4 由于甲方项目统一规划等原因导致本项目停止部分服务的，甲方将启动合同变更程序，与乙方协商变更相关合同条款。</w:t>
      </w:r>
    </w:p>
    <w:p w14:paraId="498D5472">
      <w:pPr>
        <w:topLinePunct/>
        <w:autoSpaceDE w:val="0"/>
        <w:autoSpaceDN w:val="0"/>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15.5 在不改变合同其他条款的前提下，甲方有权在合同价款10%的范围内追加与合同标的相同的货物或服务，</w:t>
      </w:r>
      <w:r>
        <w:rPr>
          <w:rFonts w:hint="eastAsia" w:ascii="Times New Roman" w:hAnsi="Times New Roman" w:eastAsia="宋体" w:cs="Times New Roman"/>
          <w:color w:val="auto"/>
          <w:szCs w:val="21"/>
          <w:highlight w:val="none"/>
          <w:lang w:val="en-US" w:eastAsia="zh-CN"/>
        </w:rPr>
        <w:t>追加货物或服务的定价按本合同分项报价表的单价执行，</w:t>
      </w:r>
      <w:r>
        <w:rPr>
          <w:rFonts w:hint="eastAsia" w:ascii="Times New Roman" w:hAnsi="Times New Roman" w:eastAsia="宋体" w:cs="Times New Roman"/>
          <w:color w:val="auto"/>
          <w:szCs w:val="21"/>
          <w:highlight w:val="none"/>
        </w:rPr>
        <w:t>并就此与乙方签订补充合同，乙方不得拒绝。</w:t>
      </w:r>
    </w:p>
    <w:p w14:paraId="186C7EA7">
      <w:pPr>
        <w:spacing w:line="360" w:lineRule="auto"/>
        <w:ind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16. 转让和分包</w:t>
      </w:r>
    </w:p>
    <w:p w14:paraId="576423AB">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16.1 除甲方事先书面同意外，乙方不得部分转让或全部转让其应履行的合同义务。</w:t>
      </w:r>
    </w:p>
    <w:p w14:paraId="2271AEE9">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16.2 </w:t>
      </w:r>
      <w:r>
        <w:rPr>
          <w:rFonts w:hint="eastAsia" w:ascii="Times New Roman" w:hAnsi="Times New Roman" w:eastAsia="宋体" w:cs="Times New Roman"/>
          <w:color w:val="auto"/>
          <w:szCs w:val="21"/>
          <w:highlight w:val="none"/>
          <w:lang w:val="en-US" w:eastAsia="zh-CN"/>
        </w:rPr>
        <w:t>未经甲方书面同意，</w:t>
      </w:r>
      <w:r>
        <w:rPr>
          <w:rFonts w:hint="eastAsia" w:ascii="Times New Roman" w:hAnsi="Times New Roman" w:eastAsia="宋体" w:cs="宋体"/>
          <w:color w:val="auto"/>
          <w:szCs w:val="21"/>
          <w:highlight w:val="none"/>
          <w:lang w:val="en-US" w:eastAsia="zh-CN"/>
        </w:rPr>
        <w:t>乙方不得将本合同项下的任何服务义务分包给第三方，甲方仅对本项目非核心、辅助性工作的分包申请予以审核。经甲方同意分包的，乙方就本合同分包项目向甲方承担连带责任，分包供应商就分包项目向甲方承担直接责任；甲方对分包供应商的审核认可，不免除乙方对分包项目的管理责任及全部合同义务，甲方有权直接向乙方主张全部合同权利。</w:t>
      </w:r>
    </w:p>
    <w:p w14:paraId="5D5588DC">
      <w:pPr>
        <w:topLinePunct/>
        <w:autoSpaceDE w:val="0"/>
        <w:autoSpaceDN w:val="0"/>
        <w:spacing w:line="360" w:lineRule="auto"/>
        <w:ind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17. 合同语言</w:t>
      </w:r>
    </w:p>
    <w:p w14:paraId="3B65E3C1">
      <w:pPr>
        <w:topLinePunct/>
        <w:autoSpaceDE w:val="0"/>
        <w:autoSpaceDN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17.1 本合同语言为中文。</w:t>
      </w:r>
    </w:p>
    <w:p w14:paraId="3D6E0B3B">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17.2 双方交换的与合同有关的信件和其他文件应用合同语言书写。</w:t>
      </w:r>
    </w:p>
    <w:p w14:paraId="4FB6D7AF">
      <w:pPr>
        <w:spacing w:line="360" w:lineRule="auto"/>
        <w:ind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18. 适用法律</w:t>
      </w:r>
    </w:p>
    <w:p w14:paraId="20C52BDC">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18.1</w:t>
      </w:r>
      <w:r>
        <w:rPr>
          <w:rFonts w:hint="eastAsia" w:ascii="Times New Roman" w:hAnsi="Times New Roman" w:eastAsia="宋体" w:cs="Times New Roman"/>
          <w:color w:val="auto"/>
          <w:szCs w:val="21"/>
          <w:highlight w:val="none"/>
        </w:rPr>
        <w:t>本合同适用中华人民共和国现行法律、行政法规和规章，如合同条款与法律、行政法规和规章不一致的，按照法律、行政法规和规章修改本合同。</w:t>
      </w:r>
    </w:p>
    <w:p w14:paraId="01BE9626">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18.2 本合同的履行、违约责任和解决争议的方法等适用</w:t>
      </w:r>
      <w:r>
        <w:rPr>
          <w:rFonts w:hint="eastAsia" w:ascii="Times New Roman" w:hAnsi="Times New Roman" w:eastAsia="宋体" w:cs="宋体"/>
          <w:color w:val="auto"/>
          <w:szCs w:val="21"/>
          <w:highlight w:val="none"/>
        </w:rPr>
        <w:t>《中华人民共和国民法典》</w:t>
      </w:r>
      <w:r>
        <w:rPr>
          <w:rFonts w:ascii="Times New Roman" w:hAnsi="Times New Roman" w:eastAsia="宋体" w:cs="Times New Roman"/>
          <w:color w:val="auto"/>
          <w:szCs w:val="21"/>
          <w:highlight w:val="none"/>
        </w:rPr>
        <w:t>。</w:t>
      </w:r>
    </w:p>
    <w:p w14:paraId="4A494F77">
      <w:pPr>
        <w:topLinePunct/>
        <w:autoSpaceDE w:val="0"/>
        <w:autoSpaceDN w:val="0"/>
        <w:spacing w:line="360" w:lineRule="auto"/>
        <w:ind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19. 税费</w:t>
      </w:r>
    </w:p>
    <w:p w14:paraId="04810B9C">
      <w:pPr>
        <w:topLinePunct/>
        <w:autoSpaceDE w:val="0"/>
        <w:autoSpaceDN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19.1 乙方应依法缴纳的合同服务相关税费，均已包含于合同总金额中，甲方不再另行支付。</w:t>
      </w:r>
    </w:p>
    <w:p w14:paraId="5FBD2DB3">
      <w:pPr>
        <w:spacing w:line="440" w:lineRule="exact"/>
        <w:ind w:firstLine="420" w:firstLineChars="200"/>
        <w:rPr>
          <w:rFonts w:ascii="Times New Roman" w:hAnsi="Times New Roman" w:eastAsia="宋体" w:cs="Courier New"/>
          <w:color w:val="auto"/>
          <w:szCs w:val="21"/>
          <w:highlight w:val="none"/>
        </w:rPr>
      </w:pPr>
      <w:r>
        <w:rPr>
          <w:rFonts w:ascii="Times New Roman" w:hAnsi="Times New Roman" w:eastAsia="宋体" w:cs="Courier New"/>
          <w:color w:val="auto"/>
          <w:szCs w:val="21"/>
          <w:highlight w:val="none"/>
        </w:rPr>
        <w:t>20.</w:t>
      </w:r>
      <w:r>
        <w:rPr>
          <w:rFonts w:hint="eastAsia" w:ascii="Times New Roman" w:hAnsi="Times New Roman" w:eastAsia="宋体" w:cs="Courier New"/>
          <w:color w:val="auto"/>
          <w:szCs w:val="21"/>
          <w:highlight w:val="none"/>
        </w:rPr>
        <w:t>合同效力</w:t>
      </w:r>
    </w:p>
    <w:p w14:paraId="01F5ADEE">
      <w:pPr>
        <w:spacing w:line="440" w:lineRule="exact"/>
        <w:ind w:firstLine="420" w:firstLineChars="200"/>
        <w:rPr>
          <w:rFonts w:ascii="Times New Roman" w:hAnsi="Times New Roman" w:eastAsia="宋体" w:cs="Courier New"/>
          <w:color w:val="auto"/>
          <w:szCs w:val="21"/>
          <w:highlight w:val="none"/>
        </w:rPr>
      </w:pPr>
      <w:r>
        <w:rPr>
          <w:rFonts w:ascii="Times New Roman" w:hAnsi="Times New Roman" w:eastAsia="宋体" w:cs="Courier New"/>
          <w:color w:val="auto"/>
          <w:szCs w:val="21"/>
          <w:highlight w:val="none"/>
        </w:rPr>
        <w:t>20.1</w:t>
      </w:r>
      <w:r>
        <w:rPr>
          <w:rFonts w:hint="eastAsia" w:ascii="Times New Roman" w:hAnsi="Times New Roman" w:eastAsia="宋体" w:cs="Courier New"/>
          <w:color w:val="auto"/>
          <w:szCs w:val="21"/>
          <w:highlight w:val="none"/>
        </w:rPr>
        <w:t>　</w:t>
      </w:r>
      <w:r>
        <w:rPr>
          <w:rFonts w:hint="eastAsia" w:ascii="Times New Roman" w:hAnsi="Times New Roman" w:eastAsia="宋体" w:cs="Courier New"/>
          <w:color w:val="auto"/>
          <w:szCs w:val="21"/>
          <w:highlight w:val="none"/>
          <w:lang w:val="en-US" w:eastAsia="zh-CN"/>
        </w:rPr>
        <w:t>对本合同内容的变更或补充，甲乙</w:t>
      </w:r>
      <w:r>
        <w:rPr>
          <w:rFonts w:hint="eastAsia" w:ascii="Times New Roman" w:hAnsi="Times New Roman" w:cs="Courier New"/>
          <w:color w:val="auto"/>
          <w:szCs w:val="21"/>
          <w:highlight w:val="none"/>
          <w:lang w:val="en-US" w:eastAsia="zh-CN"/>
        </w:rPr>
        <w:t>双</w:t>
      </w:r>
      <w:r>
        <w:rPr>
          <w:rFonts w:hint="eastAsia" w:ascii="Times New Roman" w:hAnsi="Times New Roman" w:eastAsia="宋体" w:cs="Courier New"/>
          <w:color w:val="auto"/>
          <w:szCs w:val="21"/>
          <w:highlight w:val="none"/>
          <w:lang w:val="en-US" w:eastAsia="zh-CN"/>
        </w:rPr>
        <w:t>方应当签订书面补充协议。</w:t>
      </w:r>
    </w:p>
    <w:p w14:paraId="0451FD04">
      <w:pPr>
        <w:spacing w:line="440" w:lineRule="exact"/>
        <w:ind w:firstLine="420" w:firstLineChars="200"/>
        <w:rPr>
          <w:rFonts w:ascii="Times New Roman" w:hAnsi="Times New Roman" w:eastAsia="宋体" w:cs="Courier New"/>
          <w:color w:val="auto"/>
          <w:szCs w:val="21"/>
          <w:highlight w:val="none"/>
        </w:rPr>
      </w:pPr>
      <w:r>
        <w:rPr>
          <w:rFonts w:ascii="Times New Roman" w:hAnsi="Times New Roman" w:eastAsia="宋体" w:cs="Courier New"/>
          <w:color w:val="auto"/>
          <w:szCs w:val="21"/>
          <w:highlight w:val="none"/>
        </w:rPr>
        <w:t>21.</w:t>
      </w:r>
      <w:r>
        <w:rPr>
          <w:rFonts w:hint="eastAsia" w:ascii="Times New Roman" w:hAnsi="Times New Roman" w:eastAsia="宋体" w:cs="Courier New"/>
          <w:color w:val="auto"/>
          <w:szCs w:val="21"/>
          <w:highlight w:val="none"/>
        </w:rPr>
        <w:t>检查和审计</w:t>
      </w:r>
    </w:p>
    <w:p w14:paraId="6D7A1F77">
      <w:pPr>
        <w:spacing w:line="440" w:lineRule="exact"/>
        <w:ind w:firstLine="420" w:firstLineChars="200"/>
        <w:rPr>
          <w:rFonts w:ascii="Times New Roman" w:hAnsi="Times New Roman" w:eastAsia="宋体" w:cs="Courier New"/>
          <w:color w:val="auto"/>
          <w:szCs w:val="21"/>
          <w:highlight w:val="none"/>
        </w:rPr>
      </w:pPr>
      <w:r>
        <w:rPr>
          <w:rFonts w:ascii="Times New Roman" w:hAnsi="Times New Roman" w:eastAsia="宋体" w:cs="Courier New"/>
          <w:color w:val="auto"/>
          <w:szCs w:val="21"/>
          <w:highlight w:val="none"/>
        </w:rPr>
        <w:t>21.1</w:t>
      </w:r>
      <w:r>
        <w:rPr>
          <w:rFonts w:hint="eastAsia" w:ascii="Times New Roman" w:hAnsi="Times New Roman" w:eastAsia="宋体" w:cs="Courier New"/>
          <w:color w:val="auto"/>
          <w:szCs w:val="21"/>
          <w:highlight w:val="none"/>
        </w:rPr>
        <w:t>在本合同的履行过程中，甲方有权对乙方的合同履约情况进行阶段性检查，并对乙方</w:t>
      </w:r>
      <w:r>
        <w:rPr>
          <w:rFonts w:hint="eastAsia" w:ascii="Times New Roman" w:hAnsi="Times New Roman" w:eastAsia="宋体" w:cs="Courier New"/>
          <w:color w:val="auto"/>
          <w:szCs w:val="21"/>
          <w:highlight w:val="none"/>
          <w:lang w:eastAsia="zh-CN"/>
        </w:rPr>
        <w:t>响应</w:t>
      </w:r>
      <w:r>
        <w:rPr>
          <w:rFonts w:hint="eastAsia" w:ascii="Times New Roman" w:hAnsi="Times New Roman" w:eastAsia="宋体" w:cs="Courier New"/>
          <w:color w:val="auto"/>
          <w:szCs w:val="21"/>
          <w:highlight w:val="none"/>
        </w:rPr>
        <w:t>时提供的相关资料进行复核。</w:t>
      </w:r>
    </w:p>
    <w:p w14:paraId="5BC4A765">
      <w:pPr>
        <w:spacing w:line="440" w:lineRule="exact"/>
        <w:ind w:firstLine="420" w:firstLineChars="200"/>
        <w:rPr>
          <w:rFonts w:ascii="Times New Roman" w:hAnsi="Times New Roman" w:eastAsia="宋体" w:cs="Courier New"/>
          <w:color w:val="auto"/>
          <w:szCs w:val="21"/>
          <w:highlight w:val="none"/>
        </w:rPr>
      </w:pPr>
      <w:r>
        <w:rPr>
          <w:rFonts w:ascii="Times New Roman" w:hAnsi="Times New Roman" w:eastAsia="宋体" w:cs="Courier New"/>
          <w:color w:val="auto"/>
          <w:szCs w:val="21"/>
          <w:highlight w:val="none"/>
        </w:rPr>
        <w:t>21.2</w:t>
      </w:r>
      <w:r>
        <w:rPr>
          <w:rFonts w:hint="eastAsia" w:ascii="Times New Roman" w:hAnsi="Times New Roman" w:eastAsia="宋体" w:cs="Courier New"/>
          <w:color w:val="auto"/>
          <w:szCs w:val="21"/>
          <w:highlight w:val="none"/>
        </w:rPr>
        <w:t>　在本合同的履行过程中，如果甲乙双方发生争议或者乙方没有按照合同约定履行义务，乙方应允许甲方检查乙方与实施本合同有关的账户和记录，并由甲方指定的审计人员对其进行审计。</w:t>
      </w:r>
    </w:p>
    <w:p w14:paraId="6C7D3F8E">
      <w:pPr>
        <w:tabs>
          <w:tab w:val="left" w:pos="700"/>
        </w:tabs>
        <w:spacing w:line="360" w:lineRule="auto"/>
        <w:ind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 xml:space="preserve">22. </w:t>
      </w:r>
      <w:r>
        <w:rPr>
          <w:rFonts w:hint="eastAsia" w:ascii="Times New Roman" w:hAnsi="Times New Roman" w:eastAsia="宋体" w:cs="Times New Roman"/>
          <w:b/>
          <w:color w:val="auto"/>
          <w:szCs w:val="21"/>
          <w:highlight w:val="none"/>
        </w:rPr>
        <w:t>合同生效</w:t>
      </w:r>
    </w:p>
    <w:p w14:paraId="2AAD4826">
      <w:pPr>
        <w:tabs>
          <w:tab w:val="left" w:pos="700"/>
        </w:tabs>
        <w:topLinePunct/>
        <w:autoSpaceDE w:val="0"/>
        <w:autoSpaceDN w:val="0"/>
        <w:snapToGrid w:val="0"/>
        <w:spacing w:line="360" w:lineRule="auto"/>
        <w:ind w:firstLine="420" w:firstLineChars="200"/>
        <w:rPr>
          <w:rFonts w:ascii="宋体" w:hAnsi="宋体" w:eastAsia="宋体" w:cs="宋体"/>
          <w:color w:val="auto"/>
          <w:szCs w:val="21"/>
          <w:highlight w:val="none"/>
        </w:rPr>
      </w:pPr>
      <w:r>
        <w:rPr>
          <w:rFonts w:ascii="Times New Roman" w:hAnsi="Times New Roman" w:eastAsia="宋体" w:cs="Times New Roman"/>
          <w:color w:val="auto"/>
          <w:szCs w:val="21"/>
          <w:highlight w:val="none"/>
        </w:rPr>
        <w:t xml:space="preserve">22.1 </w:t>
      </w:r>
      <w:r>
        <w:rPr>
          <w:rFonts w:hint="eastAsia" w:ascii="宋体" w:hAnsi="宋体" w:eastAsia="宋体" w:cs="宋体"/>
          <w:color w:val="auto"/>
          <w:szCs w:val="21"/>
          <w:highlight w:val="none"/>
        </w:rPr>
        <w:t>本合同一式</w:t>
      </w:r>
      <w:r>
        <w:rPr>
          <w:rFonts w:hint="eastAsia" w:ascii="宋体" w:hAnsi="宋体" w:eastAsia="宋体" w:cs="宋体"/>
          <w:color w:val="auto"/>
          <w:szCs w:val="21"/>
          <w:highlight w:val="none"/>
          <w:lang w:eastAsia="zh-CN"/>
        </w:rPr>
        <w:t>七</w:t>
      </w:r>
      <w:r>
        <w:rPr>
          <w:rFonts w:hint="eastAsia" w:ascii="宋体" w:hAnsi="宋体" w:eastAsia="宋体" w:cs="宋体"/>
          <w:color w:val="auto"/>
          <w:szCs w:val="21"/>
          <w:highlight w:val="none"/>
        </w:rPr>
        <w:t>份，具有同等法律效力，甲方四份，乙方二份，采购代理机构</w:t>
      </w:r>
      <w:r>
        <w:rPr>
          <w:rFonts w:hint="eastAsia" w:ascii="宋体" w:hAnsi="宋体" w:eastAsia="宋体" w:cs="宋体"/>
          <w:color w:val="auto"/>
          <w:szCs w:val="21"/>
          <w:highlight w:val="none"/>
          <w:lang w:eastAsia="zh-CN"/>
        </w:rPr>
        <w:t>一</w:t>
      </w:r>
      <w:r>
        <w:rPr>
          <w:rFonts w:hint="eastAsia" w:ascii="宋体" w:hAnsi="宋体" w:eastAsia="宋体" w:cs="宋体"/>
          <w:color w:val="auto"/>
          <w:szCs w:val="21"/>
          <w:highlight w:val="none"/>
        </w:rPr>
        <w:t>份，应在甲方收到乙方提供的履约保证金</w:t>
      </w:r>
      <w:r>
        <w:rPr>
          <w:rFonts w:hint="eastAsia" w:ascii="宋体" w:hAnsi="宋体" w:eastAsia="宋体" w:cs="宋体"/>
          <w:color w:val="auto"/>
          <w:szCs w:val="21"/>
          <w:highlight w:val="none"/>
          <w:lang w:eastAsia="zh-CN"/>
        </w:rPr>
        <w:t>（如有）</w:t>
      </w:r>
      <w:r>
        <w:rPr>
          <w:rFonts w:hint="eastAsia" w:ascii="宋体" w:hAnsi="宋体" w:eastAsia="宋体" w:cs="宋体"/>
          <w:color w:val="auto"/>
          <w:szCs w:val="21"/>
          <w:highlight w:val="none"/>
        </w:rPr>
        <w:t>，由甲乙双方法定代表人或被授权人签字并盖章后生效。乙方由法定代表人签订合同的，应提供法定代表人身份证复印件；乙方由被授权人签订合同的，应提供授权委托书和被授权人身份证复印件。</w:t>
      </w:r>
    </w:p>
    <w:p w14:paraId="53B7ED3C">
      <w:pPr>
        <w:topLinePunct/>
        <w:autoSpaceDE w:val="0"/>
        <w:autoSpaceDN w:val="0"/>
        <w:spacing w:line="360" w:lineRule="auto"/>
        <w:jc w:val="center"/>
        <w:rPr>
          <w:rFonts w:hint="eastAsia" w:ascii="宋体" w:hAnsi="宋体" w:eastAsia="宋体" w:cs="宋体"/>
          <w:b/>
          <w:color w:val="auto"/>
          <w:sz w:val="24"/>
          <w:highlight w:val="none"/>
        </w:rPr>
      </w:pPr>
    </w:p>
    <w:p w14:paraId="735C849A">
      <w:pPr>
        <w:topLinePunct/>
        <w:autoSpaceDE w:val="0"/>
        <w:autoSpaceDN w:val="0"/>
        <w:spacing w:line="360" w:lineRule="auto"/>
        <w:jc w:val="center"/>
        <w:rPr>
          <w:rFonts w:hint="eastAsia" w:ascii="宋体" w:hAnsi="宋体" w:eastAsia="宋体" w:cs="宋体"/>
          <w:b/>
          <w:color w:val="auto"/>
          <w:sz w:val="24"/>
          <w:highlight w:val="none"/>
        </w:rPr>
      </w:pPr>
    </w:p>
    <w:p w14:paraId="795A7C1D">
      <w:pPr>
        <w:topLinePunct/>
        <w:autoSpaceDE w:val="0"/>
        <w:autoSpaceDN w:val="0"/>
        <w:spacing w:line="360" w:lineRule="auto"/>
        <w:jc w:val="center"/>
        <w:rPr>
          <w:rFonts w:hint="eastAsia" w:ascii="宋体" w:hAnsi="宋体" w:eastAsia="宋体" w:cs="宋体"/>
          <w:b/>
          <w:color w:val="auto"/>
          <w:sz w:val="24"/>
          <w:highlight w:val="none"/>
        </w:rPr>
      </w:pPr>
    </w:p>
    <w:p w14:paraId="29FF2646">
      <w:pPr>
        <w:topLinePunct/>
        <w:autoSpaceDE w:val="0"/>
        <w:autoSpaceDN w:val="0"/>
        <w:spacing w:line="360" w:lineRule="auto"/>
        <w:jc w:val="center"/>
        <w:rPr>
          <w:rFonts w:hint="eastAsia" w:ascii="宋体" w:hAnsi="宋体" w:eastAsia="宋体" w:cs="宋体"/>
          <w:b/>
          <w:color w:val="auto"/>
          <w:sz w:val="24"/>
          <w:highlight w:val="none"/>
        </w:rPr>
      </w:pPr>
    </w:p>
    <w:p w14:paraId="1A782275">
      <w:pPr>
        <w:topLinePunct/>
        <w:autoSpaceDE w:val="0"/>
        <w:autoSpaceDN w:val="0"/>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三   磋商文件及响应文件（另附）</w:t>
      </w:r>
    </w:p>
    <w:p w14:paraId="28B4BA59">
      <w:pPr>
        <w:pStyle w:val="17"/>
        <w:rPr>
          <w:rFonts w:ascii="宋体" w:hAnsi="宋体" w:eastAsia="宋体" w:cs="宋体"/>
          <w:b/>
          <w:color w:val="auto"/>
          <w:sz w:val="24"/>
          <w:highlight w:val="none"/>
        </w:rPr>
      </w:pPr>
    </w:p>
    <w:p w14:paraId="23F4463E">
      <w:pPr>
        <w:pStyle w:val="17"/>
        <w:rPr>
          <w:rFonts w:ascii="宋体" w:hAnsi="宋体" w:eastAsia="宋体" w:cs="宋体"/>
          <w:b/>
          <w:color w:val="auto"/>
          <w:sz w:val="24"/>
          <w:highlight w:val="none"/>
        </w:rPr>
      </w:pPr>
    </w:p>
    <w:p w14:paraId="74BAA4C0">
      <w:pPr>
        <w:pStyle w:val="17"/>
        <w:rPr>
          <w:rFonts w:ascii="宋体" w:hAnsi="宋体" w:eastAsia="宋体" w:cs="宋体"/>
          <w:b/>
          <w:color w:val="auto"/>
          <w:sz w:val="24"/>
          <w:highlight w:val="none"/>
        </w:rPr>
      </w:pPr>
    </w:p>
    <w:p w14:paraId="4EB21319">
      <w:pPr>
        <w:pStyle w:val="17"/>
        <w:rPr>
          <w:rFonts w:ascii="宋体" w:hAnsi="宋体" w:eastAsia="宋体" w:cs="宋体"/>
          <w:b/>
          <w:color w:val="auto"/>
          <w:sz w:val="24"/>
          <w:highlight w:val="none"/>
        </w:rPr>
      </w:pPr>
    </w:p>
    <w:p w14:paraId="3D4079AD">
      <w:pPr>
        <w:pStyle w:val="17"/>
        <w:rPr>
          <w:rFonts w:ascii="宋体" w:hAnsi="宋体" w:eastAsia="宋体" w:cs="宋体"/>
          <w:b/>
          <w:color w:val="auto"/>
          <w:sz w:val="24"/>
          <w:highlight w:val="none"/>
        </w:rPr>
      </w:pPr>
    </w:p>
    <w:p w14:paraId="3C10EF33">
      <w:pPr>
        <w:pStyle w:val="17"/>
        <w:rPr>
          <w:rFonts w:ascii="宋体" w:hAnsi="宋体" w:cs="宋体"/>
          <w:color w:val="auto"/>
          <w:szCs w:val="21"/>
          <w:highlight w:val="none"/>
        </w:rPr>
      </w:pPr>
    </w:p>
    <w:p w14:paraId="05B37CFF">
      <w:pPr>
        <w:pStyle w:val="17"/>
        <w:rPr>
          <w:rFonts w:ascii="宋体" w:hAnsi="宋体" w:cs="宋体"/>
          <w:color w:val="auto"/>
          <w:szCs w:val="21"/>
          <w:highlight w:val="none"/>
        </w:rPr>
      </w:pPr>
    </w:p>
    <w:p w14:paraId="79A16C95">
      <w:pPr>
        <w:pStyle w:val="17"/>
        <w:rPr>
          <w:rFonts w:ascii="宋体" w:hAnsi="宋体" w:cs="宋体"/>
          <w:color w:val="auto"/>
          <w:szCs w:val="21"/>
          <w:highlight w:val="none"/>
        </w:rPr>
      </w:pPr>
    </w:p>
    <w:p w14:paraId="77D74546">
      <w:pPr>
        <w:pStyle w:val="17"/>
        <w:rPr>
          <w:rFonts w:ascii="宋体" w:hAnsi="宋体" w:cs="宋体"/>
          <w:color w:val="auto"/>
          <w:szCs w:val="21"/>
          <w:highlight w:val="none"/>
        </w:rPr>
      </w:pPr>
    </w:p>
    <w:p w14:paraId="5FD384E8">
      <w:pPr>
        <w:pStyle w:val="17"/>
        <w:rPr>
          <w:rFonts w:ascii="宋体" w:hAnsi="宋体" w:cs="宋体"/>
          <w:color w:val="auto"/>
          <w:szCs w:val="21"/>
          <w:highlight w:val="none"/>
        </w:rPr>
      </w:pPr>
    </w:p>
    <w:p w14:paraId="25438C3C">
      <w:pPr>
        <w:pStyle w:val="17"/>
        <w:rPr>
          <w:rFonts w:ascii="宋体" w:hAnsi="宋体" w:cs="宋体"/>
          <w:color w:val="auto"/>
          <w:szCs w:val="21"/>
          <w:highlight w:val="none"/>
        </w:rPr>
      </w:pPr>
    </w:p>
    <w:p w14:paraId="1344D2CA">
      <w:pPr>
        <w:pStyle w:val="17"/>
        <w:rPr>
          <w:rFonts w:ascii="宋体" w:hAnsi="宋体" w:cs="宋体"/>
          <w:color w:val="auto"/>
          <w:szCs w:val="21"/>
          <w:highlight w:val="none"/>
        </w:rPr>
      </w:pPr>
    </w:p>
    <w:p w14:paraId="645FF654">
      <w:pPr>
        <w:pStyle w:val="17"/>
        <w:rPr>
          <w:rFonts w:ascii="宋体" w:hAnsi="宋体" w:cs="宋体"/>
          <w:color w:val="auto"/>
          <w:szCs w:val="21"/>
          <w:highlight w:val="none"/>
        </w:rPr>
      </w:pPr>
    </w:p>
    <w:p w14:paraId="002FCF0A">
      <w:pPr>
        <w:pStyle w:val="17"/>
        <w:rPr>
          <w:rFonts w:ascii="宋体" w:hAnsi="宋体" w:cs="宋体"/>
          <w:color w:val="auto"/>
          <w:szCs w:val="21"/>
          <w:highlight w:val="none"/>
        </w:rPr>
      </w:pPr>
    </w:p>
    <w:p w14:paraId="4D44E259">
      <w:pPr>
        <w:pStyle w:val="17"/>
        <w:rPr>
          <w:rFonts w:ascii="宋体" w:hAnsi="宋体" w:cs="宋体"/>
          <w:color w:val="auto"/>
          <w:szCs w:val="21"/>
          <w:highlight w:val="none"/>
        </w:rPr>
      </w:pPr>
    </w:p>
    <w:p w14:paraId="6E371DF8">
      <w:pPr>
        <w:pStyle w:val="17"/>
        <w:rPr>
          <w:rFonts w:ascii="宋体" w:hAnsi="宋体" w:cs="宋体"/>
          <w:color w:val="auto"/>
          <w:szCs w:val="21"/>
          <w:highlight w:val="none"/>
        </w:rPr>
      </w:pPr>
    </w:p>
    <w:p w14:paraId="5FB368B8">
      <w:pPr>
        <w:pStyle w:val="17"/>
        <w:rPr>
          <w:rFonts w:ascii="宋体" w:hAnsi="宋体" w:cs="宋体"/>
          <w:color w:val="auto"/>
          <w:szCs w:val="21"/>
          <w:highlight w:val="none"/>
        </w:rPr>
      </w:pPr>
    </w:p>
    <w:p w14:paraId="5411339A">
      <w:pPr>
        <w:pStyle w:val="17"/>
        <w:rPr>
          <w:rFonts w:ascii="宋体" w:hAnsi="宋体" w:cs="宋体"/>
          <w:color w:val="auto"/>
          <w:szCs w:val="21"/>
          <w:highlight w:val="none"/>
        </w:rPr>
      </w:pPr>
    </w:p>
    <w:p w14:paraId="75007868">
      <w:pPr>
        <w:pStyle w:val="17"/>
        <w:rPr>
          <w:rFonts w:ascii="宋体" w:hAnsi="宋体" w:cs="宋体"/>
          <w:color w:val="auto"/>
          <w:szCs w:val="21"/>
          <w:highlight w:val="none"/>
        </w:rPr>
      </w:pPr>
    </w:p>
    <w:p w14:paraId="6EFD1810">
      <w:pPr>
        <w:pStyle w:val="17"/>
        <w:rPr>
          <w:rFonts w:ascii="宋体" w:hAnsi="宋体" w:cs="宋体"/>
          <w:color w:val="auto"/>
          <w:szCs w:val="21"/>
          <w:highlight w:val="none"/>
        </w:rPr>
      </w:pPr>
    </w:p>
    <w:p w14:paraId="618D3F2E">
      <w:pPr>
        <w:pStyle w:val="17"/>
        <w:rPr>
          <w:rFonts w:ascii="宋体" w:hAnsi="宋体" w:cs="宋体"/>
          <w:color w:val="auto"/>
          <w:szCs w:val="21"/>
          <w:highlight w:val="none"/>
        </w:rPr>
      </w:pPr>
    </w:p>
    <w:p w14:paraId="7CEBAAB2">
      <w:pPr>
        <w:pStyle w:val="17"/>
        <w:rPr>
          <w:rFonts w:ascii="宋体" w:hAnsi="宋体" w:cs="宋体"/>
          <w:color w:val="auto"/>
          <w:szCs w:val="21"/>
          <w:highlight w:val="none"/>
        </w:rPr>
      </w:pPr>
    </w:p>
    <w:p w14:paraId="56BF0030">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四 </w:t>
      </w:r>
      <w:r>
        <w:rPr>
          <w:rFonts w:hint="eastAsia" w:ascii="宋体" w:hAnsi="宋体" w:cs="宋体"/>
          <w:b/>
          <w:color w:val="auto"/>
          <w:sz w:val="24"/>
          <w:highlight w:val="none"/>
          <w:lang w:val="en-US" w:eastAsia="zh-CN"/>
        </w:rPr>
        <w:t xml:space="preserve"> 最后报价表</w:t>
      </w:r>
    </w:p>
    <w:p w14:paraId="0ED1AB17">
      <w:pPr>
        <w:pStyle w:val="17"/>
        <w:rPr>
          <w:rFonts w:ascii="宋体" w:hAnsi="宋体" w:cs="宋体"/>
          <w:color w:val="auto"/>
          <w:szCs w:val="21"/>
          <w:highlight w:val="none"/>
        </w:rPr>
      </w:pPr>
    </w:p>
    <w:p w14:paraId="78918B7D">
      <w:pPr>
        <w:pStyle w:val="17"/>
        <w:rPr>
          <w:rFonts w:ascii="宋体" w:hAnsi="宋体" w:cs="宋体"/>
          <w:color w:val="auto"/>
          <w:szCs w:val="21"/>
          <w:highlight w:val="none"/>
        </w:rPr>
      </w:pPr>
    </w:p>
    <w:p w14:paraId="2CF4BA0C">
      <w:pPr>
        <w:rPr>
          <w:rFonts w:ascii="宋体" w:hAnsi="宋体" w:cs="宋体"/>
          <w:color w:val="auto"/>
          <w:szCs w:val="21"/>
          <w:highlight w:val="none"/>
        </w:rPr>
      </w:pPr>
      <w:r>
        <w:rPr>
          <w:rFonts w:ascii="宋体" w:hAnsi="宋体" w:cs="宋体"/>
          <w:color w:val="auto"/>
          <w:szCs w:val="21"/>
          <w:highlight w:val="none"/>
        </w:rPr>
        <w:br w:type="page"/>
      </w:r>
    </w:p>
    <w:p w14:paraId="18B6BB27">
      <w:pPr>
        <w:pStyle w:val="3"/>
        <w:jc w:val="center"/>
        <w:rPr>
          <w:rFonts w:hint="default" w:cs="宋体"/>
          <w:color w:val="auto"/>
          <w:sz w:val="30"/>
          <w:szCs w:val="30"/>
          <w:highlight w:val="none"/>
        </w:rPr>
      </w:pPr>
      <w:bookmarkStart w:id="35" w:name="_Toc9695"/>
      <w:r>
        <w:rPr>
          <w:rFonts w:cs="宋体"/>
          <w:color w:val="auto"/>
          <w:sz w:val="30"/>
          <w:szCs w:val="30"/>
          <w:highlight w:val="none"/>
        </w:rPr>
        <w:t>第五章　响应文件格式</w:t>
      </w:r>
      <w:bookmarkEnd w:id="35"/>
    </w:p>
    <w:p w14:paraId="4822F68B">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供应商必须按下列文本格式，如实提供具有法律效力的资格证明文件和真实有效的其他文件资料，任何不按下列文本格式提供或有实质性变更将由供应商承担风险。</w:t>
      </w:r>
    </w:p>
    <w:p w14:paraId="6A701F63">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1.供应商应严格按照本章规定填写和提交全部格式文件以及其他有关资料，混乱地编排导致响应文件被误读或查找不到，后果由供应商承担。</w:t>
      </w:r>
    </w:p>
    <w:p w14:paraId="5833DF16">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2.所附表格中要求回答的全部问题和信息都必须正面回答。</w:t>
      </w:r>
    </w:p>
    <w:p w14:paraId="632790FD">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3.资格声明文件的签字人应保证全部声明和问题的回答是真实的和准确的。</w:t>
      </w:r>
    </w:p>
    <w:p w14:paraId="6B2DDA93">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4.磋商小组将应用供应商提交的资料并根据自己的判断，决定供应商履行合同的合格性及能力。</w:t>
      </w:r>
    </w:p>
    <w:p w14:paraId="223C4D05">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5.全部文件应按供应商须知中规定的语言提交。</w:t>
      </w:r>
    </w:p>
    <w:p w14:paraId="644C8F68">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6.以下格式文件为要求填写内容的固定格式，供应商不得擅自修改格式，其他未提供格式的文件和资料由供应商自行设计编制格式填写。</w:t>
      </w:r>
    </w:p>
    <w:p w14:paraId="3A2A8A48">
      <w:pPr>
        <w:adjustRightInd w:val="0"/>
        <w:snapToGrid w:val="0"/>
        <w:spacing w:beforeLines="20" w:after="4" w:line="360" w:lineRule="auto"/>
        <w:ind w:firstLine="422" w:firstLineChars="200"/>
        <w:jc w:val="center"/>
        <w:rPr>
          <w:rFonts w:ascii="宋体" w:hAnsi="宋体" w:cs="宋体"/>
          <w:b/>
          <w:bCs/>
          <w:color w:val="auto"/>
          <w:highlight w:val="none"/>
        </w:rPr>
      </w:pPr>
    </w:p>
    <w:p w14:paraId="3C6A3204">
      <w:pPr>
        <w:ind w:firstLine="422" w:firstLineChars="200"/>
        <w:jc w:val="center"/>
        <w:rPr>
          <w:rFonts w:ascii="宋体" w:hAnsi="宋体" w:cs="宋体"/>
          <w:b/>
          <w:bCs/>
          <w:color w:val="auto"/>
          <w:highlight w:val="none"/>
        </w:rPr>
      </w:pPr>
    </w:p>
    <w:p w14:paraId="68959460">
      <w:pPr>
        <w:rPr>
          <w:rFonts w:ascii="宋体" w:hAnsi="宋体" w:cs="宋体"/>
          <w:color w:val="auto"/>
          <w:highlight w:val="none"/>
        </w:rPr>
      </w:pPr>
    </w:p>
    <w:p w14:paraId="62AFC8D3">
      <w:pPr>
        <w:rPr>
          <w:rFonts w:ascii="宋体" w:hAnsi="宋体" w:cs="宋体"/>
          <w:b/>
          <w:bCs/>
          <w:color w:val="auto"/>
          <w:highlight w:val="none"/>
        </w:rPr>
      </w:pPr>
    </w:p>
    <w:p w14:paraId="2557FE45">
      <w:pPr>
        <w:adjustRightInd w:val="0"/>
        <w:snapToGrid w:val="0"/>
        <w:spacing w:line="360" w:lineRule="auto"/>
        <w:jc w:val="center"/>
        <w:rPr>
          <w:rFonts w:ascii="宋体" w:hAnsi="宋体" w:cs="宋体"/>
          <w:b/>
          <w:bCs/>
          <w:color w:val="auto"/>
          <w:highlight w:val="none"/>
        </w:rPr>
      </w:pPr>
      <w:r>
        <w:rPr>
          <w:rFonts w:hint="eastAsia" w:ascii="宋体" w:hAnsi="宋体" w:cs="宋体"/>
          <w:b/>
          <w:bCs/>
          <w:color w:val="auto"/>
          <w:highlight w:val="none"/>
        </w:rPr>
        <w:br w:type="page"/>
      </w:r>
    </w:p>
    <w:p w14:paraId="00049823">
      <w:pPr>
        <w:pStyle w:val="2"/>
        <w:rPr>
          <w:rFonts w:ascii="宋体" w:hAnsi="宋体" w:cs="宋体"/>
          <w:color w:val="auto"/>
          <w:kern w:val="0"/>
          <w:sz w:val="44"/>
          <w:szCs w:val="44"/>
          <w:highlight w:val="none"/>
        </w:rPr>
      </w:pPr>
    </w:p>
    <w:p w14:paraId="0F77CC29">
      <w:pPr>
        <w:rPr>
          <w:rFonts w:ascii="宋体" w:hAnsi="宋体" w:cs="宋体"/>
          <w:color w:val="auto"/>
          <w:highlight w:val="none"/>
        </w:rPr>
      </w:pPr>
    </w:p>
    <w:p w14:paraId="0034D331">
      <w:pPr>
        <w:spacing w:line="60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响  应  文  件</w:t>
      </w:r>
    </w:p>
    <w:p w14:paraId="6BA18BBD">
      <w:pPr>
        <w:spacing w:line="60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商务部分</w:t>
      </w:r>
    </w:p>
    <w:p w14:paraId="6AD99658">
      <w:pPr>
        <w:spacing w:line="360" w:lineRule="auto"/>
        <w:jc w:val="center"/>
        <w:rPr>
          <w:rFonts w:ascii="宋体" w:hAnsi="宋体" w:cs="宋体"/>
          <w:b/>
          <w:color w:val="auto"/>
          <w:kern w:val="0"/>
          <w:sz w:val="32"/>
          <w:szCs w:val="32"/>
          <w:highlight w:val="none"/>
        </w:rPr>
      </w:pPr>
    </w:p>
    <w:p w14:paraId="40959457">
      <w:pPr>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（填写正本或副本）</w:t>
      </w:r>
    </w:p>
    <w:p w14:paraId="0BEE2D29">
      <w:pPr>
        <w:spacing w:line="360" w:lineRule="auto"/>
        <w:ind w:firstLine="482" w:firstLineChars="200"/>
        <w:jc w:val="center"/>
        <w:rPr>
          <w:rFonts w:ascii="宋体" w:hAnsi="宋体" w:cs="宋体"/>
          <w:b/>
          <w:color w:val="auto"/>
          <w:kern w:val="0"/>
          <w:sz w:val="24"/>
          <w:szCs w:val="24"/>
          <w:highlight w:val="none"/>
        </w:rPr>
      </w:pPr>
    </w:p>
    <w:p w14:paraId="0071C84C">
      <w:pPr>
        <w:pStyle w:val="2"/>
        <w:rPr>
          <w:rFonts w:ascii="宋体" w:hAnsi="宋体" w:cs="宋体"/>
          <w:color w:val="auto"/>
          <w:kern w:val="0"/>
          <w:sz w:val="24"/>
          <w:highlight w:val="none"/>
        </w:rPr>
      </w:pPr>
    </w:p>
    <w:p w14:paraId="7B0F2BBA">
      <w:pPr>
        <w:rPr>
          <w:rFonts w:ascii="宋体" w:hAnsi="宋体" w:cs="宋体"/>
          <w:b/>
          <w:color w:val="auto"/>
          <w:kern w:val="0"/>
          <w:sz w:val="24"/>
          <w:szCs w:val="24"/>
          <w:highlight w:val="none"/>
        </w:rPr>
      </w:pPr>
    </w:p>
    <w:p w14:paraId="40310A21">
      <w:pPr>
        <w:pStyle w:val="2"/>
        <w:rPr>
          <w:rFonts w:ascii="宋体" w:hAnsi="宋体" w:cs="宋体"/>
          <w:color w:val="auto"/>
          <w:kern w:val="0"/>
          <w:sz w:val="24"/>
          <w:highlight w:val="none"/>
        </w:rPr>
      </w:pPr>
    </w:p>
    <w:p w14:paraId="5EC8FFF6">
      <w:pPr>
        <w:rPr>
          <w:rFonts w:ascii="宋体" w:hAnsi="宋体" w:cs="宋体"/>
          <w:b/>
          <w:color w:val="auto"/>
          <w:highlight w:val="none"/>
        </w:rPr>
      </w:pPr>
    </w:p>
    <w:p w14:paraId="501ADC7F">
      <w:pPr>
        <w:spacing w:line="360" w:lineRule="auto"/>
        <w:ind w:left="1470" w:leftChars="700" w:firstLine="1687" w:firstLineChars="7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项目名称：</w:t>
      </w:r>
      <w:r>
        <w:rPr>
          <w:rFonts w:hint="eastAsia" w:ascii="宋体" w:hAnsi="宋体" w:cs="宋体"/>
          <w:b/>
          <w:color w:val="auto"/>
          <w:kern w:val="0"/>
          <w:sz w:val="24"/>
          <w:szCs w:val="24"/>
          <w:highlight w:val="none"/>
          <w:u w:val="single"/>
        </w:rPr>
        <w:t xml:space="preserve">               </w:t>
      </w:r>
    </w:p>
    <w:p w14:paraId="462EF4E8">
      <w:pPr>
        <w:spacing w:line="360" w:lineRule="auto"/>
        <w:ind w:left="1470" w:leftChars="700" w:firstLine="1687" w:firstLineChars="7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项目编号：</w:t>
      </w:r>
      <w:r>
        <w:rPr>
          <w:rFonts w:hint="eastAsia" w:ascii="宋体" w:hAnsi="宋体" w:cs="宋体"/>
          <w:b/>
          <w:color w:val="auto"/>
          <w:kern w:val="0"/>
          <w:sz w:val="24"/>
          <w:szCs w:val="24"/>
          <w:highlight w:val="none"/>
          <w:u w:val="single"/>
        </w:rPr>
        <w:t xml:space="preserve">               </w:t>
      </w:r>
    </w:p>
    <w:p w14:paraId="5A791411">
      <w:pPr>
        <w:spacing w:line="360" w:lineRule="auto"/>
        <w:ind w:left="1470" w:leftChars="700" w:firstLine="482" w:firstLineChars="200"/>
        <w:jc w:val="center"/>
        <w:rPr>
          <w:rFonts w:ascii="宋体" w:hAnsi="宋体" w:cs="宋体"/>
          <w:b/>
          <w:color w:val="auto"/>
          <w:kern w:val="0"/>
          <w:sz w:val="24"/>
          <w:szCs w:val="24"/>
          <w:highlight w:val="none"/>
        </w:rPr>
      </w:pPr>
    </w:p>
    <w:p w14:paraId="0F0FBB73">
      <w:pPr>
        <w:spacing w:line="360" w:lineRule="auto"/>
        <w:ind w:left="1470" w:leftChars="700" w:firstLine="1687" w:firstLineChars="7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供应商：</w:t>
      </w:r>
      <w:r>
        <w:rPr>
          <w:rFonts w:hint="eastAsia" w:ascii="宋体" w:hAnsi="宋体" w:cs="宋体"/>
          <w:b/>
          <w:color w:val="auto"/>
          <w:kern w:val="0"/>
          <w:sz w:val="24"/>
          <w:szCs w:val="24"/>
          <w:highlight w:val="none"/>
          <w:u w:val="single"/>
        </w:rPr>
        <w:t xml:space="preserve">                 </w:t>
      </w:r>
    </w:p>
    <w:p w14:paraId="3338B853">
      <w:pPr>
        <w:spacing w:line="360" w:lineRule="auto"/>
        <w:ind w:left="1470" w:leftChars="700" w:firstLine="1687" w:firstLineChars="7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日  期：</w:t>
      </w:r>
      <w:r>
        <w:rPr>
          <w:rFonts w:hint="eastAsia" w:ascii="宋体" w:hAnsi="宋体" w:cs="宋体"/>
          <w:b/>
          <w:color w:val="auto"/>
          <w:kern w:val="0"/>
          <w:sz w:val="24"/>
          <w:szCs w:val="24"/>
          <w:highlight w:val="none"/>
          <w:u w:val="single"/>
        </w:rPr>
        <w:t xml:space="preserve">                 </w:t>
      </w:r>
    </w:p>
    <w:p w14:paraId="1C2C5E85">
      <w:pPr>
        <w:snapToGrid w:val="0"/>
        <w:spacing w:line="360" w:lineRule="auto"/>
        <w:jc w:val="center"/>
        <w:rPr>
          <w:rFonts w:ascii="宋体" w:hAnsi="宋体" w:cs="宋体"/>
          <w:b/>
          <w:bCs/>
          <w:color w:val="auto"/>
          <w:sz w:val="28"/>
          <w:szCs w:val="28"/>
          <w:highlight w:val="none"/>
        </w:rPr>
      </w:pPr>
      <w:r>
        <w:rPr>
          <w:rFonts w:hint="eastAsia" w:ascii="宋体" w:hAnsi="宋体" w:cs="宋体"/>
          <w:b/>
          <w:bCs/>
          <w:color w:val="auto"/>
          <w:sz w:val="36"/>
          <w:szCs w:val="36"/>
          <w:highlight w:val="none"/>
        </w:rPr>
        <w:br w:type="page"/>
      </w:r>
      <w:r>
        <w:rPr>
          <w:rFonts w:hint="eastAsia" w:ascii="宋体" w:hAnsi="宋体" w:cs="宋体"/>
          <w:b/>
          <w:bCs/>
          <w:color w:val="auto"/>
          <w:sz w:val="28"/>
          <w:szCs w:val="28"/>
          <w:highlight w:val="none"/>
        </w:rPr>
        <w:t>格式1  供应商具备资格证明文件</w:t>
      </w:r>
    </w:p>
    <w:p w14:paraId="018E4E07">
      <w:pPr>
        <w:adjustRightInd w:val="0"/>
        <w:snapToGrid w:val="0"/>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1-1供应商基本情况</w:t>
      </w:r>
    </w:p>
    <w:tbl>
      <w:tblPr>
        <w:tblStyle w:val="2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3"/>
        <w:gridCol w:w="606"/>
        <w:gridCol w:w="1681"/>
        <w:gridCol w:w="1832"/>
        <w:gridCol w:w="2916"/>
      </w:tblGrid>
      <w:tr w14:paraId="3726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3" w:type="dxa"/>
            <w:vAlign w:val="center"/>
          </w:tcPr>
          <w:p w14:paraId="4C6906C6">
            <w:pPr>
              <w:pStyle w:val="11"/>
              <w:spacing w:line="360" w:lineRule="auto"/>
              <w:jc w:val="center"/>
              <w:rPr>
                <w:rFonts w:hAnsi="宋体" w:cs="宋体"/>
                <w:color w:val="auto"/>
                <w:highlight w:val="none"/>
              </w:rPr>
            </w:pPr>
            <w:r>
              <w:rPr>
                <w:rFonts w:hint="eastAsia" w:hAnsi="宋体" w:cs="宋体"/>
                <w:color w:val="auto"/>
                <w:highlight w:val="none"/>
              </w:rPr>
              <w:t>供应商名称</w:t>
            </w:r>
          </w:p>
        </w:tc>
        <w:tc>
          <w:tcPr>
            <w:tcW w:w="2287" w:type="dxa"/>
            <w:gridSpan w:val="2"/>
            <w:vAlign w:val="center"/>
          </w:tcPr>
          <w:p w14:paraId="3B741830">
            <w:pPr>
              <w:pStyle w:val="11"/>
              <w:spacing w:line="360" w:lineRule="auto"/>
              <w:jc w:val="center"/>
              <w:rPr>
                <w:rFonts w:hAnsi="宋体" w:cs="宋体"/>
                <w:color w:val="auto"/>
                <w:highlight w:val="none"/>
              </w:rPr>
            </w:pPr>
          </w:p>
        </w:tc>
        <w:tc>
          <w:tcPr>
            <w:tcW w:w="1832" w:type="dxa"/>
            <w:vAlign w:val="center"/>
          </w:tcPr>
          <w:p w14:paraId="3C225E5C">
            <w:pPr>
              <w:pStyle w:val="11"/>
              <w:spacing w:line="360" w:lineRule="auto"/>
              <w:jc w:val="center"/>
              <w:rPr>
                <w:rFonts w:hAnsi="宋体" w:cs="宋体"/>
                <w:color w:val="auto"/>
                <w:highlight w:val="none"/>
              </w:rPr>
            </w:pPr>
            <w:r>
              <w:rPr>
                <w:rFonts w:hint="eastAsia" w:hAnsi="宋体" w:cs="宋体"/>
                <w:color w:val="auto"/>
                <w:highlight w:val="none"/>
              </w:rPr>
              <w:t>法定代表人</w:t>
            </w:r>
          </w:p>
        </w:tc>
        <w:tc>
          <w:tcPr>
            <w:tcW w:w="2916" w:type="dxa"/>
            <w:vAlign w:val="center"/>
          </w:tcPr>
          <w:p w14:paraId="337820D7">
            <w:pPr>
              <w:pStyle w:val="11"/>
              <w:spacing w:line="360" w:lineRule="auto"/>
              <w:jc w:val="center"/>
              <w:rPr>
                <w:rFonts w:hAnsi="宋体" w:cs="宋体"/>
                <w:color w:val="auto"/>
                <w:highlight w:val="none"/>
              </w:rPr>
            </w:pPr>
          </w:p>
        </w:tc>
      </w:tr>
      <w:tr w14:paraId="3EFA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3" w:type="dxa"/>
            <w:vAlign w:val="center"/>
          </w:tcPr>
          <w:p w14:paraId="1BA4776E">
            <w:pPr>
              <w:pStyle w:val="11"/>
              <w:spacing w:line="360" w:lineRule="auto"/>
              <w:jc w:val="center"/>
              <w:rPr>
                <w:rFonts w:hAnsi="宋体" w:cs="宋体"/>
                <w:color w:val="auto"/>
                <w:highlight w:val="none"/>
              </w:rPr>
            </w:pPr>
            <w:r>
              <w:rPr>
                <w:rFonts w:hint="eastAsia" w:hAnsi="宋体" w:cs="宋体"/>
                <w:color w:val="auto"/>
                <w:highlight w:val="none"/>
              </w:rPr>
              <w:t>统一社会信用代码</w:t>
            </w:r>
          </w:p>
        </w:tc>
        <w:tc>
          <w:tcPr>
            <w:tcW w:w="2287" w:type="dxa"/>
            <w:gridSpan w:val="2"/>
            <w:vAlign w:val="center"/>
          </w:tcPr>
          <w:p w14:paraId="27C8BA60">
            <w:pPr>
              <w:pStyle w:val="11"/>
              <w:spacing w:line="360" w:lineRule="auto"/>
              <w:jc w:val="center"/>
              <w:rPr>
                <w:rFonts w:hAnsi="宋体" w:cs="宋体"/>
                <w:color w:val="auto"/>
                <w:highlight w:val="none"/>
              </w:rPr>
            </w:pPr>
          </w:p>
        </w:tc>
        <w:tc>
          <w:tcPr>
            <w:tcW w:w="1832" w:type="dxa"/>
            <w:vAlign w:val="center"/>
          </w:tcPr>
          <w:p w14:paraId="5F743261">
            <w:pPr>
              <w:pStyle w:val="11"/>
              <w:spacing w:line="360" w:lineRule="auto"/>
              <w:jc w:val="center"/>
              <w:rPr>
                <w:rFonts w:hAnsi="宋体" w:cs="宋体"/>
                <w:color w:val="auto"/>
                <w:highlight w:val="none"/>
              </w:rPr>
            </w:pPr>
            <w:r>
              <w:rPr>
                <w:rFonts w:hint="eastAsia" w:hAnsi="宋体" w:cs="宋体"/>
                <w:color w:val="auto"/>
                <w:highlight w:val="none"/>
              </w:rPr>
              <w:t>邮政编码</w:t>
            </w:r>
          </w:p>
        </w:tc>
        <w:tc>
          <w:tcPr>
            <w:tcW w:w="2916" w:type="dxa"/>
            <w:vAlign w:val="center"/>
          </w:tcPr>
          <w:p w14:paraId="1950511E">
            <w:pPr>
              <w:pStyle w:val="11"/>
              <w:spacing w:line="360" w:lineRule="auto"/>
              <w:jc w:val="center"/>
              <w:rPr>
                <w:rFonts w:hAnsi="宋体" w:cs="宋体"/>
                <w:color w:val="auto"/>
                <w:highlight w:val="none"/>
              </w:rPr>
            </w:pPr>
          </w:p>
        </w:tc>
      </w:tr>
      <w:tr w14:paraId="36B8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3" w:type="dxa"/>
            <w:vAlign w:val="center"/>
          </w:tcPr>
          <w:p w14:paraId="6B1CCEBF">
            <w:pPr>
              <w:pStyle w:val="11"/>
              <w:spacing w:line="360" w:lineRule="auto"/>
              <w:jc w:val="center"/>
              <w:rPr>
                <w:rFonts w:hAnsi="宋体" w:cs="宋体"/>
                <w:color w:val="auto"/>
                <w:highlight w:val="none"/>
              </w:rPr>
            </w:pPr>
            <w:r>
              <w:rPr>
                <w:rFonts w:hint="eastAsia" w:hAnsi="宋体" w:cs="宋体"/>
                <w:color w:val="auto"/>
                <w:highlight w:val="none"/>
              </w:rPr>
              <w:t>授权代表</w:t>
            </w:r>
          </w:p>
        </w:tc>
        <w:tc>
          <w:tcPr>
            <w:tcW w:w="2287" w:type="dxa"/>
            <w:gridSpan w:val="2"/>
            <w:vAlign w:val="center"/>
          </w:tcPr>
          <w:p w14:paraId="088FBC49">
            <w:pPr>
              <w:pStyle w:val="11"/>
              <w:spacing w:line="360" w:lineRule="auto"/>
              <w:jc w:val="center"/>
              <w:rPr>
                <w:rFonts w:hAnsi="宋体" w:cs="宋体"/>
                <w:color w:val="auto"/>
                <w:highlight w:val="none"/>
              </w:rPr>
            </w:pPr>
          </w:p>
        </w:tc>
        <w:tc>
          <w:tcPr>
            <w:tcW w:w="1832" w:type="dxa"/>
            <w:vAlign w:val="center"/>
          </w:tcPr>
          <w:p w14:paraId="690DE35D">
            <w:pPr>
              <w:pStyle w:val="11"/>
              <w:spacing w:line="360" w:lineRule="auto"/>
              <w:jc w:val="center"/>
              <w:rPr>
                <w:rFonts w:hAnsi="宋体" w:cs="宋体"/>
                <w:color w:val="auto"/>
                <w:highlight w:val="none"/>
              </w:rPr>
            </w:pPr>
            <w:r>
              <w:rPr>
                <w:rFonts w:hint="eastAsia" w:hAnsi="宋体" w:cs="宋体"/>
                <w:color w:val="auto"/>
                <w:highlight w:val="none"/>
              </w:rPr>
              <w:t>联系电话</w:t>
            </w:r>
          </w:p>
        </w:tc>
        <w:tc>
          <w:tcPr>
            <w:tcW w:w="2916" w:type="dxa"/>
            <w:vAlign w:val="center"/>
          </w:tcPr>
          <w:p w14:paraId="0E5DE4A9">
            <w:pPr>
              <w:pStyle w:val="11"/>
              <w:spacing w:line="360" w:lineRule="auto"/>
              <w:jc w:val="center"/>
              <w:rPr>
                <w:rFonts w:hAnsi="宋体" w:cs="宋体"/>
                <w:color w:val="auto"/>
                <w:highlight w:val="none"/>
              </w:rPr>
            </w:pPr>
          </w:p>
        </w:tc>
      </w:tr>
      <w:tr w14:paraId="6342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3" w:type="dxa"/>
            <w:vAlign w:val="center"/>
          </w:tcPr>
          <w:p w14:paraId="5DDF9DD1">
            <w:pPr>
              <w:pStyle w:val="11"/>
              <w:spacing w:line="360" w:lineRule="auto"/>
              <w:jc w:val="center"/>
              <w:rPr>
                <w:rFonts w:hAnsi="宋体" w:cs="宋体"/>
                <w:color w:val="auto"/>
                <w:highlight w:val="none"/>
              </w:rPr>
            </w:pPr>
            <w:r>
              <w:rPr>
                <w:rFonts w:hint="eastAsia" w:hAnsi="宋体" w:cs="宋体"/>
                <w:color w:val="auto"/>
                <w:highlight w:val="none"/>
              </w:rPr>
              <w:t>电子邮箱</w:t>
            </w:r>
          </w:p>
        </w:tc>
        <w:tc>
          <w:tcPr>
            <w:tcW w:w="2287" w:type="dxa"/>
            <w:gridSpan w:val="2"/>
            <w:vAlign w:val="center"/>
          </w:tcPr>
          <w:p w14:paraId="5098EDCA">
            <w:pPr>
              <w:pStyle w:val="11"/>
              <w:spacing w:line="360" w:lineRule="auto"/>
              <w:jc w:val="center"/>
              <w:rPr>
                <w:rFonts w:hAnsi="宋体" w:cs="宋体"/>
                <w:color w:val="auto"/>
                <w:highlight w:val="none"/>
              </w:rPr>
            </w:pPr>
          </w:p>
        </w:tc>
        <w:tc>
          <w:tcPr>
            <w:tcW w:w="1832" w:type="dxa"/>
            <w:vAlign w:val="center"/>
          </w:tcPr>
          <w:p w14:paraId="0A581967">
            <w:pPr>
              <w:pStyle w:val="11"/>
              <w:spacing w:line="360" w:lineRule="auto"/>
              <w:jc w:val="center"/>
              <w:rPr>
                <w:rFonts w:hAnsi="宋体" w:cs="宋体"/>
                <w:color w:val="auto"/>
                <w:highlight w:val="none"/>
              </w:rPr>
            </w:pPr>
            <w:r>
              <w:rPr>
                <w:rFonts w:hint="eastAsia" w:hAnsi="宋体" w:cs="宋体"/>
                <w:color w:val="auto"/>
                <w:highlight w:val="none"/>
              </w:rPr>
              <w:t>传真</w:t>
            </w:r>
          </w:p>
        </w:tc>
        <w:tc>
          <w:tcPr>
            <w:tcW w:w="2916" w:type="dxa"/>
            <w:vAlign w:val="center"/>
          </w:tcPr>
          <w:p w14:paraId="41A04894">
            <w:pPr>
              <w:pStyle w:val="11"/>
              <w:spacing w:line="360" w:lineRule="auto"/>
              <w:jc w:val="center"/>
              <w:rPr>
                <w:rFonts w:hAnsi="宋体" w:cs="宋体"/>
                <w:color w:val="auto"/>
                <w:highlight w:val="none"/>
              </w:rPr>
            </w:pPr>
          </w:p>
        </w:tc>
      </w:tr>
      <w:tr w14:paraId="1CF24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3" w:type="dxa"/>
            <w:vAlign w:val="center"/>
          </w:tcPr>
          <w:p w14:paraId="4B596E07">
            <w:pPr>
              <w:pStyle w:val="11"/>
              <w:spacing w:line="360" w:lineRule="auto"/>
              <w:jc w:val="center"/>
              <w:rPr>
                <w:rFonts w:hAnsi="宋体" w:cs="宋体"/>
                <w:color w:val="auto"/>
                <w:highlight w:val="none"/>
              </w:rPr>
            </w:pPr>
            <w:r>
              <w:rPr>
                <w:rFonts w:hint="eastAsia" w:hAnsi="宋体" w:cs="宋体"/>
                <w:color w:val="auto"/>
                <w:highlight w:val="none"/>
              </w:rPr>
              <w:t>上年营业收入</w:t>
            </w:r>
          </w:p>
        </w:tc>
        <w:tc>
          <w:tcPr>
            <w:tcW w:w="2287" w:type="dxa"/>
            <w:gridSpan w:val="2"/>
            <w:vAlign w:val="center"/>
          </w:tcPr>
          <w:p w14:paraId="6E9065C7">
            <w:pPr>
              <w:pStyle w:val="11"/>
              <w:spacing w:line="360" w:lineRule="auto"/>
              <w:jc w:val="center"/>
              <w:rPr>
                <w:rFonts w:hAnsi="宋体" w:cs="宋体"/>
                <w:color w:val="auto"/>
                <w:highlight w:val="none"/>
              </w:rPr>
            </w:pPr>
          </w:p>
        </w:tc>
        <w:tc>
          <w:tcPr>
            <w:tcW w:w="1832" w:type="dxa"/>
            <w:vAlign w:val="center"/>
          </w:tcPr>
          <w:p w14:paraId="0681D0C3">
            <w:pPr>
              <w:pStyle w:val="11"/>
              <w:spacing w:line="360" w:lineRule="auto"/>
              <w:jc w:val="center"/>
              <w:rPr>
                <w:rFonts w:hAnsi="宋体" w:cs="宋体"/>
                <w:color w:val="auto"/>
                <w:highlight w:val="none"/>
              </w:rPr>
            </w:pPr>
            <w:r>
              <w:rPr>
                <w:rFonts w:hint="eastAsia" w:hAnsi="宋体" w:cs="宋体"/>
                <w:color w:val="auto"/>
                <w:highlight w:val="none"/>
              </w:rPr>
              <w:t>员工总人数</w:t>
            </w:r>
          </w:p>
        </w:tc>
        <w:tc>
          <w:tcPr>
            <w:tcW w:w="2916" w:type="dxa"/>
            <w:vAlign w:val="center"/>
          </w:tcPr>
          <w:p w14:paraId="5D3AB08B">
            <w:pPr>
              <w:pStyle w:val="11"/>
              <w:spacing w:line="360" w:lineRule="auto"/>
              <w:jc w:val="center"/>
              <w:rPr>
                <w:rFonts w:hAnsi="宋体" w:cs="宋体"/>
                <w:color w:val="auto"/>
                <w:highlight w:val="none"/>
              </w:rPr>
            </w:pPr>
          </w:p>
        </w:tc>
      </w:tr>
      <w:tr w14:paraId="2C58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9" w:type="dxa"/>
            <w:gridSpan w:val="2"/>
            <w:vAlign w:val="center"/>
          </w:tcPr>
          <w:p w14:paraId="064011BC">
            <w:pPr>
              <w:pStyle w:val="11"/>
              <w:spacing w:line="360" w:lineRule="auto"/>
              <w:jc w:val="center"/>
              <w:rPr>
                <w:rFonts w:hAnsi="宋体" w:cs="宋体"/>
                <w:color w:val="auto"/>
                <w:highlight w:val="none"/>
              </w:rPr>
            </w:pPr>
            <w:r>
              <w:rPr>
                <w:rFonts w:hint="eastAsia" w:hAnsi="宋体" w:cs="宋体"/>
                <w:color w:val="auto"/>
                <w:highlight w:val="none"/>
              </w:rPr>
              <w:t>基本账户开户行及账号</w:t>
            </w:r>
          </w:p>
        </w:tc>
        <w:tc>
          <w:tcPr>
            <w:tcW w:w="6429" w:type="dxa"/>
            <w:gridSpan w:val="3"/>
            <w:vAlign w:val="center"/>
          </w:tcPr>
          <w:p w14:paraId="7474ACFF">
            <w:pPr>
              <w:pStyle w:val="11"/>
              <w:spacing w:line="360" w:lineRule="auto"/>
              <w:jc w:val="center"/>
              <w:rPr>
                <w:rFonts w:hAnsi="宋体" w:cs="宋体"/>
                <w:color w:val="auto"/>
                <w:highlight w:val="none"/>
              </w:rPr>
            </w:pPr>
          </w:p>
        </w:tc>
      </w:tr>
      <w:tr w14:paraId="0D1E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9" w:type="dxa"/>
            <w:gridSpan w:val="2"/>
            <w:vAlign w:val="center"/>
          </w:tcPr>
          <w:p w14:paraId="5B103D28">
            <w:pPr>
              <w:pStyle w:val="11"/>
              <w:spacing w:line="360" w:lineRule="auto"/>
              <w:jc w:val="center"/>
              <w:rPr>
                <w:rFonts w:hAnsi="宋体" w:cs="宋体"/>
                <w:color w:val="auto"/>
                <w:highlight w:val="none"/>
              </w:rPr>
            </w:pPr>
            <w:r>
              <w:rPr>
                <w:rFonts w:hint="eastAsia" w:hAnsi="宋体" w:cs="宋体"/>
                <w:color w:val="auto"/>
                <w:highlight w:val="none"/>
              </w:rPr>
              <w:t>税务登记机关</w:t>
            </w:r>
          </w:p>
        </w:tc>
        <w:tc>
          <w:tcPr>
            <w:tcW w:w="6429" w:type="dxa"/>
            <w:gridSpan w:val="3"/>
            <w:vAlign w:val="center"/>
          </w:tcPr>
          <w:p w14:paraId="0A3166BF">
            <w:pPr>
              <w:pStyle w:val="11"/>
              <w:spacing w:line="360" w:lineRule="auto"/>
              <w:jc w:val="center"/>
              <w:rPr>
                <w:rFonts w:hAnsi="宋体" w:cs="宋体"/>
                <w:color w:val="auto"/>
                <w:highlight w:val="none"/>
              </w:rPr>
            </w:pPr>
          </w:p>
        </w:tc>
      </w:tr>
      <w:tr w14:paraId="0911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9" w:type="dxa"/>
            <w:gridSpan w:val="2"/>
            <w:vAlign w:val="center"/>
          </w:tcPr>
          <w:p w14:paraId="21C6E7F4">
            <w:pPr>
              <w:pStyle w:val="11"/>
              <w:spacing w:line="360" w:lineRule="auto"/>
              <w:jc w:val="center"/>
              <w:rPr>
                <w:rFonts w:hAnsi="宋体" w:cs="宋体"/>
                <w:color w:val="auto"/>
                <w:highlight w:val="none"/>
              </w:rPr>
            </w:pPr>
            <w:r>
              <w:rPr>
                <w:rFonts w:hint="eastAsia" w:hAnsi="宋体" w:cs="宋体"/>
                <w:color w:val="auto"/>
                <w:highlight w:val="none"/>
              </w:rPr>
              <w:t>资质名称</w:t>
            </w:r>
          </w:p>
        </w:tc>
        <w:tc>
          <w:tcPr>
            <w:tcW w:w="1681" w:type="dxa"/>
            <w:vAlign w:val="center"/>
          </w:tcPr>
          <w:p w14:paraId="56CEFE03">
            <w:pPr>
              <w:pStyle w:val="11"/>
              <w:spacing w:line="360" w:lineRule="auto"/>
              <w:jc w:val="center"/>
              <w:rPr>
                <w:rFonts w:hAnsi="宋体" w:cs="宋体"/>
                <w:color w:val="auto"/>
                <w:highlight w:val="none"/>
              </w:rPr>
            </w:pPr>
            <w:r>
              <w:rPr>
                <w:rFonts w:hint="eastAsia" w:hAnsi="宋体" w:cs="宋体"/>
                <w:color w:val="auto"/>
                <w:highlight w:val="none"/>
              </w:rPr>
              <w:t>等级</w:t>
            </w:r>
          </w:p>
        </w:tc>
        <w:tc>
          <w:tcPr>
            <w:tcW w:w="1832" w:type="dxa"/>
            <w:vAlign w:val="center"/>
          </w:tcPr>
          <w:p w14:paraId="54CF4FB1">
            <w:pPr>
              <w:pStyle w:val="11"/>
              <w:spacing w:line="360" w:lineRule="auto"/>
              <w:jc w:val="center"/>
              <w:rPr>
                <w:rFonts w:hAnsi="宋体" w:cs="宋体"/>
                <w:color w:val="auto"/>
                <w:highlight w:val="none"/>
              </w:rPr>
            </w:pPr>
            <w:r>
              <w:rPr>
                <w:rFonts w:hint="eastAsia" w:hAnsi="宋体" w:cs="宋体"/>
                <w:color w:val="auto"/>
                <w:highlight w:val="none"/>
              </w:rPr>
              <w:t>发证机关</w:t>
            </w:r>
          </w:p>
        </w:tc>
        <w:tc>
          <w:tcPr>
            <w:tcW w:w="2916" w:type="dxa"/>
            <w:vAlign w:val="center"/>
          </w:tcPr>
          <w:p w14:paraId="36B1F511">
            <w:pPr>
              <w:pStyle w:val="11"/>
              <w:spacing w:line="360" w:lineRule="auto"/>
              <w:jc w:val="center"/>
              <w:rPr>
                <w:rFonts w:hAnsi="宋体" w:cs="宋体"/>
                <w:color w:val="auto"/>
                <w:highlight w:val="none"/>
              </w:rPr>
            </w:pPr>
            <w:r>
              <w:rPr>
                <w:rFonts w:hint="eastAsia" w:hAnsi="宋体" w:cs="宋体"/>
                <w:color w:val="auto"/>
                <w:highlight w:val="none"/>
              </w:rPr>
              <w:t>有效期</w:t>
            </w:r>
          </w:p>
        </w:tc>
      </w:tr>
      <w:tr w14:paraId="725B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9" w:type="dxa"/>
            <w:gridSpan w:val="2"/>
            <w:vAlign w:val="center"/>
          </w:tcPr>
          <w:p w14:paraId="0D1300E1">
            <w:pPr>
              <w:pStyle w:val="11"/>
              <w:spacing w:line="360" w:lineRule="auto"/>
              <w:jc w:val="center"/>
              <w:rPr>
                <w:rFonts w:hAnsi="宋体" w:cs="宋体"/>
                <w:color w:val="auto"/>
                <w:highlight w:val="none"/>
              </w:rPr>
            </w:pPr>
          </w:p>
        </w:tc>
        <w:tc>
          <w:tcPr>
            <w:tcW w:w="1681" w:type="dxa"/>
            <w:vAlign w:val="center"/>
          </w:tcPr>
          <w:p w14:paraId="68AA8C17">
            <w:pPr>
              <w:pStyle w:val="11"/>
              <w:spacing w:line="360" w:lineRule="auto"/>
              <w:jc w:val="center"/>
              <w:rPr>
                <w:rFonts w:hAnsi="宋体" w:cs="宋体"/>
                <w:color w:val="auto"/>
                <w:highlight w:val="none"/>
              </w:rPr>
            </w:pPr>
          </w:p>
        </w:tc>
        <w:tc>
          <w:tcPr>
            <w:tcW w:w="1832" w:type="dxa"/>
            <w:vAlign w:val="center"/>
          </w:tcPr>
          <w:p w14:paraId="7FD1A401">
            <w:pPr>
              <w:pStyle w:val="11"/>
              <w:spacing w:line="360" w:lineRule="auto"/>
              <w:jc w:val="center"/>
              <w:rPr>
                <w:rFonts w:hAnsi="宋体" w:cs="宋体"/>
                <w:color w:val="auto"/>
                <w:highlight w:val="none"/>
              </w:rPr>
            </w:pPr>
          </w:p>
        </w:tc>
        <w:tc>
          <w:tcPr>
            <w:tcW w:w="2916" w:type="dxa"/>
            <w:vAlign w:val="center"/>
          </w:tcPr>
          <w:p w14:paraId="5D0180C6">
            <w:pPr>
              <w:pStyle w:val="11"/>
              <w:spacing w:line="360" w:lineRule="auto"/>
              <w:jc w:val="center"/>
              <w:rPr>
                <w:rFonts w:hAnsi="宋体" w:cs="宋体"/>
                <w:color w:val="auto"/>
                <w:highlight w:val="none"/>
              </w:rPr>
            </w:pPr>
          </w:p>
        </w:tc>
      </w:tr>
      <w:tr w14:paraId="1DBF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9" w:type="dxa"/>
            <w:gridSpan w:val="2"/>
            <w:vAlign w:val="center"/>
          </w:tcPr>
          <w:p w14:paraId="228C7574">
            <w:pPr>
              <w:pStyle w:val="11"/>
              <w:spacing w:line="360" w:lineRule="auto"/>
              <w:jc w:val="center"/>
              <w:rPr>
                <w:rFonts w:hAnsi="宋体" w:cs="宋体"/>
                <w:color w:val="auto"/>
                <w:highlight w:val="none"/>
              </w:rPr>
            </w:pPr>
          </w:p>
        </w:tc>
        <w:tc>
          <w:tcPr>
            <w:tcW w:w="1681" w:type="dxa"/>
            <w:vAlign w:val="center"/>
          </w:tcPr>
          <w:p w14:paraId="6C7C43A7">
            <w:pPr>
              <w:pStyle w:val="11"/>
              <w:spacing w:line="360" w:lineRule="auto"/>
              <w:jc w:val="center"/>
              <w:rPr>
                <w:rFonts w:hAnsi="宋体" w:cs="宋体"/>
                <w:color w:val="auto"/>
                <w:highlight w:val="none"/>
              </w:rPr>
            </w:pPr>
          </w:p>
        </w:tc>
        <w:tc>
          <w:tcPr>
            <w:tcW w:w="1832" w:type="dxa"/>
            <w:vAlign w:val="center"/>
          </w:tcPr>
          <w:p w14:paraId="3311D51D">
            <w:pPr>
              <w:pStyle w:val="11"/>
              <w:spacing w:line="360" w:lineRule="auto"/>
              <w:jc w:val="center"/>
              <w:rPr>
                <w:rFonts w:hAnsi="宋体" w:cs="宋体"/>
                <w:color w:val="auto"/>
                <w:highlight w:val="none"/>
              </w:rPr>
            </w:pPr>
          </w:p>
        </w:tc>
        <w:tc>
          <w:tcPr>
            <w:tcW w:w="2916" w:type="dxa"/>
            <w:vAlign w:val="center"/>
          </w:tcPr>
          <w:p w14:paraId="0AF2CE07">
            <w:pPr>
              <w:pStyle w:val="11"/>
              <w:spacing w:line="360" w:lineRule="auto"/>
              <w:jc w:val="center"/>
              <w:rPr>
                <w:rFonts w:hAnsi="宋体" w:cs="宋体"/>
                <w:color w:val="auto"/>
                <w:highlight w:val="none"/>
              </w:rPr>
            </w:pPr>
          </w:p>
        </w:tc>
      </w:tr>
      <w:tr w14:paraId="1DCE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5"/>
            <w:vAlign w:val="center"/>
          </w:tcPr>
          <w:p w14:paraId="1F193910">
            <w:pPr>
              <w:pStyle w:val="11"/>
              <w:spacing w:line="360" w:lineRule="auto"/>
              <w:jc w:val="center"/>
              <w:rPr>
                <w:rFonts w:hAnsi="宋体" w:cs="宋体"/>
                <w:color w:val="auto"/>
                <w:highlight w:val="none"/>
              </w:rPr>
            </w:pPr>
            <w:r>
              <w:rPr>
                <w:rFonts w:hint="eastAsia" w:hAnsi="宋体" w:cs="宋体"/>
                <w:color w:val="auto"/>
                <w:highlight w:val="none"/>
              </w:rPr>
              <w:t>供应商直接控股股东信息</w:t>
            </w:r>
          </w:p>
        </w:tc>
      </w:tr>
      <w:tr w14:paraId="74A1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9" w:type="dxa"/>
            <w:gridSpan w:val="2"/>
            <w:vAlign w:val="center"/>
          </w:tcPr>
          <w:p w14:paraId="02C8D1C8">
            <w:pPr>
              <w:widowControl/>
              <w:spacing w:line="360" w:lineRule="auto"/>
              <w:contextualSpacing/>
              <w:jc w:val="center"/>
              <w:rPr>
                <w:rFonts w:ascii="宋体" w:hAnsi="宋体" w:cs="宋体"/>
                <w:color w:val="auto"/>
                <w:szCs w:val="21"/>
                <w:highlight w:val="none"/>
              </w:rPr>
            </w:pPr>
            <w:r>
              <w:rPr>
                <w:rFonts w:hint="eastAsia" w:ascii="宋体" w:hAnsi="宋体" w:cs="宋体"/>
                <w:bCs/>
                <w:color w:val="auto"/>
                <w:kern w:val="0"/>
                <w:szCs w:val="21"/>
                <w:highlight w:val="none"/>
              </w:rPr>
              <w:t>直接控股股东名称</w:t>
            </w:r>
          </w:p>
        </w:tc>
        <w:tc>
          <w:tcPr>
            <w:tcW w:w="1681" w:type="dxa"/>
            <w:vAlign w:val="center"/>
          </w:tcPr>
          <w:p w14:paraId="7FC9F3FA">
            <w:pPr>
              <w:widowControl/>
              <w:spacing w:line="360" w:lineRule="auto"/>
              <w:contextualSpacing/>
              <w:jc w:val="center"/>
              <w:rPr>
                <w:rFonts w:ascii="宋体" w:hAnsi="宋体" w:cs="宋体"/>
                <w:color w:val="auto"/>
                <w:szCs w:val="21"/>
                <w:highlight w:val="none"/>
              </w:rPr>
            </w:pPr>
            <w:r>
              <w:rPr>
                <w:rFonts w:hint="eastAsia" w:ascii="宋体" w:hAnsi="宋体" w:cs="宋体"/>
                <w:bCs/>
                <w:color w:val="auto"/>
                <w:kern w:val="0"/>
                <w:szCs w:val="21"/>
                <w:highlight w:val="none"/>
              </w:rPr>
              <w:t>出资比例</w:t>
            </w:r>
          </w:p>
        </w:tc>
        <w:tc>
          <w:tcPr>
            <w:tcW w:w="4748" w:type="dxa"/>
            <w:gridSpan w:val="2"/>
            <w:vAlign w:val="center"/>
          </w:tcPr>
          <w:p w14:paraId="5FFB7532">
            <w:pPr>
              <w:pStyle w:val="11"/>
              <w:spacing w:line="360" w:lineRule="auto"/>
              <w:jc w:val="center"/>
              <w:rPr>
                <w:rFonts w:hAnsi="宋体" w:cs="宋体"/>
                <w:color w:val="auto"/>
                <w:highlight w:val="none"/>
              </w:rPr>
            </w:pPr>
            <w:r>
              <w:rPr>
                <w:rFonts w:hint="eastAsia" w:hAnsi="宋体" w:cs="宋体"/>
                <w:bCs/>
                <w:color w:val="auto"/>
                <w:kern w:val="0"/>
                <w:highlight w:val="none"/>
              </w:rPr>
              <w:t>身份证号码或者统一社会信用代码</w:t>
            </w:r>
          </w:p>
        </w:tc>
      </w:tr>
      <w:tr w14:paraId="2E0C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9" w:type="dxa"/>
            <w:gridSpan w:val="2"/>
            <w:vAlign w:val="center"/>
          </w:tcPr>
          <w:p w14:paraId="01174BAA">
            <w:pPr>
              <w:pStyle w:val="11"/>
              <w:spacing w:line="360" w:lineRule="auto"/>
              <w:jc w:val="center"/>
              <w:rPr>
                <w:rFonts w:hAnsi="宋体" w:cs="宋体"/>
                <w:color w:val="auto"/>
                <w:highlight w:val="none"/>
              </w:rPr>
            </w:pPr>
          </w:p>
        </w:tc>
        <w:tc>
          <w:tcPr>
            <w:tcW w:w="1681" w:type="dxa"/>
            <w:vAlign w:val="center"/>
          </w:tcPr>
          <w:p w14:paraId="62957CFF">
            <w:pPr>
              <w:pStyle w:val="11"/>
              <w:spacing w:line="360" w:lineRule="auto"/>
              <w:jc w:val="center"/>
              <w:rPr>
                <w:rFonts w:hAnsi="宋体" w:cs="宋体"/>
                <w:color w:val="auto"/>
                <w:highlight w:val="none"/>
              </w:rPr>
            </w:pPr>
          </w:p>
        </w:tc>
        <w:tc>
          <w:tcPr>
            <w:tcW w:w="1832" w:type="dxa"/>
            <w:vAlign w:val="center"/>
          </w:tcPr>
          <w:p w14:paraId="200327C9">
            <w:pPr>
              <w:pStyle w:val="11"/>
              <w:spacing w:line="360" w:lineRule="auto"/>
              <w:jc w:val="center"/>
              <w:rPr>
                <w:rFonts w:hAnsi="宋体" w:cs="宋体"/>
                <w:color w:val="auto"/>
                <w:highlight w:val="none"/>
              </w:rPr>
            </w:pPr>
          </w:p>
        </w:tc>
        <w:tc>
          <w:tcPr>
            <w:tcW w:w="2916" w:type="dxa"/>
            <w:vAlign w:val="center"/>
          </w:tcPr>
          <w:p w14:paraId="266A121F">
            <w:pPr>
              <w:pStyle w:val="11"/>
              <w:spacing w:line="360" w:lineRule="auto"/>
              <w:jc w:val="center"/>
              <w:rPr>
                <w:rFonts w:hAnsi="宋体" w:cs="宋体"/>
                <w:color w:val="auto"/>
                <w:highlight w:val="none"/>
              </w:rPr>
            </w:pPr>
          </w:p>
        </w:tc>
      </w:tr>
      <w:tr w14:paraId="3460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9" w:type="dxa"/>
            <w:gridSpan w:val="2"/>
            <w:vAlign w:val="center"/>
          </w:tcPr>
          <w:p w14:paraId="7E8B4A7C">
            <w:pPr>
              <w:pStyle w:val="11"/>
              <w:spacing w:line="360" w:lineRule="auto"/>
              <w:jc w:val="center"/>
              <w:rPr>
                <w:rFonts w:hAnsi="宋体" w:cs="宋体"/>
                <w:color w:val="auto"/>
                <w:highlight w:val="none"/>
              </w:rPr>
            </w:pPr>
          </w:p>
        </w:tc>
        <w:tc>
          <w:tcPr>
            <w:tcW w:w="1681" w:type="dxa"/>
            <w:vAlign w:val="center"/>
          </w:tcPr>
          <w:p w14:paraId="50EFD58E">
            <w:pPr>
              <w:pStyle w:val="11"/>
              <w:spacing w:line="360" w:lineRule="auto"/>
              <w:jc w:val="center"/>
              <w:rPr>
                <w:rFonts w:hAnsi="宋体" w:cs="宋体"/>
                <w:color w:val="auto"/>
                <w:highlight w:val="none"/>
              </w:rPr>
            </w:pPr>
          </w:p>
        </w:tc>
        <w:tc>
          <w:tcPr>
            <w:tcW w:w="1832" w:type="dxa"/>
            <w:vAlign w:val="center"/>
          </w:tcPr>
          <w:p w14:paraId="24871546">
            <w:pPr>
              <w:pStyle w:val="11"/>
              <w:spacing w:line="360" w:lineRule="auto"/>
              <w:jc w:val="center"/>
              <w:rPr>
                <w:rFonts w:hAnsi="宋体" w:cs="宋体"/>
                <w:color w:val="auto"/>
                <w:highlight w:val="none"/>
              </w:rPr>
            </w:pPr>
          </w:p>
        </w:tc>
        <w:tc>
          <w:tcPr>
            <w:tcW w:w="2916" w:type="dxa"/>
            <w:vAlign w:val="center"/>
          </w:tcPr>
          <w:p w14:paraId="0CC0460F">
            <w:pPr>
              <w:pStyle w:val="11"/>
              <w:spacing w:line="360" w:lineRule="auto"/>
              <w:jc w:val="center"/>
              <w:rPr>
                <w:rFonts w:hAnsi="宋体" w:cs="宋体"/>
                <w:color w:val="auto"/>
                <w:highlight w:val="none"/>
              </w:rPr>
            </w:pPr>
          </w:p>
        </w:tc>
      </w:tr>
      <w:tr w14:paraId="5203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9" w:type="dxa"/>
            <w:gridSpan w:val="2"/>
            <w:vAlign w:val="center"/>
          </w:tcPr>
          <w:p w14:paraId="3638C806">
            <w:pPr>
              <w:pStyle w:val="11"/>
              <w:spacing w:line="360" w:lineRule="auto"/>
              <w:jc w:val="center"/>
              <w:rPr>
                <w:rFonts w:hAnsi="宋体" w:cs="宋体"/>
                <w:color w:val="auto"/>
                <w:highlight w:val="none"/>
              </w:rPr>
            </w:pPr>
          </w:p>
        </w:tc>
        <w:tc>
          <w:tcPr>
            <w:tcW w:w="1681" w:type="dxa"/>
            <w:vAlign w:val="center"/>
          </w:tcPr>
          <w:p w14:paraId="647DD4F1">
            <w:pPr>
              <w:pStyle w:val="11"/>
              <w:spacing w:line="360" w:lineRule="auto"/>
              <w:jc w:val="center"/>
              <w:rPr>
                <w:rFonts w:hAnsi="宋体" w:cs="宋体"/>
                <w:color w:val="auto"/>
                <w:highlight w:val="none"/>
              </w:rPr>
            </w:pPr>
          </w:p>
        </w:tc>
        <w:tc>
          <w:tcPr>
            <w:tcW w:w="1832" w:type="dxa"/>
            <w:vAlign w:val="center"/>
          </w:tcPr>
          <w:p w14:paraId="7EC81868">
            <w:pPr>
              <w:pStyle w:val="11"/>
              <w:spacing w:line="360" w:lineRule="auto"/>
              <w:jc w:val="center"/>
              <w:rPr>
                <w:rFonts w:hAnsi="宋体" w:cs="宋体"/>
                <w:color w:val="auto"/>
                <w:highlight w:val="none"/>
              </w:rPr>
            </w:pPr>
          </w:p>
        </w:tc>
        <w:tc>
          <w:tcPr>
            <w:tcW w:w="2916" w:type="dxa"/>
            <w:vAlign w:val="center"/>
          </w:tcPr>
          <w:p w14:paraId="1A64DFF8">
            <w:pPr>
              <w:pStyle w:val="11"/>
              <w:spacing w:line="360" w:lineRule="auto"/>
              <w:jc w:val="center"/>
              <w:rPr>
                <w:rFonts w:hAnsi="宋体" w:cs="宋体"/>
                <w:color w:val="auto"/>
                <w:highlight w:val="none"/>
              </w:rPr>
            </w:pPr>
          </w:p>
        </w:tc>
      </w:tr>
      <w:tr w14:paraId="5D65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5"/>
            <w:vAlign w:val="center"/>
          </w:tcPr>
          <w:p w14:paraId="51967995">
            <w:pPr>
              <w:pStyle w:val="11"/>
              <w:spacing w:line="360" w:lineRule="auto"/>
              <w:jc w:val="center"/>
              <w:rPr>
                <w:rFonts w:hAnsi="宋体" w:cs="宋体"/>
                <w:color w:val="auto"/>
                <w:highlight w:val="none"/>
              </w:rPr>
            </w:pPr>
            <w:r>
              <w:rPr>
                <w:rFonts w:hint="eastAsia" w:hAnsi="宋体" w:cs="宋体"/>
                <w:color w:val="auto"/>
                <w:highlight w:val="none"/>
              </w:rPr>
              <w:t>供应商直接管理关系信息表</w:t>
            </w:r>
          </w:p>
        </w:tc>
      </w:tr>
      <w:tr w14:paraId="72DD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0" w:type="dxa"/>
            <w:gridSpan w:val="3"/>
            <w:vAlign w:val="center"/>
          </w:tcPr>
          <w:p w14:paraId="36E032D6">
            <w:pPr>
              <w:widowControl/>
              <w:spacing w:line="360" w:lineRule="auto"/>
              <w:contextualSpacing/>
              <w:jc w:val="center"/>
              <w:rPr>
                <w:rFonts w:ascii="宋体" w:hAnsi="宋体" w:cs="宋体"/>
                <w:color w:val="auto"/>
                <w:szCs w:val="21"/>
                <w:highlight w:val="none"/>
              </w:rPr>
            </w:pPr>
            <w:r>
              <w:rPr>
                <w:rFonts w:hint="eastAsia" w:ascii="宋体" w:hAnsi="宋体" w:cs="宋体"/>
                <w:bCs/>
                <w:color w:val="auto"/>
                <w:kern w:val="0"/>
                <w:szCs w:val="21"/>
                <w:highlight w:val="none"/>
              </w:rPr>
              <w:t>直接管理关系单位名称</w:t>
            </w:r>
          </w:p>
        </w:tc>
        <w:tc>
          <w:tcPr>
            <w:tcW w:w="4748" w:type="dxa"/>
            <w:gridSpan w:val="2"/>
            <w:vAlign w:val="center"/>
          </w:tcPr>
          <w:p w14:paraId="7734B96A">
            <w:pPr>
              <w:pStyle w:val="11"/>
              <w:jc w:val="center"/>
              <w:rPr>
                <w:rFonts w:hAnsi="宋体" w:cs="宋体"/>
                <w:color w:val="auto"/>
                <w:highlight w:val="none"/>
              </w:rPr>
            </w:pPr>
            <w:r>
              <w:rPr>
                <w:rFonts w:hint="eastAsia" w:hAnsi="宋体" w:cs="宋体"/>
                <w:bCs/>
                <w:color w:val="auto"/>
                <w:highlight w:val="none"/>
              </w:rPr>
              <w:t>统一社会信用代码</w:t>
            </w:r>
          </w:p>
        </w:tc>
      </w:tr>
      <w:tr w14:paraId="538D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9" w:type="dxa"/>
            <w:gridSpan w:val="2"/>
            <w:vAlign w:val="center"/>
          </w:tcPr>
          <w:p w14:paraId="36BC0FA3">
            <w:pPr>
              <w:pStyle w:val="11"/>
              <w:spacing w:line="360" w:lineRule="auto"/>
              <w:jc w:val="center"/>
              <w:rPr>
                <w:rFonts w:hAnsi="宋体" w:cs="宋体"/>
                <w:color w:val="auto"/>
                <w:highlight w:val="none"/>
              </w:rPr>
            </w:pPr>
          </w:p>
        </w:tc>
        <w:tc>
          <w:tcPr>
            <w:tcW w:w="1681" w:type="dxa"/>
            <w:vAlign w:val="center"/>
          </w:tcPr>
          <w:p w14:paraId="3D14B570">
            <w:pPr>
              <w:pStyle w:val="11"/>
              <w:spacing w:line="360" w:lineRule="auto"/>
              <w:jc w:val="center"/>
              <w:rPr>
                <w:rFonts w:hAnsi="宋体" w:cs="宋体"/>
                <w:color w:val="auto"/>
                <w:highlight w:val="none"/>
              </w:rPr>
            </w:pPr>
          </w:p>
        </w:tc>
        <w:tc>
          <w:tcPr>
            <w:tcW w:w="1832" w:type="dxa"/>
            <w:vAlign w:val="center"/>
          </w:tcPr>
          <w:p w14:paraId="7A19AE25">
            <w:pPr>
              <w:pStyle w:val="11"/>
              <w:spacing w:line="360" w:lineRule="auto"/>
              <w:jc w:val="center"/>
              <w:rPr>
                <w:rFonts w:hAnsi="宋体" w:cs="宋体"/>
                <w:color w:val="auto"/>
                <w:highlight w:val="none"/>
              </w:rPr>
            </w:pPr>
          </w:p>
        </w:tc>
        <w:tc>
          <w:tcPr>
            <w:tcW w:w="2916" w:type="dxa"/>
            <w:vAlign w:val="center"/>
          </w:tcPr>
          <w:p w14:paraId="3B6491A9">
            <w:pPr>
              <w:pStyle w:val="11"/>
              <w:spacing w:line="360" w:lineRule="auto"/>
              <w:jc w:val="center"/>
              <w:rPr>
                <w:rFonts w:hAnsi="宋体" w:cs="宋体"/>
                <w:color w:val="auto"/>
                <w:highlight w:val="none"/>
              </w:rPr>
            </w:pPr>
          </w:p>
        </w:tc>
      </w:tr>
      <w:tr w14:paraId="1DCF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9" w:type="dxa"/>
            <w:gridSpan w:val="2"/>
            <w:vAlign w:val="center"/>
          </w:tcPr>
          <w:p w14:paraId="7F50FAFD">
            <w:pPr>
              <w:pStyle w:val="11"/>
              <w:spacing w:line="360" w:lineRule="auto"/>
              <w:jc w:val="center"/>
              <w:rPr>
                <w:rFonts w:hAnsi="宋体" w:cs="宋体"/>
                <w:color w:val="auto"/>
                <w:highlight w:val="none"/>
              </w:rPr>
            </w:pPr>
          </w:p>
        </w:tc>
        <w:tc>
          <w:tcPr>
            <w:tcW w:w="1681" w:type="dxa"/>
            <w:vAlign w:val="center"/>
          </w:tcPr>
          <w:p w14:paraId="79D4C15C">
            <w:pPr>
              <w:pStyle w:val="11"/>
              <w:spacing w:line="360" w:lineRule="auto"/>
              <w:jc w:val="center"/>
              <w:rPr>
                <w:rFonts w:hAnsi="宋体" w:cs="宋体"/>
                <w:color w:val="auto"/>
                <w:highlight w:val="none"/>
              </w:rPr>
            </w:pPr>
          </w:p>
        </w:tc>
        <w:tc>
          <w:tcPr>
            <w:tcW w:w="1832" w:type="dxa"/>
            <w:vAlign w:val="center"/>
          </w:tcPr>
          <w:p w14:paraId="59591B1C">
            <w:pPr>
              <w:pStyle w:val="11"/>
              <w:spacing w:line="360" w:lineRule="auto"/>
              <w:jc w:val="center"/>
              <w:rPr>
                <w:rFonts w:hAnsi="宋体" w:cs="宋体"/>
                <w:color w:val="auto"/>
                <w:highlight w:val="none"/>
              </w:rPr>
            </w:pPr>
          </w:p>
        </w:tc>
        <w:tc>
          <w:tcPr>
            <w:tcW w:w="2916" w:type="dxa"/>
            <w:vAlign w:val="center"/>
          </w:tcPr>
          <w:p w14:paraId="520F89BD">
            <w:pPr>
              <w:pStyle w:val="11"/>
              <w:spacing w:line="360" w:lineRule="auto"/>
              <w:jc w:val="center"/>
              <w:rPr>
                <w:rFonts w:hAnsi="宋体" w:cs="宋体"/>
                <w:color w:val="auto"/>
                <w:highlight w:val="none"/>
              </w:rPr>
            </w:pPr>
          </w:p>
        </w:tc>
      </w:tr>
      <w:tr w14:paraId="793F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3" w:type="dxa"/>
            <w:vAlign w:val="center"/>
          </w:tcPr>
          <w:p w14:paraId="5AB1774D">
            <w:pPr>
              <w:pStyle w:val="11"/>
              <w:spacing w:line="360" w:lineRule="auto"/>
              <w:jc w:val="center"/>
              <w:rPr>
                <w:rFonts w:hAnsi="宋体" w:cs="宋体"/>
                <w:color w:val="auto"/>
                <w:highlight w:val="none"/>
              </w:rPr>
            </w:pPr>
            <w:r>
              <w:rPr>
                <w:rFonts w:hint="eastAsia" w:hAnsi="宋体" w:cs="宋体"/>
                <w:color w:val="auto"/>
                <w:highlight w:val="none"/>
              </w:rPr>
              <w:t>备注</w:t>
            </w:r>
          </w:p>
        </w:tc>
        <w:tc>
          <w:tcPr>
            <w:tcW w:w="7035" w:type="dxa"/>
            <w:gridSpan w:val="4"/>
            <w:vAlign w:val="center"/>
          </w:tcPr>
          <w:p w14:paraId="6C57D87A">
            <w:pPr>
              <w:pStyle w:val="11"/>
              <w:spacing w:line="360" w:lineRule="auto"/>
              <w:jc w:val="center"/>
              <w:rPr>
                <w:rFonts w:hAnsi="宋体" w:cs="宋体"/>
                <w:color w:val="auto"/>
                <w:highlight w:val="none"/>
              </w:rPr>
            </w:pPr>
          </w:p>
        </w:tc>
      </w:tr>
    </w:tbl>
    <w:p w14:paraId="370F989B">
      <w:pPr>
        <w:topLinePunct/>
        <w:autoSpaceDE w:val="0"/>
        <w:autoSpaceDN w:val="0"/>
        <w:spacing w:line="500" w:lineRule="exact"/>
        <w:contextualSpacing w:val="0"/>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val="en-US" w:eastAsia="zh-CN"/>
        </w:rPr>
        <w:t>供应商须提供</w:t>
      </w:r>
      <w:r>
        <w:rPr>
          <w:rFonts w:hint="eastAsia" w:ascii="宋体" w:hAnsi="宋体" w:cs="宋体"/>
          <w:b/>
          <w:bCs/>
          <w:color w:val="auto"/>
          <w:sz w:val="32"/>
          <w:szCs w:val="32"/>
          <w:highlight w:val="none"/>
          <w:lang w:eastAsia="zh-CN"/>
        </w:rPr>
        <w:t>：</w:t>
      </w:r>
      <w:r>
        <w:rPr>
          <w:rFonts w:hint="eastAsia" w:ascii="宋体" w:hAnsi="宋体" w:eastAsia="宋体" w:cs="宋体"/>
          <w:b/>
          <w:bCs/>
          <w:color w:val="auto"/>
          <w:sz w:val="32"/>
          <w:szCs w:val="32"/>
          <w:highlight w:val="none"/>
        </w:rPr>
        <w:t>法人或者其他组织的营业执照等证明文件复印件；供应商如为自然人，提供自然人的身份证明复印件。）</w:t>
      </w:r>
    </w:p>
    <w:p w14:paraId="6A3E080F">
      <w:pPr>
        <w:topLinePunct/>
        <w:autoSpaceDE w:val="0"/>
        <w:autoSpaceDN w:val="0"/>
        <w:spacing w:line="500" w:lineRule="exact"/>
        <w:contextualSpacing w:val="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14:paraId="36BAB8B6">
      <w:pPr>
        <w:spacing w:line="360" w:lineRule="auto"/>
        <w:ind w:firstLine="422" w:firstLineChars="200"/>
        <w:contextualSpacing/>
        <w:jc w:val="left"/>
        <w:rPr>
          <w:rFonts w:ascii="宋体" w:hAnsi="宋体" w:cs="宋体"/>
          <w:b/>
          <w:bCs/>
          <w:color w:val="auto"/>
          <w:szCs w:val="21"/>
          <w:highlight w:val="none"/>
        </w:rPr>
      </w:pPr>
      <w:r>
        <w:rPr>
          <w:rFonts w:hint="eastAsia" w:ascii="宋体" w:hAnsi="宋体" w:cs="宋体"/>
          <w:b/>
          <w:bCs/>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w:t>
      </w:r>
    </w:p>
    <w:p w14:paraId="50603B2C">
      <w:pPr>
        <w:spacing w:line="360" w:lineRule="auto"/>
        <w:ind w:firstLine="422" w:firstLineChars="200"/>
        <w:contextualSpacing/>
        <w:jc w:val="left"/>
        <w:rPr>
          <w:rFonts w:ascii="宋体" w:hAnsi="宋体" w:cs="宋体"/>
          <w:b/>
          <w:bCs/>
          <w:color w:val="auto"/>
          <w:szCs w:val="21"/>
          <w:highlight w:val="none"/>
        </w:rPr>
      </w:pPr>
      <w:r>
        <w:rPr>
          <w:rFonts w:hint="eastAsia" w:ascii="宋体" w:hAnsi="宋体" w:cs="宋体"/>
          <w:b/>
          <w:bCs/>
          <w:color w:val="auto"/>
          <w:szCs w:val="21"/>
          <w:highlight w:val="none"/>
        </w:rPr>
        <w:t>2.本表所指的控股关系仅限于直接控股关系，不包括间接的控股关系。公司实际控制人与公司之间的关系不属于本表所指的直接控股关系。本表所指的管理关系仅限于直接管理关系，不包括间接的管理关系。</w:t>
      </w:r>
    </w:p>
    <w:p w14:paraId="222CDC6A">
      <w:pPr>
        <w:tabs>
          <w:tab w:val="left" w:pos="1230"/>
        </w:tabs>
        <w:topLinePunct/>
        <w:autoSpaceDE w:val="0"/>
        <w:autoSpaceDN w:val="0"/>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3.供应商不存在直接控股股东或直接管理关系的，则填“无”。</w:t>
      </w:r>
    </w:p>
    <w:p w14:paraId="6DFD2D22">
      <w:pPr>
        <w:pStyle w:val="2"/>
        <w:rPr>
          <w:rFonts w:ascii="宋体" w:hAnsi="宋体" w:cs="宋体"/>
          <w:color w:val="auto"/>
          <w:sz w:val="24"/>
          <w:highlight w:val="none"/>
        </w:rPr>
      </w:pPr>
    </w:p>
    <w:p w14:paraId="38BE2823">
      <w:pPr>
        <w:pStyle w:val="2"/>
        <w:rPr>
          <w:rFonts w:ascii="宋体" w:hAnsi="宋体" w:cs="宋体"/>
          <w:color w:val="auto"/>
          <w:sz w:val="24"/>
          <w:highlight w:val="none"/>
        </w:rPr>
      </w:pPr>
    </w:p>
    <w:p w14:paraId="51215E15">
      <w:pPr>
        <w:tabs>
          <w:tab w:val="left" w:pos="1230"/>
        </w:tabs>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kern w:val="0"/>
          <w:szCs w:val="21"/>
          <w:highlight w:val="none"/>
        </w:rPr>
        <w:t>（全称并加盖公章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3C71DEB1">
      <w:pPr>
        <w:tabs>
          <w:tab w:val="left" w:pos="1230"/>
        </w:tabs>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授权代表（签字）</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43031F52">
      <w:pPr>
        <w:tabs>
          <w:tab w:val="left" w:pos="1230"/>
        </w:tabs>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p>
    <w:p w14:paraId="6D3F98F2">
      <w:pPr>
        <w:pStyle w:val="11"/>
        <w:ind w:firstLine="420" w:firstLineChars="200"/>
        <w:rPr>
          <w:rFonts w:hAnsi="宋体" w:cs="宋体"/>
          <w:color w:val="auto"/>
          <w:highlight w:val="none"/>
        </w:rPr>
      </w:pPr>
    </w:p>
    <w:p w14:paraId="49003616">
      <w:pPr>
        <w:widowControl/>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6E16A1A0">
      <w:pPr>
        <w:widowControl/>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1-2  财务状况报告</w:t>
      </w:r>
    </w:p>
    <w:p w14:paraId="451F71C9">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根据资格条件要求提供相应材料。</w:t>
      </w:r>
    </w:p>
    <w:p w14:paraId="46909071">
      <w:pPr>
        <w:spacing w:line="360" w:lineRule="auto"/>
        <w:ind w:firstLine="480" w:firstLineChars="200"/>
        <w:jc w:val="left"/>
        <w:rPr>
          <w:rFonts w:ascii="宋体" w:hAnsi="宋体" w:cs="宋体"/>
          <w:color w:val="auto"/>
          <w:kern w:val="0"/>
          <w:sz w:val="24"/>
          <w:highlight w:val="none"/>
        </w:rPr>
      </w:pPr>
    </w:p>
    <w:p w14:paraId="2336B492">
      <w:pPr>
        <w:spacing w:line="360" w:lineRule="auto"/>
        <w:ind w:firstLine="480" w:firstLineChars="200"/>
        <w:jc w:val="left"/>
        <w:rPr>
          <w:rFonts w:ascii="宋体" w:hAnsi="宋体" w:cs="宋体"/>
          <w:color w:val="auto"/>
          <w:kern w:val="0"/>
          <w:sz w:val="24"/>
          <w:highlight w:val="none"/>
        </w:rPr>
      </w:pPr>
    </w:p>
    <w:p w14:paraId="7B9C941F">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1-3依法缴纳税收的相关材料</w:t>
      </w:r>
    </w:p>
    <w:p w14:paraId="0232380C">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根据资格条件要求提供相应材料。</w:t>
      </w:r>
    </w:p>
    <w:p w14:paraId="74CB40F1">
      <w:pPr>
        <w:spacing w:line="360" w:lineRule="auto"/>
        <w:ind w:firstLine="480" w:firstLineChars="200"/>
        <w:jc w:val="left"/>
        <w:rPr>
          <w:rFonts w:ascii="宋体" w:hAnsi="宋体" w:cs="宋体"/>
          <w:color w:val="auto"/>
          <w:kern w:val="0"/>
          <w:sz w:val="24"/>
          <w:highlight w:val="none"/>
        </w:rPr>
      </w:pPr>
    </w:p>
    <w:p w14:paraId="09F8ADA8">
      <w:pPr>
        <w:spacing w:line="360" w:lineRule="auto"/>
        <w:ind w:firstLine="480" w:firstLineChars="200"/>
        <w:jc w:val="left"/>
        <w:rPr>
          <w:rFonts w:ascii="宋体" w:hAnsi="宋体" w:cs="宋体"/>
          <w:color w:val="auto"/>
          <w:kern w:val="0"/>
          <w:sz w:val="24"/>
          <w:highlight w:val="none"/>
        </w:rPr>
      </w:pPr>
    </w:p>
    <w:p w14:paraId="6B1FDC61">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1-4依法缴纳社会保障资金的相关材料</w:t>
      </w:r>
    </w:p>
    <w:p w14:paraId="114DA730">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根据资格条件要求提供相应材料。</w:t>
      </w:r>
    </w:p>
    <w:p w14:paraId="72C0996C">
      <w:pPr>
        <w:widowControl/>
        <w:spacing w:after="0" w:line="360" w:lineRule="auto"/>
        <w:ind w:firstLine="562" w:firstLineChars="200"/>
        <w:jc w:val="left"/>
        <w:rPr>
          <w:rFonts w:hint="eastAsia" w:ascii="宋体" w:hAnsi="宋体" w:eastAsia="宋体" w:cs="宋体"/>
          <w:b/>
          <w:bCs/>
          <w:color w:val="auto"/>
          <w:sz w:val="28"/>
          <w:szCs w:val="28"/>
          <w:highlight w:val="none"/>
          <w:lang w:val="en-US" w:eastAsia="zh-CN"/>
        </w:rPr>
      </w:pPr>
    </w:p>
    <w:p w14:paraId="291E92E3">
      <w:pPr>
        <w:widowControl/>
        <w:spacing w:after="0" w:line="360" w:lineRule="auto"/>
        <w:ind w:firstLine="562" w:firstLineChars="200"/>
        <w:jc w:val="left"/>
        <w:rPr>
          <w:rFonts w:hint="eastAsia" w:ascii="宋体" w:hAnsi="宋体" w:eastAsia="宋体" w:cs="宋体"/>
          <w:b/>
          <w:bCs/>
          <w:color w:val="auto"/>
          <w:sz w:val="28"/>
          <w:szCs w:val="28"/>
          <w:highlight w:val="none"/>
          <w:lang w:val="en-US" w:eastAsia="zh-CN"/>
        </w:rPr>
      </w:pPr>
    </w:p>
    <w:p w14:paraId="23668B12">
      <w:pPr>
        <w:jc w:val="center"/>
        <w:rPr>
          <w:rFonts w:hint="eastAsia"/>
          <w:b/>
          <w:bCs w:val="0"/>
          <w:color w:val="auto"/>
          <w:sz w:val="28"/>
          <w:szCs w:val="28"/>
          <w:highlight w:val="none"/>
        </w:rPr>
      </w:pPr>
      <w:r>
        <w:rPr>
          <w:rFonts w:hint="eastAsia" w:ascii="宋体" w:hAnsi="宋体" w:eastAsia="宋体" w:cs="宋体"/>
          <w:b/>
          <w:bCs/>
          <w:color w:val="auto"/>
          <w:sz w:val="28"/>
          <w:szCs w:val="28"/>
          <w:highlight w:val="none"/>
          <w:lang w:val="en-US" w:eastAsia="zh-CN"/>
        </w:rPr>
        <w:t>1-</w:t>
      </w:r>
      <w:r>
        <w:rPr>
          <w:rFonts w:hint="eastAsia" w:ascii="宋体"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lang w:val="en-US" w:eastAsia="zh-CN"/>
        </w:rPr>
        <w:t xml:space="preserve"> </w:t>
      </w:r>
      <w:r>
        <w:rPr>
          <w:rFonts w:hint="eastAsia"/>
          <w:b/>
          <w:bCs w:val="0"/>
          <w:color w:val="auto"/>
          <w:sz w:val="28"/>
          <w:szCs w:val="28"/>
          <w:highlight w:val="none"/>
        </w:rPr>
        <w:t>具备履行合同所必需的设备和专业技术能力的书面声明</w:t>
      </w:r>
    </w:p>
    <w:p w14:paraId="5250F548">
      <w:pPr>
        <w:jc w:val="left"/>
        <w:rPr>
          <w:rFonts w:hint="eastAsia"/>
          <w:color w:val="auto"/>
          <w:highlight w:val="none"/>
        </w:rPr>
      </w:pPr>
    </w:p>
    <w:p w14:paraId="11391451">
      <w:pPr>
        <w:spacing w:line="360" w:lineRule="auto"/>
        <w:jc w:val="left"/>
        <w:rPr>
          <w:color w:val="auto"/>
          <w:highlight w:val="none"/>
        </w:rPr>
      </w:pPr>
      <w:r>
        <w:rPr>
          <w:rFonts w:hint="eastAsia"/>
          <w:color w:val="auto"/>
          <w:highlight w:val="none"/>
        </w:rPr>
        <w:t>致</w:t>
      </w:r>
      <w:r>
        <w:rPr>
          <w:color w:val="auto"/>
          <w:highlight w:val="none"/>
        </w:rPr>
        <w:t>________</w:t>
      </w:r>
      <w:r>
        <w:rPr>
          <w:rFonts w:hint="eastAsia"/>
          <w:color w:val="auto"/>
          <w:highlight w:val="none"/>
        </w:rPr>
        <w:t>（采购人或采购代理机构）：</w:t>
      </w:r>
    </w:p>
    <w:p w14:paraId="2A8B6364">
      <w:pPr>
        <w:spacing w:line="360" w:lineRule="auto"/>
        <w:ind w:firstLine="420" w:firstLineChars="200"/>
        <w:jc w:val="left"/>
        <w:rPr>
          <w:rFonts w:hint="eastAsia"/>
          <w:color w:val="auto"/>
          <w:highlight w:val="none"/>
        </w:rPr>
      </w:pPr>
      <w:r>
        <w:rPr>
          <w:rFonts w:hint="eastAsia"/>
          <w:color w:val="auto"/>
          <w:highlight w:val="none"/>
        </w:rPr>
        <w:t>我方具备履行</w:t>
      </w:r>
      <w:r>
        <w:rPr>
          <w:rFonts w:hint="eastAsia"/>
          <w:color w:val="auto"/>
          <w:highlight w:val="none"/>
          <w:lang w:val="en-US" w:eastAsia="zh-CN"/>
        </w:rPr>
        <w:t>本项目</w:t>
      </w:r>
      <w:r>
        <w:rPr>
          <w:rFonts w:hint="eastAsia"/>
          <w:color w:val="auto"/>
          <w:highlight w:val="none"/>
        </w:rPr>
        <w:t>合同所必需的设备和专业技术能力，否则产生不利后果由我方承担责任。</w:t>
      </w:r>
    </w:p>
    <w:p w14:paraId="4FA1E7DD">
      <w:pPr>
        <w:spacing w:line="360" w:lineRule="auto"/>
        <w:ind w:firstLine="420" w:firstLineChars="200"/>
        <w:jc w:val="left"/>
        <w:rPr>
          <w:color w:val="auto"/>
          <w:highlight w:val="none"/>
        </w:rPr>
      </w:pPr>
      <w:r>
        <w:rPr>
          <w:rFonts w:hint="eastAsia"/>
          <w:color w:val="auto"/>
          <w:highlight w:val="none"/>
        </w:rPr>
        <w:t>特此声明！</w:t>
      </w:r>
    </w:p>
    <w:p w14:paraId="3AF610F9">
      <w:pPr>
        <w:spacing w:line="360" w:lineRule="auto"/>
        <w:jc w:val="left"/>
        <w:rPr>
          <w:color w:val="auto"/>
          <w:highlight w:val="none"/>
        </w:rPr>
      </w:pPr>
    </w:p>
    <w:p w14:paraId="0FC325D8">
      <w:pPr>
        <w:spacing w:line="360" w:lineRule="auto"/>
        <w:ind w:firstLine="630" w:firstLineChars="300"/>
        <w:jc w:val="left"/>
        <w:rPr>
          <w:color w:val="auto"/>
          <w:highlight w:val="none"/>
        </w:rPr>
      </w:pPr>
      <w:r>
        <w:rPr>
          <w:rFonts w:hint="eastAsia"/>
          <w:color w:val="auto"/>
          <w:highlight w:val="none"/>
        </w:rPr>
        <w:t>（请投标人根据实际情况如实声明，否则视为提供虚假材料。）</w:t>
      </w:r>
    </w:p>
    <w:p w14:paraId="091B71A9">
      <w:pPr>
        <w:spacing w:line="360" w:lineRule="auto"/>
        <w:jc w:val="left"/>
        <w:rPr>
          <w:color w:val="auto"/>
          <w:highlight w:val="none"/>
        </w:rPr>
      </w:pPr>
    </w:p>
    <w:p w14:paraId="36C2723F">
      <w:pPr>
        <w:spacing w:line="360" w:lineRule="auto"/>
        <w:jc w:val="left"/>
        <w:rPr>
          <w:color w:val="auto"/>
          <w:highlight w:val="none"/>
        </w:rPr>
      </w:pPr>
      <w:r>
        <w:rPr>
          <w:rFonts w:hint="eastAsia"/>
          <w:color w:val="auto"/>
          <w:highlight w:val="none"/>
        </w:rPr>
        <w:t>投标人（全称并加盖公章）：</w:t>
      </w:r>
      <w:r>
        <w:rPr>
          <w:rFonts w:hint="eastAsia"/>
          <w:color w:val="auto"/>
          <w:highlight w:val="none"/>
          <w:u w:val="single"/>
          <w:lang w:val="en-US" w:eastAsia="zh-CN"/>
        </w:rPr>
        <w:t xml:space="preserve">                         </w:t>
      </w:r>
      <w:r>
        <w:rPr>
          <w:rFonts w:hint="eastAsia"/>
          <w:color w:val="auto"/>
          <w:highlight w:val="none"/>
          <w:lang w:val="en-US" w:eastAsia="zh-CN"/>
        </w:rPr>
        <w:t xml:space="preserve"> </w:t>
      </w:r>
    </w:p>
    <w:p w14:paraId="5E4B8461">
      <w:pPr>
        <w:spacing w:line="360" w:lineRule="auto"/>
        <w:jc w:val="left"/>
        <w:rPr>
          <w:color w:val="auto"/>
          <w:highlight w:val="none"/>
        </w:rPr>
      </w:pPr>
      <w:r>
        <w:rPr>
          <w:rFonts w:hint="eastAsia"/>
          <w:color w:val="auto"/>
          <w:highlight w:val="none"/>
        </w:rPr>
        <w:t>投标人代表（签字）：</w:t>
      </w:r>
      <w:r>
        <w:rPr>
          <w:rFonts w:hint="eastAsia"/>
          <w:color w:val="auto"/>
          <w:highlight w:val="none"/>
          <w:u w:val="single"/>
          <w:lang w:val="en-US" w:eastAsia="zh-CN"/>
        </w:rPr>
        <w:t xml:space="preserve">                         </w:t>
      </w:r>
      <w:r>
        <w:rPr>
          <w:rFonts w:hint="eastAsia"/>
          <w:color w:val="auto"/>
          <w:highlight w:val="none"/>
          <w:lang w:val="en-US" w:eastAsia="zh-CN"/>
        </w:rPr>
        <w:t xml:space="preserve"> </w:t>
      </w:r>
    </w:p>
    <w:p w14:paraId="65574411">
      <w:pPr>
        <w:spacing w:line="360" w:lineRule="auto"/>
        <w:jc w:val="left"/>
        <w:rPr>
          <w:color w:val="auto"/>
          <w:highlight w:val="none"/>
        </w:rPr>
      </w:pPr>
      <w:r>
        <w:rPr>
          <w:rFonts w:hint="eastAsia"/>
          <w:color w:val="auto"/>
          <w:highlight w:val="none"/>
        </w:rPr>
        <w:t>日期：</w:t>
      </w:r>
      <w:r>
        <w:rPr>
          <w:rFonts w:hint="eastAsia"/>
          <w:color w:val="auto"/>
          <w:highlight w:val="none"/>
          <w:u w:val="single"/>
          <w:lang w:val="en-US" w:eastAsia="zh-CN"/>
        </w:rPr>
        <w:t xml:space="preserve">                         </w:t>
      </w:r>
      <w:r>
        <w:rPr>
          <w:rFonts w:hint="eastAsia"/>
          <w:color w:val="auto"/>
          <w:highlight w:val="none"/>
          <w:lang w:val="en-US" w:eastAsia="zh-CN"/>
        </w:rPr>
        <w:t xml:space="preserve"> </w:t>
      </w:r>
    </w:p>
    <w:p w14:paraId="5857F8F3">
      <w:pPr>
        <w:adjustRightInd w:val="0"/>
        <w:snapToGrid w:val="0"/>
        <w:spacing w:line="360" w:lineRule="auto"/>
        <w:jc w:val="center"/>
        <w:rPr>
          <w:rFonts w:hint="eastAsia" w:ascii="宋体" w:hAnsi="宋体" w:eastAsia="宋体" w:cs="宋体"/>
          <w:b/>
          <w:bCs/>
          <w:color w:val="auto"/>
          <w:sz w:val="28"/>
          <w:szCs w:val="28"/>
          <w:highlight w:val="none"/>
          <w:lang w:val="en-US" w:eastAsia="zh-CN"/>
        </w:rPr>
      </w:pPr>
    </w:p>
    <w:p w14:paraId="22CDF0DE">
      <w:pPr>
        <w:adjustRightInd w:val="0"/>
        <w:snapToGrid w:val="0"/>
        <w:spacing w:line="360" w:lineRule="auto"/>
        <w:jc w:val="center"/>
        <w:rPr>
          <w:rFonts w:hint="eastAsia" w:ascii="宋体" w:hAnsi="宋体" w:eastAsia="宋体" w:cs="宋体"/>
          <w:b/>
          <w:bCs/>
          <w:color w:val="auto"/>
          <w:sz w:val="28"/>
          <w:szCs w:val="28"/>
          <w:highlight w:val="none"/>
          <w:lang w:val="en-US" w:eastAsia="zh-CN"/>
        </w:rPr>
      </w:pPr>
    </w:p>
    <w:p w14:paraId="634F2806">
      <w:pPr>
        <w:adjustRightInd w:val="0"/>
        <w:snapToGrid w:val="0"/>
        <w:spacing w:line="360" w:lineRule="auto"/>
        <w:jc w:val="center"/>
        <w:rPr>
          <w:rFonts w:hint="eastAsia" w:ascii="宋体" w:hAnsi="宋体" w:eastAsia="宋体" w:cs="宋体"/>
          <w:b/>
          <w:bCs/>
          <w:color w:val="auto"/>
          <w:sz w:val="28"/>
          <w:szCs w:val="28"/>
          <w:highlight w:val="none"/>
          <w:lang w:val="en-US" w:eastAsia="zh-CN"/>
        </w:rPr>
      </w:pPr>
    </w:p>
    <w:p w14:paraId="5913E05F">
      <w:pPr>
        <w:adjustRightInd w:val="0"/>
        <w:snapToGrid w:val="0"/>
        <w:spacing w:line="360" w:lineRule="auto"/>
        <w:jc w:val="center"/>
        <w:rPr>
          <w:rFonts w:hint="eastAsia" w:ascii="宋体" w:hAnsi="宋体" w:eastAsia="宋体" w:cs="宋体"/>
          <w:b/>
          <w:bCs/>
          <w:color w:val="auto"/>
          <w:sz w:val="28"/>
          <w:szCs w:val="28"/>
          <w:highlight w:val="none"/>
          <w:lang w:val="en-US" w:eastAsia="zh-CN"/>
        </w:rPr>
      </w:pPr>
    </w:p>
    <w:p w14:paraId="630F18D7">
      <w:pPr>
        <w:adjustRightInd w:val="0"/>
        <w:snapToGrid w:val="0"/>
        <w:spacing w:line="360" w:lineRule="auto"/>
        <w:jc w:val="center"/>
        <w:rPr>
          <w:rFonts w:hint="eastAsia" w:ascii="宋体" w:hAnsi="宋体" w:eastAsia="宋体" w:cs="宋体"/>
          <w:b/>
          <w:bCs/>
          <w:color w:val="auto"/>
          <w:sz w:val="28"/>
          <w:szCs w:val="28"/>
          <w:highlight w:val="none"/>
          <w:lang w:val="en-US" w:eastAsia="zh-CN"/>
        </w:rPr>
      </w:pPr>
    </w:p>
    <w:p w14:paraId="6B7C4CF5">
      <w:pPr>
        <w:adjustRightInd w:val="0"/>
        <w:snapToGrid w:val="0"/>
        <w:spacing w:line="360" w:lineRule="auto"/>
        <w:jc w:val="center"/>
        <w:rPr>
          <w:rFonts w:hint="eastAsia" w:ascii="宋体" w:hAnsi="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w:t>
      </w:r>
      <w:r>
        <w:rPr>
          <w:rFonts w:hint="eastAsia" w:ascii="宋体" w:hAnsi="宋体" w:cs="宋体"/>
          <w:b/>
          <w:bCs/>
          <w:color w:val="auto"/>
          <w:sz w:val="28"/>
          <w:szCs w:val="28"/>
          <w:highlight w:val="none"/>
          <w:lang w:val="en-US" w:eastAsia="zh-CN"/>
        </w:rPr>
        <w:t>6</w:t>
      </w:r>
      <w:r>
        <w:rPr>
          <w:rFonts w:hint="eastAsia" w:ascii="宋体" w:hAnsi="宋体" w:cs="宋体"/>
          <w:b/>
          <w:bCs/>
          <w:color w:val="auto"/>
          <w:sz w:val="28"/>
          <w:szCs w:val="28"/>
          <w:highlight w:val="none"/>
        </w:rPr>
        <w:t>参加本次采购活动前三年内在经营活动中</w:t>
      </w:r>
    </w:p>
    <w:p w14:paraId="2B127DFB">
      <w:pPr>
        <w:snapToGrid w:val="0"/>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没有重大违法记录的书面声明</w:t>
      </w:r>
    </w:p>
    <w:p w14:paraId="46AF7438">
      <w:pPr>
        <w:pStyle w:val="11"/>
        <w:topLinePunct/>
        <w:autoSpaceDE w:val="0"/>
        <w:autoSpaceDN w:val="0"/>
        <w:snapToGrid w:val="0"/>
        <w:spacing w:line="360" w:lineRule="auto"/>
        <w:jc w:val="center"/>
        <w:rPr>
          <w:rFonts w:hAnsi="宋体" w:cs="宋体"/>
          <w:b/>
          <w:color w:val="auto"/>
          <w:w w:val="150"/>
          <w:highlight w:val="none"/>
        </w:rPr>
      </w:pPr>
    </w:p>
    <w:p w14:paraId="4D63518F">
      <w:pPr>
        <w:pStyle w:val="11"/>
        <w:snapToGrid w:val="0"/>
        <w:spacing w:line="360" w:lineRule="auto"/>
        <w:rPr>
          <w:rFonts w:hAnsi="宋体" w:cs="宋体"/>
          <w:color w:val="auto"/>
          <w:highlight w:val="none"/>
        </w:rPr>
      </w:pPr>
      <w:r>
        <w:rPr>
          <w:rFonts w:hint="eastAsia" w:hAnsi="宋体" w:cs="宋体"/>
          <w:color w:val="auto"/>
          <w:highlight w:val="none"/>
        </w:rPr>
        <w:t>致________（采购人或采购代理机构）：</w:t>
      </w:r>
    </w:p>
    <w:p w14:paraId="65FC54FF">
      <w:pPr>
        <w:pStyle w:val="11"/>
        <w:snapToGrid w:val="0"/>
        <w:spacing w:line="360" w:lineRule="auto"/>
        <w:ind w:firstLine="420" w:firstLineChars="200"/>
        <w:rPr>
          <w:rFonts w:hAnsi="宋体" w:cs="宋体"/>
          <w:color w:val="auto"/>
          <w:highlight w:val="none"/>
        </w:rPr>
      </w:pPr>
      <w:r>
        <w:rPr>
          <w:rFonts w:hint="eastAsia" w:hAnsi="宋体" w:cs="宋体"/>
          <w:color w:val="auto"/>
          <w:highlight w:val="none"/>
        </w:rPr>
        <w:t>我单位在参加本次采购活动前三年内在经营活动中没有重大违法记录，包括：</w:t>
      </w:r>
    </w:p>
    <w:p w14:paraId="62926C78">
      <w:pPr>
        <w:pStyle w:val="11"/>
        <w:snapToGrid w:val="0"/>
        <w:spacing w:line="360" w:lineRule="auto"/>
        <w:ind w:firstLine="420" w:firstLineChars="200"/>
        <w:rPr>
          <w:rFonts w:hAnsi="宋体" w:cs="宋体"/>
          <w:color w:val="auto"/>
          <w:highlight w:val="none"/>
        </w:rPr>
      </w:pPr>
      <w:r>
        <w:rPr>
          <w:rFonts w:hint="eastAsia" w:hAnsi="宋体" w:cs="宋体"/>
          <w:color w:val="auto"/>
          <w:highlight w:val="none"/>
        </w:rPr>
        <w:t>我单位未因经营活动中的违法行为受到刑事处罚或者责令停产停业、吊销许可证或者执照、较大数额罚款等行政处罚。</w:t>
      </w:r>
    </w:p>
    <w:p w14:paraId="6169E5FD">
      <w:pPr>
        <w:pStyle w:val="11"/>
        <w:snapToGrid w:val="0"/>
        <w:spacing w:line="360" w:lineRule="auto"/>
        <w:ind w:firstLine="420" w:firstLineChars="200"/>
        <w:rPr>
          <w:rFonts w:hAnsi="宋体" w:cs="宋体"/>
          <w:color w:val="auto"/>
          <w:highlight w:val="none"/>
        </w:rPr>
      </w:pPr>
      <w:r>
        <w:rPr>
          <w:rFonts w:hint="eastAsia" w:hAnsi="宋体" w:cs="宋体"/>
          <w:color w:val="auto"/>
          <w:highlight w:val="none"/>
        </w:rPr>
        <w:t>特此声明！</w:t>
      </w:r>
    </w:p>
    <w:p w14:paraId="03981096">
      <w:pPr>
        <w:snapToGrid w:val="0"/>
        <w:spacing w:line="360" w:lineRule="auto"/>
        <w:ind w:firstLine="420" w:firstLineChars="200"/>
        <w:rPr>
          <w:rFonts w:ascii="宋体" w:hAnsi="宋体" w:cs="宋体"/>
          <w:color w:val="auto"/>
          <w:szCs w:val="21"/>
          <w:highlight w:val="none"/>
        </w:rPr>
      </w:pPr>
    </w:p>
    <w:p w14:paraId="3A0E95A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（请供应商根据实际情况如实声明，否则视为提供虚假材料。）</w:t>
      </w:r>
    </w:p>
    <w:p w14:paraId="1E801361">
      <w:pPr>
        <w:snapToGrid w:val="0"/>
        <w:spacing w:line="360" w:lineRule="auto"/>
        <w:ind w:firstLine="420" w:firstLineChars="200"/>
        <w:rPr>
          <w:rFonts w:ascii="宋体" w:hAnsi="宋体" w:cs="宋体"/>
          <w:color w:val="auto"/>
          <w:szCs w:val="21"/>
          <w:highlight w:val="none"/>
        </w:rPr>
      </w:pPr>
    </w:p>
    <w:p w14:paraId="37CEE3F6">
      <w:pPr>
        <w:tabs>
          <w:tab w:val="left" w:pos="1230"/>
        </w:tabs>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kern w:val="0"/>
          <w:szCs w:val="21"/>
          <w:highlight w:val="none"/>
        </w:rPr>
        <w:t>（全称并加盖公章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78AC03AB">
      <w:pPr>
        <w:tabs>
          <w:tab w:val="left" w:pos="1230"/>
        </w:tabs>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授权代表（签字）</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348B18FE">
      <w:pPr>
        <w:tabs>
          <w:tab w:val="left" w:pos="1230"/>
        </w:tabs>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p>
    <w:p w14:paraId="556CB883">
      <w:pPr>
        <w:widowControl/>
        <w:spacing w:line="360" w:lineRule="auto"/>
        <w:jc w:val="center"/>
        <w:rPr>
          <w:rFonts w:ascii="宋体" w:hAnsi="宋体" w:cs="宋体"/>
          <w:b/>
          <w:bCs/>
          <w:color w:val="auto"/>
          <w:sz w:val="28"/>
          <w:szCs w:val="28"/>
          <w:highlight w:val="none"/>
        </w:rPr>
      </w:pPr>
      <w:r>
        <w:rPr>
          <w:rFonts w:hint="eastAsia" w:ascii="宋体" w:hAnsi="宋体" w:cs="宋体"/>
          <w:color w:val="auto"/>
          <w:sz w:val="24"/>
          <w:highlight w:val="none"/>
        </w:rPr>
        <w:br w:type="page"/>
      </w:r>
      <w:r>
        <w:rPr>
          <w:rFonts w:hint="eastAsia" w:ascii="宋体" w:hAnsi="宋体" w:cs="宋体"/>
          <w:b/>
          <w:bCs/>
          <w:color w:val="auto"/>
          <w:sz w:val="28"/>
          <w:szCs w:val="28"/>
          <w:highlight w:val="none"/>
        </w:rPr>
        <w:t>1-</w:t>
      </w:r>
      <w:r>
        <w:rPr>
          <w:rFonts w:hint="eastAsia" w:ascii="宋体" w:hAnsi="宋体" w:cs="宋体"/>
          <w:b/>
          <w:bCs/>
          <w:color w:val="auto"/>
          <w:sz w:val="28"/>
          <w:szCs w:val="28"/>
          <w:highlight w:val="none"/>
          <w:lang w:val="en-US" w:eastAsia="zh-CN"/>
        </w:rPr>
        <w:t xml:space="preserve">7  </w:t>
      </w:r>
      <w:r>
        <w:rPr>
          <w:rFonts w:hint="eastAsia" w:ascii="宋体" w:hAnsi="宋体" w:cs="宋体"/>
          <w:b/>
          <w:bCs/>
          <w:color w:val="auto"/>
          <w:sz w:val="28"/>
          <w:szCs w:val="28"/>
          <w:highlight w:val="none"/>
        </w:rPr>
        <w:t>中小企业声明函</w:t>
      </w:r>
    </w:p>
    <w:p w14:paraId="2F91B869">
      <w:pPr>
        <w:rPr>
          <w:rFonts w:ascii="宋体" w:hAnsi="宋体" w:cs="宋体"/>
          <w:color w:val="auto"/>
          <w:highlight w:val="none"/>
        </w:rPr>
      </w:pPr>
    </w:p>
    <w:p w14:paraId="636171E1">
      <w:pPr>
        <w:widowControl/>
        <w:jc w:val="center"/>
        <w:rPr>
          <w:rFonts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中小企业声明函（</w:t>
      </w:r>
      <w:r>
        <w:rPr>
          <w:rFonts w:hint="eastAsia" w:ascii="宋体" w:hAnsi="宋体" w:cs="宋体"/>
          <w:b/>
          <w:bCs/>
          <w:color w:val="auto"/>
          <w:sz w:val="28"/>
          <w:szCs w:val="28"/>
          <w:highlight w:val="none"/>
          <w:lang w:val="en-US" w:eastAsia="zh-CN"/>
        </w:rPr>
        <w:t>服务</w:t>
      </w:r>
      <w:r>
        <w:rPr>
          <w:rFonts w:hint="eastAsia" w:ascii="宋体" w:hAnsi="宋体" w:cs="宋体"/>
          <w:b/>
          <w:bCs/>
          <w:color w:val="auto"/>
          <w:sz w:val="28"/>
          <w:szCs w:val="28"/>
          <w:highlight w:val="none"/>
        </w:rPr>
        <w:t>）</w:t>
      </w:r>
    </w:p>
    <w:p w14:paraId="69978744">
      <w:pPr>
        <w:pStyle w:val="17"/>
        <w:widowControl w:val="0"/>
        <w:snapToGrid w:val="0"/>
        <w:spacing w:before="0" w:beforeAutospacing="0" w:after="0" w:afterAutospacing="0" w:line="360" w:lineRule="auto"/>
        <w:ind w:firstLine="420" w:firstLineChars="200"/>
        <w:jc w:val="both"/>
        <w:rPr>
          <w:rFonts w:hint="eastAsia" w:ascii="宋体" w:hAnsi="宋体" w:eastAsia="宋体" w:cs="宋体"/>
          <w:color w:val="auto"/>
          <w:kern w:val="2"/>
          <w:sz w:val="21"/>
          <w:szCs w:val="21"/>
          <w:highlight w:val="none"/>
          <w:lang w:bidi="ar"/>
        </w:rPr>
      </w:pPr>
    </w:p>
    <w:p w14:paraId="145B6A24">
      <w:pPr>
        <w:pStyle w:val="17"/>
        <w:widowControl w:val="0"/>
        <w:snapToGrid w:val="0"/>
        <w:spacing w:before="0" w:beforeAutospacing="0" w:after="0" w:afterAutospacing="0"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bidi="ar"/>
        </w:rPr>
        <w:t>本公司（联合体）郑重声明，根据《政府采购促进中小企业发展管理办法》（财库﹝2020﹞46 号）的规定，本公司（联合体）参加</w:t>
      </w:r>
      <w:r>
        <w:rPr>
          <w:rFonts w:hint="eastAsia" w:cs="宋体"/>
          <w:color w:val="auto"/>
          <w:kern w:val="2"/>
          <w:sz w:val="21"/>
          <w:szCs w:val="21"/>
          <w:highlight w:val="none"/>
          <w:u w:val="single"/>
          <w:lang w:eastAsia="zh-CN" w:bidi="ar"/>
        </w:rPr>
        <w:t>国家税务总局南丹县税务局2026年度物业管理服务采购</w:t>
      </w:r>
      <w:r>
        <w:rPr>
          <w:rFonts w:hint="eastAsia" w:ascii="宋体" w:hAnsi="宋体" w:eastAsia="宋体" w:cs="宋体"/>
          <w:color w:val="auto"/>
          <w:kern w:val="2"/>
          <w:sz w:val="21"/>
          <w:szCs w:val="21"/>
          <w:highlight w:val="none"/>
          <w:lang w:bidi="ar"/>
        </w:rPr>
        <w:t>采购活动，服务全部由符合政策要求的中小企业承接。相关企业</w:t>
      </w:r>
      <w:r>
        <w:rPr>
          <w:rFonts w:hint="eastAsia" w:ascii="宋体" w:hAnsi="宋体" w:eastAsia="宋体" w:cs="宋体"/>
          <w:b w:val="0"/>
          <w:bCs/>
          <w:color w:val="auto"/>
          <w:kern w:val="2"/>
          <w:sz w:val="21"/>
          <w:szCs w:val="21"/>
          <w:highlight w:val="none"/>
          <w:lang w:bidi="ar"/>
        </w:rPr>
        <w:t>（含联合体中的中小企业、签订分包意向协议的中小企业）</w:t>
      </w:r>
      <w:r>
        <w:rPr>
          <w:rFonts w:hint="eastAsia" w:ascii="宋体" w:hAnsi="宋体" w:eastAsia="宋体" w:cs="宋体"/>
          <w:color w:val="auto"/>
          <w:kern w:val="2"/>
          <w:sz w:val="21"/>
          <w:szCs w:val="21"/>
          <w:highlight w:val="none"/>
          <w:lang w:bidi="ar"/>
        </w:rPr>
        <w:t>的具体情况如下：</w:t>
      </w:r>
    </w:p>
    <w:p w14:paraId="5055E5F9">
      <w:pPr>
        <w:pStyle w:val="17"/>
        <w:widowControl w:val="0"/>
        <w:snapToGrid w:val="0"/>
        <w:spacing w:before="0" w:beforeAutospacing="0" w:after="0" w:afterAutospacing="0"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bidi="ar"/>
        </w:rPr>
        <w:t>1.</w:t>
      </w:r>
      <w:r>
        <w:rPr>
          <w:rFonts w:hint="eastAsia" w:ascii="宋体" w:hAnsi="宋体" w:eastAsia="宋体" w:cs="宋体"/>
          <w:i/>
          <w:iCs/>
          <w:color w:val="auto"/>
          <w:kern w:val="2"/>
          <w:sz w:val="21"/>
          <w:szCs w:val="21"/>
          <w:highlight w:val="none"/>
          <w:u w:val="single"/>
          <w:lang w:bidi="ar"/>
        </w:rPr>
        <w:t xml:space="preserve"> </w:t>
      </w:r>
      <w:r>
        <w:rPr>
          <w:rFonts w:hint="eastAsia" w:cs="宋体"/>
          <w:color w:val="auto"/>
          <w:kern w:val="2"/>
          <w:sz w:val="21"/>
          <w:szCs w:val="21"/>
          <w:highlight w:val="none"/>
          <w:u w:val="single"/>
          <w:lang w:eastAsia="zh-CN" w:bidi="ar"/>
        </w:rPr>
        <w:t>国家税务总局南丹县税务局2026年度物业管理服务采购</w:t>
      </w:r>
      <w:r>
        <w:rPr>
          <w:rFonts w:hint="eastAsia" w:ascii="宋体" w:hAnsi="宋体" w:eastAsia="宋体" w:cs="宋体"/>
          <w:i/>
          <w:iCs/>
          <w:color w:val="auto"/>
          <w:kern w:val="2"/>
          <w:sz w:val="21"/>
          <w:szCs w:val="21"/>
          <w:highlight w:val="none"/>
          <w:u w:val="single"/>
          <w:lang w:bidi="ar"/>
        </w:rPr>
        <w:t xml:space="preserve">（标的名称）  </w:t>
      </w:r>
      <w:r>
        <w:rPr>
          <w:rFonts w:hint="eastAsia" w:ascii="宋体" w:hAnsi="宋体" w:eastAsia="宋体" w:cs="宋体"/>
          <w:color w:val="auto"/>
          <w:kern w:val="2"/>
          <w:sz w:val="21"/>
          <w:szCs w:val="21"/>
          <w:highlight w:val="none"/>
          <w:lang w:bidi="ar"/>
        </w:rPr>
        <w:t>，属于</w:t>
      </w:r>
      <w:r>
        <w:rPr>
          <w:rFonts w:hint="eastAsia" w:cs="宋体"/>
          <w:color w:val="auto"/>
          <w:kern w:val="2"/>
          <w:sz w:val="21"/>
          <w:szCs w:val="21"/>
          <w:highlight w:val="none"/>
          <w:u w:val="single"/>
          <w:lang w:eastAsia="zh-CN" w:bidi="ar"/>
        </w:rPr>
        <w:t>物业管理</w:t>
      </w:r>
      <w:r>
        <w:rPr>
          <w:rFonts w:hint="eastAsia" w:ascii="宋体" w:hAnsi="宋体" w:eastAsia="宋体" w:cs="宋体"/>
          <w:i/>
          <w:iCs/>
          <w:color w:val="auto"/>
          <w:kern w:val="2"/>
          <w:sz w:val="21"/>
          <w:szCs w:val="21"/>
          <w:highlight w:val="none"/>
          <w:u w:val="single"/>
          <w:lang w:bidi="ar"/>
        </w:rPr>
        <w:t>（采购文件中明确的所属行业）</w:t>
      </w:r>
      <w:r>
        <w:rPr>
          <w:rFonts w:hint="eastAsia" w:ascii="宋体" w:hAnsi="宋体" w:eastAsia="宋体" w:cs="宋体"/>
          <w:color w:val="auto"/>
          <w:kern w:val="2"/>
          <w:sz w:val="21"/>
          <w:szCs w:val="21"/>
          <w:highlight w:val="none"/>
          <w:lang w:bidi="ar"/>
        </w:rPr>
        <w:t>；承建（承接）企业为</w:t>
      </w:r>
      <w:r>
        <w:rPr>
          <w:rFonts w:hint="eastAsia" w:ascii="宋体" w:hAnsi="宋体" w:eastAsia="宋体" w:cs="宋体"/>
          <w:i/>
          <w:iCs/>
          <w:color w:val="auto"/>
          <w:kern w:val="2"/>
          <w:sz w:val="21"/>
          <w:szCs w:val="21"/>
          <w:highlight w:val="none"/>
          <w:u w:val="single"/>
          <w:lang w:bidi="ar"/>
        </w:rPr>
        <w:t>（企业名称）</w:t>
      </w:r>
      <w:r>
        <w:rPr>
          <w:rFonts w:hint="eastAsia" w:ascii="宋体" w:hAnsi="宋体" w:eastAsia="宋体" w:cs="宋体"/>
          <w:color w:val="auto"/>
          <w:kern w:val="2"/>
          <w:sz w:val="21"/>
          <w:szCs w:val="21"/>
          <w:highlight w:val="none"/>
          <w:lang w:bidi="ar"/>
        </w:rPr>
        <w:t>，从业人员</w:t>
      </w:r>
      <w:r>
        <w:rPr>
          <w:rFonts w:hint="eastAsia" w:ascii="宋体" w:hAnsi="宋体" w:eastAsia="宋体" w:cs="宋体"/>
          <w:color w:val="auto"/>
          <w:kern w:val="2"/>
          <w:sz w:val="21"/>
          <w:szCs w:val="21"/>
          <w:highlight w:val="none"/>
          <w:u w:val="single"/>
          <w:lang w:bidi="ar"/>
        </w:rPr>
        <w:tab/>
      </w:r>
      <w:r>
        <w:rPr>
          <w:rFonts w:hint="eastAsia" w:ascii="宋体" w:hAnsi="宋体" w:eastAsia="宋体" w:cs="宋体"/>
          <w:color w:val="auto"/>
          <w:kern w:val="2"/>
          <w:sz w:val="21"/>
          <w:szCs w:val="21"/>
          <w:highlight w:val="none"/>
          <w:u w:val="single"/>
          <w:lang w:bidi="ar"/>
        </w:rPr>
        <w:t xml:space="preserve">   </w:t>
      </w:r>
      <w:r>
        <w:rPr>
          <w:rFonts w:hint="eastAsia" w:ascii="宋体" w:hAnsi="宋体" w:eastAsia="宋体" w:cs="宋体"/>
          <w:color w:val="auto"/>
          <w:kern w:val="2"/>
          <w:sz w:val="21"/>
          <w:szCs w:val="21"/>
          <w:highlight w:val="none"/>
          <w:lang w:bidi="ar"/>
        </w:rPr>
        <w:t>人，营业收入为</w:t>
      </w:r>
      <w:r>
        <w:rPr>
          <w:rFonts w:hint="eastAsia" w:ascii="宋体" w:hAnsi="宋体" w:eastAsia="宋体" w:cs="宋体"/>
          <w:color w:val="auto"/>
          <w:kern w:val="2"/>
          <w:sz w:val="21"/>
          <w:szCs w:val="21"/>
          <w:highlight w:val="none"/>
          <w:u w:val="single"/>
          <w:lang w:bidi="ar"/>
        </w:rPr>
        <w:tab/>
      </w:r>
      <w:r>
        <w:rPr>
          <w:rFonts w:hint="eastAsia" w:ascii="宋体" w:hAnsi="宋体" w:eastAsia="宋体" w:cs="宋体"/>
          <w:color w:val="auto"/>
          <w:kern w:val="2"/>
          <w:sz w:val="21"/>
          <w:szCs w:val="21"/>
          <w:highlight w:val="none"/>
          <w:u w:val="single"/>
          <w:lang w:bidi="ar"/>
        </w:rPr>
        <w:t xml:space="preserve">   </w:t>
      </w:r>
      <w:r>
        <w:rPr>
          <w:rFonts w:hint="eastAsia" w:ascii="宋体" w:hAnsi="宋体" w:eastAsia="宋体" w:cs="宋体"/>
          <w:color w:val="auto"/>
          <w:kern w:val="2"/>
          <w:sz w:val="21"/>
          <w:szCs w:val="21"/>
          <w:highlight w:val="none"/>
          <w:lang w:bidi="ar"/>
        </w:rPr>
        <w:t>万元，资产总额为</w:t>
      </w:r>
      <w:r>
        <w:rPr>
          <w:rFonts w:hint="eastAsia" w:ascii="宋体" w:hAnsi="宋体" w:eastAsia="宋体" w:cs="宋体"/>
          <w:color w:val="auto"/>
          <w:kern w:val="2"/>
          <w:sz w:val="21"/>
          <w:szCs w:val="21"/>
          <w:highlight w:val="none"/>
          <w:u w:val="single"/>
          <w:lang w:bidi="ar"/>
        </w:rPr>
        <w:tab/>
      </w:r>
      <w:r>
        <w:rPr>
          <w:rFonts w:hint="eastAsia" w:ascii="宋体" w:hAnsi="宋体" w:eastAsia="宋体" w:cs="宋体"/>
          <w:color w:val="auto"/>
          <w:kern w:val="2"/>
          <w:sz w:val="21"/>
          <w:szCs w:val="21"/>
          <w:highlight w:val="none"/>
          <w:u w:val="single"/>
          <w:lang w:bidi="ar"/>
        </w:rPr>
        <w:t xml:space="preserve">   </w:t>
      </w:r>
      <w:r>
        <w:rPr>
          <w:rFonts w:hint="eastAsia" w:ascii="宋体" w:hAnsi="宋体" w:eastAsia="宋体" w:cs="宋体"/>
          <w:color w:val="auto"/>
          <w:kern w:val="2"/>
          <w:sz w:val="21"/>
          <w:szCs w:val="21"/>
          <w:highlight w:val="none"/>
          <w:lang w:bidi="ar"/>
        </w:rPr>
        <w:t>万元</w:t>
      </w:r>
      <w:r>
        <w:rPr>
          <w:rFonts w:hint="eastAsia" w:ascii="宋体" w:hAnsi="宋体" w:eastAsia="宋体" w:cs="宋体"/>
          <w:color w:val="auto"/>
          <w:kern w:val="2"/>
          <w:sz w:val="21"/>
          <w:szCs w:val="21"/>
          <w:highlight w:val="none"/>
          <w:vertAlign w:val="superscript"/>
          <w:lang w:bidi="ar"/>
        </w:rPr>
        <w:t>1</w:t>
      </w:r>
      <w:r>
        <w:rPr>
          <w:rFonts w:hint="eastAsia" w:ascii="宋体" w:hAnsi="宋体" w:eastAsia="宋体" w:cs="宋体"/>
          <w:color w:val="auto"/>
          <w:kern w:val="2"/>
          <w:sz w:val="21"/>
          <w:szCs w:val="21"/>
          <w:highlight w:val="none"/>
          <w:lang w:bidi="ar"/>
        </w:rPr>
        <w:t>，属于</w:t>
      </w:r>
      <w:r>
        <w:rPr>
          <w:rFonts w:hint="eastAsia" w:cs="宋体"/>
          <w:color w:val="auto"/>
          <w:kern w:val="2"/>
          <w:sz w:val="21"/>
          <w:szCs w:val="21"/>
          <w:highlight w:val="none"/>
          <w:lang w:val="en-US" w:eastAsia="zh-CN" w:bidi="ar"/>
        </w:rPr>
        <w:t xml:space="preserve"> </w:t>
      </w:r>
      <w:r>
        <w:rPr>
          <w:rFonts w:hint="eastAsia" w:cs="宋体"/>
          <w:color w:val="auto"/>
          <w:kern w:val="2"/>
          <w:sz w:val="21"/>
          <w:szCs w:val="21"/>
          <w:highlight w:val="none"/>
          <w:u w:val="single"/>
          <w:lang w:val="en-US" w:eastAsia="zh-CN" w:bidi="ar"/>
        </w:rPr>
        <w:t xml:space="preserve">        </w:t>
      </w:r>
      <w:r>
        <w:rPr>
          <w:rFonts w:hint="eastAsia" w:ascii="宋体" w:hAnsi="宋体" w:eastAsia="宋体" w:cs="宋体"/>
          <w:i/>
          <w:iCs/>
          <w:color w:val="auto"/>
          <w:kern w:val="2"/>
          <w:sz w:val="21"/>
          <w:szCs w:val="21"/>
          <w:highlight w:val="none"/>
          <w:u w:val="single"/>
          <w:lang w:bidi="ar"/>
        </w:rPr>
        <w:t>（中型企业、小型企业、微型企业）</w:t>
      </w:r>
      <w:r>
        <w:rPr>
          <w:rFonts w:hint="eastAsia" w:ascii="宋体" w:hAnsi="宋体" w:eastAsia="宋体" w:cs="宋体"/>
          <w:color w:val="auto"/>
          <w:kern w:val="2"/>
          <w:sz w:val="21"/>
          <w:szCs w:val="21"/>
          <w:highlight w:val="none"/>
          <w:lang w:bidi="ar"/>
        </w:rPr>
        <w:t xml:space="preserve">； </w:t>
      </w:r>
    </w:p>
    <w:p w14:paraId="08FFAC53">
      <w:pPr>
        <w:pStyle w:val="17"/>
        <w:widowControl w:val="0"/>
        <w:snapToGrid w:val="0"/>
        <w:spacing w:before="0" w:beforeAutospacing="0" w:after="0" w:afterAutospacing="0"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bidi="ar"/>
        </w:rPr>
        <w:t>.</w:t>
      </w:r>
      <w:r>
        <w:rPr>
          <w:rFonts w:hint="eastAsia" w:ascii="宋体" w:hAnsi="宋体" w:eastAsia="宋体" w:cs="宋体"/>
          <w:i/>
          <w:iCs/>
          <w:color w:val="auto"/>
          <w:kern w:val="2"/>
          <w:sz w:val="21"/>
          <w:szCs w:val="21"/>
          <w:highlight w:val="none"/>
          <w:u w:val="single"/>
          <w:lang w:bidi="ar"/>
        </w:rPr>
        <w:t xml:space="preserve"> （标的名称）  </w:t>
      </w:r>
      <w:r>
        <w:rPr>
          <w:rFonts w:hint="eastAsia" w:ascii="宋体" w:hAnsi="宋体" w:eastAsia="宋体" w:cs="宋体"/>
          <w:color w:val="auto"/>
          <w:kern w:val="2"/>
          <w:sz w:val="21"/>
          <w:szCs w:val="21"/>
          <w:highlight w:val="none"/>
          <w:lang w:bidi="ar"/>
        </w:rPr>
        <w:t>，属于</w:t>
      </w:r>
      <w:r>
        <w:rPr>
          <w:rFonts w:hint="eastAsia" w:cs="宋体"/>
          <w:color w:val="auto"/>
          <w:kern w:val="2"/>
          <w:sz w:val="21"/>
          <w:szCs w:val="21"/>
          <w:highlight w:val="none"/>
          <w:u w:val="single"/>
          <w:lang w:val="en-US" w:eastAsia="zh-CN" w:bidi="ar"/>
        </w:rPr>
        <w:t xml:space="preserve">      </w:t>
      </w:r>
      <w:r>
        <w:rPr>
          <w:rFonts w:hint="eastAsia" w:ascii="宋体" w:hAnsi="宋体" w:eastAsia="宋体" w:cs="宋体"/>
          <w:i/>
          <w:iCs/>
          <w:color w:val="auto"/>
          <w:kern w:val="2"/>
          <w:sz w:val="21"/>
          <w:szCs w:val="21"/>
          <w:highlight w:val="none"/>
          <w:u w:val="single"/>
          <w:lang w:bidi="ar"/>
        </w:rPr>
        <w:t>（采购文件中明确的所属行业）</w:t>
      </w:r>
      <w:r>
        <w:rPr>
          <w:rFonts w:hint="eastAsia" w:ascii="宋体" w:hAnsi="宋体" w:eastAsia="宋体" w:cs="宋体"/>
          <w:color w:val="auto"/>
          <w:kern w:val="2"/>
          <w:sz w:val="21"/>
          <w:szCs w:val="21"/>
          <w:highlight w:val="none"/>
          <w:lang w:bidi="ar"/>
        </w:rPr>
        <w:t>；承建（承接）企业为</w:t>
      </w:r>
      <w:r>
        <w:rPr>
          <w:rFonts w:hint="eastAsia" w:ascii="宋体" w:hAnsi="宋体" w:eastAsia="宋体" w:cs="宋体"/>
          <w:i/>
          <w:iCs/>
          <w:color w:val="auto"/>
          <w:kern w:val="2"/>
          <w:sz w:val="21"/>
          <w:szCs w:val="21"/>
          <w:highlight w:val="none"/>
          <w:u w:val="single"/>
          <w:lang w:bidi="ar"/>
        </w:rPr>
        <w:t>（企业名称）</w:t>
      </w:r>
      <w:r>
        <w:rPr>
          <w:rFonts w:hint="eastAsia" w:ascii="宋体" w:hAnsi="宋体" w:eastAsia="宋体" w:cs="宋体"/>
          <w:color w:val="auto"/>
          <w:kern w:val="2"/>
          <w:sz w:val="21"/>
          <w:szCs w:val="21"/>
          <w:highlight w:val="none"/>
          <w:lang w:bidi="ar"/>
        </w:rPr>
        <w:t>，从业人员</w:t>
      </w:r>
      <w:r>
        <w:rPr>
          <w:rFonts w:hint="eastAsia" w:ascii="宋体" w:hAnsi="宋体" w:eastAsia="宋体" w:cs="宋体"/>
          <w:color w:val="auto"/>
          <w:kern w:val="2"/>
          <w:sz w:val="21"/>
          <w:szCs w:val="21"/>
          <w:highlight w:val="none"/>
          <w:u w:val="single"/>
          <w:lang w:bidi="ar"/>
        </w:rPr>
        <w:tab/>
      </w:r>
      <w:r>
        <w:rPr>
          <w:rFonts w:hint="eastAsia" w:ascii="宋体" w:hAnsi="宋体" w:eastAsia="宋体" w:cs="宋体"/>
          <w:color w:val="auto"/>
          <w:kern w:val="2"/>
          <w:sz w:val="21"/>
          <w:szCs w:val="21"/>
          <w:highlight w:val="none"/>
          <w:u w:val="single"/>
          <w:lang w:bidi="ar"/>
        </w:rPr>
        <w:t xml:space="preserve">   </w:t>
      </w:r>
      <w:r>
        <w:rPr>
          <w:rFonts w:hint="eastAsia" w:ascii="宋体" w:hAnsi="宋体" w:eastAsia="宋体" w:cs="宋体"/>
          <w:color w:val="auto"/>
          <w:kern w:val="2"/>
          <w:sz w:val="21"/>
          <w:szCs w:val="21"/>
          <w:highlight w:val="none"/>
          <w:lang w:bidi="ar"/>
        </w:rPr>
        <w:t>人，营业收入为</w:t>
      </w:r>
      <w:r>
        <w:rPr>
          <w:rFonts w:hint="eastAsia" w:ascii="宋体" w:hAnsi="宋体" w:eastAsia="宋体" w:cs="宋体"/>
          <w:color w:val="auto"/>
          <w:kern w:val="2"/>
          <w:sz w:val="21"/>
          <w:szCs w:val="21"/>
          <w:highlight w:val="none"/>
          <w:u w:val="single"/>
          <w:lang w:bidi="ar"/>
        </w:rPr>
        <w:tab/>
      </w:r>
      <w:r>
        <w:rPr>
          <w:rFonts w:hint="eastAsia" w:ascii="宋体" w:hAnsi="宋体" w:eastAsia="宋体" w:cs="宋体"/>
          <w:color w:val="auto"/>
          <w:kern w:val="2"/>
          <w:sz w:val="21"/>
          <w:szCs w:val="21"/>
          <w:highlight w:val="none"/>
          <w:u w:val="single"/>
          <w:lang w:bidi="ar"/>
        </w:rPr>
        <w:t xml:space="preserve">   </w:t>
      </w:r>
      <w:r>
        <w:rPr>
          <w:rFonts w:hint="eastAsia" w:ascii="宋体" w:hAnsi="宋体" w:eastAsia="宋体" w:cs="宋体"/>
          <w:color w:val="auto"/>
          <w:kern w:val="2"/>
          <w:sz w:val="21"/>
          <w:szCs w:val="21"/>
          <w:highlight w:val="none"/>
          <w:lang w:bidi="ar"/>
        </w:rPr>
        <w:t>万元，资产总额为</w:t>
      </w:r>
      <w:r>
        <w:rPr>
          <w:rFonts w:hint="eastAsia" w:ascii="宋体" w:hAnsi="宋体" w:eastAsia="宋体" w:cs="宋体"/>
          <w:color w:val="auto"/>
          <w:kern w:val="2"/>
          <w:sz w:val="21"/>
          <w:szCs w:val="21"/>
          <w:highlight w:val="none"/>
          <w:u w:val="single"/>
          <w:lang w:bidi="ar"/>
        </w:rPr>
        <w:tab/>
      </w:r>
      <w:r>
        <w:rPr>
          <w:rFonts w:hint="eastAsia" w:ascii="宋体" w:hAnsi="宋体" w:eastAsia="宋体" w:cs="宋体"/>
          <w:color w:val="auto"/>
          <w:kern w:val="2"/>
          <w:sz w:val="21"/>
          <w:szCs w:val="21"/>
          <w:highlight w:val="none"/>
          <w:u w:val="single"/>
          <w:lang w:bidi="ar"/>
        </w:rPr>
        <w:t xml:space="preserve">   </w:t>
      </w:r>
      <w:r>
        <w:rPr>
          <w:rFonts w:hint="eastAsia" w:ascii="宋体" w:hAnsi="宋体" w:eastAsia="宋体" w:cs="宋体"/>
          <w:color w:val="auto"/>
          <w:kern w:val="2"/>
          <w:sz w:val="21"/>
          <w:szCs w:val="21"/>
          <w:highlight w:val="none"/>
          <w:lang w:bidi="ar"/>
        </w:rPr>
        <w:t>万元</w:t>
      </w:r>
      <w:r>
        <w:rPr>
          <w:rFonts w:hint="eastAsia" w:ascii="宋体" w:hAnsi="宋体" w:eastAsia="宋体" w:cs="宋体"/>
          <w:color w:val="auto"/>
          <w:kern w:val="2"/>
          <w:sz w:val="21"/>
          <w:szCs w:val="21"/>
          <w:highlight w:val="none"/>
          <w:vertAlign w:val="superscript"/>
          <w:lang w:bidi="ar"/>
        </w:rPr>
        <w:t>1</w:t>
      </w:r>
      <w:r>
        <w:rPr>
          <w:rFonts w:hint="eastAsia" w:ascii="宋体" w:hAnsi="宋体" w:eastAsia="宋体" w:cs="宋体"/>
          <w:color w:val="auto"/>
          <w:kern w:val="2"/>
          <w:sz w:val="21"/>
          <w:szCs w:val="21"/>
          <w:highlight w:val="none"/>
          <w:lang w:bidi="ar"/>
        </w:rPr>
        <w:t>，属于</w:t>
      </w:r>
      <w:r>
        <w:rPr>
          <w:rFonts w:hint="eastAsia" w:ascii="宋体" w:hAnsi="宋体" w:eastAsia="宋体" w:cs="宋体"/>
          <w:i/>
          <w:iCs/>
          <w:color w:val="auto"/>
          <w:kern w:val="2"/>
          <w:sz w:val="21"/>
          <w:szCs w:val="21"/>
          <w:highlight w:val="none"/>
          <w:u w:val="single"/>
          <w:lang w:bidi="ar"/>
        </w:rPr>
        <w:t>（中型企业、小型企业、微型企业）</w:t>
      </w:r>
      <w:r>
        <w:rPr>
          <w:rFonts w:hint="eastAsia" w:ascii="宋体" w:hAnsi="宋体" w:eastAsia="宋体" w:cs="宋体"/>
          <w:color w:val="auto"/>
          <w:kern w:val="2"/>
          <w:sz w:val="21"/>
          <w:szCs w:val="21"/>
          <w:highlight w:val="none"/>
          <w:lang w:bidi="ar"/>
        </w:rPr>
        <w:t xml:space="preserve">； </w:t>
      </w:r>
    </w:p>
    <w:p w14:paraId="7AA73FF3">
      <w:pPr>
        <w:pStyle w:val="17"/>
        <w:widowControl w:val="0"/>
        <w:snapToGrid w:val="0"/>
        <w:spacing w:before="0" w:beforeAutospacing="0" w:after="0" w:afterAutospacing="0"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bidi="ar"/>
        </w:rPr>
        <w:t>……</w:t>
      </w:r>
    </w:p>
    <w:p w14:paraId="59578826">
      <w:pPr>
        <w:pStyle w:val="17"/>
        <w:widowControl w:val="0"/>
        <w:snapToGrid w:val="0"/>
        <w:spacing w:before="0" w:beforeAutospacing="0" w:after="0" w:afterAutospacing="0"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bidi="ar"/>
        </w:rPr>
        <w:t>以上企业，不属于大企业的分支机构，不存在控股股东为大企业的情形，也不存在与大企业的负责人为同一人的情形。</w:t>
      </w:r>
    </w:p>
    <w:p w14:paraId="74B5D8E3">
      <w:pPr>
        <w:pStyle w:val="17"/>
        <w:widowControl w:val="0"/>
        <w:snapToGrid w:val="0"/>
        <w:spacing w:before="0" w:beforeAutospacing="0" w:after="0" w:afterAutospacing="0"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bidi="ar"/>
        </w:rPr>
        <w:t xml:space="preserve">本企业对上述声明内容的真实性负责。如有虚假，将依法承担相应责任。 </w:t>
      </w:r>
    </w:p>
    <w:p w14:paraId="547B8F06">
      <w:pPr>
        <w:widowControl/>
        <w:spacing w:line="360" w:lineRule="auto"/>
        <w:ind w:firstLine="420" w:firstLineChars="200"/>
        <w:jc w:val="left"/>
        <w:rPr>
          <w:rFonts w:ascii="宋体" w:hAnsi="宋体" w:cs="宋体"/>
          <w:color w:val="auto"/>
          <w:kern w:val="0"/>
          <w:szCs w:val="21"/>
          <w:highlight w:val="none"/>
        </w:rPr>
      </w:pPr>
    </w:p>
    <w:p w14:paraId="59FCF8F1">
      <w:pPr>
        <w:widowControl/>
        <w:spacing w:line="360" w:lineRule="auto"/>
        <w:ind w:firstLine="1680" w:firstLineChars="800"/>
        <w:jc w:val="left"/>
        <w:rPr>
          <w:rFonts w:ascii="Times New Roman" w:hAnsi="Times New Roman"/>
          <w:color w:val="auto"/>
          <w:kern w:val="0"/>
          <w:szCs w:val="21"/>
          <w:highlight w:val="none"/>
        </w:rPr>
      </w:pPr>
    </w:p>
    <w:p w14:paraId="51672317">
      <w:pPr>
        <w:snapToGrid w:val="0"/>
        <w:spacing w:line="360" w:lineRule="auto"/>
        <w:ind w:firstLine="420" w:firstLineChars="200"/>
        <w:rPr>
          <w:rFonts w:ascii="宋体" w:hAnsi="宋体" w:cs="宋体"/>
          <w:color w:val="auto"/>
          <w:szCs w:val="21"/>
          <w:highlight w:val="none"/>
        </w:rPr>
      </w:pPr>
    </w:p>
    <w:p w14:paraId="149C9E9A">
      <w:pPr>
        <w:tabs>
          <w:tab w:val="left" w:pos="1230"/>
        </w:tabs>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kern w:val="0"/>
          <w:szCs w:val="21"/>
          <w:highlight w:val="none"/>
        </w:rPr>
        <w:t>（全称并加盖公章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7D52F3A1">
      <w:pPr>
        <w:tabs>
          <w:tab w:val="left" w:pos="1230"/>
        </w:tabs>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p>
    <w:p w14:paraId="0D644361">
      <w:pPr>
        <w:snapToGrid w:val="0"/>
        <w:spacing w:line="360" w:lineRule="auto"/>
        <w:ind w:firstLine="420" w:firstLineChars="200"/>
        <w:rPr>
          <w:rFonts w:ascii="宋体" w:hAnsi="宋体" w:cs="宋体"/>
          <w:color w:val="auto"/>
          <w:szCs w:val="21"/>
          <w:highlight w:val="none"/>
        </w:rPr>
      </w:pPr>
    </w:p>
    <w:p w14:paraId="5DAAE494">
      <w:pPr>
        <w:snapToGrid w:val="0"/>
        <w:spacing w:line="360" w:lineRule="auto"/>
        <w:ind w:firstLine="420" w:firstLineChars="200"/>
        <w:rPr>
          <w:rFonts w:ascii="宋体" w:hAnsi="宋体" w:cs="宋体"/>
          <w:color w:val="auto"/>
          <w:szCs w:val="21"/>
          <w:highlight w:val="none"/>
        </w:rPr>
      </w:pPr>
    </w:p>
    <w:p w14:paraId="6C6C146B">
      <w:pPr>
        <w:widowControl/>
        <w:rPr>
          <w:rFonts w:ascii="宋体" w:hAnsi="宋体" w:cs="宋体"/>
          <w:color w:val="auto"/>
          <w:highlight w:val="none"/>
        </w:rPr>
      </w:pPr>
    </w:p>
    <w:p w14:paraId="2FFDDF4C">
      <w:pPr>
        <w:widowControl/>
        <w:jc w:val="left"/>
        <w:rPr>
          <w:rFonts w:ascii="宋体" w:hAnsi="宋体" w:cs="宋体"/>
          <w:color w:val="auto"/>
          <w:highlight w:val="none"/>
        </w:rPr>
      </w:pPr>
      <w:r>
        <w:rPr>
          <w:rFonts w:hint="eastAsia" w:ascii="宋体" w:hAnsi="宋体" w:cs="宋体"/>
          <w:color w:val="auto"/>
          <w:kern w:val="0"/>
          <w:sz w:val="18"/>
          <w:szCs w:val="18"/>
          <w:highlight w:val="none"/>
        </w:rPr>
        <w:t>1从业人员、营业收入、资产总额填报上一年度数据，无上一年度数据的新成立企业可不填报。</w:t>
      </w:r>
    </w:p>
    <w:p w14:paraId="0FC104A7">
      <w:pPr>
        <w:snapToGrid w:val="0"/>
        <w:spacing w:line="360" w:lineRule="auto"/>
        <w:ind w:firstLine="480" w:firstLineChars="200"/>
        <w:rPr>
          <w:rFonts w:ascii="宋体" w:hAnsi="宋体" w:cs="宋体"/>
          <w:color w:val="auto"/>
          <w:sz w:val="24"/>
          <w:szCs w:val="24"/>
          <w:highlight w:val="none"/>
        </w:rPr>
      </w:pPr>
    </w:p>
    <w:p w14:paraId="49720E40">
      <w:pPr>
        <w:pStyle w:val="11"/>
        <w:ind w:firstLine="0" w:firstLineChars="0"/>
        <w:jc w:val="center"/>
        <w:rPr>
          <w:rFonts w:hAnsi="宋体" w:cs="宋体"/>
          <w:b/>
          <w:bCs/>
          <w:color w:val="auto"/>
          <w:sz w:val="28"/>
          <w:szCs w:val="28"/>
          <w:highlight w:val="none"/>
        </w:rPr>
      </w:pPr>
      <w:r>
        <w:rPr>
          <w:rFonts w:hint="eastAsia" w:hAnsi="宋体" w:cs="宋体"/>
          <w:color w:val="auto"/>
          <w:sz w:val="24"/>
          <w:highlight w:val="none"/>
        </w:rPr>
        <w:br w:type="page"/>
      </w:r>
      <w:r>
        <w:rPr>
          <w:rFonts w:hint="eastAsia" w:hAnsi="宋体" w:cs="宋体"/>
          <w:color w:val="auto"/>
          <w:sz w:val="24"/>
          <w:highlight w:val="none"/>
          <w:lang w:eastAsia="zh-CN"/>
        </w:rPr>
        <w:t>（</w:t>
      </w:r>
      <w:r>
        <w:rPr>
          <w:rFonts w:hint="eastAsia" w:hAnsi="宋体" w:cs="宋体"/>
          <w:b/>
          <w:bCs/>
          <w:color w:val="auto"/>
          <w:sz w:val="28"/>
          <w:szCs w:val="28"/>
          <w:highlight w:val="none"/>
          <w:lang w:val="en-US" w:eastAsia="zh-CN"/>
        </w:rPr>
        <w:t>2</w:t>
      </w:r>
      <w:r>
        <w:rPr>
          <w:rFonts w:hint="eastAsia" w:hAnsi="宋体" w:cs="宋体"/>
          <w:color w:val="auto"/>
          <w:sz w:val="24"/>
          <w:highlight w:val="none"/>
          <w:lang w:eastAsia="zh-CN"/>
        </w:rPr>
        <w:t>）</w:t>
      </w:r>
      <w:r>
        <w:rPr>
          <w:rFonts w:hint="eastAsia" w:hAnsi="宋体" w:cs="宋体"/>
          <w:b/>
          <w:bCs/>
          <w:color w:val="auto"/>
          <w:sz w:val="28"/>
          <w:szCs w:val="28"/>
          <w:highlight w:val="none"/>
        </w:rPr>
        <w:t xml:space="preserve"> 监狱企业的证明材料文件</w:t>
      </w:r>
    </w:p>
    <w:p w14:paraId="7CE0E0F1">
      <w:pPr>
        <w:spacing w:line="588"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说明：</w:t>
      </w:r>
    </w:p>
    <w:p w14:paraId="55416C81">
      <w:pPr>
        <w:spacing w:line="588"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监狱企业参加本项目采购活动时，应当提供由省级以上监狱管理局、戒毒管理局（含新疆生产建设兵团）出具的属于监狱企业的证明文件。（供应商如能够在线查询的材料，请提供查询网址链接，可以不用同时提供纸质材料，原件备查）</w:t>
      </w:r>
    </w:p>
    <w:p w14:paraId="5018DD31">
      <w:pPr>
        <w:spacing w:line="588"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2.未按上述要求提供、填写的，评审时不予以考虑。</w:t>
      </w:r>
    </w:p>
    <w:p w14:paraId="4E664ADE">
      <w:pPr>
        <w:spacing w:line="588"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(示例略)</w:t>
      </w:r>
    </w:p>
    <w:p w14:paraId="6A3989D1">
      <w:pPr>
        <w:spacing w:line="588" w:lineRule="exact"/>
        <w:ind w:firstLine="444" w:firstLineChars="200"/>
        <w:rPr>
          <w:rFonts w:ascii="宋体" w:hAnsi="宋体" w:cs="宋体"/>
          <w:color w:val="auto"/>
          <w:spacing w:val="6"/>
          <w:szCs w:val="21"/>
          <w:highlight w:val="none"/>
        </w:rPr>
      </w:pPr>
    </w:p>
    <w:p w14:paraId="28594722">
      <w:pPr>
        <w:topLinePunct/>
        <w:autoSpaceDE w:val="0"/>
        <w:autoSpaceDN w:val="0"/>
        <w:spacing w:line="460" w:lineRule="exact"/>
        <w:jc w:val="center"/>
        <w:rPr>
          <w:rFonts w:ascii="宋体" w:hAnsi="宋体" w:cs="宋体"/>
          <w:b/>
          <w:bCs/>
          <w:color w:val="auto"/>
          <w:sz w:val="28"/>
          <w:szCs w:val="28"/>
          <w:highlight w:val="none"/>
        </w:rPr>
      </w:pPr>
    </w:p>
    <w:p w14:paraId="5F5330F7">
      <w:pPr>
        <w:topLinePunct/>
        <w:autoSpaceDE w:val="0"/>
        <w:autoSpaceDN w:val="0"/>
        <w:spacing w:line="460" w:lineRule="exact"/>
        <w:jc w:val="center"/>
        <w:rPr>
          <w:rFonts w:ascii="宋体" w:hAnsi="宋体" w:cs="宋体"/>
          <w:b/>
          <w:bCs/>
          <w:color w:val="auto"/>
          <w:sz w:val="28"/>
          <w:szCs w:val="28"/>
          <w:highlight w:val="none"/>
        </w:rPr>
      </w:pPr>
    </w:p>
    <w:p w14:paraId="21E2EA61">
      <w:pPr>
        <w:topLinePunct/>
        <w:autoSpaceDE w:val="0"/>
        <w:autoSpaceDN w:val="0"/>
        <w:spacing w:line="460" w:lineRule="exact"/>
        <w:jc w:val="center"/>
        <w:rPr>
          <w:rFonts w:ascii="宋体" w:hAnsi="宋体" w:cs="宋体"/>
          <w:b/>
          <w:bCs/>
          <w:color w:val="auto"/>
          <w:sz w:val="28"/>
          <w:szCs w:val="28"/>
          <w:highlight w:val="none"/>
        </w:rPr>
      </w:pPr>
    </w:p>
    <w:p w14:paraId="1E3E8C6A">
      <w:pPr>
        <w:topLinePunct/>
        <w:autoSpaceDE w:val="0"/>
        <w:autoSpaceDN w:val="0"/>
        <w:spacing w:line="460" w:lineRule="exact"/>
        <w:jc w:val="center"/>
        <w:rPr>
          <w:rFonts w:ascii="宋体" w:hAnsi="宋体" w:cs="宋体"/>
          <w:b/>
          <w:bCs/>
          <w:color w:val="auto"/>
          <w:sz w:val="28"/>
          <w:szCs w:val="28"/>
          <w:highlight w:val="none"/>
        </w:rPr>
      </w:pPr>
    </w:p>
    <w:p w14:paraId="19440A04">
      <w:pPr>
        <w:spacing w:line="588" w:lineRule="exact"/>
        <w:ind w:firstLine="0" w:firstLineChars="0"/>
        <w:jc w:val="center"/>
        <w:rPr>
          <w:rFonts w:ascii="宋体" w:hAnsi="宋体" w:cs="宋体"/>
          <w:color w:val="auto"/>
          <w:spacing w:val="6"/>
          <w:szCs w:val="21"/>
          <w:highlight w:val="none"/>
        </w:rPr>
      </w:pPr>
      <w:r>
        <w:rPr>
          <w:rFonts w:hint="eastAsia" w:ascii="宋体" w:hAnsi="宋体" w:cs="宋体"/>
          <w:b/>
          <w:bCs/>
          <w:color w:val="auto"/>
          <w:sz w:val="28"/>
          <w:szCs w:val="28"/>
          <w:highlight w:val="none"/>
          <w:lang w:val="en-US" w:eastAsia="zh-CN"/>
        </w:rPr>
        <w:t>（3）</w:t>
      </w:r>
      <w:r>
        <w:rPr>
          <w:rFonts w:hint="eastAsia" w:ascii="宋体" w:hAnsi="宋体" w:cs="宋体"/>
          <w:b/>
          <w:bCs/>
          <w:color w:val="auto"/>
          <w:sz w:val="28"/>
          <w:szCs w:val="28"/>
          <w:highlight w:val="none"/>
        </w:rPr>
        <w:t>残疾人福利性单位声明函</w:t>
      </w:r>
    </w:p>
    <w:p w14:paraId="1EEBA081">
      <w:pPr>
        <w:spacing w:line="588"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21052B0">
      <w:pPr>
        <w:spacing w:line="588"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2D7800C6">
      <w:pPr>
        <w:spacing w:line="588" w:lineRule="exact"/>
        <w:ind w:firstLine="444" w:firstLineChars="200"/>
        <w:rPr>
          <w:rFonts w:ascii="宋体" w:hAnsi="宋体" w:cs="宋体"/>
          <w:color w:val="auto"/>
          <w:spacing w:val="6"/>
          <w:szCs w:val="21"/>
          <w:highlight w:val="none"/>
        </w:rPr>
      </w:pPr>
    </w:p>
    <w:p w14:paraId="54FEC61C">
      <w:pPr>
        <w:tabs>
          <w:tab w:val="left" w:pos="1230"/>
        </w:tabs>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kern w:val="0"/>
          <w:szCs w:val="21"/>
          <w:highlight w:val="none"/>
        </w:rPr>
        <w:t>（全称并加盖公章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47EFBBFA">
      <w:pPr>
        <w:tabs>
          <w:tab w:val="left" w:pos="1230"/>
        </w:tabs>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p>
    <w:p w14:paraId="5D236F46">
      <w:pPr>
        <w:widowControl/>
        <w:spacing w:line="360" w:lineRule="auto"/>
        <w:jc w:val="center"/>
        <w:rPr>
          <w:rFonts w:hint="eastAsia" w:ascii="宋体" w:hAnsi="宋体" w:cs="宋体"/>
          <w:b/>
          <w:bCs/>
          <w:color w:val="auto"/>
          <w:sz w:val="28"/>
          <w:szCs w:val="28"/>
          <w:highlight w:val="none"/>
          <w:lang w:val="en-US" w:eastAsia="zh-CN"/>
        </w:rPr>
      </w:pPr>
    </w:p>
    <w:p w14:paraId="0E13FEF3">
      <w:pPr>
        <w:widowControl/>
        <w:spacing w:line="360" w:lineRule="auto"/>
        <w:jc w:val="center"/>
        <w:rPr>
          <w:rFonts w:hint="eastAsia" w:ascii="宋体" w:hAnsi="宋体" w:cs="宋体"/>
          <w:b/>
          <w:bCs/>
          <w:color w:val="auto"/>
          <w:sz w:val="28"/>
          <w:szCs w:val="28"/>
          <w:highlight w:val="none"/>
          <w:lang w:val="en-US" w:eastAsia="zh-CN"/>
        </w:rPr>
      </w:pPr>
    </w:p>
    <w:p w14:paraId="577C3589">
      <w:pPr>
        <w:rPr>
          <w:rFonts w:ascii="宋体" w:hAnsi="宋体" w:cs="宋体"/>
          <w:color w:val="auto"/>
          <w:sz w:val="24"/>
          <w:highlight w:val="none"/>
        </w:rPr>
      </w:pPr>
      <w:r>
        <w:rPr>
          <w:rFonts w:hint="eastAsia" w:ascii="宋体" w:hAnsi="宋体" w:cs="宋体"/>
          <w:color w:val="auto"/>
          <w:sz w:val="28"/>
          <w:szCs w:val="28"/>
          <w:highlight w:val="none"/>
        </w:rPr>
        <w:br w:type="page"/>
      </w:r>
    </w:p>
    <w:p w14:paraId="0FCB0F1B">
      <w:pPr>
        <w:adjustRightInd w:val="0"/>
        <w:snapToGrid w:val="0"/>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格式2磋商报价表</w:t>
      </w:r>
    </w:p>
    <w:p w14:paraId="65195276">
      <w:pPr>
        <w:pStyle w:val="11"/>
        <w:topLinePunct/>
        <w:autoSpaceDE w:val="0"/>
        <w:autoSpaceDN w:val="0"/>
        <w:adjustRightInd w:val="0"/>
        <w:snapToGrid w:val="0"/>
        <w:spacing w:line="360" w:lineRule="auto"/>
        <w:ind w:left="2"/>
        <w:jc w:val="center"/>
        <w:rPr>
          <w:rFonts w:hAnsi="宋体" w:cs="宋体"/>
          <w:b/>
          <w:bCs/>
          <w:color w:val="auto"/>
          <w:sz w:val="28"/>
          <w:szCs w:val="28"/>
          <w:highlight w:val="none"/>
        </w:rPr>
      </w:pPr>
      <w:r>
        <w:rPr>
          <w:rFonts w:hint="eastAsia" w:hAnsi="宋体" w:cs="宋体"/>
          <w:b/>
          <w:bCs/>
          <w:color w:val="auto"/>
          <w:sz w:val="28"/>
          <w:szCs w:val="28"/>
          <w:highlight w:val="none"/>
        </w:rPr>
        <w:t>1.报价一览表（总报价表）</w:t>
      </w:r>
    </w:p>
    <w:p w14:paraId="5F64C79F">
      <w:pPr>
        <w:pStyle w:val="11"/>
        <w:topLinePunct/>
        <w:autoSpaceDE w:val="0"/>
        <w:autoSpaceDN w:val="0"/>
        <w:adjustRightInd w:val="0"/>
        <w:snapToGrid w:val="0"/>
        <w:spacing w:line="360" w:lineRule="auto"/>
        <w:ind w:left="2"/>
        <w:jc w:val="center"/>
        <w:rPr>
          <w:rFonts w:hAnsi="宋体" w:cs="宋体"/>
          <w:color w:val="auto"/>
          <w:highlight w:val="none"/>
        </w:rPr>
      </w:pPr>
    </w:p>
    <w:p w14:paraId="5560289A">
      <w:pPr>
        <w:topLinePunct/>
        <w:autoSpaceDE w:val="0"/>
        <w:autoSpaceDN w:val="0"/>
        <w:adjustRightInd w:val="0"/>
        <w:snapToGrid w:val="0"/>
        <w:spacing w:line="360" w:lineRule="auto"/>
        <w:jc w:val="left"/>
        <w:rPr>
          <w:rFonts w:ascii="宋体" w:hAnsi="宋体" w:cs="宋体"/>
          <w:color w:val="auto"/>
          <w:highlight w:val="none"/>
        </w:rPr>
      </w:pPr>
      <w:r>
        <w:rPr>
          <w:rFonts w:hint="eastAsia" w:ascii="宋体" w:hAnsi="宋体" w:cs="宋体"/>
          <w:color w:val="auto"/>
          <w:highlight w:val="none"/>
        </w:rPr>
        <w:t>项目名称：</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 xml:space="preserve">     </w:t>
      </w:r>
      <w:r>
        <w:rPr>
          <w:rFonts w:hint="eastAsia" w:ascii="宋体" w:hAnsi="宋体" w:cs="宋体"/>
          <w:color w:val="auto"/>
          <w:highlight w:val="none"/>
        </w:rPr>
        <w:tab/>
      </w:r>
      <w:r>
        <w:rPr>
          <w:rFonts w:hint="eastAsia" w:ascii="宋体" w:hAnsi="宋体" w:cs="宋体"/>
          <w:color w:val="auto"/>
          <w:highlight w:val="none"/>
        </w:rPr>
        <w:t>项目编号：</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2B4E3799">
      <w:pPr>
        <w:adjustRightInd w:val="0"/>
        <w:snapToGrid w:val="0"/>
        <w:spacing w:line="360" w:lineRule="auto"/>
        <w:ind w:right="840"/>
        <w:rPr>
          <w:rFonts w:hint="eastAsia" w:ascii="宋体" w:hAnsi="宋体" w:cs="宋体"/>
          <w:color w:val="auto"/>
          <w:highlight w:val="none"/>
        </w:rPr>
      </w:pPr>
      <w:r>
        <w:rPr>
          <w:rFonts w:hint="eastAsia" w:ascii="宋体" w:hAnsi="宋体" w:cs="宋体"/>
          <w:color w:val="auto"/>
          <w:highlight w:val="none"/>
        </w:rPr>
        <w:t xml:space="preserve">                                                     价格单位：人民币   元</w:t>
      </w:r>
    </w:p>
    <w:tbl>
      <w:tblPr>
        <w:tblStyle w:val="20"/>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4283"/>
        <w:gridCol w:w="3172"/>
      </w:tblGrid>
      <w:tr w14:paraId="21DA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63" w:type="dxa"/>
            <w:noWrap/>
            <w:vAlign w:val="center"/>
          </w:tcPr>
          <w:p w14:paraId="6C962C7E">
            <w:pPr>
              <w:rPr>
                <w:color w:val="auto"/>
                <w:highlight w:val="none"/>
              </w:rPr>
            </w:pPr>
            <w:r>
              <w:rPr>
                <w:color w:val="auto"/>
                <w:highlight w:val="none"/>
              </w:rPr>
              <w:t>序号</w:t>
            </w:r>
          </w:p>
        </w:tc>
        <w:tc>
          <w:tcPr>
            <w:tcW w:w="4283" w:type="dxa"/>
            <w:noWrap/>
            <w:vAlign w:val="center"/>
          </w:tcPr>
          <w:p w14:paraId="5CE89914">
            <w:pPr>
              <w:rPr>
                <w:color w:val="auto"/>
                <w:highlight w:val="none"/>
              </w:rPr>
            </w:pPr>
            <w:r>
              <w:rPr>
                <w:color w:val="auto"/>
                <w:highlight w:val="none"/>
              </w:rPr>
              <w:t>内容</w:t>
            </w:r>
          </w:p>
        </w:tc>
        <w:tc>
          <w:tcPr>
            <w:tcW w:w="3172" w:type="dxa"/>
            <w:noWrap/>
            <w:vAlign w:val="center"/>
          </w:tcPr>
          <w:p w14:paraId="6BB577F9">
            <w:pPr>
              <w:rPr>
                <w:color w:val="auto"/>
                <w:highlight w:val="none"/>
              </w:rPr>
            </w:pPr>
            <w:r>
              <w:rPr>
                <w:color w:val="auto"/>
                <w:highlight w:val="none"/>
              </w:rPr>
              <w:t>价格小计</w:t>
            </w:r>
          </w:p>
        </w:tc>
      </w:tr>
      <w:tr w14:paraId="3E07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63" w:type="dxa"/>
            <w:noWrap/>
            <w:vAlign w:val="center"/>
          </w:tcPr>
          <w:p w14:paraId="1270AC7C">
            <w:pPr>
              <w:jc w:val="center"/>
              <w:rPr>
                <w:color w:val="auto"/>
                <w:highlight w:val="none"/>
              </w:rPr>
            </w:pPr>
            <w:r>
              <w:rPr>
                <w:color w:val="auto"/>
                <w:highlight w:val="none"/>
              </w:rPr>
              <w:t>1</w:t>
            </w:r>
          </w:p>
        </w:tc>
        <w:tc>
          <w:tcPr>
            <w:tcW w:w="4283" w:type="dxa"/>
            <w:noWrap/>
            <w:vAlign w:val="center"/>
          </w:tcPr>
          <w:p w14:paraId="0164DA94">
            <w:pPr>
              <w:rPr>
                <w:color w:val="auto"/>
                <w:highlight w:val="none"/>
              </w:rPr>
            </w:pPr>
          </w:p>
        </w:tc>
        <w:tc>
          <w:tcPr>
            <w:tcW w:w="3172" w:type="dxa"/>
            <w:noWrap/>
            <w:vAlign w:val="center"/>
          </w:tcPr>
          <w:p w14:paraId="17B8763B">
            <w:pPr>
              <w:rPr>
                <w:color w:val="auto"/>
                <w:highlight w:val="none"/>
              </w:rPr>
            </w:pPr>
          </w:p>
        </w:tc>
      </w:tr>
      <w:tr w14:paraId="4597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63" w:type="dxa"/>
            <w:noWrap/>
            <w:vAlign w:val="center"/>
          </w:tcPr>
          <w:p w14:paraId="1F8DD371">
            <w:pPr>
              <w:jc w:val="center"/>
              <w:rPr>
                <w:color w:val="auto"/>
                <w:highlight w:val="none"/>
              </w:rPr>
            </w:pPr>
            <w:r>
              <w:rPr>
                <w:color w:val="auto"/>
                <w:highlight w:val="none"/>
              </w:rPr>
              <w:t>2</w:t>
            </w:r>
          </w:p>
        </w:tc>
        <w:tc>
          <w:tcPr>
            <w:tcW w:w="4283" w:type="dxa"/>
            <w:noWrap/>
            <w:vAlign w:val="center"/>
          </w:tcPr>
          <w:p w14:paraId="63914423">
            <w:pPr>
              <w:rPr>
                <w:color w:val="auto"/>
                <w:highlight w:val="none"/>
              </w:rPr>
            </w:pPr>
          </w:p>
        </w:tc>
        <w:tc>
          <w:tcPr>
            <w:tcW w:w="3172" w:type="dxa"/>
            <w:noWrap/>
            <w:vAlign w:val="center"/>
          </w:tcPr>
          <w:p w14:paraId="33E8209A">
            <w:pPr>
              <w:rPr>
                <w:color w:val="auto"/>
                <w:highlight w:val="none"/>
              </w:rPr>
            </w:pPr>
          </w:p>
        </w:tc>
      </w:tr>
      <w:tr w14:paraId="508A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63" w:type="dxa"/>
            <w:noWrap/>
            <w:vAlign w:val="center"/>
          </w:tcPr>
          <w:p w14:paraId="75290164">
            <w:pPr>
              <w:jc w:val="center"/>
              <w:rPr>
                <w:color w:val="auto"/>
                <w:highlight w:val="none"/>
              </w:rPr>
            </w:pPr>
            <w:r>
              <w:rPr>
                <w:color w:val="auto"/>
                <w:highlight w:val="none"/>
              </w:rPr>
              <w:t>3</w:t>
            </w:r>
          </w:p>
        </w:tc>
        <w:tc>
          <w:tcPr>
            <w:tcW w:w="4283" w:type="dxa"/>
            <w:noWrap/>
            <w:vAlign w:val="center"/>
          </w:tcPr>
          <w:p w14:paraId="0EE0ECA1">
            <w:pPr>
              <w:rPr>
                <w:color w:val="auto"/>
                <w:highlight w:val="none"/>
              </w:rPr>
            </w:pPr>
          </w:p>
        </w:tc>
        <w:tc>
          <w:tcPr>
            <w:tcW w:w="3172" w:type="dxa"/>
            <w:noWrap/>
            <w:vAlign w:val="center"/>
          </w:tcPr>
          <w:p w14:paraId="5BF4B807">
            <w:pPr>
              <w:rPr>
                <w:color w:val="auto"/>
                <w:highlight w:val="none"/>
              </w:rPr>
            </w:pPr>
          </w:p>
        </w:tc>
      </w:tr>
      <w:tr w14:paraId="2705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63" w:type="dxa"/>
            <w:noWrap/>
            <w:vAlign w:val="center"/>
          </w:tcPr>
          <w:p w14:paraId="675A11A6">
            <w:pPr>
              <w:jc w:val="center"/>
              <w:rPr>
                <w:rFonts w:hint="eastAsia" w:eastAsiaTheme="minorEastAsia"/>
                <w:color w:val="auto"/>
                <w:highlight w:val="none"/>
                <w:lang w:val="en-US" w:eastAsia="zh-CN"/>
              </w:rPr>
            </w:pPr>
            <w:r>
              <w:rPr>
                <w:rFonts w:hint="eastAsia"/>
                <w:color w:val="auto"/>
                <w:highlight w:val="none"/>
                <w:lang w:val="en-US" w:eastAsia="zh-CN"/>
              </w:rPr>
              <w:t>4</w:t>
            </w:r>
          </w:p>
        </w:tc>
        <w:tc>
          <w:tcPr>
            <w:tcW w:w="4283" w:type="dxa"/>
            <w:noWrap/>
            <w:vAlign w:val="center"/>
          </w:tcPr>
          <w:p w14:paraId="4FD0111D">
            <w:pPr>
              <w:rPr>
                <w:color w:val="auto"/>
                <w:highlight w:val="none"/>
              </w:rPr>
            </w:pPr>
          </w:p>
        </w:tc>
        <w:tc>
          <w:tcPr>
            <w:tcW w:w="3172" w:type="dxa"/>
            <w:noWrap/>
            <w:vAlign w:val="center"/>
          </w:tcPr>
          <w:p w14:paraId="69075CDC">
            <w:pPr>
              <w:rPr>
                <w:color w:val="auto"/>
                <w:highlight w:val="none"/>
              </w:rPr>
            </w:pPr>
          </w:p>
        </w:tc>
      </w:tr>
      <w:tr w14:paraId="331A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63" w:type="dxa"/>
            <w:noWrap/>
            <w:vAlign w:val="center"/>
          </w:tcPr>
          <w:p w14:paraId="697771EF">
            <w:pPr>
              <w:jc w:val="center"/>
              <w:rPr>
                <w:rFonts w:hint="default" w:eastAsiaTheme="minorEastAsia"/>
                <w:color w:val="auto"/>
                <w:highlight w:val="none"/>
                <w:lang w:val="en-US" w:eastAsia="zh-CN"/>
              </w:rPr>
            </w:pPr>
            <w:r>
              <w:rPr>
                <w:rFonts w:hint="eastAsia" w:eastAsiaTheme="minorEastAsia"/>
                <w:color w:val="auto"/>
                <w:highlight w:val="none"/>
                <w:lang w:val="en-US" w:eastAsia="zh-CN"/>
              </w:rPr>
              <w:t>...</w:t>
            </w:r>
          </w:p>
        </w:tc>
        <w:tc>
          <w:tcPr>
            <w:tcW w:w="4283" w:type="dxa"/>
            <w:noWrap/>
            <w:vAlign w:val="center"/>
          </w:tcPr>
          <w:p w14:paraId="501D3EBC">
            <w:pPr>
              <w:rPr>
                <w:color w:val="auto"/>
                <w:highlight w:val="none"/>
              </w:rPr>
            </w:pPr>
          </w:p>
        </w:tc>
        <w:tc>
          <w:tcPr>
            <w:tcW w:w="3172" w:type="dxa"/>
            <w:noWrap/>
            <w:vAlign w:val="center"/>
          </w:tcPr>
          <w:p w14:paraId="1AB0BEAA">
            <w:pPr>
              <w:rPr>
                <w:color w:val="auto"/>
                <w:highlight w:val="none"/>
              </w:rPr>
            </w:pPr>
          </w:p>
        </w:tc>
      </w:tr>
      <w:tr w14:paraId="0417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63" w:type="dxa"/>
            <w:noWrap/>
            <w:vAlign w:val="center"/>
          </w:tcPr>
          <w:p w14:paraId="7DDBCAEE">
            <w:pPr>
              <w:jc w:val="center"/>
              <w:rPr>
                <w:rFonts w:hint="eastAsia" w:eastAsiaTheme="minorEastAsia"/>
                <w:color w:val="auto"/>
                <w:highlight w:val="none"/>
                <w:lang w:val="en-US" w:eastAsia="zh-CN"/>
              </w:rPr>
            </w:pPr>
          </w:p>
        </w:tc>
        <w:tc>
          <w:tcPr>
            <w:tcW w:w="4283" w:type="dxa"/>
            <w:noWrap/>
            <w:vAlign w:val="center"/>
          </w:tcPr>
          <w:p w14:paraId="0143AE61">
            <w:pPr>
              <w:rPr>
                <w:color w:val="auto"/>
                <w:highlight w:val="none"/>
              </w:rPr>
            </w:pPr>
          </w:p>
        </w:tc>
        <w:tc>
          <w:tcPr>
            <w:tcW w:w="3172" w:type="dxa"/>
            <w:noWrap/>
            <w:vAlign w:val="center"/>
          </w:tcPr>
          <w:p w14:paraId="3F29EC27">
            <w:pPr>
              <w:rPr>
                <w:color w:val="auto"/>
                <w:highlight w:val="none"/>
              </w:rPr>
            </w:pPr>
          </w:p>
        </w:tc>
      </w:tr>
      <w:tr w14:paraId="49CF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63" w:type="dxa"/>
            <w:noWrap/>
            <w:vAlign w:val="center"/>
          </w:tcPr>
          <w:p w14:paraId="2F755A5E">
            <w:pPr>
              <w:jc w:val="center"/>
              <w:rPr>
                <w:rFonts w:hint="eastAsia" w:eastAsiaTheme="minorEastAsia"/>
                <w:color w:val="auto"/>
                <w:highlight w:val="none"/>
                <w:lang w:val="en-US" w:eastAsia="zh-CN"/>
              </w:rPr>
            </w:pPr>
          </w:p>
        </w:tc>
        <w:tc>
          <w:tcPr>
            <w:tcW w:w="4283" w:type="dxa"/>
            <w:noWrap/>
            <w:vAlign w:val="center"/>
          </w:tcPr>
          <w:p w14:paraId="5FF55DEF">
            <w:pPr>
              <w:rPr>
                <w:color w:val="auto"/>
                <w:highlight w:val="none"/>
              </w:rPr>
            </w:pPr>
          </w:p>
        </w:tc>
        <w:tc>
          <w:tcPr>
            <w:tcW w:w="3172" w:type="dxa"/>
            <w:noWrap/>
            <w:vAlign w:val="center"/>
          </w:tcPr>
          <w:p w14:paraId="3FD35A34">
            <w:pPr>
              <w:rPr>
                <w:color w:val="auto"/>
                <w:highlight w:val="none"/>
              </w:rPr>
            </w:pPr>
          </w:p>
        </w:tc>
      </w:tr>
      <w:tr w14:paraId="2259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546" w:type="dxa"/>
            <w:gridSpan w:val="2"/>
            <w:noWrap/>
            <w:vAlign w:val="center"/>
          </w:tcPr>
          <w:p w14:paraId="33A8824E">
            <w:pPr>
              <w:rPr>
                <w:color w:val="auto"/>
                <w:highlight w:val="none"/>
              </w:rPr>
            </w:pPr>
            <w:r>
              <w:rPr>
                <w:color w:val="auto"/>
                <w:highlight w:val="none"/>
              </w:rPr>
              <w:t>报价合计（小写）</w:t>
            </w:r>
          </w:p>
        </w:tc>
        <w:tc>
          <w:tcPr>
            <w:tcW w:w="3172" w:type="dxa"/>
            <w:noWrap/>
            <w:vAlign w:val="center"/>
          </w:tcPr>
          <w:p w14:paraId="48F979C9">
            <w:pPr>
              <w:rPr>
                <w:color w:val="auto"/>
                <w:highlight w:val="none"/>
              </w:rPr>
            </w:pPr>
          </w:p>
        </w:tc>
      </w:tr>
      <w:tr w14:paraId="3606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546" w:type="dxa"/>
            <w:gridSpan w:val="2"/>
            <w:noWrap/>
            <w:vAlign w:val="center"/>
          </w:tcPr>
          <w:p w14:paraId="2E71089A">
            <w:pPr>
              <w:rPr>
                <w:b/>
                <w:color w:val="auto"/>
                <w:highlight w:val="none"/>
              </w:rPr>
            </w:pPr>
            <w:r>
              <w:rPr>
                <w:color w:val="auto"/>
                <w:highlight w:val="none"/>
              </w:rPr>
              <w:t>报价合计（大写）</w:t>
            </w:r>
          </w:p>
        </w:tc>
        <w:tc>
          <w:tcPr>
            <w:tcW w:w="3172" w:type="dxa"/>
            <w:noWrap/>
            <w:vAlign w:val="center"/>
          </w:tcPr>
          <w:p w14:paraId="284FE7CE">
            <w:pPr>
              <w:rPr>
                <w:color w:val="auto"/>
                <w:highlight w:val="none"/>
              </w:rPr>
            </w:pPr>
          </w:p>
        </w:tc>
      </w:tr>
      <w:tr w14:paraId="3639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718" w:type="dxa"/>
            <w:gridSpan w:val="3"/>
            <w:noWrap/>
            <w:vAlign w:val="center"/>
          </w:tcPr>
          <w:p w14:paraId="5CC0F816">
            <w:pPr>
              <w:rPr>
                <w:color w:val="auto"/>
                <w:highlight w:val="none"/>
              </w:rPr>
            </w:pPr>
            <w:r>
              <w:rPr>
                <w:color w:val="auto"/>
                <w:highlight w:val="none"/>
                <w:u w:val="none"/>
              </w:rPr>
              <w:t>服务期</w:t>
            </w:r>
            <w:r>
              <w:rPr>
                <w:rFonts w:hint="eastAsia"/>
                <w:color w:val="auto"/>
                <w:highlight w:val="none"/>
                <w:u w:val="none"/>
                <w:lang w:val="en-US" w:eastAsia="zh-CN"/>
              </w:rPr>
              <w:t>限</w:t>
            </w:r>
            <w:r>
              <w:rPr>
                <w:rFonts w:hint="eastAsia" w:ascii="宋体" w:hAnsi="宋体" w:eastAsia="宋体" w:cs="宋体"/>
                <w:color w:val="auto"/>
                <w:highlight w:val="none"/>
                <w:u w:val="none"/>
                <w:lang w:eastAsia="zh-CN"/>
              </w:rPr>
              <w:t>：</w:t>
            </w:r>
            <w:r>
              <w:rPr>
                <w:rFonts w:hint="eastAsia" w:ascii="宋体" w:hAnsi="宋体" w:cs="宋体"/>
                <w:color w:val="auto"/>
                <w:highlight w:val="none"/>
                <w:u w:val="single"/>
                <w:lang w:val="en-US" w:eastAsia="zh-CN"/>
              </w:rPr>
              <w:t xml:space="preserve">    </w:t>
            </w:r>
            <w:r>
              <w:rPr>
                <w:rFonts w:hint="eastAsia" w:ascii="宋体" w:hAnsi="宋体" w:eastAsia="宋体" w:cs="宋体"/>
                <w:b w:val="0"/>
                <w:bCs/>
                <w:color w:val="auto"/>
                <w:sz w:val="21"/>
                <w:szCs w:val="21"/>
                <w:highlight w:val="none"/>
              </w:rPr>
              <w:t>年</w:t>
            </w:r>
            <w:r>
              <w:rPr>
                <w:rFonts w:hint="eastAsia"/>
                <w:color w:val="auto"/>
                <w:highlight w:val="none"/>
                <w:u w:val="none"/>
              </w:rPr>
              <w:t>。</w:t>
            </w:r>
          </w:p>
        </w:tc>
      </w:tr>
      <w:tr w14:paraId="55BB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546" w:type="dxa"/>
            <w:gridSpan w:val="2"/>
            <w:noWrap/>
            <w:vAlign w:val="center"/>
          </w:tcPr>
          <w:p w14:paraId="2305B1AA">
            <w:pPr>
              <w:rPr>
                <w:color w:val="auto"/>
                <w:highlight w:val="none"/>
              </w:rPr>
            </w:pPr>
            <w:r>
              <w:rPr>
                <w:color w:val="auto"/>
                <w:highlight w:val="none"/>
              </w:rPr>
              <w:t>…</w:t>
            </w:r>
          </w:p>
        </w:tc>
        <w:tc>
          <w:tcPr>
            <w:tcW w:w="3172" w:type="dxa"/>
            <w:noWrap/>
            <w:vAlign w:val="center"/>
          </w:tcPr>
          <w:p w14:paraId="46848FFD">
            <w:pPr>
              <w:rPr>
                <w:color w:val="auto"/>
                <w:highlight w:val="none"/>
              </w:rPr>
            </w:pPr>
          </w:p>
        </w:tc>
      </w:tr>
    </w:tbl>
    <w:p w14:paraId="30BB316E">
      <w:pPr>
        <w:topLinePunct/>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特别说明：</w:t>
      </w:r>
    </w:p>
    <w:p w14:paraId="075E8A81">
      <w:pPr>
        <w:topLinePunct/>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1.本项目总价及分项报价均不接受任何形式的赠送、“零”报价和折扣报价。</w:t>
      </w:r>
    </w:p>
    <w:p w14:paraId="65E86649">
      <w:pPr>
        <w:topLinePunct/>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2.本项目执行中所发生的所有费用均计入报价中，采购人不再另行支付其他任何费用。</w:t>
      </w:r>
    </w:p>
    <w:p w14:paraId="697F6E15">
      <w:pPr>
        <w:topLinePunct/>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应根据《</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文件-技术部分》相关要求填报。</w:t>
      </w:r>
    </w:p>
    <w:p w14:paraId="5D775EAD">
      <w:pPr>
        <w:topLinePunct w:val="0"/>
        <w:autoSpaceDE/>
        <w:autoSpaceDN/>
        <w:spacing w:line="360" w:lineRule="auto"/>
        <w:ind w:firstLine="420" w:firstLineChars="200"/>
        <w:jc w:val="left"/>
        <w:rPr>
          <w:rFonts w:hint="default" w:ascii="Times New Roman" w:hAnsi="Times New Roman" w:eastAsia="宋体"/>
          <w:color w:val="auto"/>
          <w:szCs w:val="21"/>
          <w:highlight w:val="none"/>
          <w:lang w:val="en-US" w:eastAsia="zh-CN"/>
        </w:rPr>
      </w:pPr>
    </w:p>
    <w:p w14:paraId="05444514">
      <w:pPr>
        <w:topLinePunct/>
        <w:autoSpaceDE w:val="0"/>
        <w:autoSpaceDN w:val="0"/>
        <w:spacing w:line="360" w:lineRule="auto"/>
        <w:ind w:firstLine="420" w:firstLineChars="200"/>
        <w:rPr>
          <w:rFonts w:ascii="宋体" w:hAnsi="宋体" w:cs="宋体"/>
          <w:color w:val="auto"/>
          <w:szCs w:val="21"/>
          <w:highlight w:val="none"/>
        </w:rPr>
      </w:pPr>
    </w:p>
    <w:p w14:paraId="042D7897">
      <w:pPr>
        <w:pStyle w:val="2"/>
        <w:rPr>
          <w:rFonts w:ascii="宋体" w:hAnsi="宋体" w:cs="宋体"/>
          <w:color w:val="auto"/>
          <w:szCs w:val="21"/>
          <w:highlight w:val="none"/>
        </w:rPr>
      </w:pPr>
    </w:p>
    <w:p w14:paraId="33F58329">
      <w:pPr>
        <w:pStyle w:val="2"/>
        <w:rPr>
          <w:rFonts w:ascii="宋体" w:hAnsi="宋体" w:cs="宋体"/>
          <w:color w:val="auto"/>
          <w:szCs w:val="21"/>
          <w:highlight w:val="none"/>
        </w:rPr>
      </w:pPr>
    </w:p>
    <w:p w14:paraId="1649A577">
      <w:pPr>
        <w:tabs>
          <w:tab w:val="left" w:pos="1230"/>
        </w:tabs>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kern w:val="0"/>
          <w:szCs w:val="21"/>
          <w:highlight w:val="none"/>
        </w:rPr>
        <w:t>（全称并加盖公章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50C615C1">
      <w:pPr>
        <w:tabs>
          <w:tab w:val="left" w:pos="1230"/>
        </w:tabs>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授权代表（签字）</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3CA0950D">
      <w:pPr>
        <w:tabs>
          <w:tab w:val="left" w:pos="1230"/>
        </w:tabs>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p>
    <w:p w14:paraId="3B78A7F6">
      <w:pPr>
        <w:tabs>
          <w:tab w:val="left" w:pos="1230"/>
        </w:tabs>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br w:type="page"/>
      </w:r>
    </w:p>
    <w:p w14:paraId="62F0E7B6">
      <w:pPr>
        <w:widowControl/>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2.分项报价表</w:t>
      </w:r>
    </w:p>
    <w:p w14:paraId="2AEDF584">
      <w:pPr>
        <w:topLinePunct/>
        <w:autoSpaceDE w:val="0"/>
        <w:autoSpaceDN w:val="0"/>
        <w:adjustRightInd w:val="0"/>
        <w:snapToGrid w:val="0"/>
        <w:spacing w:line="360" w:lineRule="auto"/>
        <w:ind w:left="2"/>
        <w:jc w:val="center"/>
        <w:rPr>
          <w:rFonts w:ascii="宋体" w:hAnsi="宋体" w:cs="宋体"/>
          <w:color w:val="auto"/>
          <w:szCs w:val="21"/>
          <w:highlight w:val="none"/>
        </w:rPr>
      </w:pPr>
      <w:r>
        <w:rPr>
          <w:rFonts w:hint="eastAsia" w:ascii="宋体" w:hAnsi="宋体" w:cs="宋体"/>
          <w:color w:val="auto"/>
          <w:szCs w:val="21"/>
          <w:highlight w:val="none"/>
        </w:rPr>
        <w:t>（服务类项目适用)</w:t>
      </w:r>
    </w:p>
    <w:p w14:paraId="247DCC69">
      <w:pPr>
        <w:topLinePunct/>
        <w:autoSpaceDE w:val="0"/>
        <w:autoSpaceDN w:val="0"/>
        <w:adjustRightInd w:val="0"/>
        <w:snapToGrid w:val="0"/>
        <w:spacing w:line="360" w:lineRule="auto"/>
        <w:jc w:val="left"/>
        <w:rPr>
          <w:rFonts w:ascii="宋体" w:hAnsi="宋体" w:cs="宋体"/>
          <w:color w:val="auto"/>
          <w:highlight w:val="none"/>
        </w:rPr>
      </w:pPr>
      <w:r>
        <w:rPr>
          <w:rFonts w:hint="eastAsia" w:ascii="宋体" w:hAnsi="宋体" w:cs="宋体"/>
          <w:color w:val="auto"/>
          <w:highlight w:val="none"/>
        </w:rPr>
        <w:t>项目名称：</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项目编号：</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46E2C3C0">
      <w:pPr>
        <w:tabs>
          <w:tab w:val="left" w:pos="8400"/>
        </w:tabs>
        <w:adjustRightInd w:val="0"/>
        <w:snapToGrid w:val="0"/>
        <w:spacing w:line="360" w:lineRule="auto"/>
        <w:ind w:right="2"/>
        <w:rPr>
          <w:rFonts w:hint="eastAsia" w:ascii="宋体" w:hAnsi="宋体" w:cs="宋体"/>
          <w:color w:val="auto"/>
          <w:highlight w:val="none"/>
        </w:rPr>
      </w:pPr>
      <w:r>
        <w:rPr>
          <w:rFonts w:hint="eastAsia" w:ascii="宋体" w:hAnsi="宋体" w:cs="宋体"/>
          <w:color w:val="auto"/>
          <w:highlight w:val="none"/>
        </w:rPr>
        <w:t>采购包号：</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价格单位：人民币   元</w:t>
      </w:r>
    </w:p>
    <w:tbl>
      <w:tblPr>
        <w:tblStyle w:val="20"/>
        <w:tblW w:w="9046" w:type="dxa"/>
        <w:jc w:val="center"/>
        <w:tblLayout w:type="fixed"/>
        <w:tblCellMar>
          <w:top w:w="0" w:type="dxa"/>
          <w:left w:w="108" w:type="dxa"/>
          <w:bottom w:w="0" w:type="dxa"/>
          <w:right w:w="108" w:type="dxa"/>
        </w:tblCellMar>
      </w:tblPr>
      <w:tblGrid>
        <w:gridCol w:w="652"/>
        <w:gridCol w:w="1185"/>
        <w:gridCol w:w="2235"/>
        <w:gridCol w:w="720"/>
        <w:gridCol w:w="1650"/>
        <w:gridCol w:w="1635"/>
        <w:gridCol w:w="969"/>
      </w:tblGrid>
      <w:tr w14:paraId="211CFA25">
        <w:tblPrEx>
          <w:tblCellMar>
            <w:top w:w="0" w:type="dxa"/>
            <w:left w:w="108" w:type="dxa"/>
            <w:bottom w:w="0" w:type="dxa"/>
            <w:right w:w="108" w:type="dxa"/>
          </w:tblCellMar>
        </w:tblPrEx>
        <w:trPr>
          <w:trHeight w:val="409" w:hRule="atLeast"/>
          <w:tblHeader/>
          <w:jc w:val="center"/>
        </w:trPr>
        <w:tc>
          <w:tcPr>
            <w:tcW w:w="652" w:type="dxa"/>
            <w:tcBorders>
              <w:top w:val="single" w:color="auto" w:sz="4" w:space="0"/>
              <w:left w:val="single" w:color="auto" w:sz="4" w:space="0"/>
              <w:bottom w:val="single" w:color="auto" w:sz="4" w:space="0"/>
              <w:right w:val="single" w:color="auto" w:sz="4" w:space="0"/>
            </w:tcBorders>
            <w:vAlign w:val="center"/>
          </w:tcPr>
          <w:p w14:paraId="13E5B5C0">
            <w:pPr>
              <w:spacing w:line="240" w:lineRule="auto"/>
              <w:rPr>
                <w:b/>
                <w:bCs w:val="0"/>
                <w:color w:val="auto"/>
                <w:highlight w:val="none"/>
              </w:rPr>
            </w:pPr>
            <w:r>
              <w:rPr>
                <w:b/>
                <w:bCs w:val="0"/>
                <w:color w:val="auto"/>
                <w:highlight w:val="none"/>
              </w:rPr>
              <w:t>序号</w:t>
            </w:r>
          </w:p>
        </w:tc>
        <w:tc>
          <w:tcPr>
            <w:tcW w:w="1185" w:type="dxa"/>
            <w:tcBorders>
              <w:top w:val="single" w:color="auto" w:sz="4" w:space="0"/>
              <w:left w:val="nil"/>
              <w:bottom w:val="single" w:color="auto" w:sz="4" w:space="0"/>
              <w:right w:val="single" w:color="auto" w:sz="4" w:space="0"/>
            </w:tcBorders>
            <w:vAlign w:val="center"/>
          </w:tcPr>
          <w:p w14:paraId="2B549611">
            <w:pPr>
              <w:spacing w:line="240" w:lineRule="auto"/>
              <w:rPr>
                <w:b/>
                <w:bCs w:val="0"/>
                <w:color w:val="auto"/>
                <w:highlight w:val="none"/>
              </w:rPr>
            </w:pPr>
            <w:r>
              <w:rPr>
                <w:b/>
                <w:bCs w:val="0"/>
                <w:color w:val="auto"/>
                <w:highlight w:val="none"/>
              </w:rPr>
              <w:t>项目名称</w:t>
            </w:r>
          </w:p>
        </w:tc>
        <w:tc>
          <w:tcPr>
            <w:tcW w:w="2235" w:type="dxa"/>
            <w:tcBorders>
              <w:top w:val="single" w:color="auto" w:sz="4" w:space="0"/>
              <w:left w:val="nil"/>
              <w:bottom w:val="single" w:color="auto" w:sz="4" w:space="0"/>
              <w:right w:val="single" w:color="auto" w:sz="4" w:space="0"/>
            </w:tcBorders>
            <w:vAlign w:val="center"/>
          </w:tcPr>
          <w:p w14:paraId="75F4ED60">
            <w:pPr>
              <w:spacing w:line="240" w:lineRule="auto"/>
              <w:rPr>
                <w:rFonts w:hint="default"/>
                <w:b/>
                <w:bCs w:val="0"/>
                <w:color w:val="auto"/>
                <w:highlight w:val="none"/>
                <w:lang w:val="en-US"/>
              </w:rPr>
            </w:pPr>
            <w:r>
              <w:rPr>
                <w:rFonts w:hint="eastAsia"/>
                <w:b/>
                <w:bCs w:val="0"/>
                <w:color w:val="auto"/>
                <w:highlight w:val="none"/>
                <w:lang w:val="en-US" w:eastAsia="zh-CN"/>
              </w:rPr>
              <w:t>内容描述</w:t>
            </w:r>
          </w:p>
        </w:tc>
        <w:tc>
          <w:tcPr>
            <w:tcW w:w="720" w:type="dxa"/>
            <w:tcBorders>
              <w:top w:val="single" w:color="auto" w:sz="4" w:space="0"/>
              <w:left w:val="single" w:color="auto" w:sz="4" w:space="0"/>
              <w:bottom w:val="single" w:color="auto" w:sz="4" w:space="0"/>
              <w:right w:val="single" w:color="auto" w:sz="4" w:space="0"/>
            </w:tcBorders>
            <w:vAlign w:val="center"/>
          </w:tcPr>
          <w:p w14:paraId="01AEB962">
            <w:pPr>
              <w:spacing w:line="240" w:lineRule="auto"/>
              <w:rPr>
                <w:b/>
                <w:bCs w:val="0"/>
                <w:color w:val="auto"/>
                <w:highlight w:val="none"/>
              </w:rPr>
            </w:pPr>
            <w:r>
              <w:rPr>
                <w:rFonts w:hint="eastAsia"/>
                <w:b/>
                <w:bCs w:val="0"/>
                <w:color w:val="auto"/>
                <w:highlight w:val="none"/>
              </w:rPr>
              <w:t>数量</w:t>
            </w:r>
          </w:p>
        </w:tc>
        <w:tc>
          <w:tcPr>
            <w:tcW w:w="1650" w:type="dxa"/>
            <w:tcBorders>
              <w:top w:val="single" w:color="auto" w:sz="4" w:space="0"/>
              <w:left w:val="single" w:color="auto" w:sz="4" w:space="0"/>
              <w:bottom w:val="single" w:color="auto" w:sz="4" w:space="0"/>
              <w:right w:val="single" w:color="auto" w:sz="4" w:space="0"/>
            </w:tcBorders>
            <w:vAlign w:val="center"/>
          </w:tcPr>
          <w:p w14:paraId="7E17B659">
            <w:pPr>
              <w:spacing w:line="240" w:lineRule="auto"/>
              <w:rPr>
                <w:b/>
                <w:bCs w:val="0"/>
                <w:color w:val="auto"/>
                <w:highlight w:val="none"/>
              </w:rPr>
            </w:pPr>
            <w:r>
              <w:rPr>
                <w:rFonts w:hint="eastAsia"/>
                <w:b/>
                <w:bCs w:val="0"/>
                <w:color w:val="auto"/>
                <w:highlight w:val="none"/>
              </w:rPr>
              <w:t>单价</w:t>
            </w:r>
          </w:p>
        </w:tc>
        <w:tc>
          <w:tcPr>
            <w:tcW w:w="1635" w:type="dxa"/>
            <w:tcBorders>
              <w:top w:val="single" w:color="auto" w:sz="4" w:space="0"/>
              <w:left w:val="single" w:color="auto" w:sz="4" w:space="0"/>
              <w:bottom w:val="single" w:color="auto" w:sz="4" w:space="0"/>
              <w:right w:val="single" w:color="auto" w:sz="4" w:space="0"/>
            </w:tcBorders>
            <w:vAlign w:val="center"/>
          </w:tcPr>
          <w:p w14:paraId="44AC201F">
            <w:pPr>
              <w:spacing w:line="240" w:lineRule="auto"/>
              <w:rPr>
                <w:b/>
                <w:bCs w:val="0"/>
                <w:color w:val="auto"/>
                <w:highlight w:val="none"/>
              </w:rPr>
            </w:pPr>
            <w:r>
              <w:rPr>
                <w:b/>
                <w:bCs w:val="0"/>
                <w:color w:val="auto"/>
                <w:highlight w:val="none"/>
              </w:rPr>
              <w:t>小计</w:t>
            </w:r>
          </w:p>
          <w:p w14:paraId="60F3E6A6">
            <w:pPr>
              <w:spacing w:line="240" w:lineRule="auto"/>
              <w:rPr>
                <w:b/>
                <w:bCs w:val="0"/>
                <w:color w:val="auto"/>
                <w:highlight w:val="none"/>
              </w:rPr>
            </w:pPr>
            <w:r>
              <w:rPr>
                <w:b/>
                <w:bCs w:val="0"/>
                <w:color w:val="auto"/>
                <w:highlight w:val="none"/>
              </w:rPr>
              <w:t>（元）</w:t>
            </w:r>
          </w:p>
        </w:tc>
        <w:tc>
          <w:tcPr>
            <w:tcW w:w="969" w:type="dxa"/>
            <w:tcBorders>
              <w:top w:val="single" w:color="auto" w:sz="4" w:space="0"/>
              <w:left w:val="nil"/>
              <w:bottom w:val="single" w:color="auto" w:sz="4" w:space="0"/>
              <w:right w:val="single" w:color="auto" w:sz="4" w:space="0"/>
            </w:tcBorders>
            <w:vAlign w:val="center"/>
          </w:tcPr>
          <w:p w14:paraId="6133B06E">
            <w:pPr>
              <w:spacing w:line="240" w:lineRule="auto"/>
              <w:rPr>
                <w:rFonts w:hint="default" w:eastAsiaTheme="minorEastAsia"/>
                <w:b/>
                <w:bCs w:val="0"/>
                <w:color w:val="auto"/>
                <w:highlight w:val="none"/>
                <w:lang w:val="en-US" w:eastAsia="zh-CN"/>
              </w:rPr>
            </w:pPr>
            <w:r>
              <w:rPr>
                <w:rFonts w:hint="eastAsia"/>
                <w:b/>
                <w:bCs w:val="0"/>
                <w:color w:val="auto"/>
                <w:highlight w:val="none"/>
                <w:lang w:val="en-US" w:eastAsia="zh-CN"/>
              </w:rPr>
              <w:t>备注</w:t>
            </w:r>
          </w:p>
        </w:tc>
      </w:tr>
      <w:tr w14:paraId="219F152E">
        <w:tblPrEx>
          <w:tblCellMar>
            <w:top w:w="0" w:type="dxa"/>
            <w:left w:w="108" w:type="dxa"/>
            <w:bottom w:w="0" w:type="dxa"/>
            <w:right w:w="108" w:type="dxa"/>
          </w:tblCellMar>
        </w:tblPrEx>
        <w:trPr>
          <w:trHeight w:val="671" w:hRule="atLeast"/>
          <w:tblHeader/>
          <w:jc w:val="center"/>
        </w:trPr>
        <w:tc>
          <w:tcPr>
            <w:tcW w:w="652" w:type="dxa"/>
            <w:tcBorders>
              <w:top w:val="single" w:color="auto" w:sz="4" w:space="0"/>
              <w:left w:val="single" w:color="auto" w:sz="4" w:space="0"/>
              <w:bottom w:val="single" w:color="auto" w:sz="4" w:space="0"/>
              <w:right w:val="single" w:color="auto" w:sz="4" w:space="0"/>
            </w:tcBorders>
            <w:vAlign w:val="center"/>
          </w:tcPr>
          <w:p w14:paraId="59C21F16">
            <w:pPr>
              <w:spacing w:line="240" w:lineRule="auto"/>
              <w:rPr>
                <w:color w:val="auto"/>
                <w:highlight w:val="none"/>
              </w:rPr>
            </w:pPr>
          </w:p>
        </w:tc>
        <w:tc>
          <w:tcPr>
            <w:tcW w:w="1185" w:type="dxa"/>
            <w:tcBorders>
              <w:top w:val="single" w:color="auto" w:sz="4" w:space="0"/>
              <w:left w:val="nil"/>
              <w:bottom w:val="single" w:color="auto" w:sz="4" w:space="0"/>
              <w:right w:val="single" w:color="auto" w:sz="4" w:space="0"/>
            </w:tcBorders>
            <w:vAlign w:val="center"/>
          </w:tcPr>
          <w:p w14:paraId="4B97F2A7">
            <w:pPr>
              <w:spacing w:line="240" w:lineRule="auto"/>
              <w:rPr>
                <w:color w:val="auto"/>
                <w:highlight w:val="none"/>
              </w:rPr>
            </w:pPr>
          </w:p>
        </w:tc>
        <w:tc>
          <w:tcPr>
            <w:tcW w:w="2235" w:type="dxa"/>
            <w:tcBorders>
              <w:top w:val="single" w:color="auto" w:sz="4" w:space="0"/>
              <w:left w:val="nil"/>
              <w:bottom w:val="single" w:color="auto" w:sz="4" w:space="0"/>
              <w:right w:val="single" w:color="auto" w:sz="4" w:space="0"/>
            </w:tcBorders>
            <w:vAlign w:val="center"/>
          </w:tcPr>
          <w:p w14:paraId="5A3A111C">
            <w:pPr>
              <w:spacing w:line="240" w:lineRule="auto"/>
              <w:rPr>
                <w:rFonts w:hint="default"/>
                <w:color w:val="auto"/>
                <w:highlight w:val="none"/>
                <w:lang w:val="en-US"/>
              </w:rPr>
            </w:pPr>
          </w:p>
        </w:tc>
        <w:tc>
          <w:tcPr>
            <w:tcW w:w="720" w:type="dxa"/>
            <w:tcBorders>
              <w:top w:val="single" w:color="auto" w:sz="4" w:space="0"/>
              <w:left w:val="single" w:color="auto" w:sz="4" w:space="0"/>
              <w:bottom w:val="single" w:color="auto" w:sz="4" w:space="0"/>
              <w:right w:val="single" w:color="auto" w:sz="4" w:space="0"/>
            </w:tcBorders>
            <w:vAlign w:val="center"/>
          </w:tcPr>
          <w:p w14:paraId="3322AAFA">
            <w:pPr>
              <w:spacing w:line="240" w:lineRule="auto"/>
              <w:rPr>
                <w:rFonts w:hint="default" w:eastAsiaTheme="minorEastAsia"/>
                <w:color w:val="auto"/>
                <w:highlight w:val="none"/>
                <w:lang w:val="en-US" w:eastAsia="zh-CN"/>
              </w:rPr>
            </w:pPr>
          </w:p>
        </w:tc>
        <w:tc>
          <w:tcPr>
            <w:tcW w:w="1650" w:type="dxa"/>
            <w:tcBorders>
              <w:top w:val="single" w:color="auto" w:sz="4" w:space="0"/>
              <w:left w:val="single" w:color="auto" w:sz="4" w:space="0"/>
              <w:bottom w:val="single" w:color="auto" w:sz="4" w:space="0"/>
              <w:right w:val="single" w:color="auto" w:sz="4" w:space="0"/>
            </w:tcBorders>
            <w:vAlign w:val="center"/>
          </w:tcPr>
          <w:p w14:paraId="38DD05D7">
            <w:pPr>
              <w:spacing w:line="240" w:lineRule="auto"/>
              <w:rPr>
                <w:color w:val="auto"/>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4E5968F2">
            <w:pPr>
              <w:spacing w:line="240" w:lineRule="auto"/>
              <w:rPr>
                <w:color w:val="auto"/>
                <w:highlight w:val="none"/>
              </w:rPr>
            </w:pPr>
          </w:p>
        </w:tc>
        <w:tc>
          <w:tcPr>
            <w:tcW w:w="969" w:type="dxa"/>
            <w:tcBorders>
              <w:top w:val="single" w:color="auto" w:sz="4" w:space="0"/>
              <w:left w:val="single" w:color="auto" w:sz="4" w:space="0"/>
              <w:bottom w:val="single" w:color="auto" w:sz="4" w:space="0"/>
              <w:right w:val="single" w:color="auto" w:sz="4" w:space="0"/>
            </w:tcBorders>
            <w:vAlign w:val="center"/>
          </w:tcPr>
          <w:p w14:paraId="3AE8111F">
            <w:pPr>
              <w:keepNext w:val="0"/>
              <w:keepLines w:val="0"/>
              <w:widowControl/>
              <w:suppressLineNumbers w:val="0"/>
              <w:spacing w:line="240" w:lineRule="auto"/>
              <w:jc w:val="center"/>
              <w:textAlignment w:val="center"/>
              <w:rPr>
                <w:color w:val="auto"/>
                <w:highlight w:val="none"/>
              </w:rPr>
            </w:pPr>
          </w:p>
        </w:tc>
      </w:tr>
      <w:tr w14:paraId="53F06133">
        <w:tblPrEx>
          <w:tblCellMar>
            <w:top w:w="0" w:type="dxa"/>
            <w:left w:w="108" w:type="dxa"/>
            <w:bottom w:w="0" w:type="dxa"/>
            <w:right w:w="108" w:type="dxa"/>
          </w:tblCellMar>
        </w:tblPrEx>
        <w:trPr>
          <w:trHeight w:val="671" w:hRule="atLeast"/>
          <w:tblHeader/>
          <w:jc w:val="center"/>
        </w:trPr>
        <w:tc>
          <w:tcPr>
            <w:tcW w:w="652" w:type="dxa"/>
            <w:tcBorders>
              <w:top w:val="single" w:color="auto" w:sz="4" w:space="0"/>
              <w:left w:val="single" w:color="auto" w:sz="4" w:space="0"/>
              <w:bottom w:val="single" w:color="auto" w:sz="4" w:space="0"/>
              <w:right w:val="single" w:color="auto" w:sz="4" w:space="0"/>
            </w:tcBorders>
            <w:vAlign w:val="center"/>
          </w:tcPr>
          <w:p w14:paraId="65927F18">
            <w:pPr>
              <w:spacing w:line="240" w:lineRule="auto"/>
              <w:rPr>
                <w:color w:val="auto"/>
                <w:highlight w:val="none"/>
              </w:rPr>
            </w:pPr>
          </w:p>
        </w:tc>
        <w:tc>
          <w:tcPr>
            <w:tcW w:w="1185" w:type="dxa"/>
            <w:tcBorders>
              <w:top w:val="single" w:color="auto" w:sz="4" w:space="0"/>
              <w:left w:val="nil"/>
              <w:bottom w:val="single" w:color="auto" w:sz="4" w:space="0"/>
              <w:right w:val="single" w:color="auto" w:sz="4" w:space="0"/>
            </w:tcBorders>
            <w:vAlign w:val="center"/>
          </w:tcPr>
          <w:p w14:paraId="1BA10011">
            <w:pPr>
              <w:spacing w:line="240" w:lineRule="auto"/>
              <w:rPr>
                <w:color w:val="auto"/>
                <w:highlight w:val="none"/>
              </w:rPr>
            </w:pPr>
          </w:p>
        </w:tc>
        <w:tc>
          <w:tcPr>
            <w:tcW w:w="2235" w:type="dxa"/>
            <w:tcBorders>
              <w:top w:val="single" w:color="auto" w:sz="4" w:space="0"/>
              <w:left w:val="nil"/>
              <w:bottom w:val="single" w:color="auto" w:sz="4" w:space="0"/>
              <w:right w:val="single" w:color="auto" w:sz="4" w:space="0"/>
            </w:tcBorders>
            <w:vAlign w:val="center"/>
          </w:tcPr>
          <w:p w14:paraId="1555153E">
            <w:pPr>
              <w:spacing w:line="240" w:lineRule="auto"/>
              <w:rPr>
                <w:color w:val="auto"/>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2B8D5D2">
            <w:pPr>
              <w:spacing w:line="240" w:lineRule="auto"/>
              <w:rPr>
                <w:color w:val="auto"/>
                <w:highlight w:val="none"/>
              </w:rPr>
            </w:pPr>
          </w:p>
        </w:tc>
        <w:tc>
          <w:tcPr>
            <w:tcW w:w="1650" w:type="dxa"/>
            <w:tcBorders>
              <w:top w:val="single" w:color="auto" w:sz="4" w:space="0"/>
              <w:left w:val="single" w:color="auto" w:sz="4" w:space="0"/>
              <w:bottom w:val="single" w:color="auto" w:sz="4" w:space="0"/>
              <w:right w:val="single" w:color="auto" w:sz="4" w:space="0"/>
            </w:tcBorders>
            <w:vAlign w:val="center"/>
          </w:tcPr>
          <w:p w14:paraId="58665BE9">
            <w:pPr>
              <w:spacing w:line="240" w:lineRule="auto"/>
              <w:rPr>
                <w:color w:val="auto"/>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56F1E6FF">
            <w:pPr>
              <w:spacing w:line="240" w:lineRule="auto"/>
              <w:rPr>
                <w:color w:val="auto"/>
                <w:highlight w:val="none"/>
              </w:rPr>
            </w:pPr>
          </w:p>
        </w:tc>
        <w:tc>
          <w:tcPr>
            <w:tcW w:w="969" w:type="dxa"/>
            <w:tcBorders>
              <w:top w:val="single" w:color="auto" w:sz="4" w:space="0"/>
              <w:left w:val="single" w:color="auto" w:sz="4" w:space="0"/>
              <w:bottom w:val="single" w:color="auto" w:sz="4" w:space="0"/>
              <w:right w:val="single" w:color="auto" w:sz="4" w:space="0"/>
            </w:tcBorders>
            <w:vAlign w:val="center"/>
          </w:tcPr>
          <w:p w14:paraId="2B6015CE">
            <w:pPr>
              <w:keepNext w:val="0"/>
              <w:keepLines w:val="0"/>
              <w:widowControl/>
              <w:suppressLineNumbers w:val="0"/>
              <w:spacing w:line="240" w:lineRule="auto"/>
              <w:jc w:val="center"/>
              <w:textAlignment w:val="center"/>
              <w:rPr>
                <w:color w:val="auto"/>
                <w:highlight w:val="none"/>
              </w:rPr>
            </w:pPr>
          </w:p>
        </w:tc>
      </w:tr>
      <w:tr w14:paraId="7A5F61BB">
        <w:tblPrEx>
          <w:tblCellMar>
            <w:top w:w="0" w:type="dxa"/>
            <w:left w:w="108" w:type="dxa"/>
            <w:bottom w:w="0" w:type="dxa"/>
            <w:right w:w="108" w:type="dxa"/>
          </w:tblCellMar>
        </w:tblPrEx>
        <w:trPr>
          <w:trHeight w:val="671" w:hRule="atLeast"/>
          <w:tblHeader/>
          <w:jc w:val="center"/>
        </w:trPr>
        <w:tc>
          <w:tcPr>
            <w:tcW w:w="652" w:type="dxa"/>
            <w:tcBorders>
              <w:top w:val="single" w:color="auto" w:sz="4" w:space="0"/>
              <w:left w:val="single" w:color="auto" w:sz="4" w:space="0"/>
              <w:bottom w:val="single" w:color="auto" w:sz="4" w:space="0"/>
              <w:right w:val="single" w:color="auto" w:sz="4" w:space="0"/>
            </w:tcBorders>
            <w:vAlign w:val="center"/>
          </w:tcPr>
          <w:p w14:paraId="6A60B93F">
            <w:pPr>
              <w:spacing w:line="240" w:lineRule="auto"/>
              <w:rPr>
                <w:color w:val="auto"/>
                <w:highlight w:val="none"/>
              </w:rPr>
            </w:pPr>
          </w:p>
        </w:tc>
        <w:tc>
          <w:tcPr>
            <w:tcW w:w="1185" w:type="dxa"/>
            <w:tcBorders>
              <w:top w:val="single" w:color="auto" w:sz="4" w:space="0"/>
              <w:left w:val="nil"/>
              <w:bottom w:val="single" w:color="auto" w:sz="4" w:space="0"/>
              <w:right w:val="single" w:color="auto" w:sz="4" w:space="0"/>
            </w:tcBorders>
            <w:vAlign w:val="center"/>
          </w:tcPr>
          <w:p w14:paraId="4764B6F2">
            <w:pPr>
              <w:spacing w:line="240" w:lineRule="auto"/>
              <w:rPr>
                <w:color w:val="auto"/>
                <w:highlight w:val="none"/>
              </w:rPr>
            </w:pPr>
          </w:p>
        </w:tc>
        <w:tc>
          <w:tcPr>
            <w:tcW w:w="2235" w:type="dxa"/>
            <w:tcBorders>
              <w:top w:val="single" w:color="auto" w:sz="4" w:space="0"/>
              <w:left w:val="nil"/>
              <w:bottom w:val="single" w:color="auto" w:sz="4" w:space="0"/>
              <w:right w:val="single" w:color="auto" w:sz="4" w:space="0"/>
            </w:tcBorders>
            <w:vAlign w:val="center"/>
          </w:tcPr>
          <w:p w14:paraId="30C7257F">
            <w:pPr>
              <w:spacing w:line="240" w:lineRule="auto"/>
              <w:rPr>
                <w:color w:val="auto"/>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C32B19D">
            <w:pPr>
              <w:spacing w:line="240" w:lineRule="auto"/>
              <w:rPr>
                <w:color w:val="auto"/>
                <w:highlight w:val="none"/>
              </w:rPr>
            </w:pPr>
          </w:p>
        </w:tc>
        <w:tc>
          <w:tcPr>
            <w:tcW w:w="1650" w:type="dxa"/>
            <w:tcBorders>
              <w:top w:val="single" w:color="auto" w:sz="4" w:space="0"/>
              <w:left w:val="single" w:color="auto" w:sz="4" w:space="0"/>
              <w:bottom w:val="single" w:color="auto" w:sz="4" w:space="0"/>
              <w:right w:val="single" w:color="auto" w:sz="4" w:space="0"/>
            </w:tcBorders>
            <w:vAlign w:val="center"/>
          </w:tcPr>
          <w:p w14:paraId="6B25E90C">
            <w:pPr>
              <w:spacing w:line="240" w:lineRule="auto"/>
              <w:rPr>
                <w:color w:val="auto"/>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3DF3F7FB">
            <w:pPr>
              <w:spacing w:line="240" w:lineRule="auto"/>
              <w:rPr>
                <w:color w:val="auto"/>
                <w:highlight w:val="none"/>
              </w:rPr>
            </w:pPr>
          </w:p>
        </w:tc>
        <w:tc>
          <w:tcPr>
            <w:tcW w:w="969" w:type="dxa"/>
            <w:tcBorders>
              <w:top w:val="single" w:color="auto" w:sz="4" w:space="0"/>
              <w:left w:val="single" w:color="auto" w:sz="4" w:space="0"/>
              <w:bottom w:val="single" w:color="auto" w:sz="4" w:space="0"/>
              <w:right w:val="single" w:color="auto" w:sz="4" w:space="0"/>
            </w:tcBorders>
            <w:vAlign w:val="center"/>
          </w:tcPr>
          <w:p w14:paraId="43B0AAAD">
            <w:pPr>
              <w:keepNext w:val="0"/>
              <w:keepLines w:val="0"/>
              <w:widowControl/>
              <w:suppressLineNumbers w:val="0"/>
              <w:spacing w:line="240" w:lineRule="auto"/>
              <w:jc w:val="center"/>
              <w:textAlignment w:val="center"/>
              <w:rPr>
                <w:color w:val="auto"/>
                <w:highlight w:val="none"/>
              </w:rPr>
            </w:pPr>
          </w:p>
        </w:tc>
      </w:tr>
      <w:tr w14:paraId="044D4129">
        <w:tblPrEx>
          <w:tblCellMar>
            <w:top w:w="0" w:type="dxa"/>
            <w:left w:w="108" w:type="dxa"/>
            <w:bottom w:w="0" w:type="dxa"/>
            <w:right w:w="108" w:type="dxa"/>
          </w:tblCellMar>
        </w:tblPrEx>
        <w:trPr>
          <w:trHeight w:val="608" w:hRule="atLeast"/>
          <w:tblHeader/>
          <w:jc w:val="center"/>
        </w:trPr>
        <w:tc>
          <w:tcPr>
            <w:tcW w:w="652" w:type="dxa"/>
            <w:tcBorders>
              <w:top w:val="single" w:color="auto" w:sz="4" w:space="0"/>
              <w:left w:val="single" w:color="auto" w:sz="4" w:space="0"/>
              <w:bottom w:val="single" w:color="auto" w:sz="4" w:space="0"/>
              <w:right w:val="single" w:color="auto" w:sz="4" w:space="0"/>
            </w:tcBorders>
            <w:vAlign w:val="center"/>
          </w:tcPr>
          <w:p w14:paraId="4F6D166B">
            <w:pPr>
              <w:spacing w:line="240" w:lineRule="auto"/>
              <w:rPr>
                <w:color w:val="auto"/>
                <w:highlight w:val="none"/>
              </w:rPr>
            </w:pPr>
          </w:p>
        </w:tc>
        <w:tc>
          <w:tcPr>
            <w:tcW w:w="1185" w:type="dxa"/>
            <w:tcBorders>
              <w:top w:val="single" w:color="auto" w:sz="4" w:space="0"/>
              <w:left w:val="nil"/>
              <w:bottom w:val="single" w:color="auto" w:sz="4" w:space="0"/>
              <w:right w:val="single" w:color="auto" w:sz="4" w:space="0"/>
            </w:tcBorders>
            <w:vAlign w:val="center"/>
          </w:tcPr>
          <w:p w14:paraId="1B5C88D0">
            <w:pPr>
              <w:spacing w:line="240" w:lineRule="auto"/>
              <w:rPr>
                <w:color w:val="auto"/>
                <w:highlight w:val="none"/>
              </w:rPr>
            </w:pPr>
          </w:p>
        </w:tc>
        <w:tc>
          <w:tcPr>
            <w:tcW w:w="2235" w:type="dxa"/>
            <w:tcBorders>
              <w:top w:val="nil"/>
              <w:left w:val="nil"/>
              <w:bottom w:val="single" w:color="auto" w:sz="4" w:space="0"/>
              <w:right w:val="single" w:color="auto" w:sz="4" w:space="0"/>
            </w:tcBorders>
            <w:vAlign w:val="center"/>
          </w:tcPr>
          <w:p w14:paraId="3A226D5B">
            <w:pPr>
              <w:spacing w:line="240" w:lineRule="auto"/>
              <w:rPr>
                <w:color w:val="auto"/>
                <w:highlight w:val="none"/>
              </w:rPr>
            </w:pPr>
          </w:p>
        </w:tc>
        <w:tc>
          <w:tcPr>
            <w:tcW w:w="720" w:type="dxa"/>
            <w:tcBorders>
              <w:top w:val="nil"/>
              <w:left w:val="single" w:color="auto" w:sz="4" w:space="0"/>
              <w:bottom w:val="single" w:color="auto" w:sz="4" w:space="0"/>
              <w:right w:val="single" w:color="auto" w:sz="4" w:space="0"/>
            </w:tcBorders>
            <w:vAlign w:val="center"/>
          </w:tcPr>
          <w:p w14:paraId="5676CEE2">
            <w:pPr>
              <w:spacing w:line="240" w:lineRule="auto"/>
              <w:rPr>
                <w:color w:val="auto"/>
                <w:highlight w:val="none"/>
              </w:rPr>
            </w:pPr>
          </w:p>
        </w:tc>
        <w:tc>
          <w:tcPr>
            <w:tcW w:w="1650" w:type="dxa"/>
            <w:tcBorders>
              <w:top w:val="nil"/>
              <w:left w:val="single" w:color="auto" w:sz="4" w:space="0"/>
              <w:bottom w:val="single" w:color="auto" w:sz="4" w:space="0"/>
              <w:right w:val="single" w:color="auto" w:sz="4" w:space="0"/>
            </w:tcBorders>
            <w:vAlign w:val="center"/>
          </w:tcPr>
          <w:p w14:paraId="60F4AB43">
            <w:pPr>
              <w:spacing w:line="240" w:lineRule="auto"/>
              <w:rPr>
                <w:color w:val="auto"/>
                <w:highlight w:val="none"/>
              </w:rPr>
            </w:pPr>
          </w:p>
        </w:tc>
        <w:tc>
          <w:tcPr>
            <w:tcW w:w="1635" w:type="dxa"/>
            <w:tcBorders>
              <w:top w:val="nil"/>
              <w:left w:val="single" w:color="auto" w:sz="4" w:space="0"/>
              <w:bottom w:val="single" w:color="auto" w:sz="4" w:space="0"/>
              <w:right w:val="single" w:color="auto" w:sz="4" w:space="0"/>
            </w:tcBorders>
            <w:vAlign w:val="center"/>
          </w:tcPr>
          <w:p w14:paraId="6C1E8593">
            <w:pPr>
              <w:spacing w:line="240" w:lineRule="auto"/>
              <w:rPr>
                <w:color w:val="auto"/>
                <w:highlight w:val="none"/>
              </w:rPr>
            </w:pPr>
          </w:p>
        </w:tc>
        <w:tc>
          <w:tcPr>
            <w:tcW w:w="969" w:type="dxa"/>
            <w:tcBorders>
              <w:top w:val="nil"/>
              <w:left w:val="single" w:color="auto" w:sz="4" w:space="0"/>
              <w:bottom w:val="single" w:color="auto" w:sz="4" w:space="0"/>
              <w:right w:val="single" w:color="auto" w:sz="4" w:space="0"/>
            </w:tcBorders>
            <w:vAlign w:val="center"/>
          </w:tcPr>
          <w:p w14:paraId="63F1C007">
            <w:pPr>
              <w:keepNext w:val="0"/>
              <w:keepLines w:val="0"/>
              <w:widowControl/>
              <w:suppressLineNumbers w:val="0"/>
              <w:spacing w:line="240" w:lineRule="auto"/>
              <w:jc w:val="center"/>
              <w:textAlignment w:val="center"/>
              <w:rPr>
                <w:color w:val="auto"/>
                <w:highlight w:val="none"/>
              </w:rPr>
            </w:pPr>
          </w:p>
        </w:tc>
      </w:tr>
      <w:tr w14:paraId="0075850E">
        <w:tblPrEx>
          <w:tblCellMar>
            <w:top w:w="0" w:type="dxa"/>
            <w:left w:w="108" w:type="dxa"/>
            <w:bottom w:w="0" w:type="dxa"/>
            <w:right w:w="108" w:type="dxa"/>
          </w:tblCellMar>
        </w:tblPrEx>
        <w:trPr>
          <w:trHeight w:val="616" w:hRule="atLeast"/>
          <w:tblHeader/>
          <w:jc w:val="center"/>
        </w:trPr>
        <w:tc>
          <w:tcPr>
            <w:tcW w:w="652" w:type="dxa"/>
            <w:tcBorders>
              <w:top w:val="single" w:color="auto" w:sz="4" w:space="0"/>
              <w:left w:val="single" w:color="auto" w:sz="4" w:space="0"/>
              <w:bottom w:val="single" w:color="auto" w:sz="4" w:space="0"/>
              <w:right w:val="single" w:color="auto" w:sz="4" w:space="0"/>
            </w:tcBorders>
            <w:vAlign w:val="center"/>
          </w:tcPr>
          <w:p w14:paraId="2797F607">
            <w:pPr>
              <w:spacing w:line="240" w:lineRule="auto"/>
              <w:rPr>
                <w:color w:val="auto"/>
                <w:highlight w:val="none"/>
              </w:rPr>
            </w:pPr>
          </w:p>
        </w:tc>
        <w:tc>
          <w:tcPr>
            <w:tcW w:w="1185" w:type="dxa"/>
            <w:tcBorders>
              <w:top w:val="single" w:color="auto" w:sz="4" w:space="0"/>
              <w:left w:val="nil"/>
              <w:right w:val="single" w:color="auto" w:sz="4" w:space="0"/>
            </w:tcBorders>
            <w:vAlign w:val="center"/>
          </w:tcPr>
          <w:p w14:paraId="13FB8DE2">
            <w:pPr>
              <w:spacing w:line="240" w:lineRule="auto"/>
              <w:rPr>
                <w:color w:val="auto"/>
                <w:highlight w:val="none"/>
              </w:rPr>
            </w:pPr>
          </w:p>
        </w:tc>
        <w:tc>
          <w:tcPr>
            <w:tcW w:w="2235" w:type="dxa"/>
            <w:tcBorders>
              <w:top w:val="single" w:color="auto" w:sz="4" w:space="0"/>
              <w:left w:val="nil"/>
              <w:bottom w:val="single" w:color="auto" w:sz="4" w:space="0"/>
              <w:right w:val="single" w:color="auto" w:sz="4" w:space="0"/>
            </w:tcBorders>
            <w:vAlign w:val="center"/>
          </w:tcPr>
          <w:p w14:paraId="3EDAA71F">
            <w:pPr>
              <w:spacing w:line="240" w:lineRule="auto"/>
              <w:rPr>
                <w:color w:val="auto"/>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E4F6634">
            <w:pPr>
              <w:spacing w:line="240" w:lineRule="auto"/>
              <w:rPr>
                <w:color w:val="auto"/>
                <w:highlight w:val="none"/>
              </w:rPr>
            </w:pPr>
          </w:p>
        </w:tc>
        <w:tc>
          <w:tcPr>
            <w:tcW w:w="1650" w:type="dxa"/>
            <w:tcBorders>
              <w:top w:val="single" w:color="auto" w:sz="4" w:space="0"/>
              <w:left w:val="single" w:color="auto" w:sz="4" w:space="0"/>
              <w:bottom w:val="single" w:color="auto" w:sz="4" w:space="0"/>
              <w:right w:val="single" w:color="auto" w:sz="4" w:space="0"/>
            </w:tcBorders>
            <w:vAlign w:val="center"/>
          </w:tcPr>
          <w:p w14:paraId="4CC9F80D">
            <w:pPr>
              <w:spacing w:line="240" w:lineRule="auto"/>
              <w:rPr>
                <w:color w:val="auto"/>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2DC79046">
            <w:pPr>
              <w:spacing w:line="240" w:lineRule="auto"/>
              <w:rPr>
                <w:color w:val="auto"/>
                <w:highlight w:val="none"/>
              </w:rPr>
            </w:pPr>
          </w:p>
        </w:tc>
        <w:tc>
          <w:tcPr>
            <w:tcW w:w="969" w:type="dxa"/>
            <w:tcBorders>
              <w:top w:val="single" w:color="auto" w:sz="4" w:space="0"/>
              <w:left w:val="single" w:color="auto" w:sz="4" w:space="0"/>
              <w:bottom w:val="single" w:color="auto" w:sz="4" w:space="0"/>
              <w:right w:val="single" w:color="auto" w:sz="4" w:space="0"/>
            </w:tcBorders>
            <w:vAlign w:val="center"/>
          </w:tcPr>
          <w:p w14:paraId="2F8932EF">
            <w:pPr>
              <w:keepNext w:val="0"/>
              <w:keepLines w:val="0"/>
              <w:widowControl/>
              <w:suppressLineNumbers w:val="0"/>
              <w:spacing w:line="240" w:lineRule="auto"/>
              <w:jc w:val="center"/>
              <w:textAlignment w:val="center"/>
              <w:rPr>
                <w:color w:val="auto"/>
                <w:highlight w:val="none"/>
              </w:rPr>
            </w:pPr>
          </w:p>
        </w:tc>
      </w:tr>
      <w:tr w14:paraId="594B27C0">
        <w:tblPrEx>
          <w:tblCellMar>
            <w:top w:w="0" w:type="dxa"/>
            <w:left w:w="108" w:type="dxa"/>
            <w:bottom w:w="0" w:type="dxa"/>
            <w:right w:w="108" w:type="dxa"/>
          </w:tblCellMar>
        </w:tblPrEx>
        <w:trPr>
          <w:trHeight w:val="610" w:hRule="atLeast"/>
          <w:tblHeader/>
          <w:jc w:val="center"/>
        </w:trPr>
        <w:tc>
          <w:tcPr>
            <w:tcW w:w="4072" w:type="dxa"/>
            <w:gridSpan w:val="3"/>
            <w:tcBorders>
              <w:top w:val="single" w:color="auto" w:sz="4" w:space="0"/>
              <w:left w:val="single" w:color="auto" w:sz="4" w:space="0"/>
              <w:bottom w:val="single" w:color="auto" w:sz="4" w:space="0"/>
              <w:right w:val="single" w:color="auto" w:sz="4" w:space="0"/>
            </w:tcBorders>
            <w:vAlign w:val="center"/>
          </w:tcPr>
          <w:p w14:paraId="335B7711">
            <w:pPr>
              <w:spacing w:line="240" w:lineRule="auto"/>
              <w:rPr>
                <w:color w:val="auto"/>
                <w:highlight w:val="none"/>
              </w:rPr>
            </w:pPr>
            <w:r>
              <w:rPr>
                <w:color w:val="auto"/>
                <w:highlight w:val="none"/>
              </w:rPr>
              <w:t>合   计</w:t>
            </w:r>
          </w:p>
        </w:tc>
        <w:tc>
          <w:tcPr>
            <w:tcW w:w="720" w:type="dxa"/>
            <w:tcBorders>
              <w:top w:val="single" w:color="auto" w:sz="4" w:space="0"/>
              <w:left w:val="single" w:color="auto" w:sz="4" w:space="0"/>
              <w:bottom w:val="single" w:color="auto" w:sz="4" w:space="0"/>
              <w:right w:val="single" w:color="auto" w:sz="4" w:space="0"/>
            </w:tcBorders>
            <w:vAlign w:val="center"/>
          </w:tcPr>
          <w:p w14:paraId="61BA08E1">
            <w:pPr>
              <w:spacing w:line="240" w:lineRule="auto"/>
              <w:rPr>
                <w:color w:val="auto"/>
                <w:highlight w:val="none"/>
              </w:rPr>
            </w:pPr>
          </w:p>
        </w:tc>
        <w:tc>
          <w:tcPr>
            <w:tcW w:w="1650" w:type="dxa"/>
            <w:tcBorders>
              <w:top w:val="single" w:color="auto" w:sz="4" w:space="0"/>
              <w:left w:val="single" w:color="auto" w:sz="4" w:space="0"/>
              <w:bottom w:val="single" w:color="auto" w:sz="4" w:space="0"/>
              <w:right w:val="single" w:color="auto" w:sz="4" w:space="0"/>
            </w:tcBorders>
            <w:vAlign w:val="center"/>
          </w:tcPr>
          <w:p w14:paraId="63850F13">
            <w:pPr>
              <w:spacing w:line="240" w:lineRule="auto"/>
              <w:rPr>
                <w:color w:val="auto"/>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563E4681">
            <w:pPr>
              <w:spacing w:line="240" w:lineRule="auto"/>
              <w:rPr>
                <w:color w:val="auto"/>
                <w:highlight w:val="none"/>
              </w:rPr>
            </w:pPr>
          </w:p>
        </w:tc>
        <w:tc>
          <w:tcPr>
            <w:tcW w:w="969" w:type="dxa"/>
            <w:tcBorders>
              <w:top w:val="single" w:color="auto" w:sz="4" w:space="0"/>
              <w:left w:val="single" w:color="auto" w:sz="4" w:space="0"/>
              <w:bottom w:val="single" w:color="auto" w:sz="4" w:space="0"/>
              <w:right w:val="single" w:color="auto" w:sz="4" w:space="0"/>
            </w:tcBorders>
            <w:vAlign w:val="center"/>
          </w:tcPr>
          <w:p w14:paraId="27AA09F7">
            <w:pPr>
              <w:spacing w:line="240" w:lineRule="auto"/>
              <w:rPr>
                <w:color w:val="auto"/>
                <w:highlight w:val="none"/>
              </w:rPr>
            </w:pPr>
          </w:p>
        </w:tc>
      </w:tr>
    </w:tbl>
    <w:p w14:paraId="294A748E">
      <w:pPr>
        <w:topLinePunct/>
        <w:autoSpaceDE w:val="0"/>
        <w:autoSpaceDN w:val="0"/>
        <w:spacing w:line="360" w:lineRule="auto"/>
        <w:rPr>
          <w:rFonts w:hint="eastAsia" w:ascii="宋体" w:hAnsi="宋体" w:cs="宋体"/>
          <w:color w:val="auto"/>
          <w:szCs w:val="21"/>
          <w:highlight w:val="none"/>
        </w:rPr>
      </w:pPr>
    </w:p>
    <w:p w14:paraId="24FF0532">
      <w:pPr>
        <w:topLinePunct/>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特别说明：</w:t>
      </w:r>
    </w:p>
    <w:p w14:paraId="1C66AF9E">
      <w:pPr>
        <w:topLinePunct/>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1.本项目总价及分项报价均不接受任何形式的赠送、“零”报价和折扣报价。</w:t>
      </w:r>
    </w:p>
    <w:p w14:paraId="4937DCEC">
      <w:pPr>
        <w:topLinePunct/>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2.本表中小计=数量×单价。</w:t>
      </w:r>
    </w:p>
    <w:p w14:paraId="3390AB2B">
      <w:pPr>
        <w:topLinePunct/>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本表仅供参考，可扩展。</w:t>
      </w:r>
    </w:p>
    <w:p w14:paraId="6887DA06">
      <w:pPr>
        <w:ind w:firstLine="420" w:firstLineChars="200"/>
        <w:rPr>
          <w:rFonts w:ascii="宋体" w:hAnsi="宋体" w:cs="宋体"/>
          <w:color w:val="auto"/>
          <w:szCs w:val="21"/>
          <w:highlight w:val="none"/>
        </w:rPr>
      </w:pPr>
    </w:p>
    <w:p w14:paraId="6B8BBF38">
      <w:pPr>
        <w:tabs>
          <w:tab w:val="left" w:pos="1230"/>
        </w:tabs>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kern w:val="0"/>
          <w:szCs w:val="21"/>
          <w:highlight w:val="none"/>
        </w:rPr>
        <w:t>（全称并加盖公章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52803761">
      <w:pPr>
        <w:tabs>
          <w:tab w:val="left" w:pos="1230"/>
        </w:tabs>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授权代表（签字）</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4B3A4E27">
      <w:pPr>
        <w:tabs>
          <w:tab w:val="left" w:pos="1230"/>
        </w:tabs>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p>
    <w:p w14:paraId="3E5A8DF7">
      <w:pPr>
        <w:widowControl/>
        <w:jc w:val="center"/>
        <w:rPr>
          <w:rFonts w:ascii="宋体" w:hAnsi="宋体" w:cs="宋体"/>
          <w:b/>
          <w:bCs/>
          <w:color w:val="auto"/>
          <w:sz w:val="28"/>
          <w:szCs w:val="28"/>
          <w:highlight w:val="none"/>
        </w:rPr>
      </w:pPr>
      <w:r>
        <w:rPr>
          <w:rFonts w:hint="eastAsia" w:ascii="宋体" w:hAnsi="宋体" w:cs="宋体"/>
          <w:b/>
          <w:bCs/>
          <w:color w:val="auto"/>
          <w:szCs w:val="21"/>
          <w:highlight w:val="none"/>
        </w:rPr>
        <w:br w:type="page"/>
      </w:r>
    </w:p>
    <w:p w14:paraId="7046A978">
      <w:pPr>
        <w:widowControl/>
        <w:jc w:val="center"/>
        <w:rPr>
          <w:rFonts w:ascii="宋体" w:hAnsi="宋体" w:cs="宋体"/>
          <w:b/>
          <w:bCs/>
          <w:color w:val="auto"/>
          <w:sz w:val="28"/>
          <w:szCs w:val="28"/>
          <w:highlight w:val="none"/>
        </w:rPr>
      </w:pPr>
      <w:r>
        <w:rPr>
          <w:rFonts w:hint="eastAsia" w:ascii="宋体" w:hAnsi="宋体" w:cs="宋体"/>
          <w:b/>
          <w:bCs/>
          <w:color w:val="auto"/>
          <w:sz w:val="28"/>
          <w:szCs w:val="28"/>
          <w:highlight w:val="none"/>
          <w:lang w:eastAsia="zh-CN"/>
        </w:rPr>
        <w:t>格式</w:t>
      </w:r>
      <w:r>
        <w:rPr>
          <w:rFonts w:hint="eastAsia" w:ascii="宋体" w:hAnsi="宋体" w:cs="宋体"/>
          <w:b/>
          <w:bCs/>
          <w:color w:val="auto"/>
          <w:sz w:val="28"/>
          <w:szCs w:val="28"/>
          <w:highlight w:val="none"/>
          <w:lang w:val="en-US" w:eastAsia="zh-CN"/>
        </w:rPr>
        <w:t xml:space="preserve">3 </w:t>
      </w:r>
      <w:r>
        <w:rPr>
          <w:rFonts w:hint="eastAsia" w:ascii="宋体" w:hAnsi="宋体" w:cs="宋体"/>
          <w:b/>
          <w:bCs/>
          <w:color w:val="auto"/>
          <w:sz w:val="28"/>
          <w:szCs w:val="28"/>
          <w:highlight w:val="none"/>
        </w:rPr>
        <w:t>授权委托书</w:t>
      </w:r>
    </w:p>
    <w:p w14:paraId="18CEA712">
      <w:pPr>
        <w:adjustRightInd w:val="0"/>
        <w:snapToGrid w:val="0"/>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3</w:t>
      </w:r>
      <w:r>
        <w:rPr>
          <w:rFonts w:hint="eastAsia" w:ascii="宋体" w:hAnsi="宋体" w:cs="宋体"/>
          <w:b/>
          <w:bCs/>
          <w:color w:val="auto"/>
          <w:sz w:val="28"/>
          <w:szCs w:val="28"/>
          <w:highlight w:val="none"/>
        </w:rPr>
        <w:t>-1法定代表人授权委托书</w:t>
      </w:r>
    </w:p>
    <w:p w14:paraId="1215A51D">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（适用于授权代表参加磋商）</w:t>
      </w:r>
    </w:p>
    <w:p w14:paraId="76AE369D">
      <w:pPr>
        <w:pStyle w:val="11"/>
        <w:rPr>
          <w:rFonts w:hAnsi="宋体" w:cs="宋体"/>
          <w:color w:val="auto"/>
          <w:highlight w:val="none"/>
        </w:rPr>
      </w:pPr>
    </w:p>
    <w:p w14:paraId="15F87243">
      <w:pPr>
        <w:pStyle w:val="11"/>
        <w:spacing w:line="360" w:lineRule="auto"/>
        <w:rPr>
          <w:rFonts w:hAnsi="宋体" w:cs="宋体"/>
          <w:color w:val="auto"/>
          <w:highlight w:val="none"/>
        </w:rPr>
      </w:pPr>
      <w:r>
        <w:rPr>
          <w:rFonts w:hint="eastAsia" w:hAnsi="宋体" w:cs="宋体"/>
          <w:color w:val="auto"/>
          <w:highlight w:val="none"/>
        </w:rPr>
        <w:t>致____________（采购人或采购代理机构）：</w:t>
      </w:r>
    </w:p>
    <w:p w14:paraId="7E501CF6">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本授权书声明：注册于___________ （供应商住址）的___________（供应商名称）法定代表人_______（姓名、职务）代表本公司授权_______（授权代表姓名、职务）为本公司的合法磋商代表，就贵方组织的《</w:t>
      </w:r>
      <w:r>
        <w:rPr>
          <w:rFonts w:hint="eastAsia" w:ascii="宋体" w:hAnsi="宋体" w:cs="宋体"/>
          <w:color w:val="auto"/>
          <w:szCs w:val="21"/>
          <w:highlight w:val="none"/>
          <w:u w:val="single"/>
        </w:rPr>
        <w:t xml:space="preserve">          项目</w:t>
      </w:r>
      <w:r>
        <w:rPr>
          <w:rFonts w:hint="eastAsia" w:ascii="宋体" w:hAnsi="宋体" w:cs="宋体"/>
          <w:color w:val="auto"/>
          <w:szCs w:val="21"/>
          <w:highlight w:val="none"/>
        </w:rPr>
        <w:t>》（项目编号：_______）</w:t>
      </w:r>
      <w:r>
        <w:rPr>
          <w:rFonts w:hint="eastAsia" w:ascii="宋体" w:hAnsi="宋体" w:cs="宋体"/>
          <w:color w:val="auto"/>
          <w:kern w:val="0"/>
          <w:szCs w:val="21"/>
          <w:highlight w:val="none"/>
        </w:rPr>
        <w:t>磋商、澄清、</w:t>
      </w:r>
      <w:r>
        <w:rPr>
          <w:rFonts w:hint="eastAsia" w:ascii="宋体" w:hAnsi="宋体" w:cs="宋体"/>
          <w:color w:val="auto"/>
          <w:szCs w:val="21"/>
          <w:highlight w:val="none"/>
        </w:rPr>
        <w:t>合同的执行，以本公司名义处理一切与之有关的事务。</w:t>
      </w:r>
    </w:p>
    <w:p w14:paraId="396C1F62">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本授权书于______年______月_____日生效，特此声明。</w:t>
      </w:r>
    </w:p>
    <w:p w14:paraId="5A1F8EBB">
      <w:pPr>
        <w:pStyle w:val="11"/>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授权代表无转委托权。</w:t>
      </w:r>
    </w:p>
    <w:p w14:paraId="0CDC7AE8">
      <w:pPr>
        <w:pStyle w:val="11"/>
        <w:adjustRightInd w:val="0"/>
        <w:snapToGrid w:val="0"/>
        <w:spacing w:line="360" w:lineRule="auto"/>
        <w:rPr>
          <w:rFonts w:hAnsi="宋体" w:cs="宋体"/>
          <w:color w:val="auto"/>
          <w:highlight w:val="none"/>
        </w:rPr>
      </w:pPr>
    </w:p>
    <w:tbl>
      <w:tblPr>
        <w:tblStyle w:val="20"/>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14:paraId="43C5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vAlign w:val="center"/>
          </w:tcPr>
          <w:p w14:paraId="49BEFF9B">
            <w:pPr>
              <w:pStyle w:val="11"/>
              <w:adjustRightInd w:val="0"/>
              <w:snapToGrid w:val="0"/>
              <w:spacing w:line="360" w:lineRule="auto"/>
              <w:jc w:val="center"/>
              <w:rPr>
                <w:rFonts w:hAnsi="宋体" w:cs="宋体"/>
                <w:color w:val="auto"/>
                <w:highlight w:val="none"/>
              </w:rPr>
            </w:pPr>
          </w:p>
          <w:p w14:paraId="2130E60E">
            <w:pPr>
              <w:pStyle w:val="11"/>
              <w:adjustRightInd w:val="0"/>
              <w:snapToGrid w:val="0"/>
              <w:spacing w:line="360" w:lineRule="auto"/>
              <w:jc w:val="center"/>
              <w:rPr>
                <w:rFonts w:hAnsi="宋体" w:cs="宋体"/>
                <w:color w:val="auto"/>
                <w:highlight w:val="none"/>
              </w:rPr>
            </w:pPr>
          </w:p>
          <w:p w14:paraId="1C89CFC0">
            <w:pPr>
              <w:pStyle w:val="11"/>
              <w:adjustRightInd w:val="0"/>
              <w:snapToGrid w:val="0"/>
              <w:spacing w:line="360" w:lineRule="auto"/>
              <w:jc w:val="center"/>
              <w:rPr>
                <w:rFonts w:hAnsi="宋体" w:cs="宋体"/>
                <w:color w:val="auto"/>
                <w:highlight w:val="none"/>
              </w:rPr>
            </w:pPr>
          </w:p>
          <w:p w14:paraId="1AD3D269">
            <w:pPr>
              <w:pStyle w:val="11"/>
              <w:adjustRightInd w:val="0"/>
              <w:snapToGrid w:val="0"/>
              <w:spacing w:line="360" w:lineRule="auto"/>
              <w:jc w:val="center"/>
              <w:rPr>
                <w:rFonts w:hAnsi="宋体" w:cs="宋体"/>
                <w:color w:val="auto"/>
                <w:highlight w:val="none"/>
              </w:rPr>
            </w:pPr>
            <w:r>
              <w:rPr>
                <w:rFonts w:hint="eastAsia" w:hAnsi="宋体" w:cs="宋体"/>
                <w:b/>
                <w:color w:val="auto"/>
                <w:highlight w:val="none"/>
              </w:rPr>
              <w:t>授权代表</w:t>
            </w:r>
            <w:r>
              <w:rPr>
                <w:rFonts w:hint="eastAsia" w:hAnsi="宋体" w:cs="宋体"/>
                <w:color w:val="auto"/>
                <w:highlight w:val="none"/>
              </w:rPr>
              <w:t>身份证复印件</w:t>
            </w:r>
          </w:p>
          <w:p w14:paraId="2CC5E60B">
            <w:pPr>
              <w:pStyle w:val="11"/>
              <w:adjustRightInd w:val="0"/>
              <w:snapToGrid w:val="0"/>
              <w:spacing w:line="360" w:lineRule="auto"/>
              <w:jc w:val="center"/>
              <w:rPr>
                <w:rFonts w:hAnsi="宋体" w:cs="宋体"/>
                <w:color w:val="auto"/>
                <w:highlight w:val="none"/>
              </w:rPr>
            </w:pPr>
          </w:p>
          <w:p w14:paraId="6DB24804">
            <w:pPr>
              <w:pStyle w:val="11"/>
              <w:adjustRightInd w:val="0"/>
              <w:snapToGrid w:val="0"/>
              <w:spacing w:line="360" w:lineRule="auto"/>
              <w:jc w:val="center"/>
              <w:rPr>
                <w:rFonts w:hAnsi="宋体" w:cs="宋体"/>
                <w:color w:val="auto"/>
                <w:highlight w:val="none"/>
              </w:rPr>
            </w:pPr>
          </w:p>
          <w:p w14:paraId="2B014BF5">
            <w:pPr>
              <w:pStyle w:val="11"/>
              <w:adjustRightInd w:val="0"/>
              <w:snapToGrid w:val="0"/>
              <w:spacing w:line="360" w:lineRule="auto"/>
              <w:jc w:val="center"/>
              <w:rPr>
                <w:rFonts w:hAnsi="宋体" w:cs="宋体"/>
                <w:color w:val="auto"/>
                <w:highlight w:val="none"/>
              </w:rPr>
            </w:pPr>
          </w:p>
        </w:tc>
      </w:tr>
    </w:tbl>
    <w:p w14:paraId="1D87D81E">
      <w:pPr>
        <w:pStyle w:val="11"/>
        <w:adjustRightInd w:val="0"/>
        <w:snapToGrid w:val="0"/>
        <w:spacing w:line="360" w:lineRule="auto"/>
        <w:jc w:val="left"/>
        <w:rPr>
          <w:rFonts w:hAnsi="宋体" w:cs="宋体"/>
          <w:color w:val="auto"/>
          <w:highlight w:val="none"/>
        </w:rPr>
      </w:pPr>
    </w:p>
    <w:p w14:paraId="796D3088">
      <w:pPr>
        <w:tabs>
          <w:tab w:val="left" w:pos="1230"/>
        </w:tabs>
        <w:topLinePunct/>
        <w:autoSpaceDE w:val="0"/>
        <w:autoSpaceDN w:val="0"/>
        <w:adjustRightInd w:val="0"/>
        <w:snapToGrid w:val="0"/>
        <w:spacing w:line="360" w:lineRule="auto"/>
        <w:ind w:left="360"/>
        <w:rPr>
          <w:rFonts w:ascii="宋体" w:hAnsi="宋体" w:cs="宋体"/>
          <w:color w:val="auto"/>
          <w:szCs w:val="21"/>
          <w:highlight w:val="none"/>
        </w:rPr>
      </w:pPr>
      <w:r>
        <w:rPr>
          <w:rFonts w:hint="eastAsia" w:ascii="宋体" w:hAnsi="宋体" w:cs="宋体"/>
          <w:color w:val="auto"/>
          <w:szCs w:val="21"/>
          <w:highlight w:val="none"/>
        </w:rPr>
        <w:t>供应商名称（公章）：________________</w:t>
      </w:r>
    </w:p>
    <w:p w14:paraId="30D1E2D1">
      <w:pPr>
        <w:tabs>
          <w:tab w:val="left" w:pos="1230"/>
        </w:tabs>
        <w:topLinePunct/>
        <w:autoSpaceDE w:val="0"/>
        <w:autoSpaceDN w:val="0"/>
        <w:adjustRightInd w:val="0"/>
        <w:snapToGrid w:val="0"/>
        <w:spacing w:line="360" w:lineRule="auto"/>
        <w:ind w:left="360"/>
        <w:rPr>
          <w:rFonts w:ascii="宋体" w:hAnsi="宋体" w:cs="宋体"/>
          <w:color w:val="auto"/>
          <w:szCs w:val="21"/>
          <w:highlight w:val="none"/>
        </w:rPr>
      </w:pPr>
      <w:r>
        <w:rPr>
          <w:rFonts w:hint="eastAsia" w:ascii="宋体" w:hAnsi="宋体" w:cs="宋体"/>
          <w:color w:val="auto"/>
          <w:szCs w:val="21"/>
          <w:highlight w:val="none"/>
        </w:rPr>
        <w:t>法定代表人（签字）：________________</w:t>
      </w:r>
    </w:p>
    <w:p w14:paraId="02E724DE">
      <w:pPr>
        <w:tabs>
          <w:tab w:val="left" w:pos="1230"/>
        </w:tabs>
        <w:topLinePunct/>
        <w:autoSpaceDE w:val="0"/>
        <w:autoSpaceDN w:val="0"/>
        <w:adjustRightInd w:val="0"/>
        <w:snapToGrid w:val="0"/>
        <w:spacing w:line="360" w:lineRule="auto"/>
        <w:ind w:left="360"/>
        <w:rPr>
          <w:rFonts w:ascii="宋体" w:hAnsi="宋体" w:cs="宋体"/>
          <w:color w:val="auto"/>
          <w:szCs w:val="21"/>
          <w:highlight w:val="none"/>
        </w:rPr>
      </w:pPr>
      <w:r>
        <w:rPr>
          <w:rFonts w:hint="eastAsia" w:ascii="宋体" w:hAnsi="宋体" w:cs="宋体"/>
          <w:color w:val="auto"/>
          <w:szCs w:val="21"/>
          <w:highlight w:val="none"/>
        </w:rPr>
        <w:t>授权代表（签字）：________________</w:t>
      </w:r>
    </w:p>
    <w:p w14:paraId="541FC7E2">
      <w:pPr>
        <w:tabs>
          <w:tab w:val="left" w:pos="1230"/>
        </w:tabs>
        <w:topLinePunct/>
        <w:autoSpaceDE w:val="0"/>
        <w:autoSpaceDN w:val="0"/>
        <w:adjustRightInd w:val="0"/>
        <w:snapToGrid w:val="0"/>
        <w:spacing w:line="360" w:lineRule="auto"/>
        <w:ind w:left="360"/>
        <w:rPr>
          <w:rFonts w:ascii="宋体" w:hAnsi="宋体" w:cs="宋体"/>
          <w:color w:val="auto"/>
          <w:szCs w:val="21"/>
          <w:highlight w:val="none"/>
        </w:rPr>
      </w:pPr>
      <w:r>
        <w:rPr>
          <w:rFonts w:hint="eastAsia" w:ascii="宋体" w:hAnsi="宋体" w:cs="宋体"/>
          <w:color w:val="auto"/>
          <w:szCs w:val="21"/>
          <w:highlight w:val="none"/>
        </w:rPr>
        <w:t>授权代表联系电话：____________</w:t>
      </w:r>
    </w:p>
    <w:p w14:paraId="56397D68">
      <w:pPr>
        <w:tabs>
          <w:tab w:val="left" w:pos="1230"/>
        </w:tabs>
        <w:topLinePunct/>
        <w:autoSpaceDE w:val="0"/>
        <w:autoSpaceDN w:val="0"/>
        <w:adjustRightInd w:val="0"/>
        <w:snapToGrid w:val="0"/>
        <w:spacing w:line="360" w:lineRule="auto"/>
        <w:ind w:left="360"/>
        <w:rPr>
          <w:rFonts w:ascii="宋体" w:hAnsi="宋体" w:cs="宋体"/>
          <w:color w:val="auto"/>
          <w:szCs w:val="21"/>
          <w:highlight w:val="none"/>
        </w:rPr>
      </w:pPr>
      <w:r>
        <w:rPr>
          <w:rFonts w:hint="eastAsia" w:ascii="宋体" w:hAnsi="宋体" w:cs="宋体"/>
          <w:color w:val="auto"/>
          <w:szCs w:val="21"/>
          <w:highlight w:val="none"/>
        </w:rPr>
        <w:t>日期：____________</w:t>
      </w:r>
    </w:p>
    <w:p w14:paraId="5FE576B9">
      <w:pPr>
        <w:topLinePunct/>
        <w:autoSpaceDE w:val="0"/>
        <w:autoSpaceDN w:val="0"/>
        <w:adjustRightInd w:val="0"/>
        <w:snapToGrid w:val="0"/>
        <w:spacing w:line="360" w:lineRule="auto"/>
        <w:jc w:val="left"/>
        <w:rPr>
          <w:rFonts w:ascii="宋体" w:hAnsi="宋体" w:cs="宋体"/>
          <w:color w:val="auto"/>
          <w:highlight w:val="none"/>
        </w:rPr>
      </w:pPr>
    </w:p>
    <w:p w14:paraId="4B7ED1DD">
      <w:pPr>
        <w:topLinePunct/>
        <w:autoSpaceDE w:val="0"/>
        <w:autoSpaceDN w:val="0"/>
        <w:adjustRightInd w:val="0"/>
        <w:snapToGrid w:val="0"/>
        <w:spacing w:line="360" w:lineRule="auto"/>
        <w:jc w:val="left"/>
        <w:rPr>
          <w:rFonts w:ascii="宋体" w:hAnsi="宋体" w:cs="宋体"/>
          <w:i/>
          <w:iCs/>
          <w:color w:val="auto"/>
          <w:highlight w:val="none"/>
        </w:rPr>
      </w:pPr>
      <w:r>
        <w:rPr>
          <w:rFonts w:hint="eastAsia" w:ascii="宋体" w:hAnsi="宋体" w:cs="宋体"/>
          <w:color w:val="auto"/>
          <w:highlight w:val="none"/>
        </w:rPr>
        <w:t>特别说明：</w:t>
      </w:r>
    </w:p>
    <w:p w14:paraId="44BFC61F">
      <w:pPr>
        <w:tabs>
          <w:tab w:val="left" w:pos="312"/>
        </w:tabs>
        <w:topLinePunct/>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如由授权代表参与磋商活动的，须同时提供《法定代表人授权委托书》和授权代表身份证复印件。《法定代表人授权委托书》应当按本格式要求加盖与供应商名称全称一致的标准公章，并签署法定代表人或授权代表的全名。</w:t>
      </w:r>
    </w:p>
    <w:p w14:paraId="2FBDA64C">
      <w:pPr>
        <w:adjustRightInd w:val="0"/>
        <w:snapToGrid w:val="0"/>
        <w:spacing w:line="360" w:lineRule="auto"/>
        <w:jc w:val="center"/>
        <w:rPr>
          <w:rFonts w:ascii="宋体" w:hAnsi="宋体" w:cs="宋体"/>
          <w:b/>
          <w:bCs/>
          <w:color w:val="auto"/>
          <w:sz w:val="28"/>
          <w:szCs w:val="28"/>
          <w:highlight w:val="none"/>
        </w:rPr>
      </w:pPr>
      <w:r>
        <w:rPr>
          <w:rFonts w:hint="eastAsia" w:ascii="宋体" w:hAnsi="宋体" w:cs="宋体"/>
          <w:b/>
          <w:bCs/>
          <w:color w:val="auto"/>
          <w:sz w:val="36"/>
          <w:szCs w:val="36"/>
          <w:highlight w:val="none"/>
        </w:rPr>
        <w:br w:type="page"/>
      </w:r>
      <w:r>
        <w:rPr>
          <w:rFonts w:hint="eastAsia" w:ascii="宋体" w:hAnsi="宋体" w:cs="宋体"/>
          <w:b/>
          <w:bCs/>
          <w:color w:val="auto"/>
          <w:sz w:val="28"/>
          <w:szCs w:val="28"/>
          <w:highlight w:val="none"/>
          <w:lang w:val="en-US" w:eastAsia="zh-CN"/>
        </w:rPr>
        <w:t>3</w:t>
      </w:r>
      <w:r>
        <w:rPr>
          <w:rFonts w:hint="eastAsia" w:ascii="宋体" w:hAnsi="宋体" w:cs="宋体"/>
          <w:b/>
          <w:bCs/>
          <w:color w:val="auto"/>
          <w:sz w:val="28"/>
          <w:szCs w:val="28"/>
          <w:highlight w:val="none"/>
        </w:rPr>
        <w:t>-2法定代表人身份证明复印件</w:t>
      </w:r>
    </w:p>
    <w:p w14:paraId="0F0E0E4A">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（适用于法定代表人参加磋商）</w:t>
      </w:r>
    </w:p>
    <w:p w14:paraId="170EB5F5">
      <w:pPr>
        <w:topLinePunct/>
        <w:autoSpaceDE w:val="0"/>
        <w:autoSpaceDN w:val="0"/>
        <w:adjustRightInd w:val="0"/>
        <w:snapToGrid w:val="0"/>
        <w:spacing w:line="360" w:lineRule="auto"/>
        <w:ind w:firstLine="420" w:firstLineChars="200"/>
        <w:rPr>
          <w:rFonts w:ascii="宋体" w:hAnsi="宋体" w:cs="宋体"/>
          <w:color w:val="auto"/>
          <w:highlight w:val="none"/>
        </w:rPr>
      </w:pPr>
    </w:p>
    <w:tbl>
      <w:tblPr>
        <w:tblStyle w:val="20"/>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14:paraId="738A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89" w:type="dxa"/>
            <w:vAlign w:val="center"/>
          </w:tcPr>
          <w:p w14:paraId="71834491">
            <w:pPr>
              <w:pStyle w:val="11"/>
              <w:adjustRightInd w:val="0"/>
              <w:snapToGrid w:val="0"/>
              <w:spacing w:line="360" w:lineRule="auto"/>
              <w:jc w:val="center"/>
              <w:rPr>
                <w:rFonts w:hAnsi="宋体" w:cs="宋体"/>
                <w:color w:val="auto"/>
                <w:highlight w:val="none"/>
              </w:rPr>
            </w:pPr>
          </w:p>
          <w:p w14:paraId="7F8421A4">
            <w:pPr>
              <w:pStyle w:val="11"/>
              <w:adjustRightInd w:val="0"/>
              <w:snapToGrid w:val="0"/>
              <w:spacing w:line="360" w:lineRule="auto"/>
              <w:jc w:val="center"/>
              <w:rPr>
                <w:rFonts w:hAnsi="宋体" w:cs="宋体"/>
                <w:color w:val="auto"/>
                <w:highlight w:val="none"/>
              </w:rPr>
            </w:pPr>
          </w:p>
          <w:p w14:paraId="0E332CDA">
            <w:pPr>
              <w:pStyle w:val="11"/>
              <w:adjustRightInd w:val="0"/>
              <w:snapToGrid w:val="0"/>
              <w:spacing w:line="360" w:lineRule="auto"/>
              <w:jc w:val="center"/>
              <w:rPr>
                <w:rFonts w:hAnsi="宋体" w:cs="宋体"/>
                <w:color w:val="auto"/>
                <w:highlight w:val="none"/>
              </w:rPr>
            </w:pPr>
          </w:p>
          <w:p w14:paraId="7CB7CC53">
            <w:pPr>
              <w:pStyle w:val="11"/>
              <w:adjustRightInd w:val="0"/>
              <w:snapToGrid w:val="0"/>
              <w:spacing w:line="360" w:lineRule="auto"/>
              <w:jc w:val="center"/>
              <w:rPr>
                <w:rFonts w:hAnsi="宋体" w:cs="宋体"/>
                <w:color w:val="auto"/>
                <w:highlight w:val="none"/>
              </w:rPr>
            </w:pPr>
          </w:p>
          <w:p w14:paraId="36BEA268">
            <w:pPr>
              <w:pStyle w:val="11"/>
              <w:adjustRightInd w:val="0"/>
              <w:snapToGrid w:val="0"/>
              <w:spacing w:line="360" w:lineRule="auto"/>
              <w:jc w:val="center"/>
              <w:rPr>
                <w:rFonts w:hAnsi="宋体" w:cs="宋体"/>
                <w:color w:val="auto"/>
                <w:highlight w:val="none"/>
              </w:rPr>
            </w:pPr>
            <w:r>
              <w:rPr>
                <w:rFonts w:hint="eastAsia" w:hAnsi="宋体" w:cs="宋体"/>
                <w:color w:val="auto"/>
                <w:highlight w:val="none"/>
              </w:rPr>
              <w:t>法定代表人身份证明复印件</w:t>
            </w:r>
          </w:p>
          <w:p w14:paraId="6AD12F7F">
            <w:pPr>
              <w:pStyle w:val="11"/>
              <w:adjustRightInd w:val="0"/>
              <w:snapToGrid w:val="0"/>
              <w:spacing w:line="360" w:lineRule="auto"/>
              <w:jc w:val="center"/>
              <w:rPr>
                <w:rFonts w:hAnsi="宋体" w:cs="宋体"/>
                <w:color w:val="auto"/>
                <w:highlight w:val="none"/>
              </w:rPr>
            </w:pPr>
          </w:p>
          <w:p w14:paraId="5FFDAFB8">
            <w:pPr>
              <w:pStyle w:val="11"/>
              <w:adjustRightInd w:val="0"/>
              <w:snapToGrid w:val="0"/>
              <w:spacing w:line="360" w:lineRule="auto"/>
              <w:jc w:val="center"/>
              <w:rPr>
                <w:rFonts w:hAnsi="宋体" w:cs="宋体"/>
                <w:color w:val="auto"/>
                <w:highlight w:val="none"/>
              </w:rPr>
            </w:pPr>
          </w:p>
          <w:p w14:paraId="23423E18">
            <w:pPr>
              <w:pStyle w:val="11"/>
              <w:adjustRightInd w:val="0"/>
              <w:snapToGrid w:val="0"/>
              <w:spacing w:line="360" w:lineRule="auto"/>
              <w:jc w:val="center"/>
              <w:rPr>
                <w:rFonts w:hAnsi="宋体" w:cs="宋体"/>
                <w:color w:val="auto"/>
                <w:highlight w:val="none"/>
              </w:rPr>
            </w:pPr>
          </w:p>
          <w:p w14:paraId="064ED01E">
            <w:pPr>
              <w:pStyle w:val="11"/>
              <w:adjustRightInd w:val="0"/>
              <w:snapToGrid w:val="0"/>
              <w:spacing w:line="360" w:lineRule="auto"/>
              <w:jc w:val="center"/>
              <w:rPr>
                <w:rFonts w:hAnsi="宋体" w:cs="宋体"/>
                <w:color w:val="auto"/>
                <w:highlight w:val="none"/>
              </w:rPr>
            </w:pPr>
          </w:p>
        </w:tc>
      </w:tr>
    </w:tbl>
    <w:p w14:paraId="3A8D1A59">
      <w:pPr>
        <w:topLinePunct/>
        <w:autoSpaceDE w:val="0"/>
        <w:autoSpaceDN w:val="0"/>
        <w:adjustRightInd w:val="0"/>
        <w:snapToGrid w:val="0"/>
        <w:spacing w:line="360" w:lineRule="auto"/>
        <w:jc w:val="left"/>
        <w:rPr>
          <w:rFonts w:ascii="宋体" w:hAnsi="宋体" w:cs="宋体"/>
          <w:color w:val="auto"/>
          <w:highlight w:val="none"/>
        </w:rPr>
      </w:pPr>
    </w:p>
    <w:p w14:paraId="0D324DA0">
      <w:pPr>
        <w:topLinePunct/>
        <w:autoSpaceDE w:val="0"/>
        <w:autoSpaceDN w:val="0"/>
        <w:adjustRightInd w:val="0"/>
        <w:snapToGrid w:val="0"/>
        <w:spacing w:line="360" w:lineRule="auto"/>
        <w:jc w:val="left"/>
        <w:rPr>
          <w:rFonts w:ascii="宋体" w:hAnsi="宋体" w:cs="宋体"/>
          <w:i/>
          <w:iCs/>
          <w:color w:val="auto"/>
          <w:highlight w:val="none"/>
        </w:rPr>
      </w:pPr>
      <w:r>
        <w:rPr>
          <w:rFonts w:hint="eastAsia" w:ascii="宋体" w:hAnsi="宋体" w:cs="宋体"/>
          <w:color w:val="auto"/>
          <w:highlight w:val="none"/>
        </w:rPr>
        <w:t>特别说明：</w:t>
      </w:r>
    </w:p>
    <w:p w14:paraId="0CB1F4BC">
      <w:pPr>
        <w:tabs>
          <w:tab w:val="left" w:pos="312"/>
        </w:tabs>
        <w:topLinePunct/>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供应商如由</w:t>
      </w:r>
      <w:r>
        <w:rPr>
          <w:rFonts w:hint="eastAsia" w:ascii="宋体" w:hAnsi="宋体" w:cs="宋体"/>
          <w:b/>
          <w:bCs/>
          <w:color w:val="auto"/>
          <w:highlight w:val="none"/>
        </w:rPr>
        <w:t>法定代表人作为磋商代表参与磋商活动的，仅需提供法定代表人身份证复印件</w:t>
      </w:r>
      <w:r>
        <w:rPr>
          <w:rFonts w:hint="eastAsia" w:ascii="宋体" w:hAnsi="宋体" w:cs="宋体"/>
          <w:color w:val="auto"/>
          <w:highlight w:val="none"/>
        </w:rPr>
        <w:t>。</w:t>
      </w:r>
    </w:p>
    <w:p w14:paraId="793B2FA0">
      <w:pPr>
        <w:pStyle w:val="11"/>
        <w:ind w:firstLine="420" w:firstLineChars="200"/>
        <w:rPr>
          <w:rFonts w:hAnsi="宋体" w:cs="宋体"/>
          <w:color w:val="auto"/>
          <w:highlight w:val="none"/>
        </w:rPr>
      </w:pPr>
    </w:p>
    <w:p w14:paraId="2A634139">
      <w:pPr>
        <w:widowControl/>
        <w:jc w:val="center"/>
        <w:rPr>
          <w:rFonts w:ascii="宋体" w:hAnsi="宋体" w:cs="宋体"/>
          <w:b/>
          <w:bCs/>
          <w:color w:val="auto"/>
          <w:sz w:val="28"/>
          <w:szCs w:val="28"/>
          <w:highlight w:val="none"/>
        </w:rPr>
      </w:pPr>
      <w:r>
        <w:rPr>
          <w:rFonts w:hint="eastAsia" w:ascii="宋体" w:hAnsi="宋体" w:cs="宋体"/>
          <w:b/>
          <w:bCs/>
          <w:color w:val="auto"/>
          <w:sz w:val="36"/>
          <w:szCs w:val="36"/>
          <w:highlight w:val="none"/>
        </w:rPr>
        <w:br w:type="page"/>
      </w:r>
      <w:r>
        <w:rPr>
          <w:rFonts w:hint="eastAsia" w:ascii="宋体" w:hAnsi="宋体" w:cs="宋体"/>
          <w:b/>
          <w:bCs/>
          <w:color w:val="auto"/>
          <w:sz w:val="28"/>
          <w:szCs w:val="28"/>
          <w:highlight w:val="none"/>
          <w:lang w:val="en-US" w:eastAsia="zh-CN"/>
        </w:rPr>
        <w:t>3</w:t>
      </w:r>
      <w:r>
        <w:rPr>
          <w:rFonts w:hint="eastAsia" w:ascii="宋体" w:hAnsi="宋体" w:cs="宋体"/>
          <w:b/>
          <w:bCs/>
          <w:color w:val="auto"/>
          <w:sz w:val="28"/>
          <w:szCs w:val="28"/>
          <w:highlight w:val="none"/>
        </w:rPr>
        <w:t>-3自然人授权委托书</w:t>
      </w:r>
    </w:p>
    <w:p w14:paraId="6845A63A">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（适用于自然人参加磋商）</w:t>
      </w:r>
    </w:p>
    <w:p w14:paraId="55911680">
      <w:pPr>
        <w:pStyle w:val="11"/>
        <w:rPr>
          <w:rFonts w:hAnsi="宋体" w:cs="宋体"/>
          <w:color w:val="auto"/>
          <w:highlight w:val="none"/>
        </w:rPr>
      </w:pPr>
    </w:p>
    <w:p w14:paraId="54DC60B2">
      <w:pPr>
        <w:pStyle w:val="11"/>
        <w:spacing w:line="360" w:lineRule="auto"/>
        <w:rPr>
          <w:rFonts w:hAnsi="宋体" w:cs="宋体"/>
          <w:color w:val="auto"/>
          <w:highlight w:val="none"/>
        </w:rPr>
      </w:pPr>
      <w:r>
        <w:rPr>
          <w:rFonts w:hint="eastAsia" w:hAnsi="宋体" w:cs="宋体"/>
          <w:color w:val="auto"/>
          <w:highlight w:val="none"/>
        </w:rPr>
        <w:t>致____________（采购人或采购代理机构）：</w:t>
      </w:r>
    </w:p>
    <w:p w14:paraId="55835C59">
      <w:pPr>
        <w:pStyle w:val="11"/>
        <w:spacing w:line="360" w:lineRule="auto"/>
        <w:ind w:firstLine="420" w:firstLineChars="200"/>
        <w:rPr>
          <w:rFonts w:hAnsi="宋体" w:cs="宋体"/>
          <w:color w:val="auto"/>
          <w:highlight w:val="none"/>
        </w:rPr>
      </w:pPr>
      <w:r>
        <w:rPr>
          <w:rFonts w:hint="eastAsia" w:hAnsi="宋体" w:cs="宋体"/>
          <w:color w:val="auto"/>
          <w:highlight w:val="none"/>
        </w:rPr>
        <w:t>本授权书声明：我________（姓名、身份证号码）系自然人，现授权委托____________（姓名、身份证号码）以本人名义参加《</w:t>
      </w:r>
      <w:r>
        <w:rPr>
          <w:rFonts w:hint="eastAsia" w:hAnsi="宋体" w:cs="宋体"/>
          <w:color w:val="auto"/>
          <w:highlight w:val="none"/>
          <w:u w:val="single"/>
        </w:rPr>
        <w:t xml:space="preserve">          项目</w:t>
      </w:r>
      <w:r>
        <w:rPr>
          <w:rFonts w:hint="eastAsia" w:hAnsi="宋体" w:cs="宋体"/>
          <w:color w:val="auto"/>
          <w:highlight w:val="none"/>
        </w:rPr>
        <w:t>》（项目编号：    ）的磋商活动，并代表本人全权办理针对上述项目的磋商、签约等具体事务和签署相关文件。</w:t>
      </w:r>
    </w:p>
    <w:p w14:paraId="47AD7295">
      <w:pPr>
        <w:pStyle w:val="11"/>
        <w:spacing w:line="360" w:lineRule="auto"/>
        <w:ind w:firstLine="420" w:firstLineChars="200"/>
        <w:rPr>
          <w:rFonts w:hAnsi="宋体" w:cs="宋体"/>
          <w:color w:val="auto"/>
          <w:highlight w:val="none"/>
        </w:rPr>
      </w:pPr>
      <w:r>
        <w:rPr>
          <w:rFonts w:hint="eastAsia" w:hAnsi="宋体" w:cs="宋体"/>
          <w:color w:val="auto"/>
          <w:highlight w:val="none"/>
        </w:rPr>
        <w:t>本人对被授权人的签字事项负全部责任。</w:t>
      </w:r>
    </w:p>
    <w:p w14:paraId="0F19D932">
      <w:pPr>
        <w:pStyle w:val="11"/>
        <w:spacing w:line="360" w:lineRule="auto"/>
        <w:ind w:firstLine="420" w:firstLineChars="200"/>
        <w:rPr>
          <w:rFonts w:hAnsi="宋体" w:cs="宋体"/>
          <w:color w:val="auto"/>
          <w:highlight w:val="none"/>
        </w:rPr>
      </w:pPr>
      <w:r>
        <w:rPr>
          <w:rFonts w:hint="eastAsia" w:hAnsi="宋体" w:cs="宋体"/>
          <w:color w:val="auto"/>
          <w:highlight w:val="none"/>
        </w:rPr>
        <w:t>授权委托代理期限：从　　年　　月　　日起至　　年　　月　　日止。</w:t>
      </w:r>
    </w:p>
    <w:p w14:paraId="39EA1C11">
      <w:pPr>
        <w:pStyle w:val="11"/>
        <w:spacing w:line="360" w:lineRule="auto"/>
        <w:ind w:firstLine="420" w:firstLineChars="200"/>
        <w:rPr>
          <w:rFonts w:hAnsi="宋体" w:cs="宋体"/>
          <w:color w:val="auto"/>
          <w:highlight w:val="none"/>
        </w:rPr>
      </w:pPr>
    </w:p>
    <w:p w14:paraId="3FE99798">
      <w:pPr>
        <w:pStyle w:val="11"/>
        <w:spacing w:line="360" w:lineRule="auto"/>
        <w:ind w:firstLine="420" w:firstLineChars="200"/>
        <w:rPr>
          <w:rFonts w:hAnsi="宋体" w:cs="宋体"/>
          <w:color w:val="auto"/>
          <w:highlight w:val="none"/>
        </w:rPr>
      </w:pPr>
      <w:r>
        <w:rPr>
          <w:rFonts w:hint="eastAsia" w:hAnsi="宋体" w:cs="宋体"/>
          <w:color w:val="auto"/>
          <w:highlight w:val="none"/>
        </w:rPr>
        <w:t>代理人无转委托权，特此委托。</w:t>
      </w:r>
    </w:p>
    <w:p w14:paraId="7AE73A24">
      <w:pPr>
        <w:pStyle w:val="11"/>
        <w:spacing w:line="360" w:lineRule="auto"/>
        <w:ind w:firstLine="420" w:firstLineChars="200"/>
        <w:rPr>
          <w:rFonts w:hAnsi="宋体" w:cs="宋体"/>
          <w:color w:val="auto"/>
          <w:highlight w:val="none"/>
        </w:rPr>
      </w:pPr>
    </w:p>
    <w:p w14:paraId="742940D8">
      <w:pPr>
        <w:pStyle w:val="11"/>
        <w:spacing w:line="360" w:lineRule="auto"/>
        <w:ind w:firstLine="420" w:firstLineChars="200"/>
        <w:rPr>
          <w:rFonts w:hAnsi="宋体" w:cs="宋体"/>
          <w:color w:val="auto"/>
          <w:highlight w:val="none"/>
        </w:rPr>
      </w:pPr>
      <w:r>
        <w:rPr>
          <w:rFonts w:hint="eastAsia" w:hAnsi="宋体" w:cs="宋体"/>
          <w:color w:val="auto"/>
          <w:highlight w:val="none"/>
        </w:rPr>
        <w:t>我已在下面签字，以资证明。</w:t>
      </w:r>
    </w:p>
    <w:p w14:paraId="6EEA496E">
      <w:pPr>
        <w:pStyle w:val="11"/>
        <w:spacing w:line="360" w:lineRule="auto"/>
        <w:ind w:firstLine="420" w:firstLineChars="200"/>
        <w:rPr>
          <w:rFonts w:hAnsi="宋体" w:cs="宋体"/>
          <w:color w:val="auto"/>
          <w:highlight w:val="none"/>
        </w:rPr>
      </w:pPr>
    </w:p>
    <w:p w14:paraId="12FDC5D0">
      <w:pPr>
        <w:pStyle w:val="11"/>
        <w:spacing w:line="360" w:lineRule="auto"/>
        <w:ind w:firstLine="420" w:firstLineChars="200"/>
        <w:rPr>
          <w:rFonts w:hAnsi="宋体" w:cs="宋体"/>
          <w:color w:val="auto"/>
          <w:highlight w:val="none"/>
        </w:rPr>
      </w:pPr>
      <w:r>
        <w:rPr>
          <w:rFonts w:hint="eastAsia" w:hAnsi="宋体" w:cs="宋体"/>
          <w:color w:val="auto"/>
          <w:highlight w:val="none"/>
        </w:rPr>
        <w:t>自然人签字并在签名处加盖食指指印：　　　　年　　月　　日</w:t>
      </w:r>
    </w:p>
    <w:p w14:paraId="32D654D0">
      <w:pPr>
        <w:pStyle w:val="11"/>
        <w:spacing w:line="360" w:lineRule="auto"/>
        <w:ind w:firstLine="420" w:firstLineChars="200"/>
        <w:rPr>
          <w:rFonts w:hAnsi="宋体" w:cs="宋体"/>
          <w:color w:val="auto"/>
          <w:highlight w:val="none"/>
        </w:rPr>
      </w:pPr>
    </w:p>
    <w:p w14:paraId="004B56CC">
      <w:pPr>
        <w:topLinePunct/>
        <w:autoSpaceDE w:val="0"/>
        <w:autoSpaceDN w:val="0"/>
        <w:adjustRightInd w:val="0"/>
        <w:snapToGrid w:val="0"/>
        <w:spacing w:line="360" w:lineRule="auto"/>
        <w:jc w:val="left"/>
        <w:rPr>
          <w:rFonts w:ascii="宋体" w:hAnsi="宋体" w:cs="宋体"/>
          <w:color w:val="auto"/>
          <w:szCs w:val="21"/>
          <w:highlight w:val="none"/>
        </w:rPr>
      </w:pPr>
    </w:p>
    <w:p w14:paraId="5467CC02">
      <w:pPr>
        <w:topLinePunct/>
        <w:autoSpaceDE w:val="0"/>
        <w:autoSpaceDN w:val="0"/>
        <w:adjustRightInd w:val="0"/>
        <w:snapToGrid w:val="0"/>
        <w:spacing w:line="360" w:lineRule="auto"/>
        <w:jc w:val="left"/>
        <w:rPr>
          <w:rFonts w:ascii="宋体" w:hAnsi="宋体" w:cs="宋体"/>
          <w:i/>
          <w:iCs/>
          <w:color w:val="auto"/>
          <w:highlight w:val="none"/>
        </w:rPr>
      </w:pPr>
      <w:r>
        <w:rPr>
          <w:rFonts w:hint="eastAsia" w:ascii="宋体" w:hAnsi="宋体" w:cs="宋体"/>
          <w:color w:val="auto"/>
          <w:highlight w:val="none"/>
        </w:rPr>
        <w:t>特别说明：</w:t>
      </w:r>
    </w:p>
    <w:p w14:paraId="6B78FE40">
      <w:pPr>
        <w:tabs>
          <w:tab w:val="left" w:pos="312"/>
        </w:tabs>
        <w:topLinePunct/>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供应商如由</w:t>
      </w:r>
      <w:r>
        <w:rPr>
          <w:rFonts w:hint="eastAsia" w:ascii="宋体" w:hAnsi="宋体" w:cs="宋体"/>
          <w:b/>
          <w:bCs/>
          <w:color w:val="auto"/>
          <w:highlight w:val="none"/>
        </w:rPr>
        <w:t>被授权人参与磋商活动的，</w:t>
      </w:r>
      <w:r>
        <w:rPr>
          <w:rFonts w:hint="eastAsia" w:ascii="宋体" w:hAnsi="宋体" w:cs="宋体"/>
          <w:color w:val="auto"/>
          <w:highlight w:val="none"/>
        </w:rPr>
        <w:t>须提供《自然人授权委托书》，《自然人授权委托书》应当按本格式要求签字并由自然人在签名处加盖食指指印</w:t>
      </w:r>
      <w:r>
        <w:rPr>
          <w:rFonts w:hint="eastAsia" w:ascii="宋体" w:hAnsi="宋体" w:cs="宋体"/>
          <w:color w:val="auto"/>
          <w:szCs w:val="21"/>
          <w:highlight w:val="none"/>
        </w:rPr>
        <w:t>。</w:t>
      </w:r>
    </w:p>
    <w:p w14:paraId="77C1761B">
      <w:pPr>
        <w:pStyle w:val="11"/>
        <w:spacing w:line="360" w:lineRule="auto"/>
        <w:ind w:firstLine="480" w:firstLineChars="200"/>
        <w:rPr>
          <w:rFonts w:hAnsi="宋体" w:cs="宋体"/>
          <w:color w:val="auto"/>
          <w:sz w:val="24"/>
          <w:szCs w:val="24"/>
          <w:highlight w:val="none"/>
        </w:rPr>
      </w:pPr>
    </w:p>
    <w:p w14:paraId="5ECF0318">
      <w:pPr>
        <w:pStyle w:val="11"/>
        <w:ind w:firstLine="420" w:firstLineChars="200"/>
        <w:jc w:val="center"/>
        <w:rPr>
          <w:rFonts w:hAnsi="宋体" w:cs="宋体"/>
          <w:b/>
          <w:bCs/>
          <w:color w:val="auto"/>
          <w:sz w:val="36"/>
          <w:szCs w:val="36"/>
          <w:highlight w:val="none"/>
        </w:rPr>
      </w:pPr>
      <w:r>
        <w:rPr>
          <w:rFonts w:hint="eastAsia" w:hAnsi="宋体" w:cs="宋体"/>
          <w:color w:val="auto"/>
          <w:highlight w:val="none"/>
        </w:rPr>
        <w:br w:type="page"/>
      </w:r>
      <w:r>
        <w:rPr>
          <w:rFonts w:hint="eastAsia" w:hAnsi="宋体" w:cs="宋体"/>
          <w:b/>
          <w:bCs/>
          <w:color w:val="auto"/>
          <w:sz w:val="28"/>
          <w:szCs w:val="28"/>
          <w:highlight w:val="none"/>
        </w:rPr>
        <w:t>格式</w:t>
      </w:r>
      <w:r>
        <w:rPr>
          <w:rFonts w:hint="eastAsia" w:hAnsi="宋体" w:cs="宋体"/>
          <w:b/>
          <w:bCs/>
          <w:color w:val="auto"/>
          <w:sz w:val="28"/>
          <w:szCs w:val="28"/>
          <w:highlight w:val="none"/>
          <w:lang w:val="en-US" w:eastAsia="zh-CN"/>
        </w:rPr>
        <w:t>4</w:t>
      </w:r>
      <w:r>
        <w:rPr>
          <w:rFonts w:hint="eastAsia" w:hAnsi="宋体" w:cs="宋体"/>
          <w:b/>
          <w:bCs/>
          <w:color w:val="auto"/>
          <w:sz w:val="28"/>
          <w:szCs w:val="28"/>
          <w:highlight w:val="none"/>
        </w:rPr>
        <w:t xml:space="preserve">  磋商响应函</w:t>
      </w:r>
    </w:p>
    <w:p w14:paraId="398740D7">
      <w:pPr>
        <w:pStyle w:val="11"/>
        <w:topLinePunct/>
        <w:autoSpaceDE w:val="0"/>
        <w:autoSpaceDN w:val="0"/>
        <w:adjustRightInd w:val="0"/>
        <w:snapToGrid w:val="0"/>
        <w:spacing w:line="360" w:lineRule="auto"/>
        <w:rPr>
          <w:rFonts w:hAnsi="宋体" w:cs="宋体"/>
          <w:color w:val="auto"/>
          <w:sz w:val="24"/>
          <w:highlight w:val="none"/>
        </w:rPr>
      </w:pPr>
    </w:p>
    <w:p w14:paraId="36531E81">
      <w:pPr>
        <w:pStyle w:val="11"/>
        <w:topLinePunct/>
        <w:autoSpaceDE w:val="0"/>
        <w:autoSpaceDN w:val="0"/>
        <w:adjustRightInd w:val="0"/>
        <w:snapToGrid w:val="0"/>
        <w:spacing w:line="360" w:lineRule="auto"/>
        <w:rPr>
          <w:rFonts w:hAnsi="宋体" w:cs="宋体"/>
          <w:color w:val="auto"/>
          <w:highlight w:val="none"/>
        </w:rPr>
      </w:pPr>
      <w:r>
        <w:rPr>
          <w:rFonts w:hint="eastAsia" w:hAnsi="宋体" w:cs="宋体"/>
          <w:color w:val="auto"/>
          <w:highlight w:val="none"/>
        </w:rPr>
        <w:t>致________（采购人或采购代理机构）：</w:t>
      </w:r>
    </w:p>
    <w:p w14:paraId="2F71766E">
      <w:pPr>
        <w:pStyle w:val="11"/>
        <w:topLinePunct/>
        <w:autoSpaceDE w:val="0"/>
        <w:autoSpaceDN w:val="0"/>
        <w:adjustRightInd w:val="0"/>
        <w:snapToGrid w:val="0"/>
        <w:spacing w:line="360" w:lineRule="auto"/>
        <w:ind w:firstLine="428" w:firstLineChars="204"/>
        <w:rPr>
          <w:rFonts w:hAnsi="宋体" w:cs="宋体"/>
          <w:color w:val="auto"/>
          <w:highlight w:val="none"/>
        </w:rPr>
      </w:pPr>
      <w:r>
        <w:rPr>
          <w:rFonts w:hint="eastAsia" w:hAnsi="宋体" w:cs="宋体"/>
          <w:color w:val="auto"/>
          <w:highlight w:val="none"/>
        </w:rPr>
        <w:t>根据______（项目名称）（项目编号：______）的磋商邀请，______（姓名、职务）代表供应商______（供应商名称、地址）参加项目磋商的有关活动。据此函，做如下承诺：</w:t>
      </w:r>
    </w:p>
    <w:p w14:paraId="384DFDC5">
      <w:pPr>
        <w:pStyle w:val="33"/>
        <w:tabs>
          <w:tab w:val="left" w:pos="420"/>
        </w:tabs>
        <w:topLinePunct/>
        <w:autoSpaceDE w:val="0"/>
        <w:autoSpaceDN w:val="0"/>
        <w:snapToGrid w:val="0"/>
        <w:spacing w:line="360" w:lineRule="auto"/>
        <w:ind w:firstLine="428" w:firstLineChars="204"/>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1.同意在本项目磋商文件中规定的响应文件开启时间起</w:t>
      </w:r>
      <w:r>
        <w:rPr>
          <w:rFonts w:hint="eastAsia" w:ascii="宋体" w:hAnsi="宋体" w:eastAsia="宋体" w:cs="宋体"/>
          <w:color w:val="auto"/>
          <w:sz w:val="21"/>
          <w:szCs w:val="21"/>
          <w:highlight w:val="none"/>
          <w:u w:val="single"/>
        </w:rPr>
        <w:t xml:space="preserve"> 90日历日内</w:t>
      </w:r>
      <w:r>
        <w:rPr>
          <w:rFonts w:hint="eastAsia" w:ascii="宋体" w:hAnsi="宋体" w:eastAsia="宋体" w:cs="宋体"/>
          <w:color w:val="auto"/>
          <w:sz w:val="21"/>
          <w:szCs w:val="21"/>
          <w:highlight w:val="none"/>
        </w:rPr>
        <w:t>遵守本响应文件中的承诺，且在期满之前均具有约束力。</w:t>
      </w:r>
    </w:p>
    <w:p w14:paraId="385AC2E1">
      <w:pPr>
        <w:pStyle w:val="33"/>
        <w:tabs>
          <w:tab w:val="left" w:pos="420"/>
        </w:tabs>
        <w:topLinePunct/>
        <w:autoSpaceDE w:val="0"/>
        <w:autoSpaceDN w:val="0"/>
        <w:snapToGrid w:val="0"/>
        <w:spacing w:line="360" w:lineRule="auto"/>
        <w:ind w:firstLine="428" w:firstLineChars="204"/>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2.具备以下条件：</w:t>
      </w:r>
    </w:p>
    <w:p w14:paraId="2326EC1E">
      <w:pPr>
        <w:tabs>
          <w:tab w:val="left" w:pos="700"/>
        </w:tabs>
        <w:topLinePunct/>
        <w:autoSpaceDE w:val="0"/>
        <w:autoSpaceDN w:val="0"/>
        <w:adjustRightInd w:val="0"/>
        <w:snapToGrid w:val="0"/>
        <w:spacing w:line="360" w:lineRule="auto"/>
        <w:ind w:firstLine="428" w:firstLineChars="204"/>
        <w:jc w:val="left"/>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14:paraId="66512376">
      <w:pPr>
        <w:tabs>
          <w:tab w:val="left" w:pos="700"/>
        </w:tabs>
        <w:topLinePunct/>
        <w:autoSpaceDE w:val="0"/>
        <w:autoSpaceDN w:val="0"/>
        <w:adjustRightInd w:val="0"/>
        <w:snapToGrid w:val="0"/>
        <w:spacing w:line="360" w:lineRule="auto"/>
        <w:ind w:firstLine="428" w:firstLineChars="204"/>
        <w:jc w:val="left"/>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2DD8223F">
      <w:pPr>
        <w:tabs>
          <w:tab w:val="left" w:pos="700"/>
        </w:tabs>
        <w:topLinePunct/>
        <w:autoSpaceDE w:val="0"/>
        <w:autoSpaceDN w:val="0"/>
        <w:adjustRightInd w:val="0"/>
        <w:snapToGrid w:val="0"/>
        <w:spacing w:line="360" w:lineRule="auto"/>
        <w:ind w:firstLine="428" w:firstLineChars="204"/>
        <w:jc w:val="left"/>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4E41A5F6">
      <w:pPr>
        <w:tabs>
          <w:tab w:val="left" w:pos="700"/>
        </w:tabs>
        <w:topLinePunct/>
        <w:autoSpaceDE w:val="0"/>
        <w:autoSpaceDN w:val="0"/>
        <w:adjustRightInd w:val="0"/>
        <w:snapToGrid w:val="0"/>
        <w:spacing w:line="360" w:lineRule="auto"/>
        <w:ind w:firstLine="428" w:firstLineChars="204"/>
        <w:jc w:val="left"/>
        <w:rPr>
          <w:rFonts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7D88464C">
      <w:pPr>
        <w:tabs>
          <w:tab w:val="left" w:pos="700"/>
        </w:tabs>
        <w:topLinePunct/>
        <w:autoSpaceDE w:val="0"/>
        <w:autoSpaceDN w:val="0"/>
        <w:adjustRightInd w:val="0"/>
        <w:snapToGrid w:val="0"/>
        <w:spacing w:line="360" w:lineRule="auto"/>
        <w:ind w:firstLine="428" w:firstLineChars="204"/>
        <w:jc w:val="left"/>
        <w:rPr>
          <w:rFonts w:ascii="宋体" w:hAnsi="宋体" w:cs="宋体"/>
          <w:color w:val="auto"/>
          <w:szCs w:val="21"/>
          <w:highlight w:val="none"/>
        </w:rPr>
      </w:pPr>
      <w:r>
        <w:rPr>
          <w:rFonts w:hint="eastAsia" w:ascii="宋体" w:hAnsi="宋体" w:cs="宋体"/>
          <w:color w:val="auto"/>
          <w:szCs w:val="21"/>
          <w:highlight w:val="none"/>
        </w:rPr>
        <w:t>（5）参加此项采购活动前三年内，在经营活动中没有重大违法记录。</w:t>
      </w:r>
    </w:p>
    <w:p w14:paraId="570955A2">
      <w:pPr>
        <w:tabs>
          <w:tab w:val="left" w:pos="700"/>
        </w:tabs>
        <w:topLinePunct/>
        <w:autoSpaceDE w:val="0"/>
        <w:autoSpaceDN w:val="0"/>
        <w:adjustRightInd w:val="0"/>
        <w:snapToGrid w:val="0"/>
        <w:spacing w:line="360" w:lineRule="auto"/>
        <w:ind w:firstLine="428" w:firstLineChars="204"/>
        <w:jc w:val="left"/>
        <w:rPr>
          <w:rFonts w:ascii="宋体" w:hAnsi="宋体" w:cs="宋体"/>
          <w:color w:val="auto"/>
          <w:szCs w:val="21"/>
          <w:highlight w:val="none"/>
        </w:rPr>
      </w:pPr>
      <w:r>
        <w:rPr>
          <w:rFonts w:hint="eastAsia" w:ascii="宋体" w:hAnsi="宋体" w:cs="宋体"/>
          <w:color w:val="auto"/>
          <w:szCs w:val="21"/>
          <w:highlight w:val="none"/>
        </w:rPr>
        <w:t xml:space="preserve">（6）法律、行政法规规定的其他条件。 </w:t>
      </w:r>
    </w:p>
    <w:p w14:paraId="4BDAC002">
      <w:pPr>
        <w:pStyle w:val="33"/>
        <w:tabs>
          <w:tab w:val="left" w:pos="420"/>
        </w:tabs>
        <w:topLinePunct/>
        <w:autoSpaceDE w:val="0"/>
        <w:autoSpaceDN w:val="0"/>
        <w:snapToGrid w:val="0"/>
        <w:spacing w:line="360" w:lineRule="auto"/>
        <w:ind w:firstLine="428" w:firstLineChars="204"/>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3.具备本项目磋商文件中规定的其他要求和资质条件。</w:t>
      </w:r>
    </w:p>
    <w:p w14:paraId="1C8BAC97">
      <w:pPr>
        <w:pStyle w:val="33"/>
        <w:tabs>
          <w:tab w:val="left" w:pos="420"/>
        </w:tabs>
        <w:topLinePunct/>
        <w:autoSpaceDE w:val="0"/>
        <w:autoSpaceDN w:val="0"/>
        <w:snapToGrid w:val="0"/>
        <w:spacing w:line="360" w:lineRule="auto"/>
        <w:ind w:firstLine="428" w:firstLineChars="204"/>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4.提供供应商须知规定的全部响应文件。</w:t>
      </w:r>
    </w:p>
    <w:p w14:paraId="3F81A08E">
      <w:pPr>
        <w:pStyle w:val="33"/>
        <w:tabs>
          <w:tab w:val="left" w:pos="420"/>
        </w:tabs>
        <w:topLinePunct/>
        <w:autoSpaceDE w:val="0"/>
        <w:autoSpaceDN w:val="0"/>
        <w:snapToGrid w:val="0"/>
        <w:spacing w:line="360" w:lineRule="auto"/>
        <w:ind w:firstLine="428" w:firstLineChars="204"/>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5.已详细审阅全部磋商文件（包括磋商文件澄清函），理解供应商须知的所有条款。</w:t>
      </w:r>
    </w:p>
    <w:p w14:paraId="33EA281B">
      <w:pPr>
        <w:pStyle w:val="33"/>
        <w:tabs>
          <w:tab w:val="left" w:pos="420"/>
        </w:tabs>
        <w:topLinePunct/>
        <w:autoSpaceDE w:val="0"/>
        <w:autoSpaceDN w:val="0"/>
        <w:snapToGrid w:val="0"/>
        <w:spacing w:line="360" w:lineRule="auto"/>
        <w:ind w:firstLine="428" w:firstLineChars="204"/>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6.完全理解贵方“最低报价不能作为成交的保证”的规定。</w:t>
      </w:r>
    </w:p>
    <w:p w14:paraId="2E15D969">
      <w:pPr>
        <w:pStyle w:val="33"/>
        <w:tabs>
          <w:tab w:val="left" w:pos="420"/>
        </w:tabs>
        <w:topLinePunct/>
        <w:autoSpaceDE w:val="0"/>
        <w:autoSpaceDN w:val="0"/>
        <w:snapToGrid w:val="0"/>
        <w:spacing w:line="360" w:lineRule="auto"/>
        <w:ind w:firstLine="428" w:firstLineChars="204"/>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7.接受磋商文件中全部合同条款，且无任何异议；保证忠实地执行双方所签订的合同，并承担合同规定的责任和义务。</w:t>
      </w:r>
    </w:p>
    <w:p w14:paraId="6BD2368A">
      <w:pPr>
        <w:pStyle w:val="33"/>
        <w:tabs>
          <w:tab w:val="left" w:pos="420"/>
        </w:tabs>
        <w:topLinePunct/>
        <w:autoSpaceDE w:val="0"/>
        <w:autoSpaceDN w:val="0"/>
        <w:snapToGrid w:val="0"/>
        <w:spacing w:line="360" w:lineRule="auto"/>
        <w:ind w:firstLine="428" w:firstLineChars="204"/>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8.完全满足和响应磋商文件中的各项商务和技术要求，若有偏差，已在响应文件中明确说明。</w:t>
      </w:r>
    </w:p>
    <w:p w14:paraId="517179D1">
      <w:pPr>
        <w:pStyle w:val="33"/>
        <w:tabs>
          <w:tab w:val="left" w:pos="420"/>
        </w:tabs>
        <w:topLinePunct/>
        <w:autoSpaceDE w:val="0"/>
        <w:autoSpaceDN w:val="0"/>
        <w:snapToGrid w:val="0"/>
        <w:spacing w:line="360" w:lineRule="auto"/>
        <w:ind w:firstLine="428" w:firstLineChars="204"/>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9.愿意提供任何与磋商有关的数据、情况和技术资料等。若贵方需要，愿意提供一切证明材料。</w:t>
      </w:r>
    </w:p>
    <w:p w14:paraId="52F1327E">
      <w:pPr>
        <w:pStyle w:val="33"/>
        <w:tabs>
          <w:tab w:val="left" w:pos="420"/>
        </w:tabs>
        <w:topLinePunct/>
        <w:autoSpaceDE w:val="0"/>
        <w:autoSpaceDN w:val="0"/>
        <w:snapToGrid w:val="0"/>
        <w:spacing w:line="360" w:lineRule="auto"/>
        <w:ind w:firstLine="428" w:firstLineChars="204"/>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10.我方已详细审核全部响应文件、参考资料及有关附件，确认无误。</w:t>
      </w:r>
    </w:p>
    <w:p w14:paraId="1B42CD5C">
      <w:pPr>
        <w:pStyle w:val="33"/>
        <w:tabs>
          <w:tab w:val="left" w:pos="420"/>
        </w:tabs>
        <w:topLinePunct/>
        <w:autoSpaceDE w:val="0"/>
        <w:autoSpaceDN w:val="0"/>
        <w:snapToGrid w:val="0"/>
        <w:spacing w:line="360" w:lineRule="auto"/>
        <w:ind w:firstLine="428" w:firstLineChars="204"/>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11.对本次采购内容及与本项目有关的知识产权、技术资料、商业秘密及相关信息保密。</w:t>
      </w:r>
    </w:p>
    <w:p w14:paraId="70A43E46">
      <w:pPr>
        <w:pStyle w:val="33"/>
        <w:tabs>
          <w:tab w:val="left" w:pos="420"/>
        </w:tabs>
        <w:topLinePunct/>
        <w:autoSpaceDE w:val="0"/>
        <w:autoSpaceDN w:val="0"/>
        <w:snapToGrid w:val="0"/>
        <w:spacing w:line="360" w:lineRule="auto"/>
        <w:ind w:firstLine="428" w:firstLineChars="204"/>
        <w:jc w:val="left"/>
        <w:rPr>
          <w:rFonts w:ascii="宋体" w:hAnsi="宋体" w:eastAsia="宋体" w:cs="宋体"/>
          <w:color w:val="auto"/>
          <w:sz w:val="21"/>
          <w:szCs w:val="21"/>
          <w:highlight w:val="none"/>
        </w:rPr>
      </w:pPr>
    </w:p>
    <w:p w14:paraId="3C585682">
      <w:pPr>
        <w:pStyle w:val="33"/>
        <w:tabs>
          <w:tab w:val="left" w:pos="420"/>
        </w:tabs>
        <w:topLinePunct/>
        <w:autoSpaceDE w:val="0"/>
        <w:autoSpaceDN w:val="0"/>
        <w:snapToGrid w:val="0"/>
        <w:spacing w:line="360" w:lineRule="auto"/>
        <w:ind w:firstLine="428" w:firstLineChars="204"/>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供应商名称（公章）：____________</w:t>
      </w:r>
    </w:p>
    <w:p w14:paraId="783684A0">
      <w:pPr>
        <w:pStyle w:val="33"/>
        <w:tabs>
          <w:tab w:val="left" w:pos="420"/>
        </w:tabs>
        <w:topLinePunct/>
        <w:autoSpaceDE w:val="0"/>
        <w:autoSpaceDN w:val="0"/>
        <w:snapToGrid w:val="0"/>
        <w:spacing w:line="360" w:lineRule="auto"/>
        <w:ind w:firstLine="428" w:firstLineChars="204"/>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法定代表人（签字）/授权代表（签字）：____________</w:t>
      </w:r>
    </w:p>
    <w:p w14:paraId="50AA9846">
      <w:pPr>
        <w:pStyle w:val="33"/>
        <w:tabs>
          <w:tab w:val="left" w:pos="420"/>
        </w:tabs>
        <w:topLinePunct/>
        <w:autoSpaceDE w:val="0"/>
        <w:autoSpaceDN w:val="0"/>
        <w:snapToGrid w:val="0"/>
        <w:spacing w:line="360" w:lineRule="auto"/>
        <w:ind w:firstLine="428" w:firstLineChars="204"/>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供应商地址：____________</w:t>
      </w:r>
    </w:p>
    <w:p w14:paraId="62A9606B">
      <w:pPr>
        <w:pStyle w:val="33"/>
        <w:tabs>
          <w:tab w:val="left" w:pos="420"/>
        </w:tabs>
        <w:topLinePunct/>
        <w:autoSpaceDE w:val="0"/>
        <w:autoSpaceDN w:val="0"/>
        <w:snapToGrid w:val="0"/>
        <w:spacing w:line="360" w:lineRule="auto"/>
        <w:ind w:firstLine="428" w:firstLineChars="204"/>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邮编：____________</w:t>
      </w:r>
    </w:p>
    <w:p w14:paraId="7B1909F5">
      <w:pPr>
        <w:pStyle w:val="33"/>
        <w:tabs>
          <w:tab w:val="left" w:pos="420"/>
        </w:tabs>
        <w:topLinePunct/>
        <w:autoSpaceDE w:val="0"/>
        <w:autoSpaceDN w:val="0"/>
        <w:snapToGrid w:val="0"/>
        <w:spacing w:line="360" w:lineRule="auto"/>
        <w:ind w:firstLine="428" w:firstLineChars="204"/>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电话：____________</w:t>
      </w:r>
    </w:p>
    <w:p w14:paraId="7B16E46C">
      <w:pPr>
        <w:pStyle w:val="33"/>
        <w:tabs>
          <w:tab w:val="left" w:pos="420"/>
        </w:tabs>
        <w:topLinePunct/>
        <w:autoSpaceDE w:val="0"/>
        <w:autoSpaceDN w:val="0"/>
        <w:snapToGrid w:val="0"/>
        <w:spacing w:line="360" w:lineRule="auto"/>
        <w:ind w:firstLine="428" w:firstLineChars="204"/>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传真：____________</w:t>
      </w:r>
    </w:p>
    <w:p w14:paraId="7FEA6419">
      <w:pPr>
        <w:pStyle w:val="33"/>
        <w:tabs>
          <w:tab w:val="left" w:pos="420"/>
        </w:tabs>
        <w:topLinePunct/>
        <w:autoSpaceDE w:val="0"/>
        <w:autoSpaceDN w:val="0"/>
        <w:snapToGrid w:val="0"/>
        <w:spacing w:line="360" w:lineRule="auto"/>
        <w:ind w:firstLine="420" w:firstLineChars="200"/>
        <w:jc w:val="left"/>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6A9DC44B">
      <w:pPr>
        <w:pStyle w:val="33"/>
        <w:tabs>
          <w:tab w:val="left" w:pos="420"/>
        </w:tabs>
        <w:topLinePunct/>
        <w:autoSpaceDE w:val="0"/>
        <w:autoSpaceDN w:val="0"/>
        <w:snapToGrid w:val="0"/>
        <w:spacing w:line="360" w:lineRule="auto"/>
        <w:ind w:firstLine="420" w:firstLineChars="200"/>
        <w:jc w:val="left"/>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p>
    <w:p w14:paraId="477ECB79">
      <w:pPr>
        <w:pStyle w:val="33"/>
        <w:tabs>
          <w:tab w:val="left" w:pos="420"/>
        </w:tabs>
        <w:topLinePunct/>
        <w:autoSpaceDE w:val="0"/>
        <w:autoSpaceDN w:val="0"/>
        <w:snapToGrid w:val="0"/>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  期：____________          </w:t>
      </w:r>
    </w:p>
    <w:p w14:paraId="07C232EE">
      <w:pPr>
        <w:tabs>
          <w:tab w:val="left" w:pos="1230"/>
        </w:tabs>
        <w:topLinePunct/>
        <w:autoSpaceDE w:val="0"/>
        <w:autoSpaceDN w:val="0"/>
        <w:snapToGrid w:val="0"/>
        <w:spacing w:line="400" w:lineRule="exact"/>
        <w:ind w:left="360"/>
        <w:rPr>
          <w:rFonts w:ascii="宋体" w:hAnsi="宋体" w:cs="宋体"/>
          <w:color w:val="auto"/>
          <w:szCs w:val="21"/>
          <w:highlight w:val="none"/>
        </w:rPr>
      </w:pPr>
    </w:p>
    <w:p w14:paraId="33675AD9">
      <w:pPr>
        <w:ind w:firstLine="480" w:firstLineChars="200"/>
        <w:rPr>
          <w:rFonts w:ascii="宋体" w:hAnsi="宋体" w:cs="宋体"/>
          <w:color w:val="auto"/>
          <w:sz w:val="24"/>
          <w:highlight w:val="none"/>
        </w:rPr>
      </w:pPr>
    </w:p>
    <w:p w14:paraId="460ABAF1">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特别说明：</w:t>
      </w:r>
    </w:p>
    <w:p w14:paraId="1E7372AD">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供应商应当按上述格式要求加盖与供应商名称全称一致的标准公章，并签署法定代表人或</w:t>
      </w:r>
      <w:r>
        <w:rPr>
          <w:rFonts w:hint="eastAsia" w:ascii="宋体" w:hAnsi="宋体" w:cs="宋体"/>
          <w:bCs/>
          <w:color w:val="auto"/>
          <w:szCs w:val="21"/>
          <w:highlight w:val="none"/>
        </w:rPr>
        <w:t>授权代表</w:t>
      </w:r>
      <w:r>
        <w:rPr>
          <w:rFonts w:hint="eastAsia" w:ascii="宋体" w:hAnsi="宋体" w:cs="宋体"/>
          <w:color w:val="auto"/>
          <w:szCs w:val="21"/>
          <w:highlight w:val="none"/>
        </w:rPr>
        <w:t>的全名。</w:t>
      </w:r>
    </w:p>
    <w:p w14:paraId="56491E8F">
      <w:pPr>
        <w:tabs>
          <w:tab w:val="left" w:pos="1230"/>
        </w:tabs>
        <w:topLinePunct/>
        <w:autoSpaceDE w:val="0"/>
        <w:autoSpaceDN w:val="0"/>
        <w:adjustRightInd w:val="0"/>
        <w:snapToGrid w:val="0"/>
        <w:spacing w:line="360" w:lineRule="auto"/>
        <w:ind w:firstLine="562" w:firstLineChars="200"/>
        <w:rPr>
          <w:rFonts w:ascii="宋体" w:hAnsi="宋体" w:cs="宋体"/>
          <w:color w:val="auto"/>
          <w:szCs w:val="21"/>
          <w:highlight w:val="none"/>
        </w:rPr>
      </w:pPr>
      <w:r>
        <w:rPr>
          <w:rFonts w:hint="eastAsia" w:ascii="宋体" w:hAnsi="宋体" w:cs="宋体"/>
          <w:b/>
          <w:bCs/>
          <w:color w:val="auto"/>
          <w:sz w:val="28"/>
          <w:szCs w:val="28"/>
          <w:highlight w:val="none"/>
        </w:rPr>
        <w:br w:type="page"/>
      </w:r>
    </w:p>
    <w:p w14:paraId="749BD68F">
      <w:pPr>
        <w:widowControl/>
        <w:jc w:val="center"/>
        <w:rPr>
          <w:rFonts w:ascii="宋体" w:hAnsi="宋体" w:cs="宋体"/>
          <w:b/>
          <w:bCs/>
          <w:color w:val="auto"/>
          <w:sz w:val="36"/>
          <w:szCs w:val="36"/>
          <w:highlight w:val="none"/>
        </w:rPr>
      </w:pPr>
      <w:r>
        <w:rPr>
          <w:rFonts w:hint="eastAsia" w:ascii="宋体" w:hAnsi="宋体" w:cs="宋体"/>
          <w:b/>
          <w:bCs/>
          <w:color w:val="auto"/>
          <w:sz w:val="28"/>
          <w:szCs w:val="28"/>
          <w:highlight w:val="none"/>
        </w:rPr>
        <w:t>格式</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 xml:space="preserve">  商务条款偏离表</w:t>
      </w:r>
    </w:p>
    <w:tbl>
      <w:tblPr>
        <w:tblStyle w:val="20"/>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180"/>
        <w:gridCol w:w="1883"/>
        <w:gridCol w:w="2091"/>
        <w:gridCol w:w="1495"/>
      </w:tblGrid>
      <w:tr w14:paraId="47CF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615AB5B">
            <w:pPr>
              <w:topLinePunct/>
              <w:autoSpaceDE w:val="0"/>
              <w:autoSpaceDN w:val="0"/>
              <w:spacing w:beforeLines="20" w:after="4"/>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180" w:type="dxa"/>
            <w:tcBorders>
              <w:top w:val="single" w:color="auto" w:sz="4" w:space="0"/>
              <w:left w:val="single" w:color="auto" w:sz="4" w:space="0"/>
              <w:bottom w:val="single" w:color="auto" w:sz="4" w:space="0"/>
              <w:right w:val="single" w:color="auto" w:sz="4" w:space="0"/>
            </w:tcBorders>
            <w:vAlign w:val="center"/>
          </w:tcPr>
          <w:p w14:paraId="42C4BF3A">
            <w:pPr>
              <w:topLinePunct/>
              <w:autoSpaceDE w:val="0"/>
              <w:autoSpaceDN w:val="0"/>
              <w:spacing w:beforeLines="20" w:after="4"/>
              <w:jc w:val="center"/>
              <w:rPr>
                <w:rFonts w:hint="eastAsia" w:ascii="宋体" w:hAnsi="宋体" w:eastAsia="宋体" w:cs="宋体"/>
                <w:b/>
                <w:color w:val="auto"/>
                <w:szCs w:val="21"/>
                <w:highlight w:val="none"/>
                <w:lang w:val="en-US" w:eastAsia="zh-CN"/>
              </w:rPr>
            </w:pPr>
            <w:r>
              <w:rPr>
                <w:rFonts w:hint="eastAsia" w:ascii="宋体" w:hAnsi="宋体" w:cs="宋体"/>
                <w:b/>
                <w:bCs/>
                <w:color w:val="auto"/>
                <w:szCs w:val="21"/>
                <w:highlight w:val="none"/>
              </w:rPr>
              <w:t>磋商</w:t>
            </w:r>
            <w:r>
              <w:rPr>
                <w:rFonts w:hint="eastAsia" w:ascii="宋体" w:hAnsi="宋体" w:cs="宋体"/>
                <w:b/>
                <w:color w:val="auto"/>
                <w:szCs w:val="21"/>
                <w:highlight w:val="none"/>
              </w:rPr>
              <w:t>文件</w:t>
            </w:r>
            <w:r>
              <w:rPr>
                <w:rFonts w:hint="eastAsia" w:ascii="宋体" w:hAnsi="宋体" w:cs="宋体"/>
                <w:b/>
                <w:color w:val="auto"/>
                <w:szCs w:val="21"/>
                <w:highlight w:val="none"/>
                <w:lang w:val="en-US" w:eastAsia="zh-CN"/>
              </w:rPr>
              <w:t>的</w:t>
            </w:r>
          </w:p>
          <w:p w14:paraId="56658EF5">
            <w:pPr>
              <w:topLinePunct/>
              <w:autoSpaceDE w:val="0"/>
              <w:autoSpaceDN w:val="0"/>
              <w:spacing w:beforeLines="20" w:after="4"/>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商务要求内容</w:t>
            </w:r>
          </w:p>
        </w:tc>
        <w:tc>
          <w:tcPr>
            <w:tcW w:w="1883" w:type="dxa"/>
            <w:tcBorders>
              <w:top w:val="single" w:color="auto" w:sz="4" w:space="0"/>
              <w:left w:val="single" w:color="auto" w:sz="4" w:space="0"/>
              <w:bottom w:val="single" w:color="auto" w:sz="4" w:space="0"/>
              <w:right w:val="single" w:color="auto" w:sz="4" w:space="0"/>
            </w:tcBorders>
            <w:vAlign w:val="center"/>
          </w:tcPr>
          <w:p w14:paraId="25EFC145">
            <w:pPr>
              <w:topLinePunct/>
              <w:autoSpaceDE w:val="0"/>
              <w:autoSpaceDN w:val="0"/>
              <w:spacing w:beforeLines="20" w:after="4"/>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rPr>
              <w:t>供应商响应文件的商务条款</w:t>
            </w:r>
            <w:r>
              <w:rPr>
                <w:rFonts w:hint="eastAsia" w:ascii="宋体" w:hAnsi="宋体" w:cs="宋体"/>
                <w:b/>
                <w:color w:val="auto"/>
                <w:szCs w:val="21"/>
                <w:highlight w:val="none"/>
                <w:lang w:val="en-US" w:eastAsia="zh-CN"/>
              </w:rPr>
              <w:t>内容</w:t>
            </w:r>
          </w:p>
        </w:tc>
        <w:tc>
          <w:tcPr>
            <w:tcW w:w="2091" w:type="dxa"/>
            <w:tcBorders>
              <w:top w:val="single" w:color="auto" w:sz="4" w:space="0"/>
              <w:left w:val="single" w:color="auto" w:sz="4" w:space="0"/>
              <w:bottom w:val="single" w:color="auto" w:sz="4" w:space="0"/>
              <w:right w:val="single" w:color="auto" w:sz="4" w:space="0"/>
            </w:tcBorders>
            <w:vAlign w:val="center"/>
          </w:tcPr>
          <w:p w14:paraId="0D8C16DF">
            <w:pPr>
              <w:topLinePunct/>
              <w:autoSpaceDE w:val="0"/>
              <w:autoSpaceDN w:val="0"/>
              <w:spacing w:beforeLines="20" w:after="4"/>
              <w:jc w:val="center"/>
              <w:rPr>
                <w:rFonts w:ascii="宋体" w:hAnsi="宋体" w:cs="宋体"/>
                <w:b/>
                <w:color w:val="auto"/>
                <w:szCs w:val="21"/>
                <w:highlight w:val="none"/>
              </w:rPr>
            </w:pPr>
            <w:r>
              <w:rPr>
                <w:rFonts w:hint="eastAsia" w:ascii="宋体" w:hAnsi="宋体" w:cs="宋体"/>
                <w:b/>
                <w:color w:val="auto"/>
                <w:szCs w:val="21"/>
                <w:highlight w:val="none"/>
              </w:rPr>
              <w:t>偏离</w:t>
            </w:r>
          </w:p>
          <w:p w14:paraId="39D01BED">
            <w:pPr>
              <w:topLinePunct/>
              <w:autoSpaceDE w:val="0"/>
              <w:autoSpaceDN w:val="0"/>
              <w:spacing w:beforeLines="20" w:after="4"/>
              <w:jc w:val="center"/>
              <w:rPr>
                <w:rFonts w:ascii="宋体" w:hAnsi="宋体" w:cs="宋体"/>
                <w:b/>
                <w:color w:val="auto"/>
                <w:szCs w:val="21"/>
                <w:highlight w:val="none"/>
              </w:rPr>
            </w:pPr>
            <w:r>
              <w:rPr>
                <w:rFonts w:hint="eastAsia" w:ascii="宋体" w:hAnsi="宋体" w:cs="宋体"/>
                <w:b/>
                <w:color w:val="auto"/>
                <w:szCs w:val="21"/>
                <w:highlight w:val="none"/>
              </w:rPr>
              <w:t>（无/正/负）</w:t>
            </w:r>
          </w:p>
        </w:tc>
        <w:tc>
          <w:tcPr>
            <w:tcW w:w="1495" w:type="dxa"/>
            <w:tcBorders>
              <w:top w:val="single" w:color="auto" w:sz="4" w:space="0"/>
              <w:left w:val="single" w:color="auto" w:sz="4" w:space="0"/>
              <w:bottom w:val="single" w:color="auto" w:sz="4" w:space="0"/>
              <w:right w:val="single" w:color="auto" w:sz="4" w:space="0"/>
            </w:tcBorders>
            <w:vAlign w:val="center"/>
          </w:tcPr>
          <w:p w14:paraId="35EC2B2C">
            <w:pPr>
              <w:topLinePunct/>
              <w:autoSpaceDE w:val="0"/>
              <w:autoSpaceDN w:val="0"/>
              <w:spacing w:beforeLines="20" w:after="4"/>
              <w:jc w:val="center"/>
              <w:rPr>
                <w:rFonts w:ascii="宋体" w:hAnsi="宋体" w:cs="宋体"/>
                <w:b/>
                <w:color w:val="auto"/>
                <w:szCs w:val="21"/>
                <w:highlight w:val="none"/>
              </w:rPr>
            </w:pPr>
            <w:r>
              <w:rPr>
                <w:rFonts w:hint="eastAsia" w:ascii="宋体" w:hAnsi="宋体" w:cs="宋体"/>
                <w:b/>
                <w:color w:val="auto"/>
                <w:szCs w:val="21"/>
                <w:highlight w:val="none"/>
              </w:rPr>
              <w:t>说明</w:t>
            </w:r>
          </w:p>
        </w:tc>
      </w:tr>
      <w:tr w14:paraId="205A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2562BF3">
            <w:pPr>
              <w:topLinePunct/>
              <w:autoSpaceDE w:val="0"/>
              <w:autoSpaceDN w:val="0"/>
              <w:spacing w:beforeLines="20" w:after="4"/>
              <w:jc w:val="center"/>
              <w:rPr>
                <w:rFonts w:ascii="宋体" w:hAnsi="宋体" w:cs="宋体"/>
                <w:color w:val="auto"/>
                <w:szCs w:val="21"/>
                <w:highlight w:val="none"/>
              </w:rPr>
            </w:pPr>
            <w:r>
              <w:rPr>
                <w:rFonts w:hint="eastAsia" w:ascii="宋体" w:hAnsi="宋体" w:cs="宋体"/>
                <w:color w:val="auto"/>
                <w:szCs w:val="21"/>
                <w:highlight w:val="none"/>
              </w:rPr>
              <w:t>1</w:t>
            </w:r>
          </w:p>
        </w:tc>
        <w:tc>
          <w:tcPr>
            <w:tcW w:w="2180" w:type="dxa"/>
            <w:tcBorders>
              <w:top w:val="single" w:color="auto" w:sz="4" w:space="0"/>
              <w:left w:val="single" w:color="auto" w:sz="4" w:space="0"/>
              <w:bottom w:val="single" w:color="auto" w:sz="4" w:space="0"/>
              <w:right w:val="single" w:color="auto" w:sz="4" w:space="0"/>
            </w:tcBorders>
          </w:tcPr>
          <w:p w14:paraId="08CA8065">
            <w:pPr>
              <w:topLinePunct/>
              <w:autoSpaceDE w:val="0"/>
              <w:autoSpaceDN w:val="0"/>
              <w:spacing w:beforeLines="20" w:after="4"/>
              <w:jc w:val="center"/>
              <w:rPr>
                <w:rFonts w:ascii="宋体" w:hAnsi="宋体" w:cs="宋体"/>
                <w:b/>
                <w:bCs/>
                <w:color w:val="auto"/>
                <w:szCs w:val="21"/>
                <w:highlight w:val="none"/>
              </w:rPr>
            </w:pPr>
          </w:p>
        </w:tc>
        <w:tc>
          <w:tcPr>
            <w:tcW w:w="1883" w:type="dxa"/>
            <w:tcBorders>
              <w:top w:val="single" w:color="auto" w:sz="4" w:space="0"/>
              <w:left w:val="single" w:color="auto" w:sz="4" w:space="0"/>
              <w:bottom w:val="single" w:color="auto" w:sz="4" w:space="0"/>
              <w:right w:val="single" w:color="auto" w:sz="4" w:space="0"/>
            </w:tcBorders>
          </w:tcPr>
          <w:p w14:paraId="4B729286">
            <w:pPr>
              <w:topLinePunct/>
              <w:autoSpaceDE w:val="0"/>
              <w:autoSpaceDN w:val="0"/>
              <w:spacing w:beforeLines="20" w:after="4"/>
              <w:jc w:val="center"/>
              <w:rPr>
                <w:rFonts w:ascii="宋体" w:hAnsi="宋体" w:cs="宋体"/>
                <w:b/>
                <w:bCs/>
                <w:color w:val="auto"/>
                <w:szCs w:val="21"/>
                <w:highlight w:val="none"/>
              </w:rPr>
            </w:pPr>
          </w:p>
        </w:tc>
        <w:tc>
          <w:tcPr>
            <w:tcW w:w="2091" w:type="dxa"/>
            <w:tcBorders>
              <w:top w:val="single" w:color="auto" w:sz="4" w:space="0"/>
              <w:left w:val="single" w:color="auto" w:sz="4" w:space="0"/>
              <w:bottom w:val="single" w:color="auto" w:sz="4" w:space="0"/>
              <w:right w:val="single" w:color="auto" w:sz="4" w:space="0"/>
            </w:tcBorders>
          </w:tcPr>
          <w:p w14:paraId="44E6F509">
            <w:pPr>
              <w:topLinePunct/>
              <w:autoSpaceDE w:val="0"/>
              <w:autoSpaceDN w:val="0"/>
              <w:spacing w:beforeLines="20" w:after="4"/>
              <w:jc w:val="center"/>
              <w:rPr>
                <w:rFonts w:ascii="宋体" w:hAnsi="宋体" w:cs="宋体"/>
                <w:b/>
                <w:bCs/>
                <w:color w:val="auto"/>
                <w:szCs w:val="21"/>
                <w:highlight w:val="none"/>
              </w:rPr>
            </w:pPr>
          </w:p>
        </w:tc>
        <w:tc>
          <w:tcPr>
            <w:tcW w:w="1495" w:type="dxa"/>
            <w:tcBorders>
              <w:top w:val="single" w:color="auto" w:sz="4" w:space="0"/>
              <w:left w:val="single" w:color="auto" w:sz="4" w:space="0"/>
              <w:bottom w:val="single" w:color="auto" w:sz="4" w:space="0"/>
              <w:right w:val="single" w:color="auto" w:sz="4" w:space="0"/>
            </w:tcBorders>
          </w:tcPr>
          <w:p w14:paraId="6B701BE6">
            <w:pPr>
              <w:topLinePunct/>
              <w:autoSpaceDE w:val="0"/>
              <w:autoSpaceDN w:val="0"/>
              <w:spacing w:beforeLines="20" w:after="4"/>
              <w:jc w:val="center"/>
              <w:rPr>
                <w:rFonts w:ascii="宋体" w:hAnsi="宋体" w:cs="宋体"/>
                <w:b/>
                <w:bCs/>
                <w:color w:val="auto"/>
                <w:szCs w:val="21"/>
                <w:highlight w:val="none"/>
              </w:rPr>
            </w:pPr>
          </w:p>
        </w:tc>
      </w:tr>
      <w:tr w14:paraId="3E70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498D265">
            <w:pPr>
              <w:topLinePunct/>
              <w:autoSpaceDE w:val="0"/>
              <w:autoSpaceDN w:val="0"/>
              <w:spacing w:beforeLines="20" w:after="4"/>
              <w:jc w:val="center"/>
              <w:rPr>
                <w:rFonts w:ascii="宋体" w:hAnsi="宋体" w:cs="宋体"/>
                <w:color w:val="auto"/>
                <w:szCs w:val="21"/>
                <w:highlight w:val="none"/>
              </w:rPr>
            </w:pPr>
            <w:r>
              <w:rPr>
                <w:rFonts w:hint="eastAsia" w:ascii="宋体" w:hAnsi="宋体" w:cs="宋体"/>
                <w:color w:val="auto"/>
                <w:szCs w:val="21"/>
                <w:highlight w:val="none"/>
              </w:rPr>
              <w:t>2</w:t>
            </w:r>
          </w:p>
        </w:tc>
        <w:tc>
          <w:tcPr>
            <w:tcW w:w="2180" w:type="dxa"/>
            <w:tcBorders>
              <w:top w:val="single" w:color="auto" w:sz="4" w:space="0"/>
              <w:left w:val="single" w:color="auto" w:sz="4" w:space="0"/>
              <w:bottom w:val="single" w:color="auto" w:sz="4" w:space="0"/>
              <w:right w:val="single" w:color="auto" w:sz="4" w:space="0"/>
            </w:tcBorders>
          </w:tcPr>
          <w:p w14:paraId="50771440">
            <w:pPr>
              <w:topLinePunct/>
              <w:autoSpaceDE w:val="0"/>
              <w:autoSpaceDN w:val="0"/>
              <w:spacing w:beforeLines="20" w:after="4"/>
              <w:jc w:val="center"/>
              <w:rPr>
                <w:rFonts w:ascii="宋体" w:hAnsi="宋体" w:cs="宋体"/>
                <w:b/>
                <w:bCs/>
                <w:color w:val="auto"/>
                <w:szCs w:val="21"/>
                <w:highlight w:val="none"/>
              </w:rPr>
            </w:pPr>
          </w:p>
        </w:tc>
        <w:tc>
          <w:tcPr>
            <w:tcW w:w="1883" w:type="dxa"/>
            <w:tcBorders>
              <w:top w:val="single" w:color="auto" w:sz="4" w:space="0"/>
              <w:left w:val="single" w:color="auto" w:sz="4" w:space="0"/>
              <w:bottom w:val="single" w:color="auto" w:sz="4" w:space="0"/>
              <w:right w:val="single" w:color="auto" w:sz="4" w:space="0"/>
            </w:tcBorders>
          </w:tcPr>
          <w:p w14:paraId="5CE22B0E">
            <w:pPr>
              <w:topLinePunct/>
              <w:autoSpaceDE w:val="0"/>
              <w:autoSpaceDN w:val="0"/>
              <w:spacing w:beforeLines="20" w:after="4"/>
              <w:jc w:val="center"/>
              <w:rPr>
                <w:rFonts w:ascii="宋体" w:hAnsi="宋体" w:cs="宋体"/>
                <w:b/>
                <w:bCs/>
                <w:color w:val="auto"/>
                <w:szCs w:val="21"/>
                <w:highlight w:val="none"/>
              </w:rPr>
            </w:pPr>
          </w:p>
        </w:tc>
        <w:tc>
          <w:tcPr>
            <w:tcW w:w="2091" w:type="dxa"/>
            <w:tcBorders>
              <w:top w:val="single" w:color="auto" w:sz="4" w:space="0"/>
              <w:left w:val="single" w:color="auto" w:sz="4" w:space="0"/>
              <w:bottom w:val="single" w:color="auto" w:sz="4" w:space="0"/>
              <w:right w:val="single" w:color="auto" w:sz="4" w:space="0"/>
            </w:tcBorders>
          </w:tcPr>
          <w:p w14:paraId="237648E2">
            <w:pPr>
              <w:topLinePunct/>
              <w:autoSpaceDE w:val="0"/>
              <w:autoSpaceDN w:val="0"/>
              <w:spacing w:beforeLines="20" w:after="4"/>
              <w:jc w:val="center"/>
              <w:rPr>
                <w:rFonts w:ascii="宋体" w:hAnsi="宋体" w:cs="宋体"/>
                <w:b/>
                <w:bCs/>
                <w:color w:val="auto"/>
                <w:szCs w:val="21"/>
                <w:highlight w:val="none"/>
              </w:rPr>
            </w:pPr>
          </w:p>
        </w:tc>
        <w:tc>
          <w:tcPr>
            <w:tcW w:w="1495" w:type="dxa"/>
            <w:tcBorders>
              <w:top w:val="single" w:color="auto" w:sz="4" w:space="0"/>
              <w:left w:val="single" w:color="auto" w:sz="4" w:space="0"/>
              <w:bottom w:val="single" w:color="auto" w:sz="4" w:space="0"/>
              <w:right w:val="single" w:color="auto" w:sz="4" w:space="0"/>
            </w:tcBorders>
          </w:tcPr>
          <w:p w14:paraId="5DAF6569">
            <w:pPr>
              <w:topLinePunct/>
              <w:autoSpaceDE w:val="0"/>
              <w:autoSpaceDN w:val="0"/>
              <w:spacing w:beforeLines="20" w:after="4"/>
              <w:jc w:val="center"/>
              <w:rPr>
                <w:rFonts w:ascii="宋体" w:hAnsi="宋体" w:cs="宋体"/>
                <w:b/>
                <w:bCs/>
                <w:color w:val="auto"/>
                <w:szCs w:val="21"/>
                <w:highlight w:val="none"/>
              </w:rPr>
            </w:pPr>
          </w:p>
        </w:tc>
      </w:tr>
      <w:tr w14:paraId="4D9B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5259112">
            <w:pPr>
              <w:topLinePunct/>
              <w:autoSpaceDE w:val="0"/>
              <w:autoSpaceDN w:val="0"/>
              <w:spacing w:beforeLines="20" w:after="4"/>
              <w:jc w:val="center"/>
              <w:rPr>
                <w:rFonts w:ascii="宋体" w:hAnsi="宋体" w:cs="宋体"/>
                <w:color w:val="auto"/>
                <w:szCs w:val="21"/>
                <w:highlight w:val="none"/>
              </w:rPr>
            </w:pPr>
            <w:r>
              <w:rPr>
                <w:rFonts w:hint="eastAsia" w:ascii="宋体" w:hAnsi="宋体" w:cs="宋体"/>
                <w:color w:val="auto"/>
                <w:szCs w:val="21"/>
                <w:highlight w:val="none"/>
              </w:rPr>
              <w:t>3</w:t>
            </w:r>
          </w:p>
        </w:tc>
        <w:tc>
          <w:tcPr>
            <w:tcW w:w="2180" w:type="dxa"/>
            <w:tcBorders>
              <w:top w:val="single" w:color="auto" w:sz="4" w:space="0"/>
              <w:left w:val="single" w:color="auto" w:sz="4" w:space="0"/>
              <w:bottom w:val="single" w:color="auto" w:sz="4" w:space="0"/>
              <w:right w:val="single" w:color="auto" w:sz="4" w:space="0"/>
            </w:tcBorders>
          </w:tcPr>
          <w:p w14:paraId="472726E4">
            <w:pPr>
              <w:topLinePunct/>
              <w:autoSpaceDE w:val="0"/>
              <w:autoSpaceDN w:val="0"/>
              <w:spacing w:beforeLines="20" w:after="4"/>
              <w:jc w:val="center"/>
              <w:rPr>
                <w:rFonts w:ascii="宋体" w:hAnsi="宋体" w:cs="宋体"/>
                <w:b/>
                <w:bCs/>
                <w:color w:val="auto"/>
                <w:szCs w:val="21"/>
                <w:highlight w:val="none"/>
              </w:rPr>
            </w:pPr>
          </w:p>
        </w:tc>
        <w:tc>
          <w:tcPr>
            <w:tcW w:w="1883" w:type="dxa"/>
            <w:tcBorders>
              <w:top w:val="single" w:color="auto" w:sz="4" w:space="0"/>
              <w:left w:val="single" w:color="auto" w:sz="4" w:space="0"/>
              <w:bottom w:val="single" w:color="auto" w:sz="4" w:space="0"/>
              <w:right w:val="single" w:color="auto" w:sz="4" w:space="0"/>
            </w:tcBorders>
          </w:tcPr>
          <w:p w14:paraId="69438EFA">
            <w:pPr>
              <w:topLinePunct/>
              <w:autoSpaceDE w:val="0"/>
              <w:autoSpaceDN w:val="0"/>
              <w:spacing w:beforeLines="20" w:after="4"/>
              <w:jc w:val="center"/>
              <w:rPr>
                <w:rFonts w:ascii="宋体" w:hAnsi="宋体" w:cs="宋体"/>
                <w:b/>
                <w:bCs/>
                <w:color w:val="auto"/>
                <w:szCs w:val="21"/>
                <w:highlight w:val="none"/>
              </w:rPr>
            </w:pPr>
          </w:p>
        </w:tc>
        <w:tc>
          <w:tcPr>
            <w:tcW w:w="2091" w:type="dxa"/>
            <w:tcBorders>
              <w:top w:val="single" w:color="auto" w:sz="4" w:space="0"/>
              <w:left w:val="single" w:color="auto" w:sz="4" w:space="0"/>
              <w:bottom w:val="single" w:color="auto" w:sz="4" w:space="0"/>
              <w:right w:val="single" w:color="auto" w:sz="4" w:space="0"/>
            </w:tcBorders>
          </w:tcPr>
          <w:p w14:paraId="621B20F5">
            <w:pPr>
              <w:topLinePunct/>
              <w:autoSpaceDE w:val="0"/>
              <w:autoSpaceDN w:val="0"/>
              <w:spacing w:beforeLines="20" w:after="4"/>
              <w:jc w:val="center"/>
              <w:rPr>
                <w:rFonts w:ascii="宋体" w:hAnsi="宋体" w:cs="宋体"/>
                <w:b/>
                <w:bCs/>
                <w:color w:val="auto"/>
                <w:szCs w:val="21"/>
                <w:highlight w:val="none"/>
              </w:rPr>
            </w:pPr>
          </w:p>
        </w:tc>
        <w:tc>
          <w:tcPr>
            <w:tcW w:w="1495" w:type="dxa"/>
            <w:tcBorders>
              <w:top w:val="single" w:color="auto" w:sz="4" w:space="0"/>
              <w:left w:val="single" w:color="auto" w:sz="4" w:space="0"/>
              <w:bottom w:val="single" w:color="auto" w:sz="4" w:space="0"/>
              <w:right w:val="single" w:color="auto" w:sz="4" w:space="0"/>
            </w:tcBorders>
          </w:tcPr>
          <w:p w14:paraId="7FF96B2F">
            <w:pPr>
              <w:topLinePunct/>
              <w:autoSpaceDE w:val="0"/>
              <w:autoSpaceDN w:val="0"/>
              <w:spacing w:beforeLines="20" w:after="4"/>
              <w:jc w:val="center"/>
              <w:rPr>
                <w:rFonts w:ascii="宋体" w:hAnsi="宋体" w:cs="宋体"/>
                <w:b/>
                <w:bCs/>
                <w:color w:val="auto"/>
                <w:szCs w:val="21"/>
                <w:highlight w:val="none"/>
              </w:rPr>
            </w:pPr>
          </w:p>
        </w:tc>
      </w:tr>
      <w:tr w14:paraId="7219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43528D1">
            <w:pPr>
              <w:topLinePunct/>
              <w:autoSpaceDE w:val="0"/>
              <w:autoSpaceDN w:val="0"/>
              <w:spacing w:beforeLines="20" w:after="4"/>
              <w:jc w:val="center"/>
              <w:rPr>
                <w:rFonts w:ascii="宋体" w:hAnsi="宋体" w:cs="宋体"/>
                <w:color w:val="auto"/>
                <w:szCs w:val="21"/>
                <w:highlight w:val="none"/>
              </w:rPr>
            </w:pPr>
            <w:r>
              <w:rPr>
                <w:rFonts w:hint="eastAsia" w:ascii="宋体" w:hAnsi="宋体" w:cs="宋体"/>
                <w:color w:val="auto"/>
                <w:szCs w:val="21"/>
                <w:highlight w:val="none"/>
              </w:rPr>
              <w:t>4</w:t>
            </w:r>
          </w:p>
        </w:tc>
        <w:tc>
          <w:tcPr>
            <w:tcW w:w="2180" w:type="dxa"/>
            <w:tcBorders>
              <w:top w:val="single" w:color="auto" w:sz="4" w:space="0"/>
              <w:left w:val="single" w:color="auto" w:sz="4" w:space="0"/>
              <w:bottom w:val="single" w:color="auto" w:sz="4" w:space="0"/>
              <w:right w:val="single" w:color="auto" w:sz="4" w:space="0"/>
            </w:tcBorders>
          </w:tcPr>
          <w:p w14:paraId="472928BF">
            <w:pPr>
              <w:topLinePunct/>
              <w:autoSpaceDE w:val="0"/>
              <w:autoSpaceDN w:val="0"/>
              <w:spacing w:beforeLines="20" w:after="4"/>
              <w:jc w:val="center"/>
              <w:rPr>
                <w:rFonts w:ascii="宋体" w:hAnsi="宋体" w:cs="宋体"/>
                <w:b/>
                <w:bCs/>
                <w:color w:val="auto"/>
                <w:szCs w:val="21"/>
                <w:highlight w:val="none"/>
              </w:rPr>
            </w:pPr>
          </w:p>
        </w:tc>
        <w:tc>
          <w:tcPr>
            <w:tcW w:w="1883" w:type="dxa"/>
            <w:tcBorders>
              <w:top w:val="single" w:color="auto" w:sz="4" w:space="0"/>
              <w:left w:val="single" w:color="auto" w:sz="4" w:space="0"/>
              <w:bottom w:val="single" w:color="auto" w:sz="4" w:space="0"/>
              <w:right w:val="single" w:color="auto" w:sz="4" w:space="0"/>
            </w:tcBorders>
          </w:tcPr>
          <w:p w14:paraId="60658B41">
            <w:pPr>
              <w:topLinePunct/>
              <w:autoSpaceDE w:val="0"/>
              <w:autoSpaceDN w:val="0"/>
              <w:spacing w:beforeLines="20" w:after="4"/>
              <w:jc w:val="center"/>
              <w:rPr>
                <w:rFonts w:ascii="宋体" w:hAnsi="宋体" w:cs="宋体"/>
                <w:b/>
                <w:bCs/>
                <w:color w:val="auto"/>
                <w:szCs w:val="21"/>
                <w:highlight w:val="none"/>
              </w:rPr>
            </w:pPr>
          </w:p>
        </w:tc>
        <w:tc>
          <w:tcPr>
            <w:tcW w:w="2091" w:type="dxa"/>
            <w:tcBorders>
              <w:top w:val="single" w:color="auto" w:sz="4" w:space="0"/>
              <w:left w:val="single" w:color="auto" w:sz="4" w:space="0"/>
              <w:bottom w:val="single" w:color="auto" w:sz="4" w:space="0"/>
              <w:right w:val="single" w:color="auto" w:sz="4" w:space="0"/>
            </w:tcBorders>
          </w:tcPr>
          <w:p w14:paraId="20C27D11">
            <w:pPr>
              <w:topLinePunct/>
              <w:autoSpaceDE w:val="0"/>
              <w:autoSpaceDN w:val="0"/>
              <w:spacing w:beforeLines="20" w:after="4"/>
              <w:jc w:val="center"/>
              <w:rPr>
                <w:rFonts w:ascii="宋体" w:hAnsi="宋体" w:cs="宋体"/>
                <w:b/>
                <w:bCs/>
                <w:color w:val="auto"/>
                <w:szCs w:val="21"/>
                <w:highlight w:val="none"/>
              </w:rPr>
            </w:pPr>
          </w:p>
        </w:tc>
        <w:tc>
          <w:tcPr>
            <w:tcW w:w="1495" w:type="dxa"/>
            <w:tcBorders>
              <w:top w:val="single" w:color="auto" w:sz="4" w:space="0"/>
              <w:left w:val="single" w:color="auto" w:sz="4" w:space="0"/>
              <w:bottom w:val="single" w:color="auto" w:sz="4" w:space="0"/>
              <w:right w:val="single" w:color="auto" w:sz="4" w:space="0"/>
            </w:tcBorders>
          </w:tcPr>
          <w:p w14:paraId="717B8AD9">
            <w:pPr>
              <w:topLinePunct/>
              <w:autoSpaceDE w:val="0"/>
              <w:autoSpaceDN w:val="0"/>
              <w:spacing w:beforeLines="20" w:after="4"/>
              <w:jc w:val="center"/>
              <w:rPr>
                <w:rFonts w:ascii="宋体" w:hAnsi="宋体" w:cs="宋体"/>
                <w:b/>
                <w:bCs/>
                <w:color w:val="auto"/>
                <w:szCs w:val="21"/>
                <w:highlight w:val="none"/>
              </w:rPr>
            </w:pPr>
          </w:p>
        </w:tc>
      </w:tr>
      <w:tr w14:paraId="4E55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1E71F45">
            <w:pPr>
              <w:topLinePunct/>
              <w:autoSpaceDE w:val="0"/>
              <w:autoSpaceDN w:val="0"/>
              <w:spacing w:beforeLines="20" w:after="4"/>
              <w:jc w:val="center"/>
              <w:rPr>
                <w:rFonts w:ascii="宋体" w:hAnsi="宋体" w:cs="宋体"/>
                <w:color w:val="auto"/>
                <w:szCs w:val="21"/>
                <w:highlight w:val="none"/>
              </w:rPr>
            </w:pPr>
            <w:r>
              <w:rPr>
                <w:rFonts w:hint="eastAsia" w:ascii="宋体" w:hAnsi="宋体" w:cs="宋体"/>
                <w:color w:val="auto"/>
                <w:szCs w:val="21"/>
                <w:highlight w:val="none"/>
              </w:rPr>
              <w:t>……</w:t>
            </w:r>
          </w:p>
        </w:tc>
        <w:tc>
          <w:tcPr>
            <w:tcW w:w="2180" w:type="dxa"/>
            <w:tcBorders>
              <w:top w:val="single" w:color="auto" w:sz="4" w:space="0"/>
              <w:left w:val="single" w:color="auto" w:sz="4" w:space="0"/>
              <w:bottom w:val="single" w:color="auto" w:sz="4" w:space="0"/>
              <w:right w:val="single" w:color="auto" w:sz="4" w:space="0"/>
            </w:tcBorders>
          </w:tcPr>
          <w:p w14:paraId="68B32D8E">
            <w:pPr>
              <w:topLinePunct/>
              <w:autoSpaceDE w:val="0"/>
              <w:autoSpaceDN w:val="0"/>
              <w:spacing w:beforeLines="20" w:after="4"/>
              <w:jc w:val="center"/>
              <w:rPr>
                <w:rFonts w:ascii="宋体" w:hAnsi="宋体" w:cs="宋体"/>
                <w:b/>
                <w:bCs/>
                <w:color w:val="auto"/>
                <w:szCs w:val="21"/>
                <w:highlight w:val="none"/>
              </w:rPr>
            </w:pPr>
          </w:p>
        </w:tc>
        <w:tc>
          <w:tcPr>
            <w:tcW w:w="1883" w:type="dxa"/>
            <w:tcBorders>
              <w:top w:val="single" w:color="auto" w:sz="4" w:space="0"/>
              <w:left w:val="single" w:color="auto" w:sz="4" w:space="0"/>
              <w:bottom w:val="single" w:color="auto" w:sz="4" w:space="0"/>
              <w:right w:val="single" w:color="auto" w:sz="4" w:space="0"/>
            </w:tcBorders>
          </w:tcPr>
          <w:p w14:paraId="0A54C73B">
            <w:pPr>
              <w:topLinePunct/>
              <w:autoSpaceDE w:val="0"/>
              <w:autoSpaceDN w:val="0"/>
              <w:spacing w:beforeLines="20" w:after="4"/>
              <w:jc w:val="center"/>
              <w:rPr>
                <w:rFonts w:ascii="宋体" w:hAnsi="宋体" w:cs="宋体"/>
                <w:b/>
                <w:bCs/>
                <w:color w:val="auto"/>
                <w:szCs w:val="21"/>
                <w:highlight w:val="none"/>
              </w:rPr>
            </w:pPr>
          </w:p>
        </w:tc>
        <w:tc>
          <w:tcPr>
            <w:tcW w:w="2091" w:type="dxa"/>
            <w:tcBorders>
              <w:top w:val="single" w:color="auto" w:sz="4" w:space="0"/>
              <w:left w:val="single" w:color="auto" w:sz="4" w:space="0"/>
              <w:bottom w:val="single" w:color="auto" w:sz="4" w:space="0"/>
              <w:right w:val="single" w:color="auto" w:sz="4" w:space="0"/>
            </w:tcBorders>
          </w:tcPr>
          <w:p w14:paraId="62E4BE88">
            <w:pPr>
              <w:topLinePunct/>
              <w:autoSpaceDE w:val="0"/>
              <w:autoSpaceDN w:val="0"/>
              <w:spacing w:beforeLines="20" w:after="4"/>
              <w:jc w:val="center"/>
              <w:rPr>
                <w:rFonts w:ascii="宋体" w:hAnsi="宋体" w:cs="宋体"/>
                <w:b/>
                <w:bCs/>
                <w:color w:val="auto"/>
                <w:szCs w:val="21"/>
                <w:highlight w:val="none"/>
              </w:rPr>
            </w:pPr>
          </w:p>
        </w:tc>
        <w:tc>
          <w:tcPr>
            <w:tcW w:w="1495" w:type="dxa"/>
            <w:tcBorders>
              <w:top w:val="single" w:color="auto" w:sz="4" w:space="0"/>
              <w:left w:val="single" w:color="auto" w:sz="4" w:space="0"/>
              <w:bottom w:val="single" w:color="auto" w:sz="4" w:space="0"/>
              <w:right w:val="single" w:color="auto" w:sz="4" w:space="0"/>
            </w:tcBorders>
          </w:tcPr>
          <w:p w14:paraId="7D2C846E">
            <w:pPr>
              <w:topLinePunct/>
              <w:autoSpaceDE w:val="0"/>
              <w:autoSpaceDN w:val="0"/>
              <w:spacing w:beforeLines="20" w:after="4"/>
              <w:jc w:val="center"/>
              <w:rPr>
                <w:rFonts w:ascii="宋体" w:hAnsi="宋体" w:cs="宋体"/>
                <w:b/>
                <w:bCs/>
                <w:color w:val="auto"/>
                <w:szCs w:val="21"/>
                <w:highlight w:val="none"/>
              </w:rPr>
            </w:pPr>
          </w:p>
        </w:tc>
      </w:tr>
    </w:tbl>
    <w:p w14:paraId="4BEB0BF6">
      <w:pPr>
        <w:topLinePunct/>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特别说明：</w:t>
      </w:r>
    </w:p>
    <w:p w14:paraId="352401A2">
      <w:pPr>
        <w:topLinePunct/>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1.供应商应按磋商文件《第六章　项目采购需求》中的“商务要求”，结合自身情况对商务条款进行响应。如《第六章　项目采购需求》中的“商务要求”中有标注★号的，则为实质性要求，必须满足，如应答为“负偏离”，将导致响应无效。</w:t>
      </w:r>
    </w:p>
    <w:p w14:paraId="7505F444">
      <w:pPr>
        <w:topLinePunct/>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2.商务</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如无偏离，请在此表</w:t>
      </w:r>
      <w:r>
        <w:rPr>
          <w:rFonts w:hint="eastAsia" w:ascii="宋体" w:hAnsi="宋体" w:cs="宋体"/>
          <w:color w:val="auto"/>
          <w:szCs w:val="21"/>
          <w:highlight w:val="none"/>
          <w:lang w:val="en-US" w:eastAsia="zh-CN"/>
        </w:rPr>
        <w:t>的“偏离”栏</w:t>
      </w:r>
      <w:r>
        <w:rPr>
          <w:rFonts w:hint="eastAsia" w:ascii="宋体" w:hAnsi="宋体" w:cs="宋体"/>
          <w:color w:val="auto"/>
          <w:szCs w:val="21"/>
          <w:highlight w:val="none"/>
        </w:rPr>
        <w:t>应答为“无偏离”；如有偏离，请在此表</w:t>
      </w:r>
      <w:r>
        <w:rPr>
          <w:rFonts w:hint="eastAsia" w:ascii="宋体" w:hAnsi="宋体" w:cs="宋体"/>
          <w:color w:val="auto"/>
          <w:szCs w:val="21"/>
          <w:highlight w:val="none"/>
          <w:lang w:val="en-US" w:eastAsia="zh-CN"/>
        </w:rPr>
        <w:t>的“偏离”栏</w:t>
      </w:r>
      <w:r>
        <w:rPr>
          <w:rFonts w:hint="eastAsia" w:ascii="宋体" w:hAnsi="宋体" w:cs="宋体"/>
          <w:color w:val="auto"/>
          <w:szCs w:val="21"/>
          <w:highlight w:val="none"/>
        </w:rPr>
        <w:t>应答为“正/负偏离”并说明偏离情况。</w:t>
      </w:r>
    </w:p>
    <w:p w14:paraId="06EA1099">
      <w:pPr>
        <w:topLinePunct/>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3.本表可扩展。</w:t>
      </w:r>
    </w:p>
    <w:p w14:paraId="6916373E">
      <w:pPr>
        <w:topLinePunct/>
        <w:autoSpaceDE w:val="0"/>
        <w:autoSpaceDN w:val="0"/>
        <w:spacing w:line="500" w:lineRule="exact"/>
        <w:rPr>
          <w:rFonts w:ascii="宋体" w:hAnsi="宋体" w:cs="宋体"/>
          <w:color w:val="auto"/>
          <w:szCs w:val="21"/>
          <w:highlight w:val="none"/>
        </w:rPr>
      </w:pPr>
    </w:p>
    <w:p w14:paraId="0FA93C1C">
      <w:pPr>
        <w:tabs>
          <w:tab w:val="left" w:pos="1230"/>
        </w:tabs>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kern w:val="0"/>
          <w:szCs w:val="21"/>
          <w:highlight w:val="none"/>
        </w:rPr>
        <w:t>（全称并加盖公章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322D8D47">
      <w:pPr>
        <w:tabs>
          <w:tab w:val="left" w:pos="1230"/>
        </w:tabs>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授权代表（签字）</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2F4F3910">
      <w:pPr>
        <w:tabs>
          <w:tab w:val="left" w:pos="1230"/>
        </w:tabs>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p>
    <w:p w14:paraId="31F758A5">
      <w:pPr>
        <w:rPr>
          <w:rFonts w:ascii="宋体" w:hAnsi="宋体" w:cs="宋体"/>
          <w:b/>
          <w:bCs/>
          <w:color w:val="auto"/>
          <w:szCs w:val="21"/>
          <w:highlight w:val="none"/>
        </w:rPr>
      </w:pPr>
    </w:p>
    <w:p w14:paraId="668BE22D">
      <w:pPr>
        <w:pStyle w:val="33"/>
        <w:tabs>
          <w:tab w:val="left" w:pos="420"/>
        </w:tabs>
        <w:snapToGrid w:val="0"/>
        <w:spacing w:line="460" w:lineRule="atLeast"/>
        <w:rPr>
          <w:rFonts w:ascii="宋体" w:hAnsi="宋体" w:eastAsia="宋体" w:cs="宋体"/>
          <w:b/>
          <w:bCs/>
          <w:color w:val="auto"/>
          <w:kern w:val="44"/>
          <w:sz w:val="28"/>
          <w:szCs w:val="28"/>
          <w:highlight w:val="none"/>
        </w:rPr>
      </w:pPr>
    </w:p>
    <w:p w14:paraId="1D6E6166">
      <w:pPr>
        <w:pStyle w:val="33"/>
        <w:tabs>
          <w:tab w:val="left" w:pos="420"/>
        </w:tabs>
        <w:snapToGrid w:val="0"/>
        <w:spacing w:line="460" w:lineRule="atLeast"/>
        <w:rPr>
          <w:rFonts w:ascii="宋体" w:hAnsi="宋体" w:eastAsia="宋体" w:cs="宋体"/>
          <w:b/>
          <w:bCs/>
          <w:color w:val="auto"/>
          <w:kern w:val="44"/>
          <w:sz w:val="28"/>
          <w:szCs w:val="28"/>
          <w:highlight w:val="none"/>
        </w:rPr>
      </w:pPr>
    </w:p>
    <w:p w14:paraId="169F3E1F">
      <w:pPr>
        <w:pStyle w:val="33"/>
        <w:tabs>
          <w:tab w:val="left" w:pos="420"/>
        </w:tabs>
        <w:snapToGrid w:val="0"/>
        <w:spacing w:line="460" w:lineRule="atLeast"/>
        <w:rPr>
          <w:rFonts w:ascii="宋体" w:hAnsi="宋体" w:eastAsia="宋体" w:cs="宋体"/>
          <w:b/>
          <w:bCs/>
          <w:color w:val="auto"/>
          <w:kern w:val="44"/>
          <w:sz w:val="28"/>
          <w:szCs w:val="28"/>
          <w:highlight w:val="none"/>
        </w:rPr>
      </w:pPr>
    </w:p>
    <w:p w14:paraId="20D234D4">
      <w:pPr>
        <w:pStyle w:val="33"/>
        <w:tabs>
          <w:tab w:val="left" w:pos="420"/>
        </w:tabs>
        <w:snapToGrid w:val="0"/>
        <w:spacing w:line="460" w:lineRule="atLeast"/>
        <w:rPr>
          <w:rFonts w:ascii="宋体" w:hAnsi="宋体" w:eastAsia="宋体" w:cs="宋体"/>
          <w:b/>
          <w:bCs/>
          <w:color w:val="auto"/>
          <w:kern w:val="44"/>
          <w:sz w:val="28"/>
          <w:szCs w:val="28"/>
          <w:highlight w:val="none"/>
        </w:rPr>
      </w:pPr>
    </w:p>
    <w:p w14:paraId="09A8F3A5">
      <w:pPr>
        <w:pStyle w:val="33"/>
        <w:tabs>
          <w:tab w:val="left" w:pos="420"/>
        </w:tabs>
        <w:snapToGrid w:val="0"/>
        <w:spacing w:line="460" w:lineRule="atLeast"/>
        <w:rPr>
          <w:rFonts w:ascii="宋体" w:hAnsi="宋体" w:eastAsia="宋体" w:cs="宋体"/>
          <w:b/>
          <w:bCs/>
          <w:color w:val="auto"/>
          <w:kern w:val="44"/>
          <w:sz w:val="28"/>
          <w:szCs w:val="28"/>
          <w:highlight w:val="none"/>
        </w:rPr>
      </w:pPr>
    </w:p>
    <w:p w14:paraId="3E60CC89">
      <w:pPr>
        <w:pStyle w:val="33"/>
        <w:tabs>
          <w:tab w:val="left" w:pos="420"/>
        </w:tabs>
        <w:snapToGrid w:val="0"/>
        <w:spacing w:line="460" w:lineRule="atLeast"/>
        <w:rPr>
          <w:rFonts w:ascii="宋体" w:hAnsi="宋体" w:eastAsia="宋体" w:cs="宋体"/>
          <w:b/>
          <w:bCs/>
          <w:color w:val="auto"/>
          <w:kern w:val="44"/>
          <w:sz w:val="28"/>
          <w:szCs w:val="28"/>
          <w:highlight w:val="none"/>
        </w:rPr>
      </w:pPr>
    </w:p>
    <w:p w14:paraId="6DAB12A7">
      <w:pPr>
        <w:pStyle w:val="33"/>
        <w:tabs>
          <w:tab w:val="left" w:pos="420"/>
        </w:tabs>
        <w:snapToGrid w:val="0"/>
        <w:spacing w:line="460" w:lineRule="atLeast"/>
        <w:rPr>
          <w:rFonts w:ascii="宋体" w:hAnsi="宋体" w:eastAsia="宋体" w:cs="宋体"/>
          <w:b/>
          <w:bCs/>
          <w:color w:val="auto"/>
          <w:kern w:val="44"/>
          <w:sz w:val="28"/>
          <w:szCs w:val="28"/>
          <w:highlight w:val="none"/>
        </w:rPr>
      </w:pPr>
    </w:p>
    <w:p w14:paraId="015A3132">
      <w:pPr>
        <w:pStyle w:val="33"/>
        <w:tabs>
          <w:tab w:val="left" w:pos="420"/>
        </w:tabs>
        <w:snapToGrid w:val="0"/>
        <w:spacing w:line="460" w:lineRule="atLeast"/>
        <w:rPr>
          <w:rFonts w:ascii="宋体" w:hAnsi="宋体" w:eastAsia="宋体" w:cs="宋体"/>
          <w:b/>
          <w:bCs/>
          <w:color w:val="auto"/>
          <w:kern w:val="44"/>
          <w:sz w:val="28"/>
          <w:szCs w:val="28"/>
          <w:highlight w:val="none"/>
        </w:rPr>
      </w:pPr>
    </w:p>
    <w:p w14:paraId="038B1721">
      <w:pPr>
        <w:pStyle w:val="33"/>
        <w:tabs>
          <w:tab w:val="left" w:pos="420"/>
        </w:tabs>
        <w:snapToGrid w:val="0"/>
        <w:spacing w:line="460" w:lineRule="atLeast"/>
        <w:rPr>
          <w:rFonts w:ascii="宋体" w:hAnsi="宋体" w:eastAsia="宋体" w:cs="宋体"/>
          <w:b/>
          <w:bCs/>
          <w:color w:val="auto"/>
          <w:kern w:val="44"/>
          <w:sz w:val="28"/>
          <w:szCs w:val="28"/>
          <w:highlight w:val="none"/>
        </w:rPr>
      </w:pPr>
    </w:p>
    <w:p w14:paraId="634BC406">
      <w:pPr>
        <w:pStyle w:val="33"/>
        <w:tabs>
          <w:tab w:val="left" w:pos="420"/>
        </w:tabs>
        <w:snapToGrid w:val="0"/>
        <w:spacing w:line="460" w:lineRule="atLeast"/>
        <w:rPr>
          <w:rFonts w:ascii="宋体" w:hAnsi="宋体" w:eastAsia="宋体" w:cs="宋体"/>
          <w:b/>
          <w:bCs/>
          <w:color w:val="auto"/>
          <w:kern w:val="44"/>
          <w:sz w:val="28"/>
          <w:szCs w:val="28"/>
          <w:highlight w:val="none"/>
        </w:rPr>
      </w:pPr>
    </w:p>
    <w:p w14:paraId="6300EF48">
      <w:pPr>
        <w:pStyle w:val="33"/>
        <w:tabs>
          <w:tab w:val="left" w:pos="420"/>
        </w:tabs>
        <w:snapToGrid w:val="0"/>
        <w:spacing w:line="460" w:lineRule="atLeast"/>
        <w:rPr>
          <w:rFonts w:ascii="宋体" w:hAnsi="宋体" w:eastAsia="宋体" w:cs="宋体"/>
          <w:b/>
          <w:bCs/>
          <w:color w:val="auto"/>
          <w:kern w:val="44"/>
          <w:sz w:val="28"/>
          <w:szCs w:val="28"/>
          <w:highlight w:val="none"/>
        </w:rPr>
      </w:pPr>
      <w:r>
        <w:rPr>
          <w:rFonts w:hint="eastAsia" w:ascii="宋体" w:hAnsi="宋体" w:eastAsia="宋体" w:cs="宋体"/>
          <w:b/>
          <w:bCs/>
          <w:color w:val="auto"/>
          <w:kern w:val="44"/>
          <w:sz w:val="28"/>
          <w:szCs w:val="28"/>
          <w:highlight w:val="none"/>
        </w:rPr>
        <w:t>格式</w:t>
      </w:r>
      <w:r>
        <w:rPr>
          <w:rFonts w:hint="eastAsia" w:ascii="宋体" w:hAnsi="宋体" w:eastAsia="宋体" w:cs="宋体"/>
          <w:b/>
          <w:bCs/>
          <w:color w:val="auto"/>
          <w:kern w:val="44"/>
          <w:sz w:val="28"/>
          <w:szCs w:val="28"/>
          <w:highlight w:val="none"/>
          <w:lang w:val="en-US" w:eastAsia="zh-CN"/>
        </w:rPr>
        <w:t>6</w:t>
      </w:r>
      <w:r>
        <w:rPr>
          <w:rFonts w:hint="eastAsia" w:ascii="宋体" w:hAnsi="宋体" w:eastAsia="宋体" w:cs="宋体"/>
          <w:b/>
          <w:bCs/>
          <w:color w:val="auto"/>
          <w:kern w:val="44"/>
          <w:sz w:val="28"/>
          <w:szCs w:val="28"/>
          <w:highlight w:val="none"/>
        </w:rPr>
        <w:t xml:space="preserve"> 成功案例一览表</w:t>
      </w:r>
    </w:p>
    <w:p w14:paraId="0BA4B9FB">
      <w:pPr>
        <w:pStyle w:val="11"/>
        <w:topLinePunct/>
        <w:autoSpaceDE w:val="0"/>
        <w:autoSpaceDN w:val="0"/>
        <w:adjustRightInd w:val="0"/>
        <w:snapToGrid w:val="0"/>
        <w:spacing w:line="360" w:lineRule="auto"/>
        <w:ind w:left="2"/>
        <w:jc w:val="center"/>
        <w:rPr>
          <w:rFonts w:hAnsi="宋体" w:cs="宋体"/>
          <w:color w:val="auto"/>
          <w:highlight w:val="none"/>
        </w:rPr>
      </w:pPr>
      <w:r>
        <w:rPr>
          <w:rFonts w:hint="eastAsia" w:hAnsi="宋体" w:cs="宋体"/>
          <w:color w:val="auto"/>
          <w:highlight w:val="none"/>
        </w:rPr>
        <w:t>（</w:t>
      </w:r>
      <w:r>
        <w:rPr>
          <w:rFonts w:hint="eastAsia" w:hAnsi="宋体" w:cs="宋体"/>
          <w:i/>
          <w:color w:val="auto"/>
          <w:highlight w:val="none"/>
        </w:rPr>
        <w:t>根据磋商文件要求调整</w:t>
      </w:r>
      <w:r>
        <w:rPr>
          <w:rFonts w:hint="eastAsia" w:hAnsi="宋体" w:cs="宋体"/>
          <w:color w:val="auto"/>
          <w:highlight w:val="none"/>
        </w:rPr>
        <w:t>）</w:t>
      </w:r>
    </w:p>
    <w:tbl>
      <w:tblPr>
        <w:tblStyle w:val="20"/>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819"/>
        <w:gridCol w:w="864"/>
        <w:gridCol w:w="707"/>
        <w:gridCol w:w="744"/>
        <w:gridCol w:w="1221"/>
        <w:gridCol w:w="1161"/>
        <w:gridCol w:w="1065"/>
        <w:gridCol w:w="1737"/>
      </w:tblGrid>
      <w:tr w14:paraId="4DF1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5BBC8A0A">
            <w:pPr>
              <w:topLinePunct/>
              <w:autoSpaceDE w:val="0"/>
              <w:autoSpaceDN w:val="0"/>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819" w:type="dxa"/>
            <w:tcBorders>
              <w:top w:val="single" w:color="auto" w:sz="4" w:space="0"/>
              <w:left w:val="single" w:color="auto" w:sz="4" w:space="0"/>
              <w:bottom w:val="single" w:color="auto" w:sz="4" w:space="0"/>
              <w:right w:val="single" w:color="auto" w:sz="4" w:space="0"/>
            </w:tcBorders>
            <w:vAlign w:val="center"/>
          </w:tcPr>
          <w:p w14:paraId="2577801E">
            <w:pPr>
              <w:topLinePunct/>
              <w:autoSpaceDE w:val="0"/>
              <w:autoSpaceDN w:val="0"/>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合同</w:t>
            </w:r>
          </w:p>
          <w:p w14:paraId="36D0D912">
            <w:pPr>
              <w:topLinePunct/>
              <w:autoSpaceDE w:val="0"/>
              <w:autoSpaceDN w:val="0"/>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名称</w:t>
            </w:r>
          </w:p>
        </w:tc>
        <w:tc>
          <w:tcPr>
            <w:tcW w:w="864" w:type="dxa"/>
            <w:tcBorders>
              <w:top w:val="single" w:color="auto" w:sz="4" w:space="0"/>
              <w:left w:val="single" w:color="auto" w:sz="4" w:space="0"/>
              <w:bottom w:val="single" w:color="auto" w:sz="4" w:space="0"/>
              <w:right w:val="single" w:color="auto" w:sz="4" w:space="0"/>
            </w:tcBorders>
            <w:vAlign w:val="center"/>
          </w:tcPr>
          <w:p w14:paraId="67E2FB35">
            <w:pPr>
              <w:topLinePunct/>
              <w:autoSpaceDE w:val="0"/>
              <w:autoSpaceDN w:val="0"/>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合同</w:t>
            </w:r>
          </w:p>
          <w:p w14:paraId="3EA8EEAD">
            <w:pPr>
              <w:topLinePunct/>
              <w:autoSpaceDE w:val="0"/>
              <w:autoSpaceDN w:val="0"/>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甲方</w:t>
            </w:r>
          </w:p>
        </w:tc>
        <w:tc>
          <w:tcPr>
            <w:tcW w:w="707" w:type="dxa"/>
            <w:tcBorders>
              <w:top w:val="single" w:color="auto" w:sz="4" w:space="0"/>
              <w:left w:val="single" w:color="auto" w:sz="4" w:space="0"/>
              <w:bottom w:val="single" w:color="auto" w:sz="4" w:space="0"/>
              <w:right w:val="single" w:color="auto" w:sz="4" w:space="0"/>
            </w:tcBorders>
            <w:vAlign w:val="center"/>
          </w:tcPr>
          <w:p w14:paraId="637F8E2C">
            <w:pPr>
              <w:topLinePunct/>
              <w:autoSpaceDE w:val="0"/>
              <w:autoSpaceDN w:val="0"/>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合同时间</w:t>
            </w:r>
          </w:p>
        </w:tc>
        <w:tc>
          <w:tcPr>
            <w:tcW w:w="744" w:type="dxa"/>
            <w:tcBorders>
              <w:top w:val="single" w:color="auto" w:sz="4" w:space="0"/>
              <w:left w:val="single" w:color="auto" w:sz="4" w:space="0"/>
              <w:bottom w:val="single" w:color="auto" w:sz="4" w:space="0"/>
              <w:right w:val="single" w:color="auto" w:sz="4" w:space="0"/>
            </w:tcBorders>
            <w:vAlign w:val="center"/>
          </w:tcPr>
          <w:p w14:paraId="773CA94D">
            <w:pPr>
              <w:topLinePunct/>
              <w:autoSpaceDE w:val="0"/>
              <w:autoSpaceDN w:val="0"/>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合同</w:t>
            </w:r>
          </w:p>
          <w:p w14:paraId="69A7924A">
            <w:pPr>
              <w:topLinePunct/>
              <w:autoSpaceDE w:val="0"/>
              <w:autoSpaceDN w:val="0"/>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金额</w:t>
            </w:r>
          </w:p>
        </w:tc>
        <w:tc>
          <w:tcPr>
            <w:tcW w:w="1221" w:type="dxa"/>
            <w:tcBorders>
              <w:top w:val="single" w:color="auto" w:sz="4" w:space="0"/>
              <w:left w:val="single" w:color="auto" w:sz="4" w:space="0"/>
              <w:bottom w:val="single" w:color="auto" w:sz="4" w:space="0"/>
              <w:right w:val="single" w:color="auto" w:sz="4" w:space="0"/>
            </w:tcBorders>
            <w:vAlign w:val="center"/>
          </w:tcPr>
          <w:p w14:paraId="5DB37C3E">
            <w:pPr>
              <w:topLinePunct/>
              <w:autoSpaceDE w:val="0"/>
              <w:autoSpaceDN w:val="0"/>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合同主要</w:t>
            </w:r>
          </w:p>
          <w:p w14:paraId="2C06F810">
            <w:pPr>
              <w:topLinePunct/>
              <w:autoSpaceDE w:val="0"/>
              <w:autoSpaceDN w:val="0"/>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内容</w:t>
            </w:r>
          </w:p>
        </w:tc>
        <w:tc>
          <w:tcPr>
            <w:tcW w:w="1161" w:type="dxa"/>
            <w:tcBorders>
              <w:top w:val="single" w:color="auto" w:sz="4" w:space="0"/>
              <w:left w:val="single" w:color="auto" w:sz="4" w:space="0"/>
              <w:bottom w:val="single" w:color="auto" w:sz="4" w:space="0"/>
              <w:right w:val="single" w:color="auto" w:sz="4" w:space="0"/>
            </w:tcBorders>
            <w:vAlign w:val="center"/>
          </w:tcPr>
          <w:p w14:paraId="0F912E42">
            <w:pPr>
              <w:topLinePunct/>
              <w:autoSpaceDE w:val="0"/>
              <w:autoSpaceDN w:val="0"/>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用  户</w:t>
            </w:r>
          </w:p>
          <w:p w14:paraId="1D77EA7F">
            <w:pPr>
              <w:topLinePunct/>
              <w:autoSpaceDE w:val="0"/>
              <w:autoSpaceDN w:val="0"/>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联系人</w:t>
            </w:r>
          </w:p>
        </w:tc>
        <w:tc>
          <w:tcPr>
            <w:tcW w:w="1065" w:type="dxa"/>
            <w:tcBorders>
              <w:top w:val="single" w:color="auto" w:sz="4" w:space="0"/>
              <w:left w:val="single" w:color="auto" w:sz="4" w:space="0"/>
              <w:bottom w:val="single" w:color="auto" w:sz="4" w:space="0"/>
              <w:right w:val="single" w:color="auto" w:sz="4" w:space="0"/>
            </w:tcBorders>
            <w:vAlign w:val="center"/>
          </w:tcPr>
          <w:p w14:paraId="52DF3085">
            <w:pPr>
              <w:topLinePunct/>
              <w:autoSpaceDE w:val="0"/>
              <w:autoSpaceDN w:val="0"/>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用户联</w:t>
            </w:r>
          </w:p>
          <w:p w14:paraId="3047936B">
            <w:pPr>
              <w:topLinePunct/>
              <w:autoSpaceDE w:val="0"/>
              <w:autoSpaceDN w:val="0"/>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系电话</w:t>
            </w:r>
          </w:p>
        </w:tc>
        <w:tc>
          <w:tcPr>
            <w:tcW w:w="1737" w:type="dxa"/>
            <w:tcBorders>
              <w:top w:val="single" w:color="auto" w:sz="4" w:space="0"/>
              <w:left w:val="single" w:color="auto" w:sz="4" w:space="0"/>
              <w:bottom w:val="single" w:color="auto" w:sz="4" w:space="0"/>
              <w:right w:val="single" w:color="auto" w:sz="4" w:space="0"/>
            </w:tcBorders>
            <w:vAlign w:val="center"/>
          </w:tcPr>
          <w:p w14:paraId="6408C734">
            <w:pPr>
              <w:topLinePunct/>
              <w:autoSpaceDE w:val="0"/>
              <w:autoSpaceDN w:val="0"/>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14:paraId="1F1C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40198B16">
            <w:pPr>
              <w:topLinePunct/>
              <w:autoSpaceDE w:val="0"/>
              <w:autoSpaceDN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819" w:type="dxa"/>
            <w:tcBorders>
              <w:top w:val="single" w:color="auto" w:sz="4" w:space="0"/>
              <w:left w:val="single" w:color="auto" w:sz="4" w:space="0"/>
              <w:bottom w:val="single" w:color="auto" w:sz="4" w:space="0"/>
              <w:right w:val="single" w:color="auto" w:sz="4" w:space="0"/>
            </w:tcBorders>
            <w:vAlign w:val="center"/>
          </w:tcPr>
          <w:p w14:paraId="1E24B029">
            <w:pPr>
              <w:topLinePunct/>
              <w:autoSpaceDE w:val="0"/>
              <w:autoSpaceDN w:val="0"/>
              <w:adjustRightInd w:val="0"/>
              <w:snapToGrid w:val="0"/>
              <w:jc w:val="center"/>
              <w:rPr>
                <w:rFonts w:ascii="宋体"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14:paraId="6F996F61">
            <w:pPr>
              <w:topLinePunct/>
              <w:autoSpaceDE w:val="0"/>
              <w:autoSpaceDN w:val="0"/>
              <w:adjustRightInd w:val="0"/>
              <w:snapToGrid w:val="0"/>
              <w:jc w:val="center"/>
              <w:rPr>
                <w:rFonts w:ascii="宋体" w:hAnsi="宋体" w:cs="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tcPr>
          <w:p w14:paraId="5113A027">
            <w:pPr>
              <w:topLinePunct/>
              <w:autoSpaceDE w:val="0"/>
              <w:autoSpaceDN w:val="0"/>
              <w:adjustRightInd w:val="0"/>
              <w:snapToGrid w:val="0"/>
              <w:jc w:val="center"/>
              <w:rPr>
                <w:rFonts w:ascii="宋体" w:hAnsi="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2B241DFE">
            <w:pPr>
              <w:topLinePunct/>
              <w:autoSpaceDE w:val="0"/>
              <w:autoSpaceDN w:val="0"/>
              <w:adjustRightInd w:val="0"/>
              <w:snapToGrid w:val="0"/>
              <w:jc w:val="center"/>
              <w:rPr>
                <w:rFonts w:ascii="宋体" w:hAnsi="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0E36C0BD">
            <w:pPr>
              <w:topLinePunct/>
              <w:autoSpaceDE w:val="0"/>
              <w:autoSpaceDN w:val="0"/>
              <w:adjustRightInd w:val="0"/>
              <w:snapToGrid w:val="0"/>
              <w:jc w:val="center"/>
              <w:rPr>
                <w:rFonts w:ascii="宋体" w:hAnsi="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520443AE">
            <w:pPr>
              <w:topLinePunct/>
              <w:autoSpaceDE w:val="0"/>
              <w:autoSpaceDN w:val="0"/>
              <w:adjustRightInd w:val="0"/>
              <w:snapToGrid w:val="0"/>
              <w:jc w:val="center"/>
              <w:rPr>
                <w:rFonts w:ascii="宋体" w:hAnsi="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322B67DD">
            <w:pPr>
              <w:topLinePunct/>
              <w:autoSpaceDE w:val="0"/>
              <w:autoSpaceDN w:val="0"/>
              <w:adjustRightInd w:val="0"/>
              <w:snapToGrid w:val="0"/>
              <w:jc w:val="center"/>
              <w:rPr>
                <w:rFonts w:ascii="宋体" w:hAnsi="宋体" w:cs="宋体"/>
                <w:color w:val="auto"/>
                <w:szCs w:val="21"/>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100A7A0D">
            <w:pPr>
              <w:topLinePunct/>
              <w:autoSpaceDE w:val="0"/>
              <w:autoSpaceDN w:val="0"/>
              <w:adjustRightInd w:val="0"/>
              <w:snapToGrid w:val="0"/>
              <w:jc w:val="center"/>
              <w:rPr>
                <w:rFonts w:ascii="宋体" w:hAnsi="宋体" w:cs="宋体"/>
                <w:color w:val="auto"/>
                <w:szCs w:val="21"/>
                <w:highlight w:val="none"/>
              </w:rPr>
            </w:pPr>
          </w:p>
        </w:tc>
      </w:tr>
      <w:tr w14:paraId="2281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73E148FC">
            <w:pPr>
              <w:topLinePunct/>
              <w:autoSpaceDE w:val="0"/>
              <w:autoSpaceDN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819" w:type="dxa"/>
            <w:tcBorders>
              <w:top w:val="single" w:color="auto" w:sz="4" w:space="0"/>
              <w:left w:val="single" w:color="auto" w:sz="4" w:space="0"/>
              <w:bottom w:val="single" w:color="auto" w:sz="4" w:space="0"/>
              <w:right w:val="single" w:color="auto" w:sz="4" w:space="0"/>
            </w:tcBorders>
            <w:vAlign w:val="center"/>
          </w:tcPr>
          <w:p w14:paraId="69878E60">
            <w:pPr>
              <w:topLinePunct/>
              <w:autoSpaceDE w:val="0"/>
              <w:autoSpaceDN w:val="0"/>
              <w:adjustRightInd w:val="0"/>
              <w:snapToGrid w:val="0"/>
              <w:jc w:val="center"/>
              <w:rPr>
                <w:rFonts w:ascii="宋体"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14:paraId="12B6EF89">
            <w:pPr>
              <w:topLinePunct/>
              <w:autoSpaceDE w:val="0"/>
              <w:autoSpaceDN w:val="0"/>
              <w:adjustRightInd w:val="0"/>
              <w:snapToGrid w:val="0"/>
              <w:jc w:val="center"/>
              <w:rPr>
                <w:rFonts w:ascii="宋体" w:hAnsi="宋体" w:cs="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tcPr>
          <w:p w14:paraId="2BDD1238">
            <w:pPr>
              <w:topLinePunct/>
              <w:autoSpaceDE w:val="0"/>
              <w:autoSpaceDN w:val="0"/>
              <w:adjustRightInd w:val="0"/>
              <w:snapToGrid w:val="0"/>
              <w:jc w:val="center"/>
              <w:rPr>
                <w:rFonts w:ascii="宋体" w:hAnsi="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78FA9B64">
            <w:pPr>
              <w:topLinePunct/>
              <w:autoSpaceDE w:val="0"/>
              <w:autoSpaceDN w:val="0"/>
              <w:adjustRightInd w:val="0"/>
              <w:snapToGrid w:val="0"/>
              <w:jc w:val="center"/>
              <w:rPr>
                <w:rFonts w:ascii="宋体" w:hAnsi="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66F192A1">
            <w:pPr>
              <w:topLinePunct/>
              <w:autoSpaceDE w:val="0"/>
              <w:autoSpaceDN w:val="0"/>
              <w:adjustRightInd w:val="0"/>
              <w:snapToGrid w:val="0"/>
              <w:jc w:val="center"/>
              <w:rPr>
                <w:rFonts w:ascii="宋体" w:hAnsi="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7C9C8D44">
            <w:pPr>
              <w:topLinePunct/>
              <w:autoSpaceDE w:val="0"/>
              <w:autoSpaceDN w:val="0"/>
              <w:adjustRightInd w:val="0"/>
              <w:snapToGrid w:val="0"/>
              <w:jc w:val="center"/>
              <w:rPr>
                <w:rFonts w:ascii="宋体" w:hAnsi="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010EA40C">
            <w:pPr>
              <w:topLinePunct/>
              <w:autoSpaceDE w:val="0"/>
              <w:autoSpaceDN w:val="0"/>
              <w:adjustRightInd w:val="0"/>
              <w:snapToGrid w:val="0"/>
              <w:jc w:val="center"/>
              <w:rPr>
                <w:rFonts w:ascii="宋体" w:hAnsi="宋体" w:cs="宋体"/>
                <w:color w:val="auto"/>
                <w:szCs w:val="21"/>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35ED0EFA">
            <w:pPr>
              <w:topLinePunct/>
              <w:autoSpaceDE w:val="0"/>
              <w:autoSpaceDN w:val="0"/>
              <w:adjustRightInd w:val="0"/>
              <w:snapToGrid w:val="0"/>
              <w:jc w:val="center"/>
              <w:rPr>
                <w:rFonts w:ascii="宋体" w:hAnsi="宋体" w:cs="宋体"/>
                <w:color w:val="auto"/>
                <w:szCs w:val="21"/>
                <w:highlight w:val="none"/>
              </w:rPr>
            </w:pPr>
          </w:p>
        </w:tc>
      </w:tr>
      <w:tr w14:paraId="7F28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437593A2">
            <w:pPr>
              <w:topLinePunct/>
              <w:autoSpaceDE w:val="0"/>
              <w:autoSpaceDN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819" w:type="dxa"/>
            <w:tcBorders>
              <w:top w:val="single" w:color="auto" w:sz="4" w:space="0"/>
              <w:left w:val="single" w:color="auto" w:sz="4" w:space="0"/>
              <w:bottom w:val="single" w:color="auto" w:sz="4" w:space="0"/>
              <w:right w:val="single" w:color="auto" w:sz="4" w:space="0"/>
            </w:tcBorders>
            <w:vAlign w:val="center"/>
          </w:tcPr>
          <w:p w14:paraId="16122582">
            <w:pPr>
              <w:topLinePunct/>
              <w:autoSpaceDE w:val="0"/>
              <w:autoSpaceDN w:val="0"/>
              <w:adjustRightInd w:val="0"/>
              <w:snapToGrid w:val="0"/>
              <w:jc w:val="center"/>
              <w:rPr>
                <w:rFonts w:ascii="宋体"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14:paraId="11C763CB">
            <w:pPr>
              <w:topLinePunct/>
              <w:autoSpaceDE w:val="0"/>
              <w:autoSpaceDN w:val="0"/>
              <w:adjustRightInd w:val="0"/>
              <w:snapToGrid w:val="0"/>
              <w:jc w:val="center"/>
              <w:rPr>
                <w:rFonts w:ascii="宋体" w:hAnsi="宋体" w:cs="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tcPr>
          <w:p w14:paraId="00F8A982">
            <w:pPr>
              <w:topLinePunct/>
              <w:autoSpaceDE w:val="0"/>
              <w:autoSpaceDN w:val="0"/>
              <w:adjustRightInd w:val="0"/>
              <w:snapToGrid w:val="0"/>
              <w:jc w:val="center"/>
              <w:rPr>
                <w:rFonts w:ascii="宋体" w:hAnsi="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691ACDA4">
            <w:pPr>
              <w:topLinePunct/>
              <w:autoSpaceDE w:val="0"/>
              <w:autoSpaceDN w:val="0"/>
              <w:adjustRightInd w:val="0"/>
              <w:snapToGrid w:val="0"/>
              <w:jc w:val="center"/>
              <w:rPr>
                <w:rFonts w:ascii="宋体" w:hAnsi="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5ADB67FE">
            <w:pPr>
              <w:topLinePunct/>
              <w:autoSpaceDE w:val="0"/>
              <w:autoSpaceDN w:val="0"/>
              <w:adjustRightInd w:val="0"/>
              <w:snapToGrid w:val="0"/>
              <w:jc w:val="center"/>
              <w:rPr>
                <w:rFonts w:ascii="宋体" w:hAnsi="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3CBB5598">
            <w:pPr>
              <w:topLinePunct/>
              <w:autoSpaceDE w:val="0"/>
              <w:autoSpaceDN w:val="0"/>
              <w:adjustRightInd w:val="0"/>
              <w:snapToGrid w:val="0"/>
              <w:jc w:val="center"/>
              <w:rPr>
                <w:rFonts w:ascii="宋体" w:hAnsi="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0F248779">
            <w:pPr>
              <w:topLinePunct/>
              <w:autoSpaceDE w:val="0"/>
              <w:autoSpaceDN w:val="0"/>
              <w:adjustRightInd w:val="0"/>
              <w:snapToGrid w:val="0"/>
              <w:jc w:val="center"/>
              <w:rPr>
                <w:rFonts w:ascii="宋体" w:hAnsi="宋体" w:cs="宋体"/>
                <w:color w:val="auto"/>
                <w:szCs w:val="21"/>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73A46D32">
            <w:pPr>
              <w:topLinePunct/>
              <w:autoSpaceDE w:val="0"/>
              <w:autoSpaceDN w:val="0"/>
              <w:adjustRightInd w:val="0"/>
              <w:snapToGrid w:val="0"/>
              <w:jc w:val="center"/>
              <w:rPr>
                <w:rFonts w:ascii="宋体" w:hAnsi="宋体" w:cs="宋体"/>
                <w:color w:val="auto"/>
                <w:szCs w:val="21"/>
                <w:highlight w:val="none"/>
              </w:rPr>
            </w:pPr>
          </w:p>
        </w:tc>
      </w:tr>
      <w:tr w14:paraId="022E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664A9B0F">
            <w:pPr>
              <w:topLinePunct/>
              <w:autoSpaceDE w:val="0"/>
              <w:autoSpaceDN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819" w:type="dxa"/>
            <w:tcBorders>
              <w:top w:val="single" w:color="auto" w:sz="4" w:space="0"/>
              <w:left w:val="single" w:color="auto" w:sz="4" w:space="0"/>
              <w:bottom w:val="single" w:color="auto" w:sz="4" w:space="0"/>
              <w:right w:val="single" w:color="auto" w:sz="4" w:space="0"/>
            </w:tcBorders>
            <w:vAlign w:val="center"/>
          </w:tcPr>
          <w:p w14:paraId="0D6140F6">
            <w:pPr>
              <w:topLinePunct/>
              <w:autoSpaceDE w:val="0"/>
              <w:autoSpaceDN w:val="0"/>
              <w:adjustRightInd w:val="0"/>
              <w:snapToGrid w:val="0"/>
              <w:jc w:val="center"/>
              <w:rPr>
                <w:rFonts w:ascii="宋体"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14:paraId="7D0913F2">
            <w:pPr>
              <w:topLinePunct/>
              <w:autoSpaceDE w:val="0"/>
              <w:autoSpaceDN w:val="0"/>
              <w:adjustRightInd w:val="0"/>
              <w:snapToGrid w:val="0"/>
              <w:jc w:val="center"/>
              <w:rPr>
                <w:rFonts w:ascii="宋体" w:hAnsi="宋体" w:cs="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tcPr>
          <w:p w14:paraId="596C98EF">
            <w:pPr>
              <w:topLinePunct/>
              <w:autoSpaceDE w:val="0"/>
              <w:autoSpaceDN w:val="0"/>
              <w:adjustRightInd w:val="0"/>
              <w:snapToGrid w:val="0"/>
              <w:jc w:val="center"/>
              <w:rPr>
                <w:rFonts w:ascii="宋体" w:hAnsi="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1A87A769">
            <w:pPr>
              <w:topLinePunct/>
              <w:autoSpaceDE w:val="0"/>
              <w:autoSpaceDN w:val="0"/>
              <w:adjustRightInd w:val="0"/>
              <w:snapToGrid w:val="0"/>
              <w:jc w:val="center"/>
              <w:rPr>
                <w:rFonts w:ascii="宋体" w:hAnsi="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70E95B05">
            <w:pPr>
              <w:topLinePunct/>
              <w:autoSpaceDE w:val="0"/>
              <w:autoSpaceDN w:val="0"/>
              <w:adjustRightInd w:val="0"/>
              <w:snapToGrid w:val="0"/>
              <w:jc w:val="center"/>
              <w:rPr>
                <w:rFonts w:ascii="宋体" w:hAnsi="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16B9A09A">
            <w:pPr>
              <w:topLinePunct/>
              <w:autoSpaceDE w:val="0"/>
              <w:autoSpaceDN w:val="0"/>
              <w:adjustRightInd w:val="0"/>
              <w:snapToGrid w:val="0"/>
              <w:jc w:val="center"/>
              <w:rPr>
                <w:rFonts w:ascii="宋体" w:hAnsi="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0C7A9A6D">
            <w:pPr>
              <w:topLinePunct/>
              <w:autoSpaceDE w:val="0"/>
              <w:autoSpaceDN w:val="0"/>
              <w:adjustRightInd w:val="0"/>
              <w:snapToGrid w:val="0"/>
              <w:jc w:val="center"/>
              <w:rPr>
                <w:rFonts w:ascii="宋体" w:hAnsi="宋体" w:cs="宋体"/>
                <w:color w:val="auto"/>
                <w:szCs w:val="21"/>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17B43BAD">
            <w:pPr>
              <w:topLinePunct/>
              <w:autoSpaceDE w:val="0"/>
              <w:autoSpaceDN w:val="0"/>
              <w:adjustRightInd w:val="0"/>
              <w:snapToGrid w:val="0"/>
              <w:jc w:val="center"/>
              <w:rPr>
                <w:rFonts w:ascii="宋体" w:hAnsi="宋体" w:cs="宋体"/>
                <w:color w:val="auto"/>
                <w:szCs w:val="21"/>
                <w:highlight w:val="none"/>
              </w:rPr>
            </w:pPr>
          </w:p>
        </w:tc>
      </w:tr>
      <w:tr w14:paraId="4911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2AFFF1E8">
            <w:pPr>
              <w:topLinePunct/>
              <w:autoSpaceDE w:val="0"/>
              <w:autoSpaceDN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819" w:type="dxa"/>
            <w:tcBorders>
              <w:top w:val="single" w:color="auto" w:sz="4" w:space="0"/>
              <w:left w:val="single" w:color="auto" w:sz="4" w:space="0"/>
              <w:bottom w:val="single" w:color="auto" w:sz="4" w:space="0"/>
              <w:right w:val="single" w:color="auto" w:sz="4" w:space="0"/>
            </w:tcBorders>
            <w:vAlign w:val="center"/>
          </w:tcPr>
          <w:p w14:paraId="35DE12EE">
            <w:pPr>
              <w:topLinePunct/>
              <w:autoSpaceDE w:val="0"/>
              <w:autoSpaceDN w:val="0"/>
              <w:adjustRightInd w:val="0"/>
              <w:snapToGrid w:val="0"/>
              <w:jc w:val="center"/>
              <w:rPr>
                <w:rFonts w:ascii="宋体"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14:paraId="29139D64">
            <w:pPr>
              <w:topLinePunct/>
              <w:autoSpaceDE w:val="0"/>
              <w:autoSpaceDN w:val="0"/>
              <w:adjustRightInd w:val="0"/>
              <w:snapToGrid w:val="0"/>
              <w:jc w:val="center"/>
              <w:rPr>
                <w:rFonts w:ascii="宋体" w:hAnsi="宋体" w:cs="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tcPr>
          <w:p w14:paraId="0E3821E3">
            <w:pPr>
              <w:topLinePunct/>
              <w:autoSpaceDE w:val="0"/>
              <w:autoSpaceDN w:val="0"/>
              <w:adjustRightInd w:val="0"/>
              <w:snapToGrid w:val="0"/>
              <w:jc w:val="center"/>
              <w:rPr>
                <w:rFonts w:ascii="宋体" w:hAnsi="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2A478107">
            <w:pPr>
              <w:topLinePunct/>
              <w:autoSpaceDE w:val="0"/>
              <w:autoSpaceDN w:val="0"/>
              <w:adjustRightInd w:val="0"/>
              <w:snapToGrid w:val="0"/>
              <w:jc w:val="center"/>
              <w:rPr>
                <w:rFonts w:ascii="宋体" w:hAnsi="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2903069C">
            <w:pPr>
              <w:topLinePunct/>
              <w:autoSpaceDE w:val="0"/>
              <w:autoSpaceDN w:val="0"/>
              <w:adjustRightInd w:val="0"/>
              <w:snapToGrid w:val="0"/>
              <w:jc w:val="center"/>
              <w:rPr>
                <w:rFonts w:ascii="宋体" w:hAnsi="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5398F771">
            <w:pPr>
              <w:topLinePunct/>
              <w:autoSpaceDE w:val="0"/>
              <w:autoSpaceDN w:val="0"/>
              <w:adjustRightInd w:val="0"/>
              <w:snapToGrid w:val="0"/>
              <w:jc w:val="center"/>
              <w:rPr>
                <w:rFonts w:ascii="宋体" w:hAnsi="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3F900294">
            <w:pPr>
              <w:topLinePunct/>
              <w:autoSpaceDE w:val="0"/>
              <w:autoSpaceDN w:val="0"/>
              <w:adjustRightInd w:val="0"/>
              <w:snapToGrid w:val="0"/>
              <w:jc w:val="center"/>
              <w:rPr>
                <w:rFonts w:ascii="宋体" w:hAnsi="宋体" w:cs="宋体"/>
                <w:color w:val="auto"/>
                <w:szCs w:val="21"/>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45166A20">
            <w:pPr>
              <w:topLinePunct/>
              <w:autoSpaceDE w:val="0"/>
              <w:autoSpaceDN w:val="0"/>
              <w:adjustRightInd w:val="0"/>
              <w:snapToGrid w:val="0"/>
              <w:jc w:val="center"/>
              <w:rPr>
                <w:rFonts w:ascii="宋体" w:hAnsi="宋体" w:cs="宋体"/>
                <w:color w:val="auto"/>
                <w:szCs w:val="21"/>
                <w:highlight w:val="none"/>
              </w:rPr>
            </w:pPr>
          </w:p>
        </w:tc>
      </w:tr>
      <w:tr w14:paraId="5277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09026FD2">
            <w:pPr>
              <w:topLinePunct/>
              <w:autoSpaceDE w:val="0"/>
              <w:autoSpaceDN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w:t>
            </w:r>
          </w:p>
        </w:tc>
        <w:tc>
          <w:tcPr>
            <w:tcW w:w="819" w:type="dxa"/>
            <w:tcBorders>
              <w:top w:val="single" w:color="auto" w:sz="4" w:space="0"/>
              <w:left w:val="single" w:color="auto" w:sz="4" w:space="0"/>
              <w:bottom w:val="single" w:color="auto" w:sz="4" w:space="0"/>
              <w:right w:val="single" w:color="auto" w:sz="4" w:space="0"/>
            </w:tcBorders>
            <w:vAlign w:val="center"/>
          </w:tcPr>
          <w:p w14:paraId="76F5BB32">
            <w:pPr>
              <w:topLinePunct/>
              <w:autoSpaceDE w:val="0"/>
              <w:autoSpaceDN w:val="0"/>
              <w:adjustRightInd w:val="0"/>
              <w:snapToGrid w:val="0"/>
              <w:jc w:val="center"/>
              <w:rPr>
                <w:rFonts w:ascii="宋体" w:hAnsi="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14:paraId="15D966CB">
            <w:pPr>
              <w:topLinePunct/>
              <w:autoSpaceDE w:val="0"/>
              <w:autoSpaceDN w:val="0"/>
              <w:adjustRightInd w:val="0"/>
              <w:snapToGrid w:val="0"/>
              <w:jc w:val="center"/>
              <w:rPr>
                <w:rFonts w:ascii="宋体" w:hAnsi="宋体" w:cs="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tcPr>
          <w:p w14:paraId="7534DBF8">
            <w:pPr>
              <w:topLinePunct/>
              <w:autoSpaceDE w:val="0"/>
              <w:autoSpaceDN w:val="0"/>
              <w:adjustRightInd w:val="0"/>
              <w:snapToGrid w:val="0"/>
              <w:jc w:val="center"/>
              <w:rPr>
                <w:rFonts w:ascii="宋体" w:hAnsi="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17694FED">
            <w:pPr>
              <w:topLinePunct/>
              <w:autoSpaceDE w:val="0"/>
              <w:autoSpaceDN w:val="0"/>
              <w:adjustRightInd w:val="0"/>
              <w:snapToGrid w:val="0"/>
              <w:jc w:val="center"/>
              <w:rPr>
                <w:rFonts w:ascii="宋体" w:hAnsi="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7D076C82">
            <w:pPr>
              <w:topLinePunct/>
              <w:autoSpaceDE w:val="0"/>
              <w:autoSpaceDN w:val="0"/>
              <w:adjustRightInd w:val="0"/>
              <w:snapToGrid w:val="0"/>
              <w:jc w:val="center"/>
              <w:rPr>
                <w:rFonts w:ascii="宋体" w:hAnsi="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48B56A22">
            <w:pPr>
              <w:topLinePunct/>
              <w:autoSpaceDE w:val="0"/>
              <w:autoSpaceDN w:val="0"/>
              <w:adjustRightInd w:val="0"/>
              <w:snapToGrid w:val="0"/>
              <w:jc w:val="center"/>
              <w:rPr>
                <w:rFonts w:ascii="宋体" w:hAnsi="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08F5E955">
            <w:pPr>
              <w:topLinePunct/>
              <w:autoSpaceDE w:val="0"/>
              <w:autoSpaceDN w:val="0"/>
              <w:adjustRightInd w:val="0"/>
              <w:snapToGrid w:val="0"/>
              <w:jc w:val="center"/>
              <w:rPr>
                <w:rFonts w:ascii="宋体" w:hAnsi="宋体" w:cs="宋体"/>
                <w:color w:val="auto"/>
                <w:szCs w:val="21"/>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60BB2AAB">
            <w:pPr>
              <w:topLinePunct/>
              <w:autoSpaceDE w:val="0"/>
              <w:autoSpaceDN w:val="0"/>
              <w:adjustRightInd w:val="0"/>
              <w:snapToGrid w:val="0"/>
              <w:jc w:val="center"/>
              <w:rPr>
                <w:rFonts w:ascii="宋体" w:hAnsi="宋体" w:cs="宋体"/>
                <w:color w:val="auto"/>
                <w:szCs w:val="21"/>
                <w:highlight w:val="none"/>
              </w:rPr>
            </w:pPr>
          </w:p>
        </w:tc>
      </w:tr>
    </w:tbl>
    <w:p w14:paraId="30C19F7C">
      <w:pPr>
        <w:topLinePunct/>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特别说明：</w:t>
      </w:r>
    </w:p>
    <w:p w14:paraId="77808066">
      <w:pPr>
        <w:topLinePunct/>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供应商根据实际情况，按照第三章《评审方法及标准》进行提供</w:t>
      </w:r>
      <w:r>
        <w:rPr>
          <w:rFonts w:hint="eastAsia" w:ascii="宋体" w:hAnsi="宋体" w:cs="宋体"/>
          <w:color w:val="auto"/>
          <w:szCs w:val="21"/>
          <w:highlight w:val="none"/>
        </w:rPr>
        <w:t>。</w:t>
      </w:r>
    </w:p>
    <w:p w14:paraId="26295DC8">
      <w:pPr>
        <w:topLinePunct/>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2.应提供合同复印件。合同复印件应能清晰体现合同甲乙双方、合同时间、合同金额、合同主要内容等，并提供对方联系人及联系方式，否则不能获得相应分值。</w:t>
      </w:r>
    </w:p>
    <w:p w14:paraId="58C8FF51">
      <w:pPr>
        <w:pStyle w:val="11"/>
        <w:topLinePunct/>
        <w:autoSpaceDE w:val="0"/>
        <w:autoSpaceDN w:val="0"/>
        <w:spacing w:line="460" w:lineRule="exact"/>
        <w:jc w:val="center"/>
        <w:rPr>
          <w:rFonts w:hAnsi="宋体" w:cs="宋体"/>
          <w:b/>
          <w:bCs/>
          <w:color w:val="auto"/>
          <w:sz w:val="36"/>
          <w:szCs w:val="36"/>
          <w:highlight w:val="none"/>
        </w:rPr>
      </w:pPr>
      <w:bookmarkStart w:id="36" w:name="_Toc315564887"/>
      <w:bookmarkStart w:id="37" w:name="_Toc665197788"/>
      <w:bookmarkStart w:id="38" w:name="_Toc1229686241"/>
      <w:bookmarkStart w:id="39" w:name="_Toc989815653"/>
      <w:bookmarkStart w:id="40" w:name="_Toc240142232"/>
      <w:bookmarkStart w:id="41" w:name="_Toc18814"/>
      <w:bookmarkStart w:id="42" w:name="_Toc1093498656"/>
      <w:bookmarkStart w:id="43" w:name="_Toc579775874"/>
      <w:bookmarkStart w:id="44" w:name="_Toc1062827402"/>
      <w:bookmarkStart w:id="45" w:name="_Toc2129800646"/>
    </w:p>
    <w:p w14:paraId="44D4733F">
      <w:pPr>
        <w:rPr>
          <w:rFonts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3CAD5A89">
      <w:pPr>
        <w:pStyle w:val="2"/>
        <w:rPr>
          <w:rFonts w:ascii="宋体" w:hAnsi="宋体" w:cs="宋体"/>
          <w:color w:val="auto"/>
          <w:kern w:val="0"/>
          <w:sz w:val="44"/>
          <w:szCs w:val="44"/>
          <w:highlight w:val="none"/>
        </w:rPr>
      </w:pPr>
    </w:p>
    <w:p w14:paraId="5163F301">
      <w:pPr>
        <w:rPr>
          <w:rFonts w:ascii="宋体" w:hAnsi="宋体" w:cs="宋体"/>
          <w:color w:val="auto"/>
          <w:highlight w:val="none"/>
        </w:rPr>
      </w:pPr>
    </w:p>
    <w:p w14:paraId="3B717762">
      <w:pPr>
        <w:spacing w:line="60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响  应  文  件</w:t>
      </w:r>
    </w:p>
    <w:p w14:paraId="5DE9E046">
      <w:pPr>
        <w:spacing w:line="60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技术部分</w:t>
      </w:r>
    </w:p>
    <w:p w14:paraId="59DD4D5A">
      <w:pPr>
        <w:spacing w:line="360" w:lineRule="auto"/>
        <w:ind w:firstLine="643" w:firstLineChars="200"/>
        <w:jc w:val="center"/>
        <w:rPr>
          <w:rFonts w:ascii="宋体" w:hAnsi="宋体" w:cs="宋体"/>
          <w:b/>
          <w:color w:val="auto"/>
          <w:kern w:val="0"/>
          <w:sz w:val="32"/>
          <w:szCs w:val="32"/>
          <w:highlight w:val="none"/>
        </w:rPr>
      </w:pPr>
    </w:p>
    <w:p w14:paraId="3387A965">
      <w:pPr>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（填写正本或副本）</w:t>
      </w:r>
    </w:p>
    <w:p w14:paraId="36C2DF70">
      <w:pPr>
        <w:spacing w:line="360" w:lineRule="auto"/>
        <w:ind w:firstLine="482" w:firstLineChars="200"/>
        <w:jc w:val="center"/>
        <w:rPr>
          <w:rFonts w:ascii="宋体" w:hAnsi="宋体" w:cs="宋体"/>
          <w:b/>
          <w:color w:val="auto"/>
          <w:kern w:val="0"/>
          <w:sz w:val="24"/>
          <w:szCs w:val="24"/>
          <w:highlight w:val="none"/>
        </w:rPr>
      </w:pPr>
    </w:p>
    <w:p w14:paraId="504C6F77">
      <w:pPr>
        <w:pStyle w:val="2"/>
        <w:rPr>
          <w:rFonts w:ascii="宋体" w:hAnsi="宋体" w:cs="宋体"/>
          <w:color w:val="auto"/>
          <w:kern w:val="0"/>
          <w:sz w:val="24"/>
          <w:highlight w:val="none"/>
        </w:rPr>
      </w:pPr>
    </w:p>
    <w:p w14:paraId="116BB466">
      <w:pPr>
        <w:rPr>
          <w:rFonts w:ascii="宋体" w:hAnsi="宋体" w:cs="宋体"/>
          <w:b/>
          <w:color w:val="auto"/>
          <w:kern w:val="0"/>
          <w:sz w:val="24"/>
          <w:szCs w:val="24"/>
          <w:highlight w:val="none"/>
        </w:rPr>
      </w:pPr>
    </w:p>
    <w:p w14:paraId="580AC4AA">
      <w:pPr>
        <w:pStyle w:val="2"/>
        <w:rPr>
          <w:rFonts w:ascii="宋体" w:hAnsi="宋体" w:cs="宋体"/>
          <w:color w:val="auto"/>
          <w:kern w:val="0"/>
          <w:sz w:val="24"/>
          <w:highlight w:val="none"/>
        </w:rPr>
      </w:pPr>
    </w:p>
    <w:p w14:paraId="22C774FE">
      <w:pPr>
        <w:rPr>
          <w:rFonts w:ascii="宋体" w:hAnsi="宋体" w:cs="宋体"/>
          <w:b/>
          <w:color w:val="auto"/>
          <w:highlight w:val="none"/>
        </w:rPr>
      </w:pPr>
    </w:p>
    <w:p w14:paraId="72EE0112">
      <w:pPr>
        <w:spacing w:line="360" w:lineRule="auto"/>
        <w:ind w:left="1470" w:leftChars="700" w:firstLine="1687" w:firstLineChars="7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项目名称：</w:t>
      </w:r>
      <w:r>
        <w:rPr>
          <w:rFonts w:hint="eastAsia" w:ascii="宋体" w:hAnsi="宋体" w:cs="宋体"/>
          <w:b/>
          <w:color w:val="auto"/>
          <w:kern w:val="0"/>
          <w:sz w:val="24"/>
          <w:szCs w:val="24"/>
          <w:highlight w:val="none"/>
          <w:u w:val="single"/>
        </w:rPr>
        <w:t xml:space="preserve">               </w:t>
      </w:r>
    </w:p>
    <w:p w14:paraId="1C105355">
      <w:pPr>
        <w:spacing w:line="360" w:lineRule="auto"/>
        <w:ind w:left="1470" w:leftChars="700" w:firstLine="1687" w:firstLineChars="7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项目编号：</w:t>
      </w:r>
      <w:r>
        <w:rPr>
          <w:rFonts w:hint="eastAsia" w:ascii="宋体" w:hAnsi="宋体" w:cs="宋体"/>
          <w:b/>
          <w:color w:val="auto"/>
          <w:kern w:val="0"/>
          <w:sz w:val="24"/>
          <w:szCs w:val="24"/>
          <w:highlight w:val="none"/>
          <w:u w:val="single"/>
        </w:rPr>
        <w:t xml:space="preserve">               </w:t>
      </w:r>
    </w:p>
    <w:p w14:paraId="3D65EDF1">
      <w:pPr>
        <w:spacing w:line="360" w:lineRule="auto"/>
        <w:ind w:left="1470" w:leftChars="700" w:firstLine="482" w:firstLineChars="200"/>
        <w:jc w:val="center"/>
        <w:rPr>
          <w:rFonts w:ascii="宋体" w:hAnsi="宋体" w:cs="宋体"/>
          <w:b/>
          <w:color w:val="auto"/>
          <w:kern w:val="0"/>
          <w:sz w:val="24"/>
          <w:szCs w:val="24"/>
          <w:highlight w:val="none"/>
        </w:rPr>
      </w:pPr>
    </w:p>
    <w:p w14:paraId="4FA0393A">
      <w:pPr>
        <w:spacing w:line="360" w:lineRule="auto"/>
        <w:ind w:left="1470" w:leftChars="700" w:firstLine="1687" w:firstLineChars="7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供应商：</w:t>
      </w:r>
      <w:r>
        <w:rPr>
          <w:rFonts w:hint="eastAsia" w:ascii="宋体" w:hAnsi="宋体" w:cs="宋体"/>
          <w:b/>
          <w:color w:val="auto"/>
          <w:kern w:val="0"/>
          <w:sz w:val="24"/>
          <w:szCs w:val="24"/>
          <w:highlight w:val="none"/>
          <w:u w:val="single"/>
        </w:rPr>
        <w:t xml:space="preserve">                 </w:t>
      </w:r>
    </w:p>
    <w:p w14:paraId="749FD623">
      <w:pPr>
        <w:spacing w:line="360" w:lineRule="auto"/>
        <w:ind w:left="1470" w:leftChars="700" w:firstLine="1687" w:firstLineChars="7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日  期：</w:t>
      </w:r>
      <w:r>
        <w:rPr>
          <w:rFonts w:hint="eastAsia" w:ascii="宋体" w:hAnsi="宋体" w:cs="宋体"/>
          <w:b/>
          <w:color w:val="auto"/>
          <w:kern w:val="0"/>
          <w:sz w:val="24"/>
          <w:szCs w:val="24"/>
          <w:highlight w:val="none"/>
          <w:u w:val="single"/>
        </w:rPr>
        <w:t xml:space="preserve">                 </w:t>
      </w:r>
    </w:p>
    <w:p w14:paraId="66372992">
      <w:pPr>
        <w:widowControl/>
        <w:jc w:val="center"/>
        <w:rPr>
          <w:rFonts w:ascii="宋体" w:hAnsi="宋体" w:cs="宋体"/>
          <w:b/>
          <w:bCs/>
          <w:color w:val="auto"/>
          <w:sz w:val="28"/>
          <w:szCs w:val="28"/>
          <w:highlight w:val="none"/>
        </w:rPr>
      </w:pPr>
      <w:r>
        <w:rPr>
          <w:rFonts w:hint="eastAsia" w:ascii="宋体" w:hAnsi="宋体" w:cs="宋体"/>
          <w:b/>
          <w:color w:val="auto"/>
          <w:sz w:val="36"/>
          <w:szCs w:val="36"/>
          <w:highlight w:val="none"/>
        </w:rPr>
        <w:br w:type="page"/>
      </w:r>
      <w:bookmarkEnd w:id="36"/>
      <w:bookmarkEnd w:id="37"/>
      <w:bookmarkEnd w:id="38"/>
      <w:bookmarkEnd w:id="39"/>
      <w:bookmarkEnd w:id="40"/>
      <w:bookmarkEnd w:id="41"/>
      <w:bookmarkEnd w:id="42"/>
      <w:bookmarkEnd w:id="43"/>
      <w:bookmarkEnd w:id="44"/>
      <w:bookmarkEnd w:id="45"/>
      <w:r>
        <w:rPr>
          <w:rFonts w:hint="eastAsia" w:ascii="宋体" w:hAnsi="宋体" w:cs="宋体"/>
          <w:b/>
          <w:bCs/>
          <w:color w:val="auto"/>
          <w:sz w:val="28"/>
          <w:szCs w:val="28"/>
          <w:highlight w:val="none"/>
        </w:rPr>
        <w:t>格式</w:t>
      </w:r>
      <w:r>
        <w:rPr>
          <w:rFonts w:hint="eastAsia" w:ascii="宋体" w:hAnsi="宋体" w:cs="宋体"/>
          <w:b/>
          <w:bCs/>
          <w:color w:val="auto"/>
          <w:sz w:val="28"/>
          <w:szCs w:val="28"/>
          <w:highlight w:val="none"/>
          <w:lang w:val="en-US" w:eastAsia="zh-CN"/>
        </w:rPr>
        <w:t>7</w:t>
      </w:r>
      <w:r>
        <w:rPr>
          <w:rFonts w:hint="eastAsia" w:ascii="宋体" w:hAnsi="宋体" w:cs="宋体"/>
          <w:b/>
          <w:bCs/>
          <w:color w:val="auto"/>
          <w:sz w:val="28"/>
          <w:szCs w:val="28"/>
          <w:highlight w:val="none"/>
        </w:rPr>
        <w:t xml:space="preserve"> 技术条款偏离表</w:t>
      </w:r>
    </w:p>
    <w:tbl>
      <w:tblPr>
        <w:tblStyle w:val="20"/>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93"/>
        <w:gridCol w:w="2495"/>
        <w:gridCol w:w="1985"/>
        <w:gridCol w:w="2464"/>
        <w:gridCol w:w="981"/>
      </w:tblGrid>
      <w:tr w14:paraId="28E9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4" w:hRule="atLeast"/>
          <w:jc w:val="center"/>
        </w:trPr>
        <w:tc>
          <w:tcPr>
            <w:tcW w:w="1093" w:type="dxa"/>
            <w:vAlign w:val="center"/>
          </w:tcPr>
          <w:p w14:paraId="49F94F0A">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495" w:type="dxa"/>
            <w:vAlign w:val="center"/>
          </w:tcPr>
          <w:p w14:paraId="570EED63">
            <w:pPr>
              <w:adjustRightInd w:val="0"/>
              <w:snapToGrid w:val="0"/>
              <w:jc w:val="center"/>
              <w:rPr>
                <w:rFonts w:ascii="宋体" w:hAnsi="宋体" w:cs="宋体"/>
                <w:b/>
                <w:color w:val="auto"/>
                <w:szCs w:val="21"/>
                <w:highlight w:val="none"/>
              </w:rPr>
            </w:pPr>
            <w:r>
              <w:rPr>
                <w:rFonts w:hint="eastAsia" w:ascii="宋体" w:hAnsi="宋体" w:cs="宋体"/>
                <w:b/>
                <w:bCs/>
                <w:color w:val="auto"/>
                <w:szCs w:val="21"/>
                <w:highlight w:val="none"/>
              </w:rPr>
              <w:t>磋商</w:t>
            </w:r>
            <w:r>
              <w:rPr>
                <w:rFonts w:hint="eastAsia" w:ascii="宋体" w:hAnsi="宋体" w:cs="宋体"/>
                <w:b/>
                <w:color w:val="auto"/>
                <w:szCs w:val="21"/>
                <w:highlight w:val="none"/>
              </w:rPr>
              <w:t>文件</w:t>
            </w:r>
          </w:p>
          <w:p w14:paraId="3FE850BD">
            <w:pPr>
              <w:adjustRightInd w:val="0"/>
              <w:snapToGrid w:val="0"/>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rPr>
              <w:t>技术要求</w:t>
            </w:r>
            <w:r>
              <w:rPr>
                <w:rFonts w:hint="eastAsia" w:ascii="宋体" w:hAnsi="宋体" w:cs="宋体"/>
                <w:b/>
                <w:color w:val="auto"/>
                <w:szCs w:val="21"/>
                <w:highlight w:val="none"/>
                <w:lang w:val="en-US" w:eastAsia="zh-CN"/>
              </w:rPr>
              <w:t>内容</w:t>
            </w:r>
          </w:p>
        </w:tc>
        <w:tc>
          <w:tcPr>
            <w:tcW w:w="1985" w:type="dxa"/>
            <w:vAlign w:val="center"/>
          </w:tcPr>
          <w:p w14:paraId="08D1CCA7">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供应商响应文件</w:t>
            </w:r>
          </w:p>
          <w:p w14:paraId="16E1D218">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的应答情况</w:t>
            </w:r>
          </w:p>
        </w:tc>
        <w:tc>
          <w:tcPr>
            <w:tcW w:w="2464" w:type="dxa"/>
            <w:vAlign w:val="center"/>
          </w:tcPr>
          <w:p w14:paraId="3EE51C3C">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偏离（无/正/负）</w:t>
            </w:r>
          </w:p>
        </w:tc>
        <w:tc>
          <w:tcPr>
            <w:tcW w:w="981" w:type="dxa"/>
            <w:vAlign w:val="center"/>
          </w:tcPr>
          <w:p w14:paraId="0DA3715D">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14:paraId="42B8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4" w:hRule="atLeast"/>
          <w:jc w:val="center"/>
        </w:trPr>
        <w:tc>
          <w:tcPr>
            <w:tcW w:w="1093" w:type="dxa"/>
            <w:vAlign w:val="center"/>
          </w:tcPr>
          <w:p w14:paraId="3C11D237">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2495" w:type="dxa"/>
            <w:vAlign w:val="center"/>
          </w:tcPr>
          <w:p w14:paraId="06DE418C">
            <w:pPr>
              <w:adjustRightInd w:val="0"/>
              <w:snapToGrid w:val="0"/>
              <w:ind w:left="50" w:leftChars="24" w:right="55" w:rightChars="26"/>
              <w:jc w:val="center"/>
              <w:rPr>
                <w:rFonts w:ascii="宋体" w:hAnsi="宋体" w:cs="宋体"/>
                <w:color w:val="auto"/>
                <w:szCs w:val="21"/>
                <w:highlight w:val="none"/>
              </w:rPr>
            </w:pPr>
          </w:p>
        </w:tc>
        <w:tc>
          <w:tcPr>
            <w:tcW w:w="1985" w:type="dxa"/>
            <w:vAlign w:val="center"/>
          </w:tcPr>
          <w:p w14:paraId="739D3EC6">
            <w:pPr>
              <w:adjustRightInd w:val="0"/>
              <w:snapToGrid w:val="0"/>
              <w:jc w:val="center"/>
              <w:rPr>
                <w:rFonts w:ascii="宋体" w:hAnsi="宋体" w:cs="宋体"/>
                <w:color w:val="auto"/>
                <w:szCs w:val="21"/>
                <w:highlight w:val="none"/>
              </w:rPr>
            </w:pPr>
          </w:p>
        </w:tc>
        <w:tc>
          <w:tcPr>
            <w:tcW w:w="2464" w:type="dxa"/>
            <w:vAlign w:val="center"/>
          </w:tcPr>
          <w:p w14:paraId="54027ECD">
            <w:pPr>
              <w:adjustRightInd w:val="0"/>
              <w:snapToGrid w:val="0"/>
              <w:jc w:val="center"/>
              <w:rPr>
                <w:rFonts w:ascii="宋体" w:hAnsi="宋体" w:cs="宋体"/>
                <w:color w:val="auto"/>
                <w:szCs w:val="21"/>
                <w:highlight w:val="none"/>
              </w:rPr>
            </w:pPr>
          </w:p>
        </w:tc>
        <w:tc>
          <w:tcPr>
            <w:tcW w:w="981" w:type="dxa"/>
            <w:vAlign w:val="center"/>
          </w:tcPr>
          <w:p w14:paraId="239B06F1">
            <w:pPr>
              <w:adjustRightInd w:val="0"/>
              <w:snapToGrid w:val="0"/>
              <w:jc w:val="center"/>
              <w:rPr>
                <w:rFonts w:ascii="宋体" w:hAnsi="宋体" w:cs="宋体"/>
                <w:color w:val="auto"/>
                <w:szCs w:val="21"/>
                <w:highlight w:val="none"/>
              </w:rPr>
            </w:pPr>
          </w:p>
        </w:tc>
      </w:tr>
      <w:tr w14:paraId="0440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4" w:hRule="atLeast"/>
          <w:jc w:val="center"/>
        </w:trPr>
        <w:tc>
          <w:tcPr>
            <w:tcW w:w="1093" w:type="dxa"/>
            <w:vAlign w:val="center"/>
          </w:tcPr>
          <w:p w14:paraId="053625A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2495" w:type="dxa"/>
            <w:vAlign w:val="center"/>
          </w:tcPr>
          <w:p w14:paraId="0FB79D52">
            <w:pPr>
              <w:adjustRightInd w:val="0"/>
              <w:snapToGrid w:val="0"/>
              <w:ind w:left="50" w:leftChars="24" w:right="55" w:rightChars="26"/>
              <w:jc w:val="center"/>
              <w:rPr>
                <w:rFonts w:ascii="宋体" w:hAnsi="宋体" w:cs="宋体"/>
                <w:color w:val="auto"/>
                <w:szCs w:val="21"/>
                <w:highlight w:val="none"/>
              </w:rPr>
            </w:pPr>
          </w:p>
        </w:tc>
        <w:tc>
          <w:tcPr>
            <w:tcW w:w="1985" w:type="dxa"/>
            <w:vAlign w:val="center"/>
          </w:tcPr>
          <w:p w14:paraId="4BD40FD6">
            <w:pPr>
              <w:adjustRightInd w:val="0"/>
              <w:snapToGrid w:val="0"/>
              <w:jc w:val="center"/>
              <w:rPr>
                <w:rFonts w:ascii="宋体" w:hAnsi="宋体" w:cs="宋体"/>
                <w:color w:val="auto"/>
                <w:szCs w:val="21"/>
                <w:highlight w:val="none"/>
              </w:rPr>
            </w:pPr>
          </w:p>
        </w:tc>
        <w:tc>
          <w:tcPr>
            <w:tcW w:w="2464" w:type="dxa"/>
            <w:vAlign w:val="center"/>
          </w:tcPr>
          <w:p w14:paraId="24BD5311">
            <w:pPr>
              <w:adjustRightInd w:val="0"/>
              <w:snapToGrid w:val="0"/>
              <w:jc w:val="center"/>
              <w:rPr>
                <w:rFonts w:ascii="宋体" w:hAnsi="宋体" w:cs="宋体"/>
                <w:color w:val="auto"/>
                <w:szCs w:val="21"/>
                <w:highlight w:val="none"/>
              </w:rPr>
            </w:pPr>
          </w:p>
        </w:tc>
        <w:tc>
          <w:tcPr>
            <w:tcW w:w="981" w:type="dxa"/>
            <w:vAlign w:val="center"/>
          </w:tcPr>
          <w:p w14:paraId="4A17358C">
            <w:pPr>
              <w:adjustRightInd w:val="0"/>
              <w:snapToGrid w:val="0"/>
              <w:jc w:val="center"/>
              <w:rPr>
                <w:rFonts w:ascii="宋体" w:hAnsi="宋体" w:cs="宋体"/>
                <w:color w:val="auto"/>
                <w:szCs w:val="21"/>
                <w:highlight w:val="none"/>
              </w:rPr>
            </w:pPr>
          </w:p>
        </w:tc>
      </w:tr>
      <w:tr w14:paraId="4C11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4" w:hRule="atLeast"/>
          <w:jc w:val="center"/>
        </w:trPr>
        <w:tc>
          <w:tcPr>
            <w:tcW w:w="1093" w:type="dxa"/>
            <w:vAlign w:val="center"/>
          </w:tcPr>
          <w:p w14:paraId="784C4F9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2495" w:type="dxa"/>
            <w:vAlign w:val="center"/>
          </w:tcPr>
          <w:p w14:paraId="59184F9C">
            <w:pPr>
              <w:adjustRightInd w:val="0"/>
              <w:snapToGrid w:val="0"/>
              <w:ind w:left="50" w:leftChars="24" w:right="55" w:rightChars="26"/>
              <w:jc w:val="center"/>
              <w:rPr>
                <w:rFonts w:ascii="宋体" w:hAnsi="宋体" w:cs="宋体"/>
                <w:color w:val="auto"/>
                <w:szCs w:val="21"/>
                <w:highlight w:val="none"/>
              </w:rPr>
            </w:pPr>
          </w:p>
        </w:tc>
        <w:tc>
          <w:tcPr>
            <w:tcW w:w="1985" w:type="dxa"/>
            <w:vAlign w:val="center"/>
          </w:tcPr>
          <w:p w14:paraId="5074D95C">
            <w:pPr>
              <w:adjustRightInd w:val="0"/>
              <w:snapToGrid w:val="0"/>
              <w:jc w:val="center"/>
              <w:rPr>
                <w:rFonts w:ascii="宋体" w:hAnsi="宋体" w:cs="宋体"/>
                <w:color w:val="auto"/>
                <w:szCs w:val="21"/>
                <w:highlight w:val="none"/>
              </w:rPr>
            </w:pPr>
          </w:p>
        </w:tc>
        <w:tc>
          <w:tcPr>
            <w:tcW w:w="2464" w:type="dxa"/>
            <w:vAlign w:val="center"/>
          </w:tcPr>
          <w:p w14:paraId="6D77220E">
            <w:pPr>
              <w:adjustRightInd w:val="0"/>
              <w:snapToGrid w:val="0"/>
              <w:jc w:val="center"/>
              <w:rPr>
                <w:rFonts w:ascii="宋体" w:hAnsi="宋体" w:cs="宋体"/>
                <w:color w:val="auto"/>
                <w:szCs w:val="21"/>
                <w:highlight w:val="none"/>
              </w:rPr>
            </w:pPr>
          </w:p>
        </w:tc>
        <w:tc>
          <w:tcPr>
            <w:tcW w:w="981" w:type="dxa"/>
            <w:vAlign w:val="center"/>
          </w:tcPr>
          <w:p w14:paraId="12ACC977">
            <w:pPr>
              <w:adjustRightInd w:val="0"/>
              <w:snapToGrid w:val="0"/>
              <w:jc w:val="center"/>
              <w:rPr>
                <w:rFonts w:ascii="宋体" w:hAnsi="宋体" w:cs="宋体"/>
                <w:color w:val="auto"/>
                <w:szCs w:val="21"/>
                <w:highlight w:val="none"/>
              </w:rPr>
            </w:pPr>
          </w:p>
        </w:tc>
      </w:tr>
      <w:tr w14:paraId="0F43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4" w:hRule="atLeast"/>
          <w:jc w:val="center"/>
        </w:trPr>
        <w:tc>
          <w:tcPr>
            <w:tcW w:w="1093" w:type="dxa"/>
            <w:vAlign w:val="center"/>
          </w:tcPr>
          <w:p w14:paraId="404534C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2495" w:type="dxa"/>
            <w:vAlign w:val="center"/>
          </w:tcPr>
          <w:p w14:paraId="2EC84A96">
            <w:pPr>
              <w:adjustRightInd w:val="0"/>
              <w:snapToGrid w:val="0"/>
              <w:ind w:left="50" w:leftChars="24" w:right="55" w:rightChars="26"/>
              <w:jc w:val="center"/>
              <w:rPr>
                <w:rFonts w:ascii="宋体" w:hAnsi="宋体" w:cs="宋体"/>
                <w:color w:val="auto"/>
                <w:szCs w:val="21"/>
                <w:highlight w:val="none"/>
              </w:rPr>
            </w:pPr>
          </w:p>
        </w:tc>
        <w:tc>
          <w:tcPr>
            <w:tcW w:w="1985" w:type="dxa"/>
            <w:vAlign w:val="center"/>
          </w:tcPr>
          <w:p w14:paraId="4A460C35">
            <w:pPr>
              <w:adjustRightInd w:val="0"/>
              <w:snapToGrid w:val="0"/>
              <w:jc w:val="center"/>
              <w:rPr>
                <w:rFonts w:ascii="宋体" w:hAnsi="宋体" w:cs="宋体"/>
                <w:color w:val="auto"/>
                <w:szCs w:val="21"/>
                <w:highlight w:val="none"/>
              </w:rPr>
            </w:pPr>
          </w:p>
        </w:tc>
        <w:tc>
          <w:tcPr>
            <w:tcW w:w="2464" w:type="dxa"/>
            <w:vAlign w:val="center"/>
          </w:tcPr>
          <w:p w14:paraId="05DA0DA9">
            <w:pPr>
              <w:adjustRightInd w:val="0"/>
              <w:snapToGrid w:val="0"/>
              <w:jc w:val="center"/>
              <w:rPr>
                <w:rFonts w:ascii="宋体" w:hAnsi="宋体" w:cs="宋体"/>
                <w:color w:val="auto"/>
                <w:szCs w:val="21"/>
                <w:highlight w:val="none"/>
              </w:rPr>
            </w:pPr>
          </w:p>
        </w:tc>
        <w:tc>
          <w:tcPr>
            <w:tcW w:w="981" w:type="dxa"/>
            <w:vAlign w:val="center"/>
          </w:tcPr>
          <w:p w14:paraId="77919319">
            <w:pPr>
              <w:adjustRightInd w:val="0"/>
              <w:snapToGrid w:val="0"/>
              <w:jc w:val="center"/>
              <w:rPr>
                <w:rFonts w:ascii="宋体" w:hAnsi="宋体" w:cs="宋体"/>
                <w:color w:val="auto"/>
                <w:szCs w:val="21"/>
                <w:highlight w:val="none"/>
              </w:rPr>
            </w:pPr>
          </w:p>
        </w:tc>
      </w:tr>
      <w:tr w14:paraId="4045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4" w:hRule="atLeast"/>
          <w:jc w:val="center"/>
        </w:trPr>
        <w:tc>
          <w:tcPr>
            <w:tcW w:w="1093" w:type="dxa"/>
            <w:vAlign w:val="center"/>
          </w:tcPr>
          <w:p w14:paraId="56857E58">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2495" w:type="dxa"/>
            <w:vAlign w:val="center"/>
          </w:tcPr>
          <w:p w14:paraId="7C274682">
            <w:pPr>
              <w:adjustRightInd w:val="0"/>
              <w:snapToGrid w:val="0"/>
              <w:jc w:val="center"/>
              <w:rPr>
                <w:rFonts w:ascii="宋体" w:hAnsi="宋体" w:cs="宋体"/>
                <w:color w:val="auto"/>
                <w:szCs w:val="21"/>
                <w:highlight w:val="none"/>
              </w:rPr>
            </w:pPr>
          </w:p>
        </w:tc>
        <w:tc>
          <w:tcPr>
            <w:tcW w:w="1985" w:type="dxa"/>
            <w:vAlign w:val="center"/>
          </w:tcPr>
          <w:p w14:paraId="2576044D">
            <w:pPr>
              <w:adjustRightInd w:val="0"/>
              <w:snapToGrid w:val="0"/>
              <w:jc w:val="center"/>
              <w:rPr>
                <w:rFonts w:ascii="宋体" w:hAnsi="宋体" w:cs="宋体"/>
                <w:color w:val="auto"/>
                <w:szCs w:val="21"/>
                <w:highlight w:val="none"/>
              </w:rPr>
            </w:pPr>
          </w:p>
        </w:tc>
        <w:tc>
          <w:tcPr>
            <w:tcW w:w="2464" w:type="dxa"/>
            <w:vAlign w:val="center"/>
          </w:tcPr>
          <w:p w14:paraId="5C83A6A6">
            <w:pPr>
              <w:adjustRightInd w:val="0"/>
              <w:snapToGrid w:val="0"/>
              <w:jc w:val="center"/>
              <w:rPr>
                <w:rFonts w:ascii="宋体" w:hAnsi="宋体" w:cs="宋体"/>
                <w:color w:val="auto"/>
                <w:szCs w:val="21"/>
                <w:highlight w:val="none"/>
              </w:rPr>
            </w:pPr>
          </w:p>
        </w:tc>
        <w:tc>
          <w:tcPr>
            <w:tcW w:w="981" w:type="dxa"/>
            <w:vAlign w:val="center"/>
          </w:tcPr>
          <w:p w14:paraId="5A71A339">
            <w:pPr>
              <w:adjustRightInd w:val="0"/>
              <w:snapToGrid w:val="0"/>
              <w:jc w:val="center"/>
              <w:rPr>
                <w:rFonts w:ascii="宋体" w:hAnsi="宋体" w:cs="宋体"/>
                <w:color w:val="auto"/>
                <w:szCs w:val="21"/>
                <w:highlight w:val="none"/>
              </w:rPr>
            </w:pPr>
          </w:p>
        </w:tc>
      </w:tr>
      <w:tr w14:paraId="4C6F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9" w:hRule="atLeast"/>
          <w:jc w:val="center"/>
        </w:trPr>
        <w:tc>
          <w:tcPr>
            <w:tcW w:w="1093" w:type="dxa"/>
            <w:vAlign w:val="center"/>
          </w:tcPr>
          <w:p w14:paraId="22E0A5E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w:t>
            </w:r>
          </w:p>
        </w:tc>
        <w:tc>
          <w:tcPr>
            <w:tcW w:w="2495" w:type="dxa"/>
            <w:vAlign w:val="center"/>
          </w:tcPr>
          <w:p w14:paraId="23B418B7">
            <w:pPr>
              <w:adjustRightInd w:val="0"/>
              <w:snapToGrid w:val="0"/>
              <w:jc w:val="center"/>
              <w:rPr>
                <w:rFonts w:ascii="宋体" w:hAnsi="宋体" w:cs="宋体"/>
                <w:color w:val="auto"/>
                <w:szCs w:val="21"/>
                <w:highlight w:val="none"/>
              </w:rPr>
            </w:pPr>
          </w:p>
        </w:tc>
        <w:tc>
          <w:tcPr>
            <w:tcW w:w="1985" w:type="dxa"/>
            <w:vAlign w:val="center"/>
          </w:tcPr>
          <w:p w14:paraId="5F776220">
            <w:pPr>
              <w:adjustRightInd w:val="0"/>
              <w:snapToGrid w:val="0"/>
              <w:jc w:val="center"/>
              <w:rPr>
                <w:rFonts w:ascii="宋体" w:hAnsi="宋体" w:cs="宋体"/>
                <w:color w:val="auto"/>
                <w:szCs w:val="21"/>
                <w:highlight w:val="none"/>
              </w:rPr>
            </w:pPr>
          </w:p>
        </w:tc>
        <w:tc>
          <w:tcPr>
            <w:tcW w:w="2464" w:type="dxa"/>
            <w:vAlign w:val="center"/>
          </w:tcPr>
          <w:p w14:paraId="1E74CA7D">
            <w:pPr>
              <w:adjustRightInd w:val="0"/>
              <w:snapToGrid w:val="0"/>
              <w:jc w:val="center"/>
              <w:rPr>
                <w:rFonts w:ascii="宋体" w:hAnsi="宋体" w:cs="宋体"/>
                <w:color w:val="auto"/>
                <w:szCs w:val="21"/>
                <w:highlight w:val="none"/>
              </w:rPr>
            </w:pPr>
          </w:p>
        </w:tc>
        <w:tc>
          <w:tcPr>
            <w:tcW w:w="981" w:type="dxa"/>
            <w:vAlign w:val="center"/>
          </w:tcPr>
          <w:p w14:paraId="1D11E4CC">
            <w:pPr>
              <w:adjustRightInd w:val="0"/>
              <w:snapToGrid w:val="0"/>
              <w:jc w:val="center"/>
              <w:rPr>
                <w:rFonts w:ascii="宋体" w:hAnsi="宋体" w:cs="宋体"/>
                <w:color w:val="auto"/>
                <w:szCs w:val="21"/>
                <w:highlight w:val="none"/>
              </w:rPr>
            </w:pPr>
          </w:p>
        </w:tc>
      </w:tr>
    </w:tbl>
    <w:p w14:paraId="64AAB9E4">
      <w:pPr>
        <w:topLinePunct/>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特别说明：</w:t>
      </w:r>
    </w:p>
    <w:p w14:paraId="25AD665B">
      <w:pPr>
        <w:topLinePunct/>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w:t>
      </w:r>
      <w:r>
        <w:rPr>
          <w:rFonts w:hint="eastAsia" w:ascii="宋体" w:hAnsi="宋体" w:cs="宋体"/>
          <w:color w:val="auto"/>
          <w:highlight w:val="none"/>
        </w:rPr>
        <w:t>应按磋商文件《第六章　项目采购需求》中的“</w:t>
      </w:r>
      <w:r>
        <w:rPr>
          <w:rFonts w:hint="eastAsia" w:ascii="宋体" w:hAnsi="宋体" w:eastAsia="宋体" w:cs="宋体"/>
          <w:b/>
          <w:bCs/>
          <w:color w:val="auto"/>
          <w:szCs w:val="21"/>
          <w:highlight w:val="none"/>
        </w:rPr>
        <w:t>二、技术要求</w:t>
      </w:r>
      <w:r>
        <w:rPr>
          <w:rFonts w:hint="eastAsia" w:ascii="宋体" w:hAnsi="宋体" w:cs="宋体"/>
          <w:color w:val="auto"/>
          <w:highlight w:val="none"/>
        </w:rPr>
        <w:t>”，结合自身</w:t>
      </w:r>
      <w:r>
        <w:rPr>
          <w:rFonts w:hint="eastAsia" w:ascii="宋体" w:hAnsi="宋体" w:cs="宋体"/>
          <w:color w:val="auto"/>
          <w:highlight w:val="none"/>
          <w:lang w:val="en-US" w:eastAsia="zh-CN"/>
        </w:rPr>
        <w:t>响应</w:t>
      </w:r>
      <w:r>
        <w:rPr>
          <w:rFonts w:hint="eastAsia" w:ascii="宋体" w:hAnsi="宋体" w:cs="宋体"/>
          <w:color w:val="auto"/>
          <w:highlight w:val="none"/>
        </w:rPr>
        <w:t>情况对技术条款逐条响应。</w:t>
      </w:r>
      <w:r>
        <w:rPr>
          <w:rFonts w:hint="eastAsia" w:ascii="宋体" w:hAnsi="宋体" w:cs="宋体"/>
          <w:color w:val="auto"/>
          <w:szCs w:val="21"/>
          <w:highlight w:val="none"/>
        </w:rPr>
        <w:t>如供应商对</w:t>
      </w:r>
      <w:r>
        <w:rPr>
          <w:rFonts w:hint="eastAsia" w:ascii="宋体" w:hAnsi="宋体" w:cs="宋体"/>
          <w:color w:val="auto"/>
          <w:highlight w:val="none"/>
        </w:rPr>
        <w:t>磋商文件《第六章　项目采购需求》中的“</w:t>
      </w:r>
      <w:r>
        <w:rPr>
          <w:rFonts w:hint="eastAsia" w:ascii="宋体" w:hAnsi="宋体" w:eastAsia="宋体" w:cs="宋体"/>
          <w:b/>
          <w:bCs/>
          <w:color w:val="auto"/>
          <w:szCs w:val="21"/>
          <w:highlight w:val="none"/>
        </w:rPr>
        <w:t>二、技术要求</w:t>
      </w:r>
      <w:r>
        <w:rPr>
          <w:rFonts w:hint="eastAsia" w:ascii="宋体" w:hAnsi="宋体" w:cs="宋体"/>
          <w:color w:val="auto"/>
          <w:highlight w:val="none"/>
        </w:rPr>
        <w:t>”</w:t>
      </w:r>
      <w:r>
        <w:rPr>
          <w:rFonts w:hint="eastAsia" w:ascii="宋体" w:hAnsi="宋体" w:cs="宋体"/>
          <w:color w:val="auto"/>
          <w:szCs w:val="21"/>
          <w:highlight w:val="none"/>
        </w:rPr>
        <w:t>内容不做一一响应，而</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“响应文件</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应答情况”</w:t>
      </w:r>
      <w:r>
        <w:rPr>
          <w:rFonts w:hint="eastAsia" w:ascii="宋体" w:hAnsi="宋体" w:cs="宋体"/>
          <w:color w:val="auto"/>
          <w:szCs w:val="21"/>
          <w:highlight w:val="none"/>
          <w:lang w:val="en-US" w:eastAsia="zh-CN"/>
        </w:rPr>
        <w:t>栏</w:t>
      </w:r>
      <w:r>
        <w:rPr>
          <w:rFonts w:hint="eastAsia" w:ascii="宋体" w:hAnsi="宋体" w:cs="宋体"/>
          <w:color w:val="auto"/>
          <w:szCs w:val="21"/>
          <w:highlight w:val="none"/>
        </w:rPr>
        <w:t>简单笼统描述为“无偏离”，则视为无效应答，将导致响应无效。</w:t>
      </w:r>
    </w:p>
    <w:p w14:paraId="26F5E880">
      <w:pPr>
        <w:topLinePunct/>
        <w:autoSpaceDE w:val="0"/>
        <w:autoSpaceDN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highlight w:val="none"/>
        </w:rPr>
        <w:t>磋商文件《第六章　项目采购需求》中的“</w:t>
      </w:r>
      <w:r>
        <w:rPr>
          <w:rFonts w:hint="eastAsia" w:ascii="宋体" w:hAnsi="宋体" w:eastAsia="宋体" w:cs="宋体"/>
          <w:b/>
          <w:bCs/>
          <w:color w:val="auto"/>
          <w:szCs w:val="21"/>
          <w:highlight w:val="none"/>
        </w:rPr>
        <w:t>二、技术要求</w:t>
      </w:r>
      <w:r>
        <w:rPr>
          <w:rFonts w:hint="eastAsia" w:ascii="宋体" w:hAnsi="宋体" w:cs="宋体"/>
          <w:color w:val="auto"/>
          <w:highlight w:val="none"/>
        </w:rPr>
        <w:t>”</w:t>
      </w:r>
      <w:r>
        <w:rPr>
          <w:rFonts w:hint="eastAsia" w:ascii="宋体" w:hAnsi="宋体" w:cs="宋体"/>
          <w:color w:val="auto"/>
          <w:szCs w:val="21"/>
          <w:highlight w:val="none"/>
        </w:rPr>
        <w:t>内容须条对条应答，不得遗漏；如有遗漏，则视为无效应答，将导致响应无效。如无偏离，请在此表中填写“无偏离”。如有偏离，请在此表中应答为“正/负偏离”并说明偏离情况</w:t>
      </w:r>
      <w:r>
        <w:rPr>
          <w:rFonts w:hint="eastAsia" w:ascii="宋体" w:hAnsi="宋体" w:cs="宋体"/>
          <w:color w:val="auto"/>
          <w:szCs w:val="21"/>
          <w:highlight w:val="none"/>
          <w:lang w:eastAsia="zh-CN"/>
        </w:rPr>
        <w:t>。</w:t>
      </w:r>
    </w:p>
    <w:p w14:paraId="22837B25">
      <w:pPr>
        <w:topLinePunct/>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3.如</w:t>
      </w:r>
      <w:r>
        <w:rPr>
          <w:rFonts w:hint="eastAsia" w:ascii="宋体" w:hAnsi="宋体" w:cs="宋体"/>
          <w:color w:val="auto"/>
          <w:highlight w:val="none"/>
        </w:rPr>
        <w:t>磋商文件《第六章　项目采购需求》中的“</w:t>
      </w:r>
      <w:r>
        <w:rPr>
          <w:rFonts w:hint="eastAsia" w:ascii="宋体" w:hAnsi="宋体" w:eastAsia="宋体" w:cs="宋体"/>
          <w:b/>
          <w:bCs/>
          <w:color w:val="auto"/>
          <w:szCs w:val="21"/>
          <w:highlight w:val="none"/>
        </w:rPr>
        <w:t>二、技术要求</w:t>
      </w:r>
      <w:r>
        <w:rPr>
          <w:rFonts w:hint="eastAsia" w:ascii="宋体" w:hAnsi="宋体" w:cs="宋体"/>
          <w:color w:val="auto"/>
          <w:highlight w:val="none"/>
        </w:rPr>
        <w:t>”</w:t>
      </w:r>
      <w:r>
        <w:rPr>
          <w:rFonts w:hint="eastAsia" w:ascii="宋体" w:hAnsi="宋体" w:cs="宋体"/>
          <w:color w:val="auto"/>
          <w:szCs w:val="21"/>
          <w:highlight w:val="none"/>
        </w:rPr>
        <w:t>中有标注★号的，则为实质性要求，必须满足，如应答为“负偏离”，将导致响应无效。</w:t>
      </w:r>
    </w:p>
    <w:p w14:paraId="212929A7">
      <w:pPr>
        <w:adjustRightInd w:val="0"/>
        <w:snapToGrid w:val="0"/>
        <w:spacing w:line="360" w:lineRule="auto"/>
        <w:ind w:firstLine="480" w:firstLineChars="200"/>
        <w:rPr>
          <w:rFonts w:ascii="宋体" w:hAnsi="宋体" w:cs="宋体"/>
          <w:color w:val="auto"/>
          <w:sz w:val="24"/>
          <w:highlight w:val="none"/>
        </w:rPr>
      </w:pPr>
    </w:p>
    <w:p w14:paraId="2F188032">
      <w:pPr>
        <w:pStyle w:val="34"/>
        <w:spacing w:after="156"/>
        <w:rPr>
          <w:rFonts w:ascii="宋体" w:hAnsi="宋体" w:cs="宋体"/>
          <w:color w:val="auto"/>
          <w:sz w:val="21"/>
          <w:szCs w:val="21"/>
          <w:highlight w:val="none"/>
        </w:rPr>
      </w:pPr>
    </w:p>
    <w:p w14:paraId="2A9217AD">
      <w:pPr>
        <w:tabs>
          <w:tab w:val="left" w:pos="1230"/>
        </w:tabs>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kern w:val="0"/>
          <w:szCs w:val="21"/>
          <w:highlight w:val="none"/>
        </w:rPr>
        <w:t>（全称并加盖公章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1487C7D5">
      <w:pPr>
        <w:tabs>
          <w:tab w:val="left" w:pos="1230"/>
        </w:tabs>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授权代表（签字）</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09D1D466">
      <w:pPr>
        <w:tabs>
          <w:tab w:val="left" w:pos="1230"/>
        </w:tabs>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p>
    <w:p w14:paraId="532511AE">
      <w:pPr>
        <w:jc w:val="center"/>
        <w:rPr>
          <w:rFonts w:ascii="宋体" w:hAnsi="宋体" w:cs="宋体"/>
          <w:color w:val="auto"/>
          <w:sz w:val="24"/>
          <w:highlight w:val="none"/>
        </w:rPr>
      </w:pPr>
    </w:p>
    <w:p w14:paraId="204CDAD5">
      <w:pPr>
        <w:bidi w:val="0"/>
        <w:rPr>
          <w:color w:val="auto"/>
          <w:highlight w:val="none"/>
        </w:rPr>
      </w:pPr>
    </w:p>
    <w:p w14:paraId="02D0BE4F">
      <w:pPr>
        <w:pStyle w:val="17"/>
        <w:rPr>
          <w:rFonts w:ascii="宋体" w:hAnsi="宋体" w:cs="宋体"/>
          <w:color w:val="auto"/>
          <w:sz w:val="24"/>
          <w:highlight w:val="none"/>
        </w:rPr>
      </w:pPr>
    </w:p>
    <w:p w14:paraId="12FAC758">
      <w:pPr>
        <w:pStyle w:val="17"/>
        <w:rPr>
          <w:rFonts w:ascii="宋体" w:hAnsi="宋体" w:cs="宋体"/>
          <w:color w:val="auto"/>
          <w:sz w:val="24"/>
          <w:highlight w:val="none"/>
        </w:rPr>
      </w:pPr>
    </w:p>
    <w:p w14:paraId="3281D0C9">
      <w:pPr>
        <w:pStyle w:val="17"/>
        <w:rPr>
          <w:rFonts w:ascii="宋体" w:hAnsi="宋体" w:cs="宋体"/>
          <w:color w:val="auto"/>
          <w:sz w:val="24"/>
          <w:highlight w:val="none"/>
        </w:rPr>
      </w:pPr>
    </w:p>
    <w:p w14:paraId="663132B2">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格式</w:t>
      </w:r>
      <w:r>
        <w:rPr>
          <w:rFonts w:hint="eastAsia" w:ascii="宋体" w:hAnsi="宋体" w:cs="宋体"/>
          <w:b/>
          <w:bCs/>
          <w:color w:val="auto"/>
          <w:sz w:val="28"/>
          <w:szCs w:val="28"/>
          <w:highlight w:val="none"/>
          <w:lang w:val="en-US" w:eastAsia="zh-CN"/>
        </w:rPr>
        <w:t>8</w:t>
      </w:r>
      <w:r>
        <w:rPr>
          <w:rFonts w:hint="eastAsia" w:ascii="宋体" w:hAnsi="宋体" w:cs="宋体"/>
          <w:b/>
          <w:bCs/>
          <w:color w:val="auto"/>
          <w:sz w:val="28"/>
          <w:szCs w:val="28"/>
          <w:highlight w:val="none"/>
        </w:rPr>
        <w:t xml:space="preserve">  服务方案</w:t>
      </w:r>
    </w:p>
    <w:p w14:paraId="2EDAA948">
      <w:pPr>
        <w:ind w:firstLine="560" w:firstLineChars="200"/>
        <w:rPr>
          <w:rFonts w:ascii="宋体" w:hAnsi="宋体" w:cs="宋体"/>
          <w:color w:val="auto"/>
          <w:sz w:val="28"/>
          <w:szCs w:val="28"/>
          <w:highlight w:val="none"/>
        </w:rPr>
      </w:pPr>
    </w:p>
    <w:p w14:paraId="4C341B5F">
      <w:pPr>
        <w:adjustRightInd w:val="0"/>
        <w:snapToGrid w:val="0"/>
        <w:spacing w:line="360" w:lineRule="auto"/>
        <w:jc w:val="center"/>
        <w:rPr>
          <w:rFonts w:ascii="宋体" w:hAnsi="宋体" w:cs="宋体"/>
          <w:color w:val="auto"/>
          <w:szCs w:val="21"/>
          <w:highlight w:val="none"/>
        </w:rPr>
      </w:pPr>
      <w:r>
        <w:rPr>
          <w:rFonts w:hint="eastAsia" w:ascii="宋体" w:hAnsi="宋体" w:cs="宋体"/>
          <w:b/>
          <w:bCs/>
          <w:color w:val="auto"/>
          <w:sz w:val="28"/>
          <w:szCs w:val="28"/>
          <w:highlight w:val="none"/>
        </w:rPr>
        <w:t>服务方案说明</w:t>
      </w:r>
    </w:p>
    <w:p w14:paraId="2093CBAA">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服务类项目供应商应根据第三章及第六章规定编写服务方案说明。服务方案说明包括但不限于：</w:t>
      </w:r>
    </w:p>
    <w:p w14:paraId="2B608CC0">
      <w:pPr>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u w:val="none"/>
        </w:rPr>
        <w:t>1）</w:t>
      </w:r>
      <w:r>
        <w:rPr>
          <w:rFonts w:hint="eastAsia" w:asciiTheme="minorEastAsia" w:hAnsiTheme="minorEastAsia" w:eastAsiaTheme="minorEastAsia" w:cstheme="minorEastAsia"/>
          <w:color w:val="auto"/>
          <w:highlight w:val="none"/>
          <w:u w:val="none"/>
          <w:lang w:val="en-US" w:eastAsia="zh-CN"/>
        </w:rPr>
        <w:t>保安服务方案</w:t>
      </w:r>
      <w:r>
        <w:rPr>
          <w:rFonts w:hint="eastAsia" w:ascii="宋体" w:hAnsi="宋体" w:cs="宋体"/>
          <w:color w:val="auto"/>
          <w:kern w:val="0"/>
          <w:szCs w:val="21"/>
          <w:highlight w:val="none"/>
          <w:u w:val="none"/>
          <w:lang w:val="en-US" w:eastAsia="zh-CN"/>
        </w:rPr>
        <w:t>；</w:t>
      </w:r>
    </w:p>
    <w:p w14:paraId="2A88A2F7">
      <w:pPr>
        <w:spacing w:line="360" w:lineRule="auto"/>
        <w:ind w:firstLine="420" w:firstLineChars="200"/>
        <w:jc w:val="left"/>
        <w:rPr>
          <w:rFonts w:hint="eastAsia" w:ascii="宋体" w:hAnsi="宋体" w:cs="宋体"/>
          <w:color w:val="auto"/>
          <w:kern w:val="0"/>
          <w:szCs w:val="21"/>
          <w:highlight w:val="none"/>
          <w:u w:val="none"/>
          <w:lang w:val="en-US" w:eastAsia="zh-CN"/>
        </w:rPr>
      </w:pPr>
      <w:r>
        <w:rPr>
          <w:rFonts w:hint="eastAsia" w:ascii="宋体" w:hAnsi="宋体" w:cs="宋体"/>
          <w:color w:val="auto"/>
          <w:kern w:val="0"/>
          <w:szCs w:val="21"/>
          <w:highlight w:val="none"/>
          <w:u w:val="none"/>
          <w:lang w:val="en-US" w:eastAsia="zh-CN"/>
        </w:rPr>
        <w:t>（2）</w:t>
      </w:r>
      <w:r>
        <w:rPr>
          <w:rFonts w:hint="eastAsia" w:asciiTheme="minorEastAsia" w:hAnsiTheme="minorEastAsia" w:eastAsiaTheme="minorEastAsia" w:cstheme="minorEastAsia"/>
          <w:color w:val="auto"/>
          <w:highlight w:val="none"/>
          <w:u w:val="none"/>
          <w:lang w:val="en-US" w:eastAsia="zh-CN"/>
        </w:rPr>
        <w:t>保洁服务方案</w:t>
      </w:r>
      <w:r>
        <w:rPr>
          <w:rFonts w:hint="eastAsia" w:ascii="宋体" w:hAnsi="宋体" w:cs="宋体"/>
          <w:color w:val="auto"/>
          <w:kern w:val="0"/>
          <w:szCs w:val="21"/>
          <w:highlight w:val="none"/>
          <w:u w:val="none"/>
          <w:lang w:val="en-US" w:eastAsia="zh-CN"/>
        </w:rPr>
        <w:t>；</w:t>
      </w:r>
    </w:p>
    <w:p w14:paraId="431427FC">
      <w:pPr>
        <w:spacing w:line="360" w:lineRule="auto"/>
        <w:ind w:firstLine="420" w:firstLineChars="200"/>
        <w:jc w:val="left"/>
        <w:rPr>
          <w:rFonts w:hint="eastAsia" w:ascii="宋体" w:hAnsi="宋体" w:cs="宋体"/>
          <w:color w:val="auto"/>
          <w:kern w:val="0"/>
          <w:szCs w:val="21"/>
          <w:highlight w:val="none"/>
          <w:u w:val="none"/>
          <w:lang w:val="en-US" w:eastAsia="zh-CN"/>
        </w:rPr>
      </w:pPr>
      <w:r>
        <w:rPr>
          <w:rFonts w:hint="eastAsia" w:ascii="宋体" w:hAnsi="宋体" w:cs="宋体"/>
          <w:color w:val="auto"/>
          <w:kern w:val="0"/>
          <w:szCs w:val="21"/>
          <w:highlight w:val="none"/>
          <w:u w:val="none"/>
          <w:lang w:val="en-US" w:eastAsia="zh-CN"/>
        </w:rPr>
        <w:t>（3）</w:t>
      </w:r>
      <w:r>
        <w:rPr>
          <w:rFonts w:hint="eastAsia" w:asciiTheme="minorEastAsia" w:hAnsiTheme="minorEastAsia" w:eastAsiaTheme="minorEastAsia" w:cstheme="minorEastAsia"/>
          <w:color w:val="auto"/>
          <w:highlight w:val="none"/>
          <w:u w:val="none"/>
          <w:lang w:val="en-US" w:eastAsia="zh-CN"/>
        </w:rPr>
        <w:t>档案管理及会议服务方案</w:t>
      </w:r>
      <w:r>
        <w:rPr>
          <w:rFonts w:hint="eastAsia" w:ascii="宋体" w:hAnsi="宋体" w:cs="宋体"/>
          <w:color w:val="auto"/>
          <w:kern w:val="0"/>
          <w:szCs w:val="21"/>
          <w:highlight w:val="none"/>
          <w:u w:val="none"/>
          <w:lang w:val="en-US" w:eastAsia="zh-CN"/>
        </w:rPr>
        <w:t>；</w:t>
      </w:r>
    </w:p>
    <w:p w14:paraId="685BA05F">
      <w:pPr>
        <w:spacing w:line="360" w:lineRule="auto"/>
        <w:ind w:firstLine="420" w:firstLineChars="200"/>
        <w:jc w:val="left"/>
        <w:rPr>
          <w:rFonts w:hint="default" w:ascii="宋体" w:hAnsi="宋体" w:cs="宋体"/>
          <w:color w:val="auto"/>
          <w:kern w:val="0"/>
          <w:szCs w:val="21"/>
          <w:highlight w:val="none"/>
          <w:u w:val="none"/>
          <w:lang w:val="en-US" w:eastAsia="zh-CN"/>
        </w:rPr>
      </w:pPr>
      <w:r>
        <w:rPr>
          <w:rFonts w:hint="eastAsia" w:ascii="宋体" w:hAnsi="宋体" w:cs="宋体"/>
          <w:color w:val="auto"/>
          <w:kern w:val="0"/>
          <w:szCs w:val="21"/>
          <w:highlight w:val="none"/>
          <w:u w:val="none"/>
          <w:lang w:val="en-US" w:eastAsia="zh-CN"/>
        </w:rPr>
        <w:t>（4）</w:t>
      </w:r>
      <w:r>
        <w:rPr>
          <w:rFonts w:hint="eastAsia" w:asciiTheme="minorEastAsia" w:hAnsiTheme="minorEastAsia" w:eastAsiaTheme="minorEastAsia" w:cstheme="minorEastAsia"/>
          <w:color w:val="auto"/>
          <w:highlight w:val="none"/>
          <w:u w:val="none"/>
          <w:lang w:val="en-US" w:eastAsia="zh-CN"/>
        </w:rPr>
        <w:t>供电设备监控维护管理方案</w:t>
      </w:r>
      <w:r>
        <w:rPr>
          <w:rFonts w:hint="eastAsia" w:ascii="宋体" w:hAnsi="宋体" w:cs="宋体"/>
          <w:color w:val="auto"/>
          <w:kern w:val="0"/>
          <w:szCs w:val="21"/>
          <w:highlight w:val="none"/>
          <w:u w:val="none"/>
          <w:lang w:val="en-US" w:eastAsia="zh-CN"/>
        </w:rPr>
        <w:t>；</w:t>
      </w:r>
    </w:p>
    <w:p w14:paraId="06C39704">
      <w:pPr>
        <w:spacing w:line="360" w:lineRule="auto"/>
        <w:ind w:firstLine="420" w:firstLineChars="200"/>
        <w:jc w:val="left"/>
        <w:rPr>
          <w:rFonts w:hint="eastAsia" w:asciiTheme="minorEastAsia" w:hAnsiTheme="minorEastAsia" w:eastAsiaTheme="minorEastAsia" w:cstheme="minorEastAsia"/>
          <w:color w:val="auto"/>
          <w:highlight w:val="none"/>
          <w:u w:val="none"/>
          <w:lang w:val="en-US" w:eastAsia="zh-CN"/>
        </w:rPr>
      </w:pPr>
      <w:r>
        <w:rPr>
          <w:rFonts w:hint="eastAsia" w:ascii="宋体" w:hAnsi="宋体" w:cs="宋体"/>
          <w:color w:val="auto"/>
          <w:kern w:val="0"/>
          <w:szCs w:val="21"/>
          <w:highlight w:val="none"/>
          <w:u w:val="none"/>
          <w:lang w:eastAsia="zh-CN"/>
        </w:rPr>
        <w:t>（</w:t>
      </w:r>
      <w:r>
        <w:rPr>
          <w:rFonts w:hint="eastAsia" w:ascii="宋体" w:hAnsi="宋体" w:cs="宋体"/>
          <w:color w:val="auto"/>
          <w:kern w:val="0"/>
          <w:szCs w:val="21"/>
          <w:highlight w:val="none"/>
          <w:u w:val="none"/>
          <w:lang w:val="en-US" w:eastAsia="zh-CN"/>
        </w:rPr>
        <w:t>5）</w:t>
      </w:r>
      <w:r>
        <w:rPr>
          <w:rFonts w:hint="eastAsia" w:asciiTheme="minorEastAsia" w:hAnsiTheme="minorEastAsia" w:eastAsiaTheme="minorEastAsia" w:cstheme="minorEastAsia"/>
          <w:color w:val="auto"/>
          <w:highlight w:val="none"/>
          <w:u w:val="none"/>
          <w:lang w:val="en-US" w:eastAsia="zh-CN"/>
        </w:rPr>
        <w:t>食堂餐饮服务方案</w:t>
      </w:r>
    </w:p>
    <w:p w14:paraId="7DA98DDE">
      <w:pPr>
        <w:spacing w:line="360" w:lineRule="auto"/>
        <w:ind w:firstLine="420" w:firstLineChars="200"/>
        <w:jc w:val="left"/>
        <w:rPr>
          <w:rFonts w:hint="eastAsia" w:ascii="宋体" w:hAnsi="宋体" w:cs="宋体"/>
          <w:color w:val="auto"/>
          <w:kern w:val="0"/>
          <w:szCs w:val="21"/>
          <w:highlight w:val="none"/>
          <w:u w:val="none"/>
        </w:rPr>
      </w:pPr>
      <w:r>
        <w:rPr>
          <w:rFonts w:hint="eastAsia" w:asciiTheme="minorEastAsia" w:hAnsiTheme="minorEastAsia" w:eastAsiaTheme="minorEastAsia" w:cstheme="minorEastAsia"/>
          <w:color w:val="auto"/>
          <w:highlight w:val="none"/>
          <w:u w:val="none"/>
          <w:lang w:val="en-US" w:eastAsia="zh-CN"/>
        </w:rPr>
        <w:t>（6）其他</w:t>
      </w:r>
      <w:r>
        <w:rPr>
          <w:rFonts w:hint="eastAsia" w:ascii="宋体" w:hAnsi="宋体" w:cs="宋体"/>
          <w:color w:val="auto"/>
          <w:kern w:val="0"/>
          <w:szCs w:val="21"/>
          <w:highlight w:val="none"/>
          <w:u w:val="none"/>
        </w:rPr>
        <w:t>。</w:t>
      </w:r>
    </w:p>
    <w:p w14:paraId="5C7BA2B1">
      <w:pPr>
        <w:ind w:firstLine="420" w:firstLineChars="200"/>
        <w:rPr>
          <w:rFonts w:ascii="宋体" w:hAnsi="宋体" w:cs="宋体"/>
          <w:color w:val="auto"/>
          <w:szCs w:val="21"/>
          <w:highlight w:val="none"/>
        </w:rPr>
      </w:pPr>
    </w:p>
    <w:p w14:paraId="0B70014B">
      <w:pPr>
        <w:spacing w:line="360" w:lineRule="auto"/>
        <w:jc w:val="center"/>
        <w:rPr>
          <w:rFonts w:ascii="宋体" w:hAnsi="宋体" w:cs="宋体"/>
          <w:color w:val="auto"/>
          <w:kern w:val="0"/>
          <w:sz w:val="24"/>
          <w:highlight w:val="none"/>
        </w:rPr>
      </w:pPr>
    </w:p>
    <w:p w14:paraId="45F51489">
      <w:pPr>
        <w:spacing w:line="360" w:lineRule="auto"/>
        <w:jc w:val="center"/>
        <w:rPr>
          <w:rFonts w:ascii="宋体" w:hAnsi="宋体" w:cs="宋体"/>
          <w:color w:val="auto"/>
          <w:kern w:val="0"/>
          <w:sz w:val="24"/>
          <w:highlight w:val="none"/>
        </w:rPr>
      </w:pPr>
    </w:p>
    <w:p w14:paraId="7BDAA1EE">
      <w:pPr>
        <w:spacing w:line="360" w:lineRule="auto"/>
        <w:jc w:val="center"/>
        <w:rPr>
          <w:rFonts w:ascii="宋体" w:hAnsi="宋体" w:cs="宋体"/>
          <w:b/>
          <w:bCs/>
          <w:color w:val="auto"/>
          <w:sz w:val="28"/>
          <w:szCs w:val="28"/>
          <w:highlight w:val="none"/>
        </w:rPr>
      </w:pPr>
      <w:r>
        <w:rPr>
          <w:rFonts w:hint="eastAsia" w:ascii="宋体" w:hAnsi="宋体" w:cs="宋体"/>
          <w:color w:val="auto"/>
          <w:szCs w:val="21"/>
          <w:highlight w:val="none"/>
        </w:rPr>
        <w:br w:type="page"/>
      </w:r>
      <w:r>
        <w:rPr>
          <w:rFonts w:hint="eastAsia" w:ascii="宋体" w:hAnsi="宋体" w:cs="宋体"/>
          <w:b/>
          <w:bCs/>
          <w:color w:val="auto"/>
          <w:sz w:val="28"/>
          <w:szCs w:val="28"/>
          <w:highlight w:val="none"/>
        </w:rPr>
        <w:t>格式</w:t>
      </w:r>
      <w:r>
        <w:rPr>
          <w:rFonts w:hint="eastAsia" w:ascii="宋体" w:hAnsi="宋体" w:cs="宋体"/>
          <w:b/>
          <w:bCs/>
          <w:color w:val="auto"/>
          <w:sz w:val="28"/>
          <w:szCs w:val="28"/>
          <w:highlight w:val="none"/>
          <w:lang w:val="en-US" w:eastAsia="zh-CN"/>
        </w:rPr>
        <w:t>9</w:t>
      </w:r>
      <w:r>
        <w:rPr>
          <w:rFonts w:hint="eastAsia" w:ascii="宋体" w:hAnsi="宋体" w:cs="宋体"/>
          <w:b/>
          <w:bCs/>
          <w:color w:val="auto"/>
          <w:sz w:val="28"/>
          <w:szCs w:val="28"/>
          <w:highlight w:val="none"/>
        </w:rPr>
        <w:t xml:space="preserve"> 拟投入</w:t>
      </w:r>
      <w:r>
        <w:rPr>
          <w:rFonts w:hint="eastAsia" w:ascii="宋体" w:hAnsi="宋体" w:cs="宋体"/>
          <w:b/>
          <w:bCs/>
          <w:color w:val="auto"/>
          <w:sz w:val="28"/>
          <w:szCs w:val="28"/>
          <w:highlight w:val="none"/>
          <w:lang w:eastAsia="zh-CN"/>
        </w:rPr>
        <w:t>技术力量</w:t>
      </w:r>
      <w:r>
        <w:rPr>
          <w:rFonts w:hint="eastAsia" w:ascii="宋体" w:hAnsi="宋体" w:cs="宋体"/>
          <w:b/>
          <w:bCs/>
          <w:color w:val="auto"/>
          <w:sz w:val="28"/>
          <w:szCs w:val="28"/>
          <w:highlight w:val="none"/>
        </w:rPr>
        <w:t>一览表</w:t>
      </w:r>
    </w:p>
    <w:tbl>
      <w:tblPr>
        <w:tblStyle w:val="20"/>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321"/>
        <w:gridCol w:w="1156"/>
        <w:gridCol w:w="1158"/>
        <w:gridCol w:w="1242"/>
        <w:gridCol w:w="1371"/>
        <w:gridCol w:w="1549"/>
        <w:gridCol w:w="686"/>
      </w:tblGrid>
      <w:tr w14:paraId="527D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773" w:type="dxa"/>
            <w:tcBorders>
              <w:top w:val="single" w:color="auto" w:sz="4" w:space="0"/>
              <w:left w:val="single" w:color="auto" w:sz="4" w:space="0"/>
              <w:bottom w:val="single" w:color="auto" w:sz="4" w:space="0"/>
              <w:right w:val="single" w:color="auto" w:sz="4" w:space="0"/>
            </w:tcBorders>
            <w:vAlign w:val="center"/>
          </w:tcPr>
          <w:p w14:paraId="18C004AF">
            <w:pPr>
              <w:adjustRightInd w:val="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321" w:type="dxa"/>
            <w:tcBorders>
              <w:top w:val="single" w:color="auto" w:sz="4" w:space="0"/>
              <w:left w:val="single" w:color="auto" w:sz="4" w:space="0"/>
              <w:bottom w:val="single" w:color="auto" w:sz="4" w:space="0"/>
              <w:right w:val="single" w:color="auto" w:sz="4" w:space="0"/>
            </w:tcBorders>
            <w:vAlign w:val="center"/>
          </w:tcPr>
          <w:p w14:paraId="76D346E5">
            <w:pPr>
              <w:adjustRightInd w:val="0"/>
              <w:jc w:val="center"/>
              <w:rPr>
                <w:rFonts w:ascii="宋体" w:hAnsi="宋体" w:cs="宋体"/>
                <w:b/>
                <w:color w:val="auto"/>
                <w:szCs w:val="21"/>
                <w:highlight w:val="none"/>
              </w:rPr>
            </w:pPr>
            <w:r>
              <w:rPr>
                <w:rFonts w:hint="eastAsia" w:ascii="宋体" w:hAnsi="宋体" w:cs="宋体"/>
                <w:b/>
                <w:color w:val="auto"/>
                <w:szCs w:val="21"/>
                <w:highlight w:val="none"/>
              </w:rPr>
              <w:t>姓 名</w:t>
            </w:r>
          </w:p>
        </w:tc>
        <w:tc>
          <w:tcPr>
            <w:tcW w:w="1156" w:type="dxa"/>
            <w:tcBorders>
              <w:top w:val="single" w:color="auto" w:sz="4" w:space="0"/>
              <w:left w:val="single" w:color="auto" w:sz="4" w:space="0"/>
              <w:bottom w:val="single" w:color="auto" w:sz="4" w:space="0"/>
              <w:right w:val="single" w:color="auto" w:sz="4" w:space="0"/>
            </w:tcBorders>
            <w:vAlign w:val="center"/>
          </w:tcPr>
          <w:p w14:paraId="256F95A6">
            <w:pPr>
              <w:adjustRightInd w:val="0"/>
              <w:jc w:val="center"/>
              <w:rPr>
                <w:rFonts w:ascii="宋体" w:hAnsi="宋体" w:cs="宋体"/>
                <w:b/>
                <w:color w:val="auto"/>
                <w:szCs w:val="21"/>
                <w:highlight w:val="none"/>
              </w:rPr>
            </w:pPr>
            <w:r>
              <w:rPr>
                <w:rFonts w:hint="eastAsia" w:ascii="宋体" w:hAnsi="宋体" w:cs="宋体"/>
                <w:b/>
                <w:color w:val="auto"/>
                <w:szCs w:val="21"/>
                <w:highlight w:val="none"/>
              </w:rPr>
              <w:t>年龄</w:t>
            </w:r>
          </w:p>
        </w:tc>
        <w:tc>
          <w:tcPr>
            <w:tcW w:w="1158" w:type="dxa"/>
            <w:tcBorders>
              <w:top w:val="single" w:color="auto" w:sz="4" w:space="0"/>
              <w:left w:val="single" w:color="auto" w:sz="4" w:space="0"/>
              <w:bottom w:val="single" w:color="auto" w:sz="4" w:space="0"/>
              <w:right w:val="single" w:color="auto" w:sz="4" w:space="0"/>
            </w:tcBorders>
            <w:vAlign w:val="center"/>
          </w:tcPr>
          <w:p w14:paraId="2C218BAF">
            <w:pPr>
              <w:adjustRightInd w:val="0"/>
              <w:jc w:val="center"/>
              <w:rPr>
                <w:rFonts w:ascii="宋体" w:hAnsi="宋体" w:cs="宋体"/>
                <w:b/>
                <w:color w:val="auto"/>
                <w:szCs w:val="21"/>
                <w:highlight w:val="none"/>
              </w:rPr>
            </w:pPr>
            <w:r>
              <w:rPr>
                <w:rFonts w:hint="eastAsia" w:ascii="宋体" w:hAnsi="宋体" w:cs="宋体"/>
                <w:b/>
                <w:color w:val="auto"/>
                <w:szCs w:val="21"/>
                <w:highlight w:val="none"/>
              </w:rPr>
              <w:t>技术职称或学历</w:t>
            </w:r>
          </w:p>
        </w:tc>
        <w:tc>
          <w:tcPr>
            <w:tcW w:w="1242" w:type="dxa"/>
            <w:tcBorders>
              <w:top w:val="single" w:color="auto" w:sz="4" w:space="0"/>
              <w:left w:val="single" w:color="auto" w:sz="4" w:space="0"/>
              <w:bottom w:val="single" w:color="auto" w:sz="4" w:space="0"/>
              <w:right w:val="single" w:color="auto" w:sz="4" w:space="0"/>
            </w:tcBorders>
            <w:vAlign w:val="center"/>
          </w:tcPr>
          <w:p w14:paraId="28A70F16">
            <w:pPr>
              <w:adjustRightInd w:val="0"/>
              <w:jc w:val="center"/>
              <w:rPr>
                <w:rFonts w:ascii="宋体" w:hAnsi="宋体" w:cs="宋体"/>
                <w:b/>
                <w:color w:val="auto"/>
                <w:szCs w:val="21"/>
                <w:highlight w:val="none"/>
              </w:rPr>
            </w:pPr>
            <w:r>
              <w:rPr>
                <w:rFonts w:hint="eastAsia" w:ascii="宋体" w:hAnsi="宋体" w:cs="宋体"/>
                <w:b/>
                <w:color w:val="auto"/>
                <w:szCs w:val="21"/>
                <w:highlight w:val="none"/>
              </w:rPr>
              <w:t>工作年限</w:t>
            </w:r>
          </w:p>
        </w:tc>
        <w:tc>
          <w:tcPr>
            <w:tcW w:w="1371" w:type="dxa"/>
            <w:tcBorders>
              <w:top w:val="single" w:color="auto" w:sz="4" w:space="0"/>
              <w:left w:val="single" w:color="auto" w:sz="4" w:space="0"/>
              <w:bottom w:val="single" w:color="auto" w:sz="4" w:space="0"/>
              <w:right w:val="single" w:color="auto" w:sz="4" w:space="0"/>
            </w:tcBorders>
            <w:vAlign w:val="center"/>
          </w:tcPr>
          <w:p w14:paraId="2CB24EAC">
            <w:pPr>
              <w:adjustRightInd w:val="0"/>
              <w:jc w:val="center"/>
              <w:rPr>
                <w:rFonts w:ascii="宋体" w:hAnsi="宋体" w:cs="宋体"/>
                <w:b/>
                <w:color w:val="auto"/>
                <w:szCs w:val="21"/>
                <w:highlight w:val="none"/>
              </w:rPr>
            </w:pPr>
            <w:r>
              <w:rPr>
                <w:rFonts w:hint="eastAsia" w:ascii="宋体" w:hAnsi="宋体" w:cs="宋体"/>
                <w:b/>
                <w:color w:val="auto"/>
                <w:szCs w:val="21"/>
                <w:highlight w:val="none"/>
              </w:rPr>
              <w:t>本项目中担任职务或岗位</w:t>
            </w:r>
          </w:p>
        </w:tc>
        <w:tc>
          <w:tcPr>
            <w:tcW w:w="1549" w:type="dxa"/>
            <w:tcBorders>
              <w:top w:val="single" w:color="auto" w:sz="4" w:space="0"/>
              <w:left w:val="single" w:color="auto" w:sz="4" w:space="0"/>
              <w:bottom w:val="single" w:color="auto" w:sz="4" w:space="0"/>
              <w:right w:val="single" w:color="auto" w:sz="4" w:space="0"/>
            </w:tcBorders>
            <w:vAlign w:val="center"/>
          </w:tcPr>
          <w:p w14:paraId="2D27BECE">
            <w:pPr>
              <w:adjustRightInd w:val="0"/>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工作履历</w:t>
            </w:r>
          </w:p>
        </w:tc>
        <w:tc>
          <w:tcPr>
            <w:tcW w:w="686" w:type="dxa"/>
            <w:tcBorders>
              <w:top w:val="single" w:color="auto" w:sz="4" w:space="0"/>
              <w:left w:val="single" w:color="auto" w:sz="4" w:space="0"/>
              <w:bottom w:val="single" w:color="auto" w:sz="4" w:space="0"/>
              <w:right w:val="single" w:color="auto" w:sz="4" w:space="0"/>
            </w:tcBorders>
            <w:vAlign w:val="center"/>
          </w:tcPr>
          <w:p w14:paraId="0C27D45A">
            <w:pPr>
              <w:adjustRightInd w:val="0"/>
              <w:jc w:val="center"/>
              <w:rPr>
                <w:rFonts w:hint="default"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备注</w:t>
            </w:r>
          </w:p>
        </w:tc>
      </w:tr>
      <w:tr w14:paraId="6091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73" w:type="dxa"/>
            <w:tcBorders>
              <w:top w:val="single" w:color="auto" w:sz="4" w:space="0"/>
              <w:left w:val="single" w:color="auto" w:sz="4" w:space="0"/>
              <w:bottom w:val="single" w:color="auto" w:sz="4" w:space="0"/>
              <w:right w:val="single" w:color="auto" w:sz="4" w:space="0"/>
            </w:tcBorders>
            <w:vAlign w:val="center"/>
          </w:tcPr>
          <w:p w14:paraId="3AF7A4CD">
            <w:pPr>
              <w:adjustRightIn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1321" w:type="dxa"/>
            <w:tcBorders>
              <w:top w:val="single" w:color="auto" w:sz="4" w:space="0"/>
              <w:left w:val="single" w:color="auto" w:sz="4" w:space="0"/>
              <w:bottom w:val="single" w:color="auto" w:sz="4" w:space="0"/>
              <w:right w:val="single" w:color="auto" w:sz="4" w:space="0"/>
            </w:tcBorders>
            <w:vAlign w:val="center"/>
          </w:tcPr>
          <w:p w14:paraId="62DCD122">
            <w:pPr>
              <w:adjustRightInd w:val="0"/>
              <w:jc w:val="center"/>
              <w:rPr>
                <w:rFonts w:ascii="宋体" w:hAnsi="宋体" w:cs="宋体"/>
                <w:color w:val="auto"/>
                <w:szCs w:val="21"/>
                <w:highlight w:val="none"/>
              </w:rPr>
            </w:pPr>
          </w:p>
        </w:tc>
        <w:tc>
          <w:tcPr>
            <w:tcW w:w="1156" w:type="dxa"/>
            <w:tcBorders>
              <w:top w:val="single" w:color="auto" w:sz="4" w:space="0"/>
              <w:left w:val="single" w:color="auto" w:sz="4" w:space="0"/>
              <w:bottom w:val="single" w:color="auto" w:sz="4" w:space="0"/>
              <w:right w:val="single" w:color="auto" w:sz="4" w:space="0"/>
            </w:tcBorders>
            <w:vAlign w:val="center"/>
          </w:tcPr>
          <w:p w14:paraId="12EE3611">
            <w:pPr>
              <w:adjustRightInd w:val="0"/>
              <w:jc w:val="center"/>
              <w:rPr>
                <w:rFonts w:ascii="宋体" w:hAnsi="宋体" w:cs="宋体"/>
                <w:color w:val="auto"/>
                <w:szCs w:val="21"/>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026CB70F">
            <w:pPr>
              <w:adjustRightInd w:val="0"/>
              <w:jc w:val="center"/>
              <w:rPr>
                <w:rFonts w:ascii="宋体" w:hAnsi="宋体" w:cs="宋体"/>
                <w:color w:val="auto"/>
                <w:szCs w:val="21"/>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477FC0F7">
            <w:pPr>
              <w:adjustRightInd w:val="0"/>
              <w:jc w:val="center"/>
              <w:rPr>
                <w:rFonts w:ascii="宋体" w:hAnsi="宋体" w:cs="宋体"/>
                <w:color w:val="auto"/>
                <w:szCs w:val="2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38FF0C2E">
            <w:pPr>
              <w:adjustRightInd w:val="0"/>
              <w:jc w:val="center"/>
              <w:rPr>
                <w:rFonts w:ascii="宋体" w:hAnsi="宋体" w:cs="宋体"/>
                <w:color w:val="auto"/>
                <w:szCs w:val="21"/>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430795A6">
            <w:pPr>
              <w:adjustRightInd w:val="0"/>
              <w:jc w:val="center"/>
              <w:rPr>
                <w:rFonts w:ascii="宋体" w:hAnsi="宋体" w:cs="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vAlign w:val="center"/>
          </w:tcPr>
          <w:p w14:paraId="04B136FD">
            <w:pPr>
              <w:adjustRightInd w:val="0"/>
              <w:jc w:val="center"/>
              <w:rPr>
                <w:rFonts w:ascii="宋体" w:hAnsi="宋体" w:cs="宋体"/>
                <w:color w:val="auto"/>
                <w:szCs w:val="21"/>
                <w:highlight w:val="none"/>
              </w:rPr>
            </w:pPr>
          </w:p>
        </w:tc>
      </w:tr>
      <w:tr w14:paraId="0363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73" w:type="dxa"/>
            <w:tcBorders>
              <w:top w:val="single" w:color="auto" w:sz="4" w:space="0"/>
              <w:left w:val="single" w:color="auto" w:sz="4" w:space="0"/>
              <w:bottom w:val="single" w:color="auto" w:sz="4" w:space="0"/>
              <w:right w:val="single" w:color="auto" w:sz="4" w:space="0"/>
            </w:tcBorders>
            <w:vAlign w:val="center"/>
          </w:tcPr>
          <w:p w14:paraId="52CA8104">
            <w:pPr>
              <w:adjustRightIn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1321" w:type="dxa"/>
            <w:tcBorders>
              <w:top w:val="single" w:color="auto" w:sz="4" w:space="0"/>
              <w:left w:val="single" w:color="auto" w:sz="4" w:space="0"/>
              <w:bottom w:val="single" w:color="auto" w:sz="4" w:space="0"/>
              <w:right w:val="single" w:color="auto" w:sz="4" w:space="0"/>
            </w:tcBorders>
            <w:vAlign w:val="center"/>
          </w:tcPr>
          <w:p w14:paraId="148E4F82">
            <w:pPr>
              <w:adjustRightInd w:val="0"/>
              <w:jc w:val="center"/>
              <w:rPr>
                <w:rFonts w:ascii="宋体" w:hAnsi="宋体" w:cs="宋体"/>
                <w:color w:val="auto"/>
                <w:szCs w:val="21"/>
                <w:highlight w:val="none"/>
              </w:rPr>
            </w:pPr>
          </w:p>
        </w:tc>
        <w:tc>
          <w:tcPr>
            <w:tcW w:w="1156" w:type="dxa"/>
            <w:tcBorders>
              <w:top w:val="single" w:color="auto" w:sz="4" w:space="0"/>
              <w:left w:val="single" w:color="auto" w:sz="4" w:space="0"/>
              <w:bottom w:val="single" w:color="auto" w:sz="4" w:space="0"/>
              <w:right w:val="single" w:color="auto" w:sz="4" w:space="0"/>
            </w:tcBorders>
            <w:vAlign w:val="center"/>
          </w:tcPr>
          <w:p w14:paraId="62A20572">
            <w:pPr>
              <w:adjustRightInd w:val="0"/>
              <w:jc w:val="center"/>
              <w:rPr>
                <w:rFonts w:ascii="宋体" w:hAnsi="宋体" w:cs="宋体"/>
                <w:color w:val="auto"/>
                <w:szCs w:val="21"/>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1687E6D7">
            <w:pPr>
              <w:adjustRightInd w:val="0"/>
              <w:jc w:val="center"/>
              <w:rPr>
                <w:rFonts w:ascii="宋体" w:hAnsi="宋体" w:cs="宋体"/>
                <w:color w:val="auto"/>
                <w:szCs w:val="21"/>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7B83C30E">
            <w:pPr>
              <w:adjustRightInd w:val="0"/>
              <w:jc w:val="center"/>
              <w:rPr>
                <w:rFonts w:ascii="宋体" w:hAnsi="宋体" w:cs="宋体"/>
                <w:color w:val="auto"/>
                <w:szCs w:val="2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52DE0C64">
            <w:pPr>
              <w:adjustRightInd w:val="0"/>
              <w:jc w:val="center"/>
              <w:rPr>
                <w:rFonts w:ascii="宋体" w:hAnsi="宋体" w:cs="宋体"/>
                <w:color w:val="auto"/>
                <w:szCs w:val="21"/>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16DBD70E">
            <w:pPr>
              <w:adjustRightInd w:val="0"/>
              <w:jc w:val="center"/>
              <w:rPr>
                <w:rFonts w:ascii="宋体" w:hAnsi="宋体" w:cs="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vAlign w:val="center"/>
          </w:tcPr>
          <w:p w14:paraId="69468900">
            <w:pPr>
              <w:adjustRightInd w:val="0"/>
              <w:jc w:val="center"/>
              <w:rPr>
                <w:rFonts w:ascii="宋体" w:hAnsi="宋体" w:cs="宋体"/>
                <w:color w:val="auto"/>
                <w:szCs w:val="21"/>
                <w:highlight w:val="none"/>
              </w:rPr>
            </w:pPr>
          </w:p>
        </w:tc>
      </w:tr>
      <w:tr w14:paraId="4917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73" w:type="dxa"/>
            <w:tcBorders>
              <w:top w:val="single" w:color="auto" w:sz="4" w:space="0"/>
              <w:left w:val="single" w:color="auto" w:sz="4" w:space="0"/>
              <w:bottom w:val="single" w:color="auto" w:sz="4" w:space="0"/>
              <w:right w:val="single" w:color="auto" w:sz="4" w:space="0"/>
            </w:tcBorders>
            <w:vAlign w:val="center"/>
          </w:tcPr>
          <w:p w14:paraId="210A8583">
            <w:pPr>
              <w:adjustRightIn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1321" w:type="dxa"/>
            <w:tcBorders>
              <w:top w:val="single" w:color="auto" w:sz="4" w:space="0"/>
              <w:left w:val="single" w:color="auto" w:sz="4" w:space="0"/>
              <w:bottom w:val="single" w:color="auto" w:sz="4" w:space="0"/>
              <w:right w:val="single" w:color="auto" w:sz="4" w:space="0"/>
            </w:tcBorders>
            <w:vAlign w:val="center"/>
          </w:tcPr>
          <w:p w14:paraId="5A375A8A">
            <w:pPr>
              <w:adjustRightInd w:val="0"/>
              <w:jc w:val="center"/>
              <w:rPr>
                <w:rFonts w:ascii="宋体" w:hAnsi="宋体" w:cs="宋体"/>
                <w:color w:val="auto"/>
                <w:szCs w:val="21"/>
                <w:highlight w:val="none"/>
              </w:rPr>
            </w:pPr>
          </w:p>
        </w:tc>
        <w:tc>
          <w:tcPr>
            <w:tcW w:w="1156" w:type="dxa"/>
            <w:tcBorders>
              <w:top w:val="single" w:color="auto" w:sz="4" w:space="0"/>
              <w:left w:val="single" w:color="auto" w:sz="4" w:space="0"/>
              <w:bottom w:val="single" w:color="auto" w:sz="4" w:space="0"/>
              <w:right w:val="single" w:color="auto" w:sz="4" w:space="0"/>
            </w:tcBorders>
            <w:vAlign w:val="center"/>
          </w:tcPr>
          <w:p w14:paraId="68977BEB">
            <w:pPr>
              <w:adjustRightInd w:val="0"/>
              <w:jc w:val="center"/>
              <w:rPr>
                <w:rFonts w:ascii="宋体" w:hAnsi="宋体" w:cs="宋体"/>
                <w:color w:val="auto"/>
                <w:szCs w:val="21"/>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401CFA37">
            <w:pPr>
              <w:adjustRightInd w:val="0"/>
              <w:jc w:val="center"/>
              <w:rPr>
                <w:rFonts w:ascii="宋体" w:hAnsi="宋体" w:cs="宋体"/>
                <w:color w:val="auto"/>
                <w:szCs w:val="21"/>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49E20F16">
            <w:pPr>
              <w:adjustRightInd w:val="0"/>
              <w:jc w:val="center"/>
              <w:rPr>
                <w:rFonts w:ascii="宋体" w:hAnsi="宋体" w:cs="宋体"/>
                <w:color w:val="auto"/>
                <w:szCs w:val="2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5F96D67E">
            <w:pPr>
              <w:adjustRightInd w:val="0"/>
              <w:jc w:val="center"/>
              <w:rPr>
                <w:rFonts w:ascii="宋体" w:hAnsi="宋体" w:cs="宋体"/>
                <w:color w:val="auto"/>
                <w:szCs w:val="21"/>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1E49A656">
            <w:pPr>
              <w:adjustRightInd w:val="0"/>
              <w:jc w:val="center"/>
              <w:rPr>
                <w:rFonts w:ascii="宋体" w:hAnsi="宋体" w:cs="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vAlign w:val="center"/>
          </w:tcPr>
          <w:p w14:paraId="485D0E69">
            <w:pPr>
              <w:adjustRightInd w:val="0"/>
              <w:jc w:val="center"/>
              <w:rPr>
                <w:rFonts w:ascii="宋体" w:hAnsi="宋体" w:cs="宋体"/>
                <w:color w:val="auto"/>
                <w:szCs w:val="21"/>
                <w:highlight w:val="none"/>
              </w:rPr>
            </w:pPr>
          </w:p>
        </w:tc>
      </w:tr>
      <w:tr w14:paraId="3BC1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73" w:type="dxa"/>
            <w:tcBorders>
              <w:top w:val="single" w:color="auto" w:sz="4" w:space="0"/>
              <w:left w:val="single" w:color="auto" w:sz="4" w:space="0"/>
              <w:bottom w:val="single" w:color="auto" w:sz="4" w:space="0"/>
              <w:right w:val="single" w:color="auto" w:sz="4" w:space="0"/>
            </w:tcBorders>
            <w:vAlign w:val="center"/>
          </w:tcPr>
          <w:p w14:paraId="3CAB359F">
            <w:pPr>
              <w:adjustRightIn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1321" w:type="dxa"/>
            <w:tcBorders>
              <w:top w:val="single" w:color="auto" w:sz="4" w:space="0"/>
              <w:left w:val="single" w:color="auto" w:sz="4" w:space="0"/>
              <w:bottom w:val="single" w:color="auto" w:sz="4" w:space="0"/>
              <w:right w:val="single" w:color="auto" w:sz="4" w:space="0"/>
            </w:tcBorders>
            <w:vAlign w:val="center"/>
          </w:tcPr>
          <w:p w14:paraId="7170504D">
            <w:pPr>
              <w:adjustRightInd w:val="0"/>
              <w:jc w:val="center"/>
              <w:rPr>
                <w:rFonts w:ascii="宋体" w:hAnsi="宋体" w:cs="宋体"/>
                <w:color w:val="auto"/>
                <w:szCs w:val="21"/>
                <w:highlight w:val="none"/>
              </w:rPr>
            </w:pPr>
          </w:p>
        </w:tc>
        <w:tc>
          <w:tcPr>
            <w:tcW w:w="1156" w:type="dxa"/>
            <w:tcBorders>
              <w:top w:val="single" w:color="auto" w:sz="4" w:space="0"/>
              <w:left w:val="single" w:color="auto" w:sz="4" w:space="0"/>
              <w:bottom w:val="single" w:color="auto" w:sz="4" w:space="0"/>
              <w:right w:val="single" w:color="auto" w:sz="4" w:space="0"/>
            </w:tcBorders>
            <w:vAlign w:val="center"/>
          </w:tcPr>
          <w:p w14:paraId="6CF415AC">
            <w:pPr>
              <w:adjustRightInd w:val="0"/>
              <w:jc w:val="center"/>
              <w:rPr>
                <w:rFonts w:ascii="宋体" w:hAnsi="宋体" w:cs="宋体"/>
                <w:color w:val="auto"/>
                <w:szCs w:val="21"/>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5834F550">
            <w:pPr>
              <w:adjustRightInd w:val="0"/>
              <w:jc w:val="center"/>
              <w:rPr>
                <w:rFonts w:ascii="宋体" w:hAnsi="宋体" w:cs="宋体"/>
                <w:color w:val="auto"/>
                <w:szCs w:val="21"/>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2A56B9CE">
            <w:pPr>
              <w:adjustRightInd w:val="0"/>
              <w:jc w:val="center"/>
              <w:rPr>
                <w:rFonts w:ascii="宋体" w:hAnsi="宋体" w:cs="宋体"/>
                <w:color w:val="auto"/>
                <w:szCs w:val="2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7C354C3B">
            <w:pPr>
              <w:adjustRightInd w:val="0"/>
              <w:jc w:val="center"/>
              <w:rPr>
                <w:rFonts w:ascii="宋体" w:hAnsi="宋体" w:cs="宋体"/>
                <w:color w:val="auto"/>
                <w:szCs w:val="21"/>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0E2F7674">
            <w:pPr>
              <w:adjustRightInd w:val="0"/>
              <w:jc w:val="center"/>
              <w:rPr>
                <w:rFonts w:ascii="宋体" w:hAnsi="宋体" w:cs="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vAlign w:val="center"/>
          </w:tcPr>
          <w:p w14:paraId="1873163F">
            <w:pPr>
              <w:adjustRightInd w:val="0"/>
              <w:jc w:val="center"/>
              <w:rPr>
                <w:rFonts w:ascii="宋体" w:hAnsi="宋体" w:cs="宋体"/>
                <w:color w:val="auto"/>
                <w:szCs w:val="21"/>
                <w:highlight w:val="none"/>
              </w:rPr>
            </w:pPr>
          </w:p>
        </w:tc>
      </w:tr>
      <w:tr w14:paraId="5E10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73" w:type="dxa"/>
            <w:tcBorders>
              <w:top w:val="single" w:color="auto" w:sz="4" w:space="0"/>
              <w:left w:val="single" w:color="auto" w:sz="4" w:space="0"/>
              <w:bottom w:val="single" w:color="auto" w:sz="4" w:space="0"/>
              <w:right w:val="single" w:color="auto" w:sz="4" w:space="0"/>
            </w:tcBorders>
            <w:vAlign w:val="center"/>
          </w:tcPr>
          <w:p w14:paraId="53D75132">
            <w:pPr>
              <w:adjustRightIn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321" w:type="dxa"/>
            <w:tcBorders>
              <w:top w:val="single" w:color="auto" w:sz="4" w:space="0"/>
              <w:left w:val="single" w:color="auto" w:sz="4" w:space="0"/>
              <w:bottom w:val="single" w:color="auto" w:sz="4" w:space="0"/>
              <w:right w:val="single" w:color="auto" w:sz="4" w:space="0"/>
            </w:tcBorders>
            <w:vAlign w:val="center"/>
          </w:tcPr>
          <w:p w14:paraId="6B00894C">
            <w:pPr>
              <w:adjustRightInd w:val="0"/>
              <w:jc w:val="center"/>
              <w:rPr>
                <w:rFonts w:ascii="宋体" w:hAnsi="宋体" w:cs="宋体"/>
                <w:color w:val="auto"/>
                <w:szCs w:val="21"/>
                <w:highlight w:val="none"/>
              </w:rPr>
            </w:pPr>
          </w:p>
        </w:tc>
        <w:tc>
          <w:tcPr>
            <w:tcW w:w="1156" w:type="dxa"/>
            <w:tcBorders>
              <w:top w:val="single" w:color="auto" w:sz="4" w:space="0"/>
              <w:left w:val="single" w:color="auto" w:sz="4" w:space="0"/>
              <w:bottom w:val="single" w:color="auto" w:sz="4" w:space="0"/>
              <w:right w:val="single" w:color="auto" w:sz="4" w:space="0"/>
            </w:tcBorders>
            <w:vAlign w:val="center"/>
          </w:tcPr>
          <w:p w14:paraId="52AF2610">
            <w:pPr>
              <w:adjustRightInd w:val="0"/>
              <w:jc w:val="center"/>
              <w:rPr>
                <w:rFonts w:ascii="宋体" w:hAnsi="宋体" w:cs="宋体"/>
                <w:color w:val="auto"/>
                <w:szCs w:val="21"/>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6B9F94AC">
            <w:pPr>
              <w:adjustRightInd w:val="0"/>
              <w:jc w:val="center"/>
              <w:rPr>
                <w:rFonts w:ascii="宋体" w:hAnsi="宋体" w:cs="宋体"/>
                <w:color w:val="auto"/>
                <w:szCs w:val="21"/>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2D3AD693">
            <w:pPr>
              <w:adjustRightInd w:val="0"/>
              <w:jc w:val="center"/>
              <w:rPr>
                <w:rFonts w:ascii="宋体" w:hAnsi="宋体" w:cs="宋体"/>
                <w:color w:val="auto"/>
                <w:szCs w:val="2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272FE914">
            <w:pPr>
              <w:adjustRightInd w:val="0"/>
              <w:jc w:val="center"/>
              <w:rPr>
                <w:rFonts w:ascii="宋体" w:hAnsi="宋体" w:cs="宋体"/>
                <w:color w:val="auto"/>
                <w:szCs w:val="21"/>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45FE1DB9">
            <w:pPr>
              <w:adjustRightInd w:val="0"/>
              <w:jc w:val="center"/>
              <w:rPr>
                <w:rFonts w:ascii="宋体" w:hAnsi="宋体" w:cs="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vAlign w:val="center"/>
          </w:tcPr>
          <w:p w14:paraId="5FA6FECE">
            <w:pPr>
              <w:adjustRightInd w:val="0"/>
              <w:jc w:val="center"/>
              <w:rPr>
                <w:rFonts w:ascii="宋体" w:hAnsi="宋体" w:cs="宋体"/>
                <w:color w:val="auto"/>
                <w:szCs w:val="21"/>
                <w:highlight w:val="none"/>
              </w:rPr>
            </w:pPr>
          </w:p>
        </w:tc>
      </w:tr>
      <w:tr w14:paraId="4B08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73" w:type="dxa"/>
            <w:tcBorders>
              <w:top w:val="single" w:color="auto" w:sz="4" w:space="0"/>
              <w:left w:val="single" w:color="auto" w:sz="4" w:space="0"/>
              <w:bottom w:val="single" w:color="auto" w:sz="4" w:space="0"/>
              <w:right w:val="single" w:color="auto" w:sz="4" w:space="0"/>
            </w:tcBorders>
            <w:vAlign w:val="center"/>
          </w:tcPr>
          <w:p w14:paraId="2310B026">
            <w:pPr>
              <w:adjustRightInd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1321" w:type="dxa"/>
            <w:tcBorders>
              <w:top w:val="single" w:color="auto" w:sz="4" w:space="0"/>
              <w:left w:val="single" w:color="auto" w:sz="4" w:space="0"/>
              <w:bottom w:val="single" w:color="auto" w:sz="4" w:space="0"/>
              <w:right w:val="single" w:color="auto" w:sz="4" w:space="0"/>
            </w:tcBorders>
            <w:vAlign w:val="center"/>
          </w:tcPr>
          <w:p w14:paraId="58AB665F">
            <w:pPr>
              <w:adjustRightInd w:val="0"/>
              <w:jc w:val="center"/>
              <w:rPr>
                <w:rFonts w:ascii="宋体" w:hAnsi="宋体" w:cs="宋体"/>
                <w:color w:val="auto"/>
                <w:szCs w:val="21"/>
                <w:highlight w:val="none"/>
              </w:rPr>
            </w:pPr>
          </w:p>
        </w:tc>
        <w:tc>
          <w:tcPr>
            <w:tcW w:w="1156" w:type="dxa"/>
            <w:tcBorders>
              <w:top w:val="single" w:color="auto" w:sz="4" w:space="0"/>
              <w:left w:val="single" w:color="auto" w:sz="4" w:space="0"/>
              <w:bottom w:val="single" w:color="auto" w:sz="4" w:space="0"/>
              <w:right w:val="single" w:color="auto" w:sz="4" w:space="0"/>
            </w:tcBorders>
            <w:vAlign w:val="center"/>
          </w:tcPr>
          <w:p w14:paraId="44D39BA1">
            <w:pPr>
              <w:adjustRightInd w:val="0"/>
              <w:jc w:val="center"/>
              <w:rPr>
                <w:rFonts w:ascii="宋体" w:hAnsi="宋体" w:cs="宋体"/>
                <w:color w:val="auto"/>
                <w:szCs w:val="21"/>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28C2CC87">
            <w:pPr>
              <w:adjustRightInd w:val="0"/>
              <w:jc w:val="center"/>
              <w:rPr>
                <w:rFonts w:ascii="宋体" w:hAnsi="宋体" w:cs="宋体"/>
                <w:color w:val="auto"/>
                <w:szCs w:val="21"/>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11D5DDC9">
            <w:pPr>
              <w:adjustRightInd w:val="0"/>
              <w:jc w:val="center"/>
              <w:rPr>
                <w:rFonts w:ascii="宋体" w:hAnsi="宋体" w:cs="宋体"/>
                <w:color w:val="auto"/>
                <w:szCs w:val="2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6BA0DE7E">
            <w:pPr>
              <w:adjustRightInd w:val="0"/>
              <w:jc w:val="center"/>
              <w:rPr>
                <w:rFonts w:ascii="宋体" w:hAnsi="宋体" w:cs="宋体"/>
                <w:color w:val="auto"/>
                <w:szCs w:val="21"/>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2331A473">
            <w:pPr>
              <w:adjustRightInd w:val="0"/>
              <w:jc w:val="center"/>
              <w:rPr>
                <w:rFonts w:ascii="宋体" w:hAnsi="宋体" w:cs="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vAlign w:val="center"/>
          </w:tcPr>
          <w:p w14:paraId="3B152E9B">
            <w:pPr>
              <w:adjustRightInd w:val="0"/>
              <w:jc w:val="center"/>
              <w:rPr>
                <w:rFonts w:ascii="宋体" w:hAnsi="宋体" w:cs="宋体"/>
                <w:color w:val="auto"/>
                <w:szCs w:val="21"/>
                <w:highlight w:val="none"/>
              </w:rPr>
            </w:pPr>
          </w:p>
        </w:tc>
      </w:tr>
      <w:tr w14:paraId="0CDF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73" w:type="dxa"/>
            <w:tcBorders>
              <w:top w:val="single" w:color="auto" w:sz="4" w:space="0"/>
              <w:left w:val="single" w:color="auto" w:sz="4" w:space="0"/>
              <w:bottom w:val="single" w:color="auto" w:sz="4" w:space="0"/>
              <w:right w:val="single" w:color="auto" w:sz="4" w:space="0"/>
            </w:tcBorders>
            <w:vAlign w:val="center"/>
          </w:tcPr>
          <w:p w14:paraId="5B30B9FD">
            <w:pPr>
              <w:adjustRightInd w:val="0"/>
              <w:jc w:val="center"/>
              <w:rPr>
                <w:rFonts w:hint="default" w:ascii="宋体" w:hAnsi="宋体" w:cs="宋体"/>
                <w:color w:val="auto"/>
                <w:szCs w:val="21"/>
                <w:highlight w:val="none"/>
                <w:lang w:val="en-US"/>
              </w:rPr>
            </w:pPr>
          </w:p>
        </w:tc>
        <w:tc>
          <w:tcPr>
            <w:tcW w:w="1321" w:type="dxa"/>
            <w:tcBorders>
              <w:top w:val="single" w:color="auto" w:sz="4" w:space="0"/>
              <w:left w:val="single" w:color="auto" w:sz="4" w:space="0"/>
              <w:bottom w:val="single" w:color="auto" w:sz="4" w:space="0"/>
              <w:right w:val="single" w:color="auto" w:sz="4" w:space="0"/>
            </w:tcBorders>
            <w:vAlign w:val="center"/>
          </w:tcPr>
          <w:p w14:paraId="0BE48BD6">
            <w:pPr>
              <w:adjustRightInd w:val="0"/>
              <w:jc w:val="center"/>
              <w:rPr>
                <w:rFonts w:ascii="宋体" w:hAnsi="宋体" w:cs="宋体"/>
                <w:color w:val="auto"/>
                <w:szCs w:val="21"/>
                <w:highlight w:val="none"/>
              </w:rPr>
            </w:pPr>
          </w:p>
        </w:tc>
        <w:tc>
          <w:tcPr>
            <w:tcW w:w="1156" w:type="dxa"/>
            <w:tcBorders>
              <w:top w:val="single" w:color="auto" w:sz="4" w:space="0"/>
              <w:left w:val="single" w:color="auto" w:sz="4" w:space="0"/>
              <w:bottom w:val="single" w:color="auto" w:sz="4" w:space="0"/>
              <w:right w:val="single" w:color="auto" w:sz="4" w:space="0"/>
            </w:tcBorders>
            <w:vAlign w:val="center"/>
          </w:tcPr>
          <w:p w14:paraId="38B6B519">
            <w:pPr>
              <w:adjustRightInd w:val="0"/>
              <w:jc w:val="center"/>
              <w:rPr>
                <w:rFonts w:ascii="宋体" w:hAnsi="宋体" w:cs="宋体"/>
                <w:color w:val="auto"/>
                <w:szCs w:val="21"/>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30723F71">
            <w:pPr>
              <w:adjustRightInd w:val="0"/>
              <w:jc w:val="center"/>
              <w:rPr>
                <w:rFonts w:ascii="宋体" w:hAnsi="宋体" w:cs="宋体"/>
                <w:color w:val="auto"/>
                <w:szCs w:val="21"/>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0FE072EF">
            <w:pPr>
              <w:adjustRightInd w:val="0"/>
              <w:jc w:val="center"/>
              <w:rPr>
                <w:rFonts w:ascii="宋体" w:hAnsi="宋体" w:cs="宋体"/>
                <w:color w:val="auto"/>
                <w:szCs w:val="2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6CDD54CA">
            <w:pPr>
              <w:adjustRightInd w:val="0"/>
              <w:jc w:val="center"/>
              <w:rPr>
                <w:rFonts w:ascii="宋体" w:hAnsi="宋体" w:cs="宋体"/>
                <w:color w:val="auto"/>
                <w:szCs w:val="21"/>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2526C40B">
            <w:pPr>
              <w:adjustRightInd w:val="0"/>
              <w:jc w:val="center"/>
              <w:rPr>
                <w:rFonts w:ascii="宋体" w:hAnsi="宋体" w:cs="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vAlign w:val="center"/>
          </w:tcPr>
          <w:p w14:paraId="0217BCC2">
            <w:pPr>
              <w:adjustRightInd w:val="0"/>
              <w:jc w:val="center"/>
              <w:rPr>
                <w:rFonts w:ascii="宋体" w:hAnsi="宋体" w:cs="宋体"/>
                <w:color w:val="auto"/>
                <w:szCs w:val="21"/>
                <w:highlight w:val="none"/>
              </w:rPr>
            </w:pPr>
          </w:p>
        </w:tc>
      </w:tr>
      <w:tr w14:paraId="68F5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73" w:type="dxa"/>
            <w:tcBorders>
              <w:top w:val="single" w:color="auto" w:sz="4" w:space="0"/>
              <w:left w:val="single" w:color="auto" w:sz="4" w:space="0"/>
              <w:bottom w:val="single" w:color="auto" w:sz="4" w:space="0"/>
              <w:right w:val="single" w:color="auto" w:sz="4" w:space="0"/>
            </w:tcBorders>
            <w:vAlign w:val="center"/>
          </w:tcPr>
          <w:p w14:paraId="56822701">
            <w:pPr>
              <w:adjustRightInd w:val="0"/>
              <w:jc w:val="center"/>
              <w:rPr>
                <w:rFonts w:hint="default" w:ascii="宋体" w:hAnsi="宋体" w:cs="宋体"/>
                <w:color w:val="auto"/>
                <w:szCs w:val="21"/>
                <w:highlight w:val="none"/>
                <w:lang w:val="en-US"/>
              </w:rPr>
            </w:pPr>
          </w:p>
        </w:tc>
        <w:tc>
          <w:tcPr>
            <w:tcW w:w="1321" w:type="dxa"/>
            <w:tcBorders>
              <w:top w:val="single" w:color="auto" w:sz="4" w:space="0"/>
              <w:left w:val="single" w:color="auto" w:sz="4" w:space="0"/>
              <w:bottom w:val="single" w:color="auto" w:sz="4" w:space="0"/>
              <w:right w:val="single" w:color="auto" w:sz="4" w:space="0"/>
            </w:tcBorders>
            <w:vAlign w:val="center"/>
          </w:tcPr>
          <w:p w14:paraId="7F18391A">
            <w:pPr>
              <w:adjustRightInd w:val="0"/>
              <w:jc w:val="center"/>
              <w:rPr>
                <w:rFonts w:ascii="宋体" w:hAnsi="宋体" w:cs="宋体"/>
                <w:color w:val="auto"/>
                <w:szCs w:val="21"/>
                <w:highlight w:val="none"/>
              </w:rPr>
            </w:pPr>
          </w:p>
        </w:tc>
        <w:tc>
          <w:tcPr>
            <w:tcW w:w="1156" w:type="dxa"/>
            <w:tcBorders>
              <w:top w:val="single" w:color="auto" w:sz="4" w:space="0"/>
              <w:left w:val="single" w:color="auto" w:sz="4" w:space="0"/>
              <w:bottom w:val="single" w:color="auto" w:sz="4" w:space="0"/>
              <w:right w:val="single" w:color="auto" w:sz="4" w:space="0"/>
            </w:tcBorders>
            <w:vAlign w:val="center"/>
          </w:tcPr>
          <w:p w14:paraId="358A51E6">
            <w:pPr>
              <w:adjustRightInd w:val="0"/>
              <w:jc w:val="center"/>
              <w:rPr>
                <w:rFonts w:ascii="宋体" w:hAnsi="宋体" w:cs="宋体"/>
                <w:color w:val="auto"/>
                <w:szCs w:val="21"/>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3FC7F625">
            <w:pPr>
              <w:adjustRightInd w:val="0"/>
              <w:jc w:val="center"/>
              <w:rPr>
                <w:rFonts w:ascii="宋体" w:hAnsi="宋体" w:cs="宋体"/>
                <w:color w:val="auto"/>
                <w:szCs w:val="21"/>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6D2A8C0E">
            <w:pPr>
              <w:adjustRightInd w:val="0"/>
              <w:jc w:val="center"/>
              <w:rPr>
                <w:rFonts w:ascii="宋体" w:hAnsi="宋体" w:cs="宋体"/>
                <w:color w:val="auto"/>
                <w:szCs w:val="2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00DCC244">
            <w:pPr>
              <w:adjustRightInd w:val="0"/>
              <w:jc w:val="center"/>
              <w:rPr>
                <w:rFonts w:ascii="宋体" w:hAnsi="宋体" w:cs="宋体"/>
                <w:color w:val="auto"/>
                <w:szCs w:val="21"/>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41988EFF">
            <w:pPr>
              <w:adjustRightInd w:val="0"/>
              <w:jc w:val="center"/>
              <w:rPr>
                <w:rFonts w:ascii="宋体" w:hAnsi="宋体" w:cs="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vAlign w:val="center"/>
          </w:tcPr>
          <w:p w14:paraId="11916DDC">
            <w:pPr>
              <w:adjustRightInd w:val="0"/>
              <w:jc w:val="center"/>
              <w:rPr>
                <w:rFonts w:ascii="宋体" w:hAnsi="宋体" w:cs="宋体"/>
                <w:color w:val="auto"/>
                <w:szCs w:val="21"/>
                <w:highlight w:val="none"/>
              </w:rPr>
            </w:pPr>
          </w:p>
        </w:tc>
      </w:tr>
      <w:tr w14:paraId="6867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73" w:type="dxa"/>
            <w:tcBorders>
              <w:top w:val="single" w:color="auto" w:sz="4" w:space="0"/>
              <w:left w:val="single" w:color="auto" w:sz="4" w:space="0"/>
              <w:bottom w:val="single" w:color="auto" w:sz="4" w:space="0"/>
              <w:right w:val="single" w:color="auto" w:sz="4" w:space="0"/>
            </w:tcBorders>
            <w:vAlign w:val="center"/>
          </w:tcPr>
          <w:p w14:paraId="40897DD8">
            <w:pPr>
              <w:adjustRightInd w:val="0"/>
              <w:jc w:val="center"/>
              <w:rPr>
                <w:rFonts w:ascii="宋体" w:hAnsi="宋体" w:cs="宋体"/>
                <w:color w:val="auto"/>
                <w:szCs w:val="21"/>
                <w:highlight w:val="none"/>
              </w:rPr>
            </w:pPr>
            <w:r>
              <w:rPr>
                <w:rFonts w:hint="eastAsia" w:ascii="宋体" w:hAnsi="宋体" w:cs="宋体"/>
                <w:color w:val="auto"/>
                <w:szCs w:val="21"/>
                <w:highlight w:val="none"/>
              </w:rPr>
              <w:t>……</w:t>
            </w:r>
          </w:p>
        </w:tc>
        <w:tc>
          <w:tcPr>
            <w:tcW w:w="1321" w:type="dxa"/>
            <w:tcBorders>
              <w:top w:val="single" w:color="auto" w:sz="4" w:space="0"/>
              <w:left w:val="single" w:color="auto" w:sz="4" w:space="0"/>
              <w:bottom w:val="single" w:color="auto" w:sz="4" w:space="0"/>
              <w:right w:val="single" w:color="auto" w:sz="4" w:space="0"/>
            </w:tcBorders>
            <w:vAlign w:val="center"/>
          </w:tcPr>
          <w:p w14:paraId="7E55F922">
            <w:pPr>
              <w:adjustRightInd w:val="0"/>
              <w:jc w:val="center"/>
              <w:rPr>
                <w:rFonts w:ascii="宋体" w:hAnsi="宋体" w:cs="宋体"/>
                <w:color w:val="auto"/>
                <w:szCs w:val="21"/>
                <w:highlight w:val="none"/>
              </w:rPr>
            </w:pPr>
          </w:p>
        </w:tc>
        <w:tc>
          <w:tcPr>
            <w:tcW w:w="1156" w:type="dxa"/>
            <w:tcBorders>
              <w:top w:val="single" w:color="auto" w:sz="4" w:space="0"/>
              <w:left w:val="single" w:color="auto" w:sz="4" w:space="0"/>
              <w:bottom w:val="single" w:color="auto" w:sz="4" w:space="0"/>
              <w:right w:val="single" w:color="auto" w:sz="4" w:space="0"/>
            </w:tcBorders>
            <w:vAlign w:val="center"/>
          </w:tcPr>
          <w:p w14:paraId="677AFCBF">
            <w:pPr>
              <w:adjustRightInd w:val="0"/>
              <w:jc w:val="center"/>
              <w:rPr>
                <w:rFonts w:ascii="宋体" w:hAnsi="宋体" w:cs="宋体"/>
                <w:color w:val="auto"/>
                <w:szCs w:val="21"/>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0E8AFD28">
            <w:pPr>
              <w:adjustRightInd w:val="0"/>
              <w:jc w:val="center"/>
              <w:rPr>
                <w:rFonts w:ascii="宋体" w:hAnsi="宋体" w:cs="宋体"/>
                <w:color w:val="auto"/>
                <w:szCs w:val="21"/>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10F2C2DE">
            <w:pPr>
              <w:adjustRightInd w:val="0"/>
              <w:jc w:val="center"/>
              <w:rPr>
                <w:rFonts w:ascii="宋体" w:hAnsi="宋体" w:cs="宋体"/>
                <w:color w:val="auto"/>
                <w:szCs w:val="2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2C4E3D87">
            <w:pPr>
              <w:adjustRightInd w:val="0"/>
              <w:jc w:val="center"/>
              <w:rPr>
                <w:rFonts w:ascii="宋体" w:hAnsi="宋体" w:cs="宋体"/>
                <w:color w:val="auto"/>
                <w:szCs w:val="21"/>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36C1CE2B">
            <w:pPr>
              <w:adjustRightInd w:val="0"/>
              <w:jc w:val="center"/>
              <w:rPr>
                <w:rFonts w:ascii="宋体" w:hAnsi="宋体" w:cs="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vAlign w:val="center"/>
          </w:tcPr>
          <w:p w14:paraId="59FD40DB">
            <w:pPr>
              <w:adjustRightInd w:val="0"/>
              <w:jc w:val="center"/>
              <w:rPr>
                <w:rFonts w:ascii="宋体" w:hAnsi="宋体" w:cs="宋体"/>
                <w:color w:val="auto"/>
                <w:szCs w:val="21"/>
                <w:highlight w:val="none"/>
              </w:rPr>
            </w:pPr>
          </w:p>
        </w:tc>
      </w:tr>
    </w:tbl>
    <w:p w14:paraId="01D50A5D">
      <w:pPr>
        <w:topLinePunct/>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特别说明：</w:t>
      </w:r>
    </w:p>
    <w:p w14:paraId="32F8AA80">
      <w:pPr>
        <w:topLinePunct/>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供应商按照上述格式填写投入本项目所有人员的相关信息</w:t>
      </w:r>
      <w:r>
        <w:rPr>
          <w:rFonts w:hint="eastAsia" w:ascii="宋体" w:hAnsi="宋体" w:cs="宋体"/>
          <w:color w:val="auto"/>
          <w:szCs w:val="21"/>
          <w:highlight w:val="none"/>
          <w:lang w:eastAsia="zh-CN"/>
        </w:rPr>
        <w:t>，并</w:t>
      </w:r>
      <w:r>
        <w:rPr>
          <w:rFonts w:hint="eastAsia" w:ascii="宋体" w:hAnsi="宋体" w:cs="宋体"/>
          <w:color w:val="auto"/>
          <w:szCs w:val="21"/>
          <w:highlight w:val="none"/>
          <w:lang w:val="en-US" w:eastAsia="zh-CN"/>
        </w:rPr>
        <w:t>按照磋商文件第六章《项目采购需求》的人员配置要求提供</w:t>
      </w:r>
      <w:r>
        <w:rPr>
          <w:rFonts w:hint="eastAsia" w:ascii="宋体" w:hAnsi="宋体" w:cs="宋体"/>
          <w:color w:val="auto"/>
          <w:kern w:val="0"/>
          <w:sz w:val="21"/>
          <w:szCs w:val="21"/>
          <w:highlight w:val="none"/>
          <w:lang w:eastAsia="zh-CN"/>
        </w:rPr>
        <w:t>相关岗位人员的</w:t>
      </w:r>
      <w:r>
        <w:rPr>
          <w:rFonts w:hint="eastAsia" w:ascii="宋体" w:hAnsi="宋体" w:eastAsia="宋体" w:cs="宋体"/>
          <w:color w:val="auto"/>
          <w:kern w:val="0"/>
          <w:sz w:val="21"/>
          <w:szCs w:val="21"/>
          <w:highlight w:val="none"/>
        </w:rPr>
        <w:t>身份证、职称证书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如有）</w:t>
      </w:r>
      <w:r>
        <w:rPr>
          <w:rFonts w:hint="eastAsia" w:ascii="宋体" w:hAnsi="宋体" w:eastAsia="宋体" w:cs="宋体"/>
          <w:color w:val="auto"/>
          <w:kern w:val="0"/>
          <w:sz w:val="21"/>
          <w:szCs w:val="21"/>
          <w:highlight w:val="none"/>
        </w:rPr>
        <w:t>、资格证书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如有）</w:t>
      </w:r>
      <w:r>
        <w:rPr>
          <w:rFonts w:hint="eastAsia" w:ascii="宋体" w:hAnsi="宋体" w:eastAsia="宋体" w:cs="宋体"/>
          <w:color w:val="auto"/>
          <w:kern w:val="0"/>
          <w:sz w:val="21"/>
          <w:szCs w:val="21"/>
          <w:highlight w:val="none"/>
        </w:rPr>
        <w:t>、岗位证</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如有）</w:t>
      </w:r>
      <w:r>
        <w:rPr>
          <w:rFonts w:hint="eastAsia" w:ascii="宋体" w:hAnsi="宋体" w:eastAsia="宋体" w:cs="宋体"/>
          <w:color w:val="auto"/>
          <w:kern w:val="0"/>
          <w:sz w:val="21"/>
          <w:szCs w:val="21"/>
          <w:highlight w:val="none"/>
        </w:rPr>
        <w:t>、学历证书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如有）</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保安员证</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同类工作经验年限证明（相关工作经验可提供人员参与类似项目名称、在该项目中担任的工作履历或工作简历等）等复印件，以及</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与项目投入人员签署的有效劳动合同复印件（合同须体现相关工作内容）等证明材料。</w:t>
      </w:r>
    </w:p>
    <w:p w14:paraId="4ED016F9">
      <w:pPr>
        <w:topLinePunct/>
        <w:autoSpaceDE w:val="0"/>
        <w:autoSpaceDN w:val="0"/>
        <w:spacing w:line="460" w:lineRule="exact"/>
        <w:rPr>
          <w:rFonts w:ascii="宋体" w:hAnsi="宋体" w:cs="宋体"/>
          <w:bCs/>
          <w:color w:val="auto"/>
          <w:w w:val="150"/>
          <w:sz w:val="24"/>
          <w:highlight w:val="none"/>
          <w:shd w:val="clear" w:color="auto" w:fill="FFFF00"/>
        </w:rPr>
      </w:pPr>
    </w:p>
    <w:p w14:paraId="3E0735A1">
      <w:pPr>
        <w:topLinePunct/>
        <w:autoSpaceDE w:val="0"/>
        <w:autoSpaceDN w:val="0"/>
        <w:spacing w:line="360" w:lineRule="auto"/>
        <w:ind w:firstLine="602" w:firstLineChars="200"/>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12C5A1A7">
      <w:pPr>
        <w:jc w:val="center"/>
        <w:rPr>
          <w:rFonts w:hint="eastAsia" w:asciiTheme="minorEastAsia" w:hAnsiTheme="minorEastAsia" w:eastAsiaTheme="minorEastAsia" w:cstheme="minorEastAsia"/>
          <w:b/>
          <w:bCs w:val="0"/>
          <w:color w:val="auto"/>
          <w:sz w:val="28"/>
          <w:szCs w:val="28"/>
          <w:highlight w:val="none"/>
          <w:lang w:val="en-US" w:eastAsia="zh-CN" w:bidi="ar-SA"/>
        </w:rPr>
      </w:pPr>
      <w:r>
        <w:rPr>
          <w:rFonts w:hint="eastAsia" w:ascii="宋体" w:hAnsi="宋体" w:cs="宋体"/>
          <w:b/>
          <w:bCs/>
          <w:color w:val="auto"/>
          <w:sz w:val="28"/>
          <w:szCs w:val="28"/>
          <w:highlight w:val="none"/>
        </w:rPr>
        <w:t>格式1</w:t>
      </w:r>
      <w:r>
        <w:rPr>
          <w:rFonts w:hint="eastAsia" w:ascii="宋体" w:hAnsi="宋体" w:cs="宋体"/>
          <w:b/>
          <w:bCs/>
          <w:color w:val="auto"/>
          <w:sz w:val="28"/>
          <w:szCs w:val="28"/>
          <w:highlight w:val="none"/>
          <w:lang w:val="en-US" w:eastAsia="zh-CN"/>
        </w:rPr>
        <w:t>0</w:t>
      </w:r>
      <w:r>
        <w:rPr>
          <w:rFonts w:hint="eastAsia" w:ascii="宋体" w:hAnsi="宋体" w:cs="宋体"/>
          <w:b/>
          <w:bCs/>
          <w:color w:val="auto"/>
          <w:sz w:val="28"/>
          <w:szCs w:val="28"/>
          <w:highlight w:val="none"/>
        </w:rPr>
        <w:t xml:space="preserve"> </w:t>
      </w:r>
      <w:r>
        <w:rPr>
          <w:rFonts w:hint="eastAsia" w:asciiTheme="minorEastAsia" w:hAnsiTheme="minorEastAsia" w:eastAsiaTheme="minorEastAsia" w:cstheme="minorEastAsia"/>
          <w:b/>
          <w:bCs w:val="0"/>
          <w:color w:val="auto"/>
          <w:sz w:val="28"/>
          <w:szCs w:val="28"/>
          <w:highlight w:val="none"/>
          <w:lang w:val="en-US" w:eastAsia="zh-CN" w:bidi="ar-SA"/>
        </w:rPr>
        <w:t>人员简历表</w:t>
      </w:r>
    </w:p>
    <w:tbl>
      <w:tblPr>
        <w:tblStyle w:val="20"/>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343"/>
        <w:gridCol w:w="2145"/>
        <w:gridCol w:w="1088"/>
        <w:gridCol w:w="2363"/>
        <w:gridCol w:w="891"/>
      </w:tblGrid>
      <w:tr w14:paraId="5278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69" w:type="dxa"/>
            <w:tcBorders>
              <w:top w:val="single" w:color="auto" w:sz="4" w:space="0"/>
              <w:left w:val="single" w:color="auto" w:sz="4" w:space="0"/>
              <w:bottom w:val="single" w:color="auto" w:sz="4" w:space="0"/>
              <w:right w:val="single" w:color="auto" w:sz="4" w:space="0"/>
            </w:tcBorders>
            <w:vAlign w:val="center"/>
          </w:tcPr>
          <w:p w14:paraId="239BFF8F">
            <w:pPr>
              <w:rPr>
                <w:color w:val="auto"/>
                <w:highlight w:val="none"/>
              </w:rPr>
            </w:pPr>
            <w:r>
              <w:rPr>
                <w:rFonts w:hint="eastAsia"/>
                <w:color w:val="auto"/>
                <w:highlight w:val="none"/>
              </w:rPr>
              <w:t>姓   名</w:t>
            </w:r>
          </w:p>
        </w:tc>
        <w:tc>
          <w:tcPr>
            <w:tcW w:w="1343" w:type="dxa"/>
            <w:tcBorders>
              <w:top w:val="single" w:color="auto" w:sz="4" w:space="0"/>
              <w:left w:val="single" w:color="auto" w:sz="4" w:space="0"/>
              <w:bottom w:val="single" w:color="auto" w:sz="4" w:space="0"/>
              <w:right w:val="single" w:color="auto" w:sz="4" w:space="0"/>
            </w:tcBorders>
            <w:vAlign w:val="center"/>
          </w:tcPr>
          <w:p w14:paraId="1616470B">
            <w:pPr>
              <w:rPr>
                <w:color w:val="auto"/>
                <w:highlight w:val="none"/>
              </w:rPr>
            </w:pPr>
          </w:p>
        </w:tc>
        <w:tc>
          <w:tcPr>
            <w:tcW w:w="2145" w:type="dxa"/>
            <w:tcBorders>
              <w:top w:val="single" w:color="auto" w:sz="4" w:space="0"/>
              <w:left w:val="single" w:color="auto" w:sz="4" w:space="0"/>
              <w:bottom w:val="single" w:color="auto" w:sz="4" w:space="0"/>
              <w:right w:val="single" w:color="auto" w:sz="4" w:space="0"/>
            </w:tcBorders>
            <w:vAlign w:val="center"/>
          </w:tcPr>
          <w:p w14:paraId="712D8F1E">
            <w:pPr>
              <w:rPr>
                <w:color w:val="auto"/>
                <w:highlight w:val="none"/>
              </w:rPr>
            </w:pPr>
            <w:r>
              <w:rPr>
                <w:rFonts w:hint="eastAsia"/>
                <w:color w:val="auto"/>
                <w:highlight w:val="none"/>
              </w:rPr>
              <w:t>性    别</w:t>
            </w:r>
          </w:p>
        </w:tc>
        <w:tc>
          <w:tcPr>
            <w:tcW w:w="1088" w:type="dxa"/>
            <w:tcBorders>
              <w:top w:val="single" w:color="auto" w:sz="4" w:space="0"/>
              <w:left w:val="single" w:color="auto" w:sz="4" w:space="0"/>
              <w:bottom w:val="single" w:color="auto" w:sz="4" w:space="0"/>
              <w:right w:val="single" w:color="auto" w:sz="4" w:space="0"/>
            </w:tcBorders>
            <w:vAlign w:val="center"/>
          </w:tcPr>
          <w:p w14:paraId="280BA7E7">
            <w:pPr>
              <w:rPr>
                <w:color w:val="auto"/>
                <w:highlight w:val="none"/>
              </w:rPr>
            </w:pPr>
          </w:p>
        </w:tc>
        <w:tc>
          <w:tcPr>
            <w:tcW w:w="2363" w:type="dxa"/>
            <w:tcBorders>
              <w:top w:val="single" w:color="auto" w:sz="4" w:space="0"/>
              <w:left w:val="single" w:color="auto" w:sz="4" w:space="0"/>
              <w:bottom w:val="single" w:color="auto" w:sz="4" w:space="0"/>
              <w:right w:val="single" w:color="auto" w:sz="4" w:space="0"/>
            </w:tcBorders>
            <w:vAlign w:val="center"/>
          </w:tcPr>
          <w:p w14:paraId="60B48D6B">
            <w:pPr>
              <w:rPr>
                <w:color w:val="auto"/>
                <w:highlight w:val="none"/>
              </w:rPr>
            </w:pPr>
            <w:r>
              <w:rPr>
                <w:rFonts w:hint="eastAsia"/>
                <w:color w:val="auto"/>
                <w:highlight w:val="none"/>
              </w:rPr>
              <w:t>出生日期</w:t>
            </w:r>
          </w:p>
        </w:tc>
        <w:tc>
          <w:tcPr>
            <w:tcW w:w="891" w:type="dxa"/>
            <w:tcBorders>
              <w:top w:val="single" w:color="auto" w:sz="4" w:space="0"/>
              <w:left w:val="single" w:color="auto" w:sz="4" w:space="0"/>
              <w:bottom w:val="single" w:color="auto" w:sz="4" w:space="0"/>
              <w:right w:val="single" w:color="auto" w:sz="4" w:space="0"/>
            </w:tcBorders>
            <w:vAlign w:val="center"/>
          </w:tcPr>
          <w:p w14:paraId="4786265A">
            <w:pPr>
              <w:rPr>
                <w:color w:val="auto"/>
                <w:highlight w:val="none"/>
              </w:rPr>
            </w:pPr>
          </w:p>
        </w:tc>
      </w:tr>
      <w:tr w14:paraId="0ACF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69" w:type="dxa"/>
            <w:tcBorders>
              <w:top w:val="single" w:color="auto" w:sz="4" w:space="0"/>
              <w:left w:val="single" w:color="auto" w:sz="4" w:space="0"/>
              <w:bottom w:val="single" w:color="auto" w:sz="4" w:space="0"/>
              <w:right w:val="single" w:color="auto" w:sz="4" w:space="0"/>
            </w:tcBorders>
            <w:vAlign w:val="center"/>
          </w:tcPr>
          <w:p w14:paraId="66A04357">
            <w:pPr>
              <w:rPr>
                <w:color w:val="auto"/>
                <w:highlight w:val="none"/>
              </w:rPr>
            </w:pPr>
            <w:r>
              <w:rPr>
                <w:rFonts w:hint="eastAsia"/>
                <w:color w:val="auto"/>
                <w:highlight w:val="none"/>
              </w:rPr>
              <w:t>学   历</w:t>
            </w:r>
          </w:p>
        </w:tc>
        <w:tc>
          <w:tcPr>
            <w:tcW w:w="1343" w:type="dxa"/>
            <w:tcBorders>
              <w:top w:val="single" w:color="auto" w:sz="4" w:space="0"/>
              <w:left w:val="single" w:color="auto" w:sz="4" w:space="0"/>
              <w:bottom w:val="single" w:color="auto" w:sz="4" w:space="0"/>
              <w:right w:val="single" w:color="auto" w:sz="4" w:space="0"/>
            </w:tcBorders>
            <w:vAlign w:val="center"/>
          </w:tcPr>
          <w:p w14:paraId="75390CBE">
            <w:pPr>
              <w:rPr>
                <w:color w:val="auto"/>
                <w:highlight w:val="none"/>
              </w:rPr>
            </w:pPr>
          </w:p>
        </w:tc>
        <w:tc>
          <w:tcPr>
            <w:tcW w:w="2145" w:type="dxa"/>
            <w:tcBorders>
              <w:top w:val="single" w:color="auto" w:sz="4" w:space="0"/>
              <w:left w:val="single" w:color="auto" w:sz="4" w:space="0"/>
              <w:bottom w:val="single" w:color="auto" w:sz="4" w:space="0"/>
              <w:right w:val="single" w:color="auto" w:sz="4" w:space="0"/>
            </w:tcBorders>
            <w:vAlign w:val="center"/>
          </w:tcPr>
          <w:p w14:paraId="53EAC32E">
            <w:pPr>
              <w:rPr>
                <w:color w:val="auto"/>
                <w:highlight w:val="none"/>
              </w:rPr>
            </w:pPr>
            <w:r>
              <w:rPr>
                <w:rFonts w:hint="eastAsia"/>
                <w:color w:val="auto"/>
                <w:highlight w:val="none"/>
              </w:rPr>
              <w:t>毕业学校</w:t>
            </w:r>
          </w:p>
        </w:tc>
        <w:tc>
          <w:tcPr>
            <w:tcW w:w="1088" w:type="dxa"/>
            <w:tcBorders>
              <w:top w:val="single" w:color="auto" w:sz="4" w:space="0"/>
              <w:left w:val="single" w:color="auto" w:sz="4" w:space="0"/>
              <w:bottom w:val="single" w:color="auto" w:sz="4" w:space="0"/>
              <w:right w:val="single" w:color="auto" w:sz="4" w:space="0"/>
            </w:tcBorders>
            <w:vAlign w:val="center"/>
          </w:tcPr>
          <w:p w14:paraId="7114065A">
            <w:pPr>
              <w:rPr>
                <w:color w:val="auto"/>
                <w:highlight w:val="none"/>
              </w:rPr>
            </w:pPr>
          </w:p>
        </w:tc>
        <w:tc>
          <w:tcPr>
            <w:tcW w:w="2363" w:type="dxa"/>
            <w:tcBorders>
              <w:top w:val="single" w:color="auto" w:sz="4" w:space="0"/>
              <w:left w:val="single" w:color="auto" w:sz="4" w:space="0"/>
              <w:bottom w:val="single" w:color="auto" w:sz="4" w:space="0"/>
              <w:right w:val="single" w:color="auto" w:sz="4" w:space="0"/>
            </w:tcBorders>
            <w:vAlign w:val="center"/>
          </w:tcPr>
          <w:p w14:paraId="7F2BECED">
            <w:pPr>
              <w:rPr>
                <w:color w:val="auto"/>
                <w:highlight w:val="none"/>
              </w:rPr>
            </w:pPr>
            <w:r>
              <w:rPr>
                <w:rFonts w:hint="eastAsia"/>
                <w:color w:val="auto"/>
                <w:highlight w:val="none"/>
              </w:rPr>
              <w:t>技术职称</w:t>
            </w:r>
          </w:p>
        </w:tc>
        <w:tc>
          <w:tcPr>
            <w:tcW w:w="891" w:type="dxa"/>
            <w:tcBorders>
              <w:top w:val="single" w:color="auto" w:sz="4" w:space="0"/>
              <w:left w:val="single" w:color="auto" w:sz="4" w:space="0"/>
              <w:bottom w:val="single" w:color="auto" w:sz="4" w:space="0"/>
              <w:right w:val="single" w:color="auto" w:sz="4" w:space="0"/>
            </w:tcBorders>
            <w:vAlign w:val="center"/>
          </w:tcPr>
          <w:p w14:paraId="6C3C6D71">
            <w:pPr>
              <w:rPr>
                <w:color w:val="auto"/>
                <w:highlight w:val="none"/>
              </w:rPr>
            </w:pPr>
          </w:p>
        </w:tc>
      </w:tr>
      <w:tr w14:paraId="70DB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69" w:type="dxa"/>
            <w:tcBorders>
              <w:top w:val="single" w:color="auto" w:sz="4" w:space="0"/>
              <w:left w:val="single" w:color="auto" w:sz="4" w:space="0"/>
              <w:bottom w:val="single" w:color="auto" w:sz="4" w:space="0"/>
              <w:right w:val="single" w:color="auto" w:sz="4" w:space="0"/>
            </w:tcBorders>
            <w:vAlign w:val="center"/>
          </w:tcPr>
          <w:p w14:paraId="091D081A">
            <w:pPr>
              <w:rPr>
                <w:color w:val="auto"/>
                <w:highlight w:val="none"/>
              </w:rPr>
            </w:pPr>
            <w:r>
              <w:rPr>
                <w:rFonts w:hint="eastAsia"/>
                <w:color w:val="auto"/>
                <w:highlight w:val="none"/>
              </w:rPr>
              <w:t>公司职务</w:t>
            </w:r>
          </w:p>
        </w:tc>
        <w:tc>
          <w:tcPr>
            <w:tcW w:w="1343" w:type="dxa"/>
            <w:tcBorders>
              <w:top w:val="single" w:color="auto" w:sz="4" w:space="0"/>
              <w:left w:val="single" w:color="auto" w:sz="4" w:space="0"/>
              <w:bottom w:val="single" w:color="auto" w:sz="4" w:space="0"/>
              <w:right w:val="single" w:color="auto" w:sz="4" w:space="0"/>
            </w:tcBorders>
            <w:vAlign w:val="center"/>
          </w:tcPr>
          <w:p w14:paraId="7C0F315B">
            <w:pPr>
              <w:rPr>
                <w:color w:val="auto"/>
                <w:highlight w:val="none"/>
              </w:rPr>
            </w:pPr>
          </w:p>
        </w:tc>
        <w:tc>
          <w:tcPr>
            <w:tcW w:w="2145" w:type="dxa"/>
            <w:tcBorders>
              <w:top w:val="single" w:color="auto" w:sz="4" w:space="0"/>
              <w:left w:val="single" w:color="auto" w:sz="4" w:space="0"/>
              <w:bottom w:val="single" w:color="auto" w:sz="4" w:space="0"/>
              <w:right w:val="single" w:color="auto" w:sz="4" w:space="0"/>
            </w:tcBorders>
            <w:vAlign w:val="center"/>
          </w:tcPr>
          <w:p w14:paraId="1FDBDBBD">
            <w:pPr>
              <w:rPr>
                <w:color w:val="auto"/>
                <w:highlight w:val="none"/>
              </w:rPr>
            </w:pPr>
            <w:r>
              <w:rPr>
                <w:rFonts w:hint="eastAsia"/>
                <w:color w:val="auto"/>
                <w:highlight w:val="none"/>
              </w:rPr>
              <w:t>任职时间</w:t>
            </w:r>
          </w:p>
        </w:tc>
        <w:tc>
          <w:tcPr>
            <w:tcW w:w="1088" w:type="dxa"/>
            <w:tcBorders>
              <w:top w:val="single" w:color="auto" w:sz="4" w:space="0"/>
              <w:left w:val="single" w:color="auto" w:sz="4" w:space="0"/>
              <w:bottom w:val="single" w:color="auto" w:sz="4" w:space="0"/>
              <w:right w:val="single" w:color="auto" w:sz="4" w:space="0"/>
            </w:tcBorders>
            <w:vAlign w:val="center"/>
          </w:tcPr>
          <w:p w14:paraId="24AE5BCE">
            <w:pPr>
              <w:rPr>
                <w:color w:val="auto"/>
                <w:highlight w:val="none"/>
              </w:rPr>
            </w:pPr>
          </w:p>
        </w:tc>
        <w:tc>
          <w:tcPr>
            <w:tcW w:w="2363" w:type="dxa"/>
            <w:tcBorders>
              <w:top w:val="single" w:color="auto" w:sz="4" w:space="0"/>
              <w:left w:val="single" w:color="auto" w:sz="4" w:space="0"/>
              <w:bottom w:val="single" w:color="auto" w:sz="4" w:space="0"/>
              <w:right w:val="single" w:color="auto" w:sz="4" w:space="0"/>
            </w:tcBorders>
            <w:vAlign w:val="center"/>
          </w:tcPr>
          <w:p w14:paraId="2BDC5B4E">
            <w:pPr>
              <w:rPr>
                <w:color w:val="auto"/>
                <w:highlight w:val="none"/>
              </w:rPr>
            </w:pPr>
            <w:r>
              <w:rPr>
                <w:rFonts w:hint="eastAsia"/>
                <w:color w:val="auto"/>
                <w:highlight w:val="none"/>
              </w:rPr>
              <w:t>本项目任职</w:t>
            </w:r>
          </w:p>
        </w:tc>
        <w:tc>
          <w:tcPr>
            <w:tcW w:w="891" w:type="dxa"/>
            <w:tcBorders>
              <w:top w:val="single" w:color="auto" w:sz="4" w:space="0"/>
              <w:left w:val="single" w:color="auto" w:sz="4" w:space="0"/>
              <w:bottom w:val="single" w:color="auto" w:sz="4" w:space="0"/>
              <w:right w:val="single" w:color="auto" w:sz="4" w:space="0"/>
            </w:tcBorders>
            <w:vAlign w:val="center"/>
          </w:tcPr>
          <w:p w14:paraId="53072A69">
            <w:pPr>
              <w:rPr>
                <w:color w:val="auto"/>
                <w:highlight w:val="none"/>
              </w:rPr>
            </w:pPr>
          </w:p>
        </w:tc>
      </w:tr>
      <w:tr w14:paraId="5ED0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69" w:type="dxa"/>
            <w:tcBorders>
              <w:top w:val="single" w:color="auto" w:sz="4" w:space="0"/>
              <w:left w:val="single" w:color="auto" w:sz="4" w:space="0"/>
              <w:bottom w:val="single" w:color="auto" w:sz="4" w:space="0"/>
              <w:right w:val="single" w:color="auto" w:sz="4" w:space="0"/>
            </w:tcBorders>
            <w:vAlign w:val="center"/>
          </w:tcPr>
          <w:p w14:paraId="6BB4CE34">
            <w:pPr>
              <w:rPr>
                <w:color w:val="auto"/>
                <w:highlight w:val="none"/>
              </w:rPr>
            </w:pPr>
            <w:r>
              <w:rPr>
                <w:rFonts w:hint="eastAsia"/>
                <w:color w:val="auto"/>
                <w:highlight w:val="none"/>
              </w:rPr>
              <w:t>人员级别</w:t>
            </w:r>
          </w:p>
        </w:tc>
        <w:tc>
          <w:tcPr>
            <w:tcW w:w="1343" w:type="dxa"/>
            <w:tcBorders>
              <w:top w:val="single" w:color="auto" w:sz="4" w:space="0"/>
              <w:left w:val="single" w:color="auto" w:sz="4" w:space="0"/>
              <w:bottom w:val="single" w:color="auto" w:sz="4" w:space="0"/>
              <w:right w:val="single" w:color="auto" w:sz="4" w:space="0"/>
            </w:tcBorders>
            <w:vAlign w:val="center"/>
          </w:tcPr>
          <w:p w14:paraId="0B85AD1E">
            <w:pPr>
              <w:rPr>
                <w:color w:val="auto"/>
                <w:highlight w:val="none"/>
              </w:rPr>
            </w:pPr>
          </w:p>
        </w:tc>
        <w:tc>
          <w:tcPr>
            <w:tcW w:w="2145" w:type="dxa"/>
            <w:tcBorders>
              <w:top w:val="single" w:color="auto" w:sz="4" w:space="0"/>
              <w:left w:val="single" w:color="auto" w:sz="4" w:space="0"/>
              <w:bottom w:val="single" w:color="auto" w:sz="4" w:space="0"/>
              <w:right w:val="single" w:color="auto" w:sz="4" w:space="0"/>
            </w:tcBorders>
            <w:vAlign w:val="center"/>
          </w:tcPr>
          <w:p w14:paraId="298A3129">
            <w:pPr>
              <w:rPr>
                <w:color w:val="auto"/>
                <w:highlight w:val="none"/>
              </w:rPr>
            </w:pPr>
            <w:r>
              <w:rPr>
                <w:rFonts w:hint="eastAsia"/>
                <w:color w:val="auto"/>
                <w:highlight w:val="none"/>
              </w:rPr>
              <w:t>从事XXX工作年限</w:t>
            </w:r>
          </w:p>
        </w:tc>
        <w:tc>
          <w:tcPr>
            <w:tcW w:w="1088" w:type="dxa"/>
            <w:tcBorders>
              <w:top w:val="single" w:color="auto" w:sz="4" w:space="0"/>
              <w:left w:val="single" w:color="auto" w:sz="4" w:space="0"/>
              <w:bottom w:val="single" w:color="auto" w:sz="4" w:space="0"/>
              <w:right w:val="single" w:color="auto" w:sz="4" w:space="0"/>
            </w:tcBorders>
            <w:vAlign w:val="center"/>
          </w:tcPr>
          <w:p w14:paraId="4E318ACD">
            <w:pPr>
              <w:rPr>
                <w:color w:val="auto"/>
                <w:highlight w:val="none"/>
              </w:rPr>
            </w:pPr>
          </w:p>
        </w:tc>
        <w:tc>
          <w:tcPr>
            <w:tcW w:w="2363" w:type="dxa"/>
            <w:tcBorders>
              <w:top w:val="single" w:color="auto" w:sz="4" w:space="0"/>
              <w:left w:val="single" w:color="auto" w:sz="4" w:space="0"/>
              <w:bottom w:val="single" w:color="auto" w:sz="4" w:space="0"/>
              <w:right w:val="single" w:color="auto" w:sz="4" w:space="0"/>
            </w:tcBorders>
            <w:vAlign w:val="center"/>
          </w:tcPr>
          <w:p w14:paraId="5CDDE8AC">
            <w:pPr>
              <w:rPr>
                <w:color w:val="auto"/>
                <w:highlight w:val="none"/>
              </w:rPr>
            </w:pPr>
            <w:r>
              <w:rPr>
                <w:rFonts w:hint="eastAsia"/>
                <w:color w:val="auto"/>
                <w:highlight w:val="none"/>
              </w:rPr>
              <w:t>从事XXXX年限</w:t>
            </w:r>
          </w:p>
        </w:tc>
        <w:tc>
          <w:tcPr>
            <w:tcW w:w="891" w:type="dxa"/>
            <w:tcBorders>
              <w:top w:val="single" w:color="auto" w:sz="4" w:space="0"/>
              <w:left w:val="single" w:color="auto" w:sz="4" w:space="0"/>
              <w:bottom w:val="single" w:color="auto" w:sz="4" w:space="0"/>
              <w:right w:val="single" w:color="auto" w:sz="4" w:space="0"/>
            </w:tcBorders>
            <w:vAlign w:val="center"/>
          </w:tcPr>
          <w:p w14:paraId="436E7BF4">
            <w:pPr>
              <w:rPr>
                <w:color w:val="auto"/>
                <w:highlight w:val="none"/>
              </w:rPr>
            </w:pPr>
          </w:p>
        </w:tc>
      </w:tr>
      <w:tr w14:paraId="32E1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69" w:type="dxa"/>
            <w:tcBorders>
              <w:top w:val="single" w:color="auto" w:sz="4" w:space="0"/>
              <w:left w:val="single" w:color="auto" w:sz="4" w:space="0"/>
              <w:bottom w:val="single" w:color="auto" w:sz="4" w:space="0"/>
              <w:right w:val="single" w:color="auto" w:sz="4" w:space="0"/>
            </w:tcBorders>
            <w:vAlign w:val="center"/>
          </w:tcPr>
          <w:p w14:paraId="08DF6BE6">
            <w:pPr>
              <w:rPr>
                <w:color w:val="auto"/>
                <w:highlight w:val="none"/>
              </w:rPr>
            </w:pPr>
            <w:r>
              <w:rPr>
                <w:rFonts w:hint="eastAsia"/>
                <w:color w:val="auto"/>
                <w:highlight w:val="none"/>
              </w:rPr>
              <w:t>认证证书</w:t>
            </w:r>
          </w:p>
        </w:tc>
        <w:tc>
          <w:tcPr>
            <w:tcW w:w="7830" w:type="dxa"/>
            <w:gridSpan w:val="5"/>
            <w:tcBorders>
              <w:top w:val="single" w:color="auto" w:sz="4" w:space="0"/>
              <w:left w:val="single" w:color="auto" w:sz="4" w:space="0"/>
              <w:bottom w:val="single" w:color="auto" w:sz="4" w:space="0"/>
              <w:right w:val="single" w:color="auto" w:sz="4" w:space="0"/>
            </w:tcBorders>
            <w:vAlign w:val="center"/>
          </w:tcPr>
          <w:p w14:paraId="39C9E323">
            <w:pPr>
              <w:rPr>
                <w:color w:val="auto"/>
                <w:highlight w:val="none"/>
              </w:rPr>
            </w:pPr>
          </w:p>
        </w:tc>
      </w:tr>
      <w:tr w14:paraId="4E2E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4" w:hRule="atLeast"/>
        </w:trPr>
        <w:tc>
          <w:tcPr>
            <w:tcW w:w="9199" w:type="dxa"/>
            <w:gridSpan w:val="6"/>
            <w:tcBorders>
              <w:top w:val="single" w:color="auto" w:sz="4" w:space="0"/>
              <w:left w:val="single" w:color="auto" w:sz="4" w:space="0"/>
              <w:bottom w:val="single" w:color="auto" w:sz="4" w:space="0"/>
              <w:right w:val="single" w:color="auto" w:sz="4" w:space="0"/>
            </w:tcBorders>
          </w:tcPr>
          <w:p w14:paraId="320CBA9F">
            <w:pPr>
              <w:rPr>
                <w:color w:val="auto"/>
                <w:highlight w:val="none"/>
              </w:rPr>
            </w:pPr>
            <w:r>
              <w:rPr>
                <w:rFonts w:hint="eastAsia"/>
                <w:color w:val="auto"/>
                <w:highlight w:val="none"/>
              </w:rPr>
              <w:t>工作简历及主要业绩</w:t>
            </w:r>
          </w:p>
          <w:p w14:paraId="26FC8420">
            <w:pPr>
              <w:rPr>
                <w:color w:val="auto"/>
                <w:highlight w:val="none"/>
              </w:rPr>
            </w:pPr>
          </w:p>
        </w:tc>
      </w:tr>
    </w:tbl>
    <w:p w14:paraId="470B1EE1">
      <w:pPr>
        <w:jc w:val="left"/>
        <w:rPr>
          <w:color w:val="auto"/>
          <w:highlight w:val="none"/>
        </w:rPr>
      </w:pPr>
      <w:r>
        <w:rPr>
          <w:color w:val="auto"/>
          <w:highlight w:val="none"/>
        </w:rPr>
        <w:t>特别说明：</w:t>
      </w:r>
      <w:r>
        <w:rPr>
          <w:rFonts w:hint="eastAsia"/>
          <w:color w:val="auto"/>
          <w:highlight w:val="none"/>
          <w:lang w:val="en-US" w:eastAsia="zh-CN"/>
        </w:rPr>
        <w:t>供应商</w:t>
      </w:r>
      <w:r>
        <w:rPr>
          <w:color w:val="auto"/>
          <w:highlight w:val="none"/>
        </w:rPr>
        <w:t>应提供投入本项目</w:t>
      </w:r>
      <w:r>
        <w:rPr>
          <w:rFonts w:hint="eastAsia"/>
          <w:color w:val="auto"/>
          <w:highlight w:val="none"/>
        </w:rPr>
        <w:t>人员</w:t>
      </w:r>
      <w:r>
        <w:rPr>
          <w:color w:val="auto"/>
          <w:highlight w:val="none"/>
        </w:rPr>
        <w:t>的简历。</w:t>
      </w:r>
    </w:p>
    <w:p w14:paraId="2C926824">
      <w:pPr>
        <w:rPr>
          <w:color w:val="auto"/>
          <w:highlight w:val="none"/>
        </w:rPr>
      </w:pPr>
    </w:p>
    <w:p w14:paraId="71377433">
      <w:pPr>
        <w:topLinePunct/>
        <w:autoSpaceDE w:val="0"/>
        <w:autoSpaceDN w:val="0"/>
        <w:spacing w:line="360" w:lineRule="auto"/>
        <w:ind w:firstLine="602" w:firstLineChars="200"/>
        <w:rPr>
          <w:rFonts w:hint="eastAsia" w:ascii="宋体" w:hAnsi="宋体" w:cs="宋体"/>
          <w:b/>
          <w:color w:val="auto"/>
          <w:sz w:val="30"/>
          <w:szCs w:val="30"/>
          <w:highlight w:val="none"/>
        </w:rPr>
      </w:pPr>
    </w:p>
    <w:p w14:paraId="342289A8">
      <w:pPr>
        <w:pStyle w:val="28"/>
        <w:rPr>
          <w:rFonts w:hint="eastAsia"/>
          <w:color w:val="auto"/>
          <w:highlight w:val="none"/>
        </w:rPr>
      </w:pPr>
    </w:p>
    <w:p w14:paraId="6D5AC316">
      <w:pPr>
        <w:pStyle w:val="29"/>
        <w:rPr>
          <w:rFonts w:hint="eastAsia" w:ascii="宋体" w:hAnsi="宋体" w:cs="宋体"/>
          <w:b/>
          <w:color w:val="auto"/>
          <w:sz w:val="30"/>
          <w:szCs w:val="30"/>
          <w:highlight w:val="none"/>
        </w:rPr>
      </w:pPr>
    </w:p>
    <w:p w14:paraId="5324B32D">
      <w:pPr>
        <w:pStyle w:val="29"/>
        <w:rPr>
          <w:rFonts w:hint="eastAsia" w:ascii="宋体" w:hAnsi="宋体" w:cs="宋体"/>
          <w:b/>
          <w:color w:val="auto"/>
          <w:sz w:val="30"/>
          <w:szCs w:val="30"/>
          <w:highlight w:val="none"/>
        </w:rPr>
      </w:pPr>
    </w:p>
    <w:p w14:paraId="0EB7FFAE">
      <w:pPr>
        <w:pStyle w:val="29"/>
        <w:rPr>
          <w:rFonts w:hint="eastAsia" w:ascii="宋体" w:hAnsi="宋体" w:cs="宋体"/>
          <w:b/>
          <w:color w:val="auto"/>
          <w:sz w:val="30"/>
          <w:szCs w:val="30"/>
          <w:highlight w:val="none"/>
        </w:rPr>
      </w:pPr>
    </w:p>
    <w:p w14:paraId="4C517125">
      <w:pPr>
        <w:pStyle w:val="29"/>
        <w:rPr>
          <w:rFonts w:hint="eastAsia" w:ascii="宋体" w:hAnsi="宋体" w:cs="宋体"/>
          <w:b/>
          <w:color w:val="auto"/>
          <w:sz w:val="30"/>
          <w:szCs w:val="30"/>
          <w:highlight w:val="none"/>
        </w:rPr>
      </w:pPr>
    </w:p>
    <w:p w14:paraId="6738E6A9">
      <w:pPr>
        <w:pStyle w:val="29"/>
        <w:jc w:val="center"/>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rPr>
        <w:t>格式</w:t>
      </w:r>
      <w:r>
        <w:rPr>
          <w:rFonts w:hint="eastAsia" w:ascii="宋体" w:hAnsi="宋体" w:eastAsia="宋体" w:cs="宋体"/>
          <w:b/>
          <w:bCs/>
          <w:color w:val="auto"/>
          <w:sz w:val="28"/>
          <w:szCs w:val="28"/>
          <w:highlight w:val="none"/>
        </w:rPr>
        <w:t>1</w:t>
      </w: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供应商认为需要提供的其他说明和资料。</w:t>
      </w:r>
    </w:p>
    <w:p w14:paraId="7A2902D5">
      <w:pPr>
        <w:pStyle w:val="29"/>
        <w:ind w:firstLine="210" w:firstLineChars="100"/>
        <w:rPr>
          <w:rFonts w:hint="default" w:ascii="宋体" w:hAnsi="宋体" w:eastAsia="宋体" w:cs="宋体"/>
          <w:color w:val="auto"/>
          <w:szCs w:val="21"/>
          <w:highlight w:val="none"/>
          <w:lang w:val="en-US" w:eastAsia="zh-CN"/>
        </w:rPr>
      </w:pPr>
    </w:p>
    <w:p w14:paraId="1748F0C9">
      <w:pPr>
        <w:jc w:val="center"/>
        <w:rPr>
          <w:rFonts w:hint="eastAsia" w:ascii="宋体" w:hAnsi="宋体" w:cs="宋体"/>
          <w:b/>
          <w:bCs/>
          <w:color w:val="auto"/>
          <w:spacing w:val="100"/>
          <w:sz w:val="84"/>
          <w:szCs w:val="84"/>
          <w:highlight w:val="none"/>
        </w:rPr>
      </w:pPr>
    </w:p>
    <w:p w14:paraId="265E5970">
      <w:pPr>
        <w:pStyle w:val="28"/>
        <w:rPr>
          <w:rFonts w:hint="eastAsia"/>
          <w:color w:val="auto"/>
          <w:highlight w:val="none"/>
        </w:rPr>
      </w:pPr>
    </w:p>
    <w:p w14:paraId="33A1FB81">
      <w:pPr>
        <w:pStyle w:val="29"/>
        <w:rPr>
          <w:rFonts w:hint="eastAsia" w:ascii="宋体" w:hAnsi="宋体" w:cs="宋体"/>
          <w:b/>
          <w:bCs/>
          <w:color w:val="auto"/>
          <w:spacing w:val="100"/>
          <w:sz w:val="84"/>
          <w:szCs w:val="84"/>
          <w:highlight w:val="none"/>
        </w:rPr>
      </w:pPr>
    </w:p>
    <w:p w14:paraId="44928480">
      <w:pPr>
        <w:pStyle w:val="17"/>
        <w:rPr>
          <w:rFonts w:ascii="宋体" w:hAnsi="宋体" w:cs="宋体"/>
          <w:color w:val="auto"/>
          <w:szCs w:val="21"/>
          <w:highlight w:val="none"/>
        </w:rPr>
      </w:pPr>
    </w:p>
    <w:p w14:paraId="7E02E560">
      <w:pPr>
        <w:pStyle w:val="17"/>
        <w:rPr>
          <w:rFonts w:ascii="宋体" w:hAnsi="宋体" w:cs="宋体"/>
          <w:color w:val="auto"/>
          <w:szCs w:val="21"/>
          <w:highlight w:val="none"/>
        </w:rPr>
      </w:pPr>
    </w:p>
    <w:p w14:paraId="48A153C8">
      <w:pPr>
        <w:pStyle w:val="17"/>
        <w:rPr>
          <w:rFonts w:ascii="宋体" w:hAnsi="宋体" w:cs="宋体"/>
          <w:color w:val="auto"/>
          <w:szCs w:val="21"/>
          <w:highlight w:val="none"/>
        </w:rPr>
      </w:pPr>
    </w:p>
    <w:p w14:paraId="5D5D4C98">
      <w:pPr>
        <w:pStyle w:val="17"/>
        <w:rPr>
          <w:rFonts w:ascii="宋体" w:hAnsi="宋体" w:cs="宋体"/>
          <w:color w:val="auto"/>
          <w:szCs w:val="21"/>
          <w:highlight w:val="none"/>
        </w:rPr>
      </w:pPr>
    </w:p>
    <w:p w14:paraId="6F6CC4BA">
      <w:pPr>
        <w:pStyle w:val="17"/>
        <w:rPr>
          <w:rFonts w:ascii="宋体" w:hAnsi="宋体" w:cs="宋体"/>
          <w:color w:val="auto"/>
          <w:szCs w:val="21"/>
          <w:highlight w:val="none"/>
        </w:rPr>
      </w:pPr>
    </w:p>
    <w:p w14:paraId="4E5D2408">
      <w:pPr>
        <w:pStyle w:val="17"/>
        <w:rPr>
          <w:rFonts w:ascii="宋体" w:hAnsi="宋体" w:cs="宋体"/>
          <w:color w:val="auto"/>
          <w:szCs w:val="21"/>
          <w:highlight w:val="none"/>
        </w:rPr>
      </w:pPr>
    </w:p>
    <w:p w14:paraId="4E573DFE">
      <w:pPr>
        <w:pStyle w:val="17"/>
        <w:rPr>
          <w:rFonts w:ascii="宋体" w:hAnsi="宋体" w:cs="宋体"/>
          <w:color w:val="auto"/>
          <w:szCs w:val="21"/>
          <w:highlight w:val="none"/>
        </w:rPr>
      </w:pPr>
    </w:p>
    <w:p w14:paraId="278C9C3F">
      <w:pPr>
        <w:pStyle w:val="17"/>
        <w:rPr>
          <w:rFonts w:ascii="宋体" w:hAnsi="宋体" w:cs="宋体"/>
          <w:color w:val="auto"/>
          <w:szCs w:val="21"/>
          <w:highlight w:val="none"/>
        </w:rPr>
      </w:pPr>
    </w:p>
    <w:p w14:paraId="56B6A372">
      <w:pPr>
        <w:pStyle w:val="17"/>
        <w:rPr>
          <w:rFonts w:ascii="宋体" w:hAnsi="宋体" w:cs="宋体"/>
          <w:color w:val="auto"/>
          <w:szCs w:val="21"/>
          <w:highlight w:val="none"/>
        </w:rPr>
      </w:pPr>
    </w:p>
    <w:p w14:paraId="172408A8">
      <w:pPr>
        <w:pStyle w:val="17"/>
        <w:rPr>
          <w:rFonts w:ascii="宋体" w:hAnsi="宋体" w:cs="宋体"/>
          <w:color w:val="auto"/>
          <w:szCs w:val="21"/>
          <w:highlight w:val="none"/>
        </w:rPr>
      </w:pPr>
    </w:p>
    <w:p w14:paraId="6C93E5BE">
      <w:pPr>
        <w:pStyle w:val="17"/>
        <w:rPr>
          <w:rFonts w:ascii="宋体" w:hAnsi="宋体" w:cs="宋体"/>
          <w:color w:val="auto"/>
          <w:szCs w:val="21"/>
          <w:highlight w:val="none"/>
        </w:rPr>
      </w:pPr>
    </w:p>
    <w:p w14:paraId="504B9E38">
      <w:pPr>
        <w:pStyle w:val="17"/>
        <w:rPr>
          <w:rFonts w:ascii="宋体" w:hAnsi="宋体" w:cs="宋体"/>
          <w:color w:val="auto"/>
          <w:szCs w:val="21"/>
          <w:highlight w:val="none"/>
        </w:rPr>
      </w:pPr>
    </w:p>
    <w:p w14:paraId="768B4DB4">
      <w:pPr>
        <w:pStyle w:val="17"/>
        <w:rPr>
          <w:rFonts w:ascii="宋体" w:hAnsi="宋体" w:cs="宋体"/>
          <w:color w:val="auto"/>
          <w:szCs w:val="21"/>
          <w:highlight w:val="none"/>
        </w:rPr>
      </w:pPr>
    </w:p>
    <w:p w14:paraId="01C28BB9">
      <w:pPr>
        <w:pStyle w:val="17"/>
        <w:rPr>
          <w:rFonts w:ascii="宋体" w:hAnsi="宋体" w:cs="宋体"/>
          <w:color w:val="auto"/>
          <w:szCs w:val="21"/>
          <w:highlight w:val="none"/>
        </w:rPr>
      </w:pPr>
    </w:p>
    <w:p w14:paraId="2E947CCC">
      <w:pPr>
        <w:pStyle w:val="17"/>
        <w:rPr>
          <w:rFonts w:ascii="宋体" w:hAnsi="宋体" w:cs="宋体"/>
          <w:color w:val="auto"/>
          <w:szCs w:val="21"/>
          <w:highlight w:val="none"/>
        </w:rPr>
      </w:pPr>
    </w:p>
    <w:p w14:paraId="15CCCFF1">
      <w:pPr>
        <w:jc w:val="center"/>
        <w:rPr>
          <w:rFonts w:hint="eastAsia" w:ascii="宋体" w:hAnsi="宋体" w:cs="宋体"/>
          <w:b/>
          <w:bCs/>
          <w:color w:val="auto"/>
          <w:spacing w:val="100"/>
          <w:sz w:val="84"/>
          <w:szCs w:val="84"/>
          <w:highlight w:val="none"/>
        </w:rPr>
      </w:pPr>
    </w:p>
    <w:p w14:paraId="6C39EF55">
      <w:pPr>
        <w:jc w:val="center"/>
        <w:rPr>
          <w:rFonts w:ascii="宋体" w:hAnsi="宋体" w:cs="宋体"/>
          <w:color w:val="auto"/>
          <w:szCs w:val="84"/>
          <w:highlight w:val="none"/>
        </w:rPr>
      </w:pPr>
      <w:r>
        <w:rPr>
          <w:rFonts w:hint="eastAsia" w:ascii="宋体" w:hAnsi="宋体" w:cs="宋体"/>
          <w:b/>
          <w:bCs/>
          <w:color w:val="auto"/>
          <w:spacing w:val="100"/>
          <w:sz w:val="84"/>
          <w:szCs w:val="84"/>
          <w:highlight w:val="none"/>
        </w:rPr>
        <w:t>磋商文件</w:t>
      </w:r>
    </w:p>
    <w:p w14:paraId="6B231E2B">
      <w:pPr>
        <w:spacing w:line="480" w:lineRule="auto"/>
        <w:jc w:val="center"/>
        <w:rPr>
          <w:b/>
          <w:color w:val="auto"/>
          <w:sz w:val="32"/>
          <w:highlight w:val="none"/>
        </w:rPr>
      </w:pPr>
      <w:r>
        <w:rPr>
          <w:rFonts w:hint="eastAsia" w:ascii="宋体" w:hAnsi="宋体" w:eastAsia="宋体" w:cs="宋体"/>
          <w:b/>
          <w:bCs w:val="0"/>
          <w:color w:val="auto"/>
          <w:sz w:val="48"/>
          <w:szCs w:val="48"/>
          <w:highlight w:val="none"/>
        </w:rPr>
        <w:t>（</w:t>
      </w:r>
      <w:r>
        <w:rPr>
          <w:rFonts w:hint="eastAsia" w:ascii="宋体" w:hAnsi="宋体" w:cs="宋体"/>
          <w:b/>
          <w:bCs w:val="0"/>
          <w:color w:val="auto"/>
          <w:sz w:val="48"/>
          <w:szCs w:val="48"/>
          <w:highlight w:val="none"/>
          <w:lang w:val="en-US" w:eastAsia="zh-CN"/>
        </w:rPr>
        <w:t>技术</w:t>
      </w:r>
      <w:r>
        <w:rPr>
          <w:rFonts w:hint="eastAsia" w:ascii="宋体" w:hAnsi="宋体" w:eastAsia="宋体" w:cs="宋体"/>
          <w:b/>
          <w:bCs w:val="0"/>
          <w:color w:val="auto"/>
          <w:sz w:val="48"/>
          <w:szCs w:val="48"/>
          <w:highlight w:val="none"/>
        </w:rPr>
        <w:t>部分）</w:t>
      </w:r>
    </w:p>
    <w:p w14:paraId="380A0CE9">
      <w:pPr>
        <w:pStyle w:val="28"/>
        <w:rPr>
          <w:color w:val="auto"/>
          <w:highlight w:val="none"/>
        </w:rPr>
      </w:pPr>
    </w:p>
    <w:p w14:paraId="345BB968">
      <w:pPr>
        <w:pStyle w:val="29"/>
        <w:rPr>
          <w:b/>
          <w:color w:val="auto"/>
          <w:sz w:val="32"/>
          <w:highlight w:val="none"/>
        </w:rPr>
      </w:pPr>
    </w:p>
    <w:p w14:paraId="45184DDE">
      <w:pPr>
        <w:pStyle w:val="29"/>
        <w:rPr>
          <w:b/>
          <w:color w:val="auto"/>
          <w:sz w:val="32"/>
          <w:highlight w:val="none"/>
        </w:rPr>
      </w:pPr>
    </w:p>
    <w:p w14:paraId="545B246C">
      <w:pPr>
        <w:spacing w:line="480" w:lineRule="auto"/>
        <w:ind w:left="0" w:leftChars="0" w:firstLine="1144" w:firstLineChars="356"/>
        <w:jc w:val="both"/>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rPr>
        <w:t>项目名称：</w:t>
      </w:r>
      <w:r>
        <w:rPr>
          <w:rFonts w:hint="eastAsia" w:asciiTheme="minorEastAsia" w:hAnsiTheme="minorEastAsia" w:eastAsiaTheme="minorEastAsia" w:cstheme="minorEastAsia"/>
          <w:b/>
          <w:color w:val="auto"/>
          <w:sz w:val="32"/>
          <w:szCs w:val="32"/>
          <w:highlight w:val="none"/>
          <w:lang w:eastAsia="zh-CN"/>
        </w:rPr>
        <w:t>国家税务总局南丹县税务局2026年度</w:t>
      </w:r>
    </w:p>
    <w:p w14:paraId="74CFEA34">
      <w:pPr>
        <w:spacing w:line="480" w:lineRule="auto"/>
        <w:ind w:left="0" w:leftChars="0" w:firstLine="2891" w:firstLineChars="900"/>
        <w:jc w:val="both"/>
        <w:rPr>
          <w:rFonts w:hint="eastAsia" w:asciiTheme="minorEastAsia" w:hAnsiTheme="minorEastAsia" w:eastAsiaTheme="minorEastAsia" w:cstheme="minorEastAsia"/>
          <w:b/>
          <w:color w:val="auto"/>
          <w:sz w:val="32"/>
          <w:szCs w:val="32"/>
          <w:highlight w:val="none"/>
          <w:lang w:val="en-US" w:eastAsia="zh-CN"/>
        </w:rPr>
      </w:pPr>
      <w:r>
        <w:rPr>
          <w:rFonts w:hint="eastAsia" w:asciiTheme="minorEastAsia" w:hAnsiTheme="minorEastAsia" w:eastAsiaTheme="minorEastAsia" w:cstheme="minorEastAsia"/>
          <w:b/>
          <w:color w:val="auto"/>
          <w:sz w:val="32"/>
          <w:szCs w:val="32"/>
          <w:highlight w:val="none"/>
          <w:lang w:eastAsia="zh-CN"/>
        </w:rPr>
        <w:t>物业管理服务采购</w:t>
      </w:r>
    </w:p>
    <w:p w14:paraId="3E160016">
      <w:pPr>
        <w:spacing w:line="480" w:lineRule="auto"/>
        <w:ind w:left="0" w:leftChars="0" w:firstLine="1157" w:firstLineChars="360"/>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rPr>
        <w:t>项目编号：</w:t>
      </w:r>
      <w:r>
        <w:rPr>
          <w:rFonts w:hint="eastAsia" w:asciiTheme="minorEastAsia" w:hAnsiTheme="minorEastAsia" w:eastAsiaTheme="minorEastAsia" w:cstheme="minorEastAsia"/>
          <w:b/>
          <w:color w:val="auto"/>
          <w:sz w:val="32"/>
          <w:szCs w:val="32"/>
          <w:highlight w:val="none"/>
          <w:lang w:eastAsia="zh-CN"/>
        </w:rPr>
        <w:t>ZB2026-199</w:t>
      </w:r>
    </w:p>
    <w:p w14:paraId="6F2699B0">
      <w:pPr>
        <w:spacing w:line="480" w:lineRule="auto"/>
        <w:ind w:left="0" w:leftChars="0" w:firstLine="1144" w:firstLineChars="356"/>
        <w:jc w:val="both"/>
        <w:rPr>
          <w:rFonts w:hint="eastAsia" w:asciiTheme="minorEastAsia" w:hAnsiTheme="minorEastAsia" w:eastAsiaTheme="minorEastAsia" w:cstheme="minorEastAsia"/>
          <w:b/>
          <w:color w:val="auto"/>
          <w:sz w:val="32"/>
          <w:highlight w:val="none"/>
          <w:lang w:eastAsia="zh-CN"/>
        </w:rPr>
      </w:pPr>
      <w:r>
        <w:rPr>
          <w:rFonts w:hint="eastAsia" w:asciiTheme="minorEastAsia" w:hAnsiTheme="minorEastAsia" w:eastAsiaTheme="minorEastAsia" w:cstheme="minorEastAsia"/>
          <w:b/>
          <w:color w:val="auto"/>
          <w:sz w:val="32"/>
          <w:szCs w:val="32"/>
          <w:highlight w:val="none"/>
        </w:rPr>
        <w:t>采</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rPr>
        <w:t>购</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rPr>
        <w:t>人：</w:t>
      </w:r>
      <w:r>
        <w:rPr>
          <w:rFonts w:hint="eastAsia" w:asciiTheme="minorEastAsia" w:hAnsiTheme="minorEastAsia" w:eastAsiaTheme="minorEastAsia" w:cstheme="minorEastAsia"/>
          <w:b/>
          <w:color w:val="auto"/>
          <w:sz w:val="32"/>
          <w:szCs w:val="32"/>
          <w:highlight w:val="none"/>
          <w:lang w:eastAsia="zh-CN"/>
        </w:rPr>
        <w:t>国家税务总局南丹县税务局</w:t>
      </w:r>
    </w:p>
    <w:p w14:paraId="44670430">
      <w:pPr>
        <w:spacing w:line="480" w:lineRule="auto"/>
        <w:ind w:left="0" w:leftChars="0" w:firstLine="1083" w:firstLineChars="337"/>
        <w:jc w:val="both"/>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采购代理机构：广西众联工程项目管理有限公司</w:t>
      </w:r>
    </w:p>
    <w:p w14:paraId="1E8BFD3F">
      <w:pPr>
        <w:jc w:val="center"/>
        <w:rPr>
          <w:rFonts w:hint="eastAsia" w:asciiTheme="minorEastAsia" w:hAnsiTheme="minorEastAsia" w:eastAsiaTheme="minorEastAsia" w:cstheme="minorEastAsia"/>
          <w:b/>
          <w:color w:val="auto"/>
          <w:sz w:val="32"/>
          <w:szCs w:val="32"/>
          <w:highlight w:val="none"/>
          <w:lang w:eastAsia="zh-CN"/>
        </w:rPr>
      </w:pPr>
    </w:p>
    <w:p w14:paraId="4004EB60">
      <w:pPr>
        <w:jc w:val="center"/>
        <w:rPr>
          <w:rFonts w:hint="eastAsia" w:asciiTheme="minorEastAsia" w:hAnsiTheme="minorEastAsia" w:eastAsiaTheme="minorEastAsia" w:cstheme="minorEastAsia"/>
          <w:b/>
          <w:color w:val="auto"/>
          <w:sz w:val="32"/>
          <w:szCs w:val="32"/>
          <w:highlight w:val="none"/>
          <w:lang w:eastAsia="zh-CN"/>
        </w:rPr>
      </w:pPr>
    </w:p>
    <w:p w14:paraId="7CE4B0C0">
      <w:pPr>
        <w:jc w:val="center"/>
        <w:rPr>
          <w:rFonts w:hint="eastAsia" w:asciiTheme="minorEastAsia" w:hAnsiTheme="minorEastAsia" w:eastAsiaTheme="minorEastAsia" w:cstheme="minorEastAsia"/>
          <w:b/>
          <w:color w:val="auto"/>
          <w:sz w:val="32"/>
          <w:szCs w:val="32"/>
          <w:highlight w:val="none"/>
          <w:lang w:eastAsia="zh-CN"/>
        </w:rPr>
      </w:pPr>
    </w:p>
    <w:p w14:paraId="64FE276C">
      <w:pPr>
        <w:pStyle w:val="29"/>
        <w:rPr>
          <w:rFonts w:hint="eastAsia"/>
          <w:color w:val="auto"/>
          <w:highlight w:val="none"/>
          <w:lang w:eastAsia="zh-CN"/>
        </w:rPr>
      </w:pPr>
    </w:p>
    <w:p w14:paraId="631F766E">
      <w:pPr>
        <w:jc w:val="center"/>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highlight w:val="none"/>
          <w:lang w:eastAsia="zh-CN"/>
        </w:rPr>
        <w:t>国家税务总局南丹县税务局</w:t>
      </w:r>
    </w:p>
    <w:p w14:paraId="74C1B5B1">
      <w:pPr>
        <w:jc w:val="center"/>
        <w:rPr>
          <w:rFonts w:ascii="宋体" w:hAnsi="宋体" w:cs="宋体"/>
          <w:b/>
          <w:bCs/>
          <w:color w:val="auto"/>
          <w:sz w:val="32"/>
          <w:szCs w:val="32"/>
          <w:highlight w:val="none"/>
        </w:rPr>
      </w:pPr>
      <w:r>
        <w:rPr>
          <w:rFonts w:hint="eastAsia" w:asciiTheme="minorEastAsia" w:hAnsiTheme="minorEastAsia" w:eastAsiaTheme="minorEastAsia" w:cstheme="minorEastAsia"/>
          <w:b/>
          <w:color w:val="auto"/>
          <w:sz w:val="32"/>
          <w:szCs w:val="32"/>
          <w:highlight w:val="none"/>
          <w:lang w:eastAsia="zh-CN"/>
        </w:rPr>
        <w:t>2026年</w:t>
      </w:r>
      <w:r>
        <w:rPr>
          <w:rFonts w:hint="eastAsia" w:asciiTheme="minorEastAsia" w:hAnsiTheme="minorEastAsia" w:eastAsiaTheme="minorEastAsia" w:cstheme="minorEastAsia"/>
          <w:b/>
          <w:color w:val="auto"/>
          <w:sz w:val="32"/>
          <w:szCs w:val="32"/>
          <w:highlight w:val="none"/>
          <w:lang w:val="en-US" w:eastAsia="zh-CN"/>
        </w:rPr>
        <w:t>6</w:t>
      </w:r>
      <w:r>
        <w:rPr>
          <w:rFonts w:hint="eastAsia" w:asciiTheme="minorEastAsia" w:hAnsiTheme="minorEastAsia" w:eastAsiaTheme="minorEastAsia" w:cstheme="minorEastAsia"/>
          <w:b/>
          <w:color w:val="auto"/>
          <w:sz w:val="32"/>
          <w:szCs w:val="32"/>
          <w:highlight w:val="none"/>
          <w:lang w:eastAsia="zh-CN"/>
        </w:rPr>
        <w:t>月</w:t>
      </w:r>
      <w:r>
        <w:rPr>
          <w:rFonts w:hint="eastAsia" w:asciiTheme="minorEastAsia" w:hAnsiTheme="minorEastAsia" w:eastAsiaTheme="minorEastAsia" w:cstheme="minorEastAsia"/>
          <w:b/>
          <w:color w:val="auto"/>
          <w:sz w:val="32"/>
          <w:szCs w:val="32"/>
          <w:highlight w:val="none"/>
          <w:lang w:val="en-US" w:eastAsia="zh-CN"/>
        </w:rPr>
        <w:t>8</w:t>
      </w:r>
      <w:r>
        <w:rPr>
          <w:rFonts w:hint="eastAsia" w:asciiTheme="minorEastAsia" w:hAnsiTheme="minorEastAsia" w:eastAsiaTheme="minorEastAsia" w:cstheme="minorEastAsia"/>
          <w:b/>
          <w:color w:val="auto"/>
          <w:sz w:val="32"/>
          <w:szCs w:val="32"/>
          <w:highlight w:val="none"/>
          <w:lang w:eastAsia="zh-CN"/>
        </w:rPr>
        <w:t>日</w:t>
      </w:r>
    </w:p>
    <w:p w14:paraId="0F423431">
      <w:pPr>
        <w:pStyle w:val="29"/>
        <w:rPr>
          <w:rFonts w:hint="eastAsia" w:ascii="宋体" w:hAnsi="宋体" w:cs="宋体"/>
          <w:b/>
          <w:color w:val="auto"/>
          <w:sz w:val="30"/>
          <w:szCs w:val="30"/>
          <w:highlight w:val="none"/>
        </w:rPr>
      </w:pPr>
    </w:p>
    <w:p w14:paraId="1ADC137C">
      <w:pPr>
        <w:pStyle w:val="29"/>
        <w:rPr>
          <w:rFonts w:hint="eastAsia" w:ascii="宋体" w:hAnsi="宋体" w:cs="宋体"/>
          <w:b/>
          <w:color w:val="auto"/>
          <w:sz w:val="30"/>
          <w:szCs w:val="30"/>
          <w:highlight w:val="none"/>
        </w:rPr>
      </w:pPr>
    </w:p>
    <w:p w14:paraId="0CF23787">
      <w:pPr>
        <w:pStyle w:val="29"/>
        <w:rPr>
          <w:rFonts w:hint="eastAsia" w:ascii="宋体" w:hAnsi="宋体" w:cs="宋体"/>
          <w:b/>
          <w:color w:val="auto"/>
          <w:sz w:val="30"/>
          <w:szCs w:val="30"/>
          <w:highlight w:val="none"/>
        </w:rPr>
      </w:pPr>
    </w:p>
    <w:p w14:paraId="240C6590">
      <w:pPr>
        <w:pStyle w:val="2"/>
        <w:numPr>
          <w:ilvl w:val="0"/>
          <w:numId w:val="3"/>
        </w:numPr>
        <w:jc w:val="center"/>
        <w:rPr>
          <w:rStyle w:val="36"/>
          <w:rFonts w:hint="default"/>
          <w:b/>
          <w:color w:val="auto"/>
          <w:sz w:val="30"/>
          <w:szCs w:val="30"/>
          <w:highlight w:val="none"/>
        </w:rPr>
      </w:pPr>
      <w:bookmarkStart w:id="46" w:name="_Toc24661"/>
      <w:r>
        <w:rPr>
          <w:rStyle w:val="36"/>
          <w:b/>
          <w:color w:val="auto"/>
          <w:sz w:val="30"/>
          <w:szCs w:val="30"/>
          <w:highlight w:val="none"/>
        </w:rPr>
        <w:t xml:space="preserve"> 项目采购需求</w:t>
      </w:r>
    </w:p>
    <w:bookmarkEnd w:id="46"/>
    <w:p w14:paraId="22DDD181">
      <w:pPr>
        <w:bidi w:val="0"/>
        <w:spacing w:line="360" w:lineRule="auto"/>
        <w:ind w:left="0" w:leftChars="0" w:firstLine="422" w:firstLineChars="200"/>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说明：</w:t>
      </w:r>
    </w:p>
    <w:p w14:paraId="3F060579">
      <w:pPr>
        <w:bidi w:val="0"/>
        <w:spacing w:line="360" w:lineRule="auto"/>
        <w:ind w:left="0" w:leftChars="0" w:firstLine="422" w:firstLineChars="200"/>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1.供应商提供的服务必须符合国家和行业标准。</w:t>
      </w:r>
    </w:p>
    <w:p w14:paraId="2C938EFF">
      <w:pPr>
        <w:bidi w:val="0"/>
        <w:spacing w:line="360" w:lineRule="auto"/>
        <w:ind w:left="0" w:leftChars="0" w:firstLine="422" w:firstLineChars="200"/>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2.标“★”为实质性参数要求和条件，供应商必须满足并在投标文件中如实作出响应，否则响应无效；标“#”为重点指标；标“△”为一般指标。</w:t>
      </w:r>
    </w:p>
    <w:p w14:paraId="07CB8F36">
      <w:pPr>
        <w:bidi w:val="0"/>
        <w:spacing w:line="360" w:lineRule="auto"/>
        <w:ind w:left="0" w:leftChars="0" w:firstLine="422" w:firstLineChars="200"/>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3.供应商必须在响应文件中对所有项目要求及技术需求内容、商务要求表中内容及附件内容（如有）逐条响应并一一对应。</w:t>
      </w:r>
    </w:p>
    <w:p w14:paraId="5E37BECC">
      <w:pPr>
        <w:bidi w:val="0"/>
        <w:spacing w:line="360" w:lineRule="auto"/>
        <w:ind w:left="0" w:leftChars="0" w:firstLine="422" w:firstLineChars="200"/>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4.本项目采购标的对应的中小企业划分标准所属行业为：物业管理。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7"/>
        <w:gridCol w:w="1363"/>
        <w:gridCol w:w="9"/>
        <w:gridCol w:w="600"/>
        <w:gridCol w:w="541"/>
        <w:gridCol w:w="5914"/>
      </w:tblGrid>
      <w:tr w14:paraId="619E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057" w:type="dxa"/>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36188CE">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一、技术服务内容及要求</w:t>
            </w:r>
          </w:p>
        </w:tc>
      </w:tr>
      <w:tr w14:paraId="2133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2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F23A19C">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7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E2CDBD5">
            <w:pPr>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采购内容</w:t>
            </w:r>
          </w:p>
        </w:tc>
        <w:tc>
          <w:tcPr>
            <w:tcW w:w="60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F790AEE">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54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369F735">
            <w:pPr>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59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25C31F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技术服务内容及要求</w:t>
            </w:r>
          </w:p>
        </w:tc>
      </w:tr>
      <w:tr w14:paraId="632E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2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5E4FA8F">
            <w:pPr>
              <w:numPr>
                <w:ilvl w:val="0"/>
                <w:numId w:val="4"/>
              </w:numPr>
              <w:spacing w:line="360" w:lineRule="auto"/>
              <w:jc w:val="center"/>
              <w:rPr>
                <w:rFonts w:hint="eastAsia" w:ascii="宋体" w:hAnsi="宋体" w:eastAsia="宋体" w:cs="宋体"/>
                <w:color w:val="auto"/>
                <w:sz w:val="21"/>
                <w:szCs w:val="21"/>
                <w:highlight w:val="none"/>
              </w:rPr>
            </w:pPr>
          </w:p>
        </w:tc>
        <w:tc>
          <w:tcPr>
            <w:tcW w:w="137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3BAA91E">
            <w:pPr>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国家税务总局南丹县税务局2026年度物业管理服务采购</w:t>
            </w:r>
          </w:p>
        </w:tc>
        <w:tc>
          <w:tcPr>
            <w:tcW w:w="60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ECD0AF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4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5C8FED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59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tcPr>
          <w:p w14:paraId="653517F3">
            <w:pPr>
              <w:bidi w:val="0"/>
              <w:spacing w:line="360" w:lineRule="auto"/>
              <w:ind w:firstLine="422" w:firstLineChars="200"/>
              <w:jc w:val="left"/>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（一）物业服务内容</w:t>
            </w:r>
          </w:p>
          <w:p w14:paraId="437A534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国家税务总局南丹县税务局2026年度物业管理服务采购</w:t>
            </w:r>
            <w:r>
              <w:rPr>
                <w:rFonts w:hint="eastAsia" w:ascii="宋体" w:hAnsi="宋体" w:eastAsia="宋体" w:cs="宋体"/>
                <w:color w:val="auto"/>
                <w:sz w:val="21"/>
                <w:szCs w:val="21"/>
                <w:highlight w:val="none"/>
                <w:lang w:val="en-US" w:eastAsia="zh-CN"/>
              </w:rPr>
              <w:t>包括综合管理、</w:t>
            </w:r>
            <w:r>
              <w:rPr>
                <w:rFonts w:hint="eastAsia" w:ascii="宋体" w:hAnsi="宋体" w:eastAsia="宋体" w:cs="宋体"/>
                <w:color w:val="auto"/>
                <w:sz w:val="21"/>
                <w:szCs w:val="21"/>
                <w:highlight w:val="none"/>
                <w:lang w:eastAsia="zh-CN"/>
              </w:rPr>
              <w:t>保安服务、保洁服务、</w:t>
            </w:r>
            <w:r>
              <w:rPr>
                <w:rFonts w:hint="eastAsia" w:ascii="宋体" w:hAnsi="宋体" w:eastAsia="宋体" w:cs="宋体"/>
                <w:color w:val="auto"/>
                <w:sz w:val="21"/>
                <w:szCs w:val="21"/>
                <w:highlight w:val="none"/>
                <w:lang w:val="en-US" w:eastAsia="zh-CN"/>
              </w:rPr>
              <w:t>供电设备管理</w:t>
            </w:r>
            <w:r>
              <w:rPr>
                <w:rFonts w:hint="eastAsia" w:ascii="宋体" w:hAnsi="宋体" w:eastAsia="宋体" w:cs="宋体"/>
                <w:color w:val="auto"/>
                <w:sz w:val="21"/>
                <w:szCs w:val="21"/>
                <w:highlight w:val="none"/>
                <w:lang w:eastAsia="zh-CN"/>
              </w:rPr>
              <w:t>、食堂</w:t>
            </w:r>
            <w:r>
              <w:rPr>
                <w:rFonts w:hint="eastAsia" w:ascii="宋体" w:hAnsi="宋体" w:eastAsia="宋体" w:cs="宋体"/>
                <w:color w:val="auto"/>
                <w:sz w:val="21"/>
                <w:szCs w:val="21"/>
                <w:highlight w:val="none"/>
                <w:lang w:val="en-US" w:eastAsia="zh-CN"/>
              </w:rPr>
              <w:t>餐饮</w:t>
            </w:r>
            <w:r>
              <w:rPr>
                <w:rFonts w:hint="eastAsia" w:ascii="宋体" w:hAnsi="宋体" w:eastAsia="宋体" w:cs="宋体"/>
                <w:color w:val="auto"/>
                <w:sz w:val="21"/>
                <w:szCs w:val="21"/>
                <w:highlight w:val="none"/>
                <w:lang w:eastAsia="zh-CN"/>
              </w:rPr>
              <w:t>服务、会务及收发服务等。</w:t>
            </w:r>
          </w:p>
          <w:p w14:paraId="5DE2DD74">
            <w:pPr>
              <w:bidi w:val="0"/>
              <w:spacing w:line="360" w:lineRule="auto"/>
              <w:ind w:firstLine="422" w:firstLineChars="200"/>
              <w:jc w:val="left"/>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（二）物业管理服务范围：</w:t>
            </w:r>
          </w:p>
          <w:p w14:paraId="10F90970">
            <w:pPr>
              <w:keepNext w:val="0"/>
              <w:keepLines w:val="0"/>
              <w:pageBreakBefore w:val="0"/>
              <w:widowControl/>
              <w:kinsoku w:val="0"/>
              <w:wordWrap/>
              <w:overflowPunct/>
              <w:topLinePunct w:val="0"/>
              <w:autoSpaceDE w:val="0"/>
              <w:autoSpaceDN w:val="0"/>
              <w:bidi w:val="0"/>
              <w:adjustRightInd/>
              <w:snapToGrid/>
              <w:spacing w:line="360" w:lineRule="auto"/>
              <w:ind w:firstLine="420" w:firstLineChars="200"/>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国家税务总局南丹县税务局共3个办公区的物业管理服务</w:t>
            </w:r>
            <w:r>
              <w:rPr>
                <w:rFonts w:hint="eastAsia" w:ascii="宋体" w:hAnsi="宋体" w:cs="宋体"/>
                <w:b w:val="0"/>
                <w:bCs/>
                <w:color w:val="auto"/>
                <w:sz w:val="21"/>
                <w:szCs w:val="21"/>
                <w:highlight w:val="none"/>
                <w:lang w:val="en-US" w:eastAsia="zh-CN"/>
              </w:rPr>
              <w:t>。</w:t>
            </w:r>
            <w:bookmarkStart w:id="47" w:name="_GoBack"/>
            <w:bookmarkEnd w:id="47"/>
          </w:p>
          <w:p w14:paraId="689EA463">
            <w:pPr>
              <w:bidi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3.平安大道55号政务服务中心税服务厅</w:t>
            </w:r>
            <w:r>
              <w:rPr>
                <w:rFonts w:hint="eastAsia" w:ascii="宋体" w:hAnsi="宋体" w:eastAsia="宋体" w:cs="宋体"/>
                <w:b w:val="0"/>
                <w:bCs/>
                <w:color w:val="auto"/>
                <w:sz w:val="21"/>
                <w:szCs w:val="21"/>
                <w:highlight w:val="none"/>
                <w:lang w:val="en-US" w:eastAsia="zh-CN"/>
              </w:rPr>
              <w:t>物业管理服务</w:t>
            </w:r>
            <w:r>
              <w:rPr>
                <w:rFonts w:hint="eastAsia" w:ascii="宋体" w:hAnsi="宋体" w:eastAsia="宋体" w:cs="宋体"/>
                <w:color w:val="auto"/>
                <w:sz w:val="21"/>
                <w:szCs w:val="21"/>
                <w:highlight w:val="none"/>
                <w:lang w:val="en-US" w:eastAsia="zh-CN"/>
              </w:rPr>
              <w:t>。</w:t>
            </w:r>
          </w:p>
          <w:p w14:paraId="476067D6">
            <w:pPr>
              <w:numPr>
                <w:ilvl w:val="0"/>
                <w:numId w:val="0"/>
              </w:numPr>
              <w:bidi w:val="0"/>
              <w:spacing w:line="360" w:lineRule="auto"/>
              <w:ind w:left="0" w:leftChars="0" w:firstLine="422" w:firstLineChars="200"/>
              <w:jc w:val="left"/>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（三）物业管理服务要求：</w:t>
            </w:r>
          </w:p>
          <w:p w14:paraId="245AD26B">
            <w:pPr>
              <w:numPr>
                <w:ilvl w:val="0"/>
                <w:numId w:val="0"/>
              </w:numPr>
              <w:bidi w:val="0"/>
              <w:spacing w:line="360" w:lineRule="auto"/>
              <w:ind w:left="0" w:leftChars="0" w:firstLine="422" w:firstLineChars="20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1.综合服务。</w:t>
            </w:r>
            <w:r>
              <w:rPr>
                <w:rFonts w:hint="eastAsia" w:ascii="宋体" w:hAnsi="宋体" w:eastAsia="宋体" w:cs="宋体"/>
                <w:b w:val="0"/>
                <w:bCs/>
                <w:color w:val="auto"/>
                <w:sz w:val="21"/>
                <w:szCs w:val="21"/>
                <w:highlight w:val="none"/>
                <w:lang w:val="en-US" w:eastAsia="zh-CN"/>
              </w:rPr>
              <w:t>发挥物业服务管理职能，提供相应保障服务，更好地服务采购人各个办公区的工作人员，包括但不限于：</w:t>
            </w:r>
          </w:p>
          <w:p w14:paraId="18803869">
            <w:pPr>
              <w:numPr>
                <w:ilvl w:val="0"/>
                <w:numId w:val="0"/>
              </w:numPr>
              <w:bidi w:val="0"/>
              <w:spacing w:line="360" w:lineRule="auto"/>
              <w:ind w:left="0" w:leftChars="0" w:firstLine="420" w:firstLineChars="20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建立投诉处理机制：建立物业管理服务投诉渠道，如投诉电话、微信号、意见箱等，公布投诉处理流程等；设立每天24小时服务热线电话及24小时值班，及时接受采购人和职工的投诉反映，并及时解决所反映的问题，对受理的投诉应核实情况，及时处理并对采购人和职工提出的投诉进行答复；属于物业服务责任的，应向业主道歉，及时处理或纠正；不属于物业服务责任的，应耐心做好解释工作并提供必要的帮助。受理、处理投诉应留存记录。</w:t>
            </w:r>
          </w:p>
          <w:p w14:paraId="0051215E">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）每年二次征询采购人对物业服务的意见，满意率95%以上。</w:t>
            </w:r>
          </w:p>
          <w:p w14:paraId="53777D44">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物业档案资料管理。档案和资料的管理包括：业主档案、设备设施档案、清洁卫生管理档案、室内外绿化管理档案、人事管理及人员培训档案以及具体的管理方案、工作计划等资料档案，所有资料档案做到保存完整，管理完善，交接手续完备，检索方便准确，符合有关标准。</w:t>
            </w:r>
          </w:p>
          <w:p w14:paraId="60C03B74">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）维护采购人公共财产（包括楼内的门窗、消防器材等）不被损坏或丢失。</w:t>
            </w:r>
          </w:p>
          <w:p w14:paraId="7222AD8B">
            <w:pPr>
              <w:pageBreakBefore w:val="0"/>
              <w:widowControl w:val="0"/>
              <w:suppressAutoHyphens/>
              <w:kinsoku/>
              <w:overflowPunct w:val="0"/>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2.供电</w:t>
            </w:r>
            <w:r>
              <w:rPr>
                <w:rFonts w:hint="eastAsia" w:ascii="宋体" w:hAnsi="宋体" w:cs="宋体"/>
                <w:b/>
                <w:bCs/>
                <w:color w:val="auto"/>
                <w:sz w:val="21"/>
                <w:szCs w:val="21"/>
                <w:highlight w:val="none"/>
                <w:lang w:val="en-US" w:eastAsia="zh-CN"/>
              </w:rPr>
              <w:t>、监控</w:t>
            </w:r>
            <w:r>
              <w:rPr>
                <w:rFonts w:hint="eastAsia" w:ascii="宋体" w:hAnsi="宋体" w:eastAsia="宋体" w:cs="宋体"/>
                <w:b/>
                <w:bCs/>
                <w:color w:val="auto"/>
                <w:sz w:val="21"/>
                <w:szCs w:val="21"/>
                <w:highlight w:val="none"/>
                <w:lang w:val="en-US" w:eastAsia="zh-CN"/>
              </w:rPr>
              <w:t>设备</w:t>
            </w:r>
            <w:r>
              <w:rPr>
                <w:rFonts w:hint="eastAsia" w:ascii="宋体" w:hAnsi="宋体" w:cs="宋体"/>
                <w:b/>
                <w:bCs/>
                <w:color w:val="auto"/>
                <w:sz w:val="21"/>
                <w:szCs w:val="21"/>
                <w:highlight w:val="none"/>
                <w:lang w:val="en-US" w:eastAsia="zh-CN"/>
              </w:rPr>
              <w:t>管理</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负责办公楼（区）供电系统、高低压电器设备、电线电缆、电器照明装置、 避雷检测等日常管理、清洁、养护及维修。供电设备监控维护具体要求如下： </w:t>
            </w:r>
          </w:p>
          <w:p w14:paraId="01A26E2B">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（1）制定停电应急处置预案，确保应急发电率达到100%。 </w:t>
            </w:r>
          </w:p>
          <w:p w14:paraId="5E0079C4">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（2）加强对各弱电系统的检查维护，确保每天24小时正常工作。 </w:t>
            </w:r>
          </w:p>
          <w:p w14:paraId="754F7712">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（3）发现系统故障或隐患，应在10分钟内到达现场进行抢修，照明装置随坏随修；不定期组织发电系统应急抢修演练，确保供电系统每天24小时正常运行。 </w:t>
            </w:r>
          </w:p>
          <w:p w14:paraId="796B137E">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（4）加强对监控观察室、监控摄像头、对讲机等监控系统的检查巡查，做好年检、日常维护和零星维修工作，确保每天24小时系统无故障等。 </w:t>
            </w:r>
          </w:p>
          <w:p w14:paraId="3DE42AC7">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（5）运用信息化管理平台每天至少对设施设备进行3次设备巡检，有计划地对各项设施设备进行养护，保障各项系统设施设备的安全正常运行，建立工作台账。</w:t>
            </w:r>
          </w:p>
          <w:p w14:paraId="65E05F39">
            <w:pPr>
              <w:pStyle w:val="4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（6）负责会议视频设备调试、音响调音等，确保会议顺利开展。</w:t>
            </w:r>
          </w:p>
          <w:p w14:paraId="70788411">
            <w:pPr>
              <w:pageBreakBefore w:val="0"/>
              <w:widowControl w:val="0"/>
              <w:suppressAutoHyphens/>
              <w:kinsoku/>
              <w:overflowPunct w:val="0"/>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3.保安</w:t>
            </w:r>
            <w:r>
              <w:rPr>
                <w:rFonts w:hint="eastAsia" w:ascii="宋体" w:hAnsi="宋体" w:eastAsia="宋体" w:cs="宋体"/>
                <w:b/>
                <w:bCs w:val="0"/>
                <w:color w:val="auto"/>
                <w:kern w:val="0"/>
                <w:sz w:val="21"/>
                <w:szCs w:val="21"/>
                <w:highlight w:val="none"/>
                <w:lang w:bidi="ar"/>
              </w:rPr>
              <w:t>服务</w:t>
            </w:r>
            <w:r>
              <w:rPr>
                <w:rFonts w:hint="eastAsia" w:ascii="宋体" w:hAnsi="宋体" w:eastAsia="宋体" w:cs="宋体"/>
                <w:b/>
                <w:bCs w:val="0"/>
                <w:color w:val="auto"/>
                <w:kern w:val="0"/>
                <w:sz w:val="21"/>
                <w:szCs w:val="21"/>
                <w:highlight w:val="none"/>
                <w:lang w:eastAsia="zh-CN" w:bidi="ar"/>
              </w:rPr>
              <w:t>。</w:t>
            </w:r>
            <w:r>
              <w:rPr>
                <w:rFonts w:hint="eastAsia" w:ascii="宋体" w:hAnsi="宋体" w:eastAsia="宋体" w:cs="宋体"/>
                <w:color w:val="auto"/>
                <w:sz w:val="21"/>
                <w:szCs w:val="21"/>
                <w:highlight w:val="none"/>
              </w:rPr>
              <w:t>办公楼（区）</w:t>
            </w:r>
            <w:r>
              <w:rPr>
                <w:rFonts w:hint="eastAsia" w:ascii="宋体" w:hAnsi="宋体" w:eastAsia="宋体" w:cs="宋体"/>
                <w:color w:val="auto"/>
                <w:sz w:val="21"/>
                <w:szCs w:val="21"/>
                <w:highlight w:val="none"/>
                <w:lang w:eastAsia="zh-CN"/>
              </w:rPr>
              <w:t>门岗</w:t>
            </w:r>
            <w:r>
              <w:rPr>
                <w:rFonts w:hint="eastAsia" w:ascii="宋体" w:hAnsi="宋体" w:eastAsia="宋体" w:cs="宋体"/>
                <w:color w:val="auto"/>
                <w:sz w:val="21"/>
                <w:szCs w:val="21"/>
                <w:highlight w:val="none"/>
              </w:rPr>
              <w:t>和日常巡逻、防盗等报警监控运行管理，车辆、道路及公共秩序维护，防汛、治安及其他突发事件处理等，</w:t>
            </w:r>
            <w:r>
              <w:rPr>
                <w:rFonts w:hint="eastAsia" w:ascii="宋体" w:hAnsi="宋体" w:eastAsia="宋体" w:cs="宋体"/>
                <w:color w:val="auto"/>
                <w:kern w:val="0"/>
                <w:sz w:val="21"/>
                <w:szCs w:val="21"/>
                <w:highlight w:val="none"/>
                <w:lang w:val="en-US" w:eastAsia="zh-CN" w:bidi="ar"/>
              </w:rPr>
              <w:t>保安服务</w:t>
            </w:r>
            <w:r>
              <w:rPr>
                <w:rFonts w:hint="eastAsia" w:ascii="宋体" w:hAnsi="宋体" w:eastAsia="宋体" w:cs="宋体"/>
                <w:color w:val="auto"/>
                <w:sz w:val="21"/>
                <w:szCs w:val="21"/>
                <w:highlight w:val="none"/>
              </w:rPr>
              <w:t>所购买的对讲机、安保服装、照明灯、应急包等材料费用由投标人承担。</w:t>
            </w:r>
            <w:r>
              <w:rPr>
                <w:rFonts w:hint="eastAsia" w:ascii="宋体" w:hAnsi="宋体" w:eastAsia="宋体" w:cs="宋体"/>
                <w:color w:val="auto"/>
                <w:kern w:val="0"/>
                <w:sz w:val="21"/>
                <w:szCs w:val="21"/>
                <w:highlight w:val="none"/>
                <w:lang w:val="en-US" w:eastAsia="zh-CN" w:bidi="ar"/>
              </w:rPr>
              <w:t>保安</w:t>
            </w:r>
            <w:r>
              <w:rPr>
                <w:rFonts w:hint="eastAsia" w:ascii="宋体" w:hAnsi="宋体" w:eastAsia="宋体" w:cs="宋体"/>
                <w:color w:val="auto"/>
                <w:sz w:val="21"/>
                <w:szCs w:val="21"/>
                <w:highlight w:val="none"/>
              </w:rPr>
              <w:t>服务具体要求如下：</w:t>
            </w:r>
          </w:p>
          <w:p w14:paraId="25ABE2F0">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（1）聘用具有服务意识和安防技能的人员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文明执勤，言行规范。</w:t>
            </w:r>
          </w:p>
          <w:p w14:paraId="7C4B8056">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（2）加强</w:t>
            </w:r>
            <w:r>
              <w:rPr>
                <w:rFonts w:hint="eastAsia" w:ascii="宋体" w:hAnsi="宋体" w:eastAsia="宋体" w:cs="宋体"/>
                <w:color w:val="auto"/>
                <w:sz w:val="21"/>
                <w:szCs w:val="21"/>
                <w:highlight w:val="none"/>
                <w:lang w:eastAsia="zh-CN"/>
              </w:rPr>
              <w:t>门岗</w:t>
            </w:r>
            <w:r>
              <w:rPr>
                <w:rFonts w:hint="eastAsia" w:ascii="宋体" w:hAnsi="宋体" w:eastAsia="宋体" w:cs="宋体"/>
                <w:color w:val="auto"/>
                <w:sz w:val="21"/>
                <w:szCs w:val="21"/>
                <w:highlight w:val="none"/>
              </w:rPr>
              <w:t>管理。24小时值守；指定时间段立岗，形象展示；按采购人要求，严格对出入管理区域人员管理，落实好检查、验证、登记制度，杜绝外来推销、废品收购等闲杂人员、可疑人员和危险物品进入办公楼（区）内；大件物品出入实行确认备案制度，建立报告制度并</w:t>
            </w:r>
            <w:r>
              <w:rPr>
                <w:rFonts w:hint="eastAsia" w:ascii="宋体" w:hAnsi="宋体" w:eastAsia="宋体" w:cs="宋体"/>
                <w:color w:val="auto"/>
                <w:sz w:val="21"/>
                <w:szCs w:val="21"/>
                <w:highlight w:val="none"/>
                <w:lang w:eastAsia="zh-CN"/>
              </w:rPr>
              <w:t>登记台账</w:t>
            </w:r>
            <w:r>
              <w:rPr>
                <w:rFonts w:hint="eastAsia" w:ascii="宋体" w:hAnsi="宋体" w:eastAsia="宋体" w:cs="宋体"/>
                <w:color w:val="auto"/>
                <w:sz w:val="21"/>
                <w:szCs w:val="21"/>
                <w:highlight w:val="none"/>
              </w:rPr>
              <w:t>；密切掌握管理区域车辆、人员动态，及时妥善处置各种意外情况，定期做好办公区、小区车辆的排查工作，非工作人员、小区业主车辆不得隔夜停放，并研究制定相应管理办法。</w:t>
            </w:r>
          </w:p>
          <w:p w14:paraId="72CB002C">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区域内车辆（机动车和非机动车）行驶、停放及停车场管理。主动引导车辆停放和维护交通秩序，加强检查巡查，及时纠正各种乱停乱放问题。有健全的机动车、非机动车管理制度和管理方案。对进入本项目的机动车实行凭证放行管理。对非机动车实施管理，在指定区域内摆放整齐。停车场停车有序，有发生紧急情况的处理预案。</w:t>
            </w:r>
          </w:p>
          <w:p w14:paraId="6AA884F2">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）积极协助主办部门做好重大活动、重大会议等</w:t>
            </w:r>
            <w:r>
              <w:rPr>
                <w:rFonts w:hint="eastAsia" w:ascii="宋体" w:hAnsi="宋体" w:eastAsia="宋体" w:cs="宋体"/>
                <w:color w:val="auto"/>
                <w:kern w:val="0"/>
                <w:sz w:val="21"/>
                <w:szCs w:val="21"/>
                <w:highlight w:val="none"/>
                <w:lang w:bidi="ar"/>
              </w:rPr>
              <w:t>秩序维护</w:t>
            </w:r>
            <w:r>
              <w:rPr>
                <w:rFonts w:hint="eastAsia" w:ascii="宋体" w:hAnsi="宋体" w:eastAsia="宋体" w:cs="宋体"/>
                <w:color w:val="auto"/>
                <w:sz w:val="21"/>
                <w:szCs w:val="21"/>
                <w:highlight w:val="none"/>
              </w:rPr>
              <w:t>与保障工作，全力保障重大活动与重大会议顺利进行。</w:t>
            </w:r>
          </w:p>
          <w:p w14:paraId="7C82065E">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）严格执行</w:t>
            </w:r>
            <w:r>
              <w:rPr>
                <w:rFonts w:hint="eastAsia" w:ascii="宋体" w:hAnsi="宋体" w:eastAsia="宋体" w:cs="宋体"/>
                <w:color w:val="auto"/>
                <w:sz w:val="21"/>
                <w:szCs w:val="21"/>
                <w:highlight w:val="none"/>
                <w:lang w:eastAsia="zh-CN"/>
              </w:rPr>
              <w:t>门岗</w:t>
            </w:r>
            <w:r>
              <w:rPr>
                <w:rFonts w:hint="eastAsia" w:ascii="宋体" w:hAnsi="宋体" w:eastAsia="宋体" w:cs="宋体"/>
                <w:color w:val="auto"/>
                <w:sz w:val="21"/>
                <w:szCs w:val="21"/>
                <w:highlight w:val="none"/>
              </w:rPr>
              <w:t>管理制度做好交接工作。</w:t>
            </w:r>
          </w:p>
          <w:p w14:paraId="6AEE9270">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）物业服务人员不得勾结或私自放行他人占用公家房产或公共资源。</w:t>
            </w:r>
          </w:p>
          <w:p w14:paraId="444CC587">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）组织对</w:t>
            </w:r>
            <w:r>
              <w:rPr>
                <w:rFonts w:hint="eastAsia" w:ascii="宋体" w:hAnsi="宋体" w:eastAsia="宋体" w:cs="宋体"/>
                <w:color w:val="auto"/>
                <w:sz w:val="21"/>
                <w:szCs w:val="21"/>
                <w:highlight w:val="none"/>
                <w:lang w:eastAsia="zh-CN"/>
              </w:rPr>
              <w:t>办公区</w:t>
            </w:r>
            <w:r>
              <w:rPr>
                <w:rFonts w:hint="eastAsia" w:ascii="宋体" w:hAnsi="宋体" w:eastAsia="宋体" w:cs="宋体"/>
                <w:color w:val="auto"/>
                <w:sz w:val="21"/>
                <w:szCs w:val="21"/>
                <w:highlight w:val="none"/>
              </w:rPr>
              <w:t>道路弯道、交叉路口、楼梯台阶、易发事故等处设置安全标识，并及时组织引导与设施维护。</w:t>
            </w:r>
          </w:p>
          <w:p w14:paraId="35BF53F1">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）有紧急事故处置预案，事故发生时应立即采取应急措施，并及时报警和配合公安部门进行处理。</w:t>
            </w:r>
          </w:p>
          <w:p w14:paraId="480AE960">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本区域内日常安全巡查等</w:t>
            </w:r>
            <w:r>
              <w:rPr>
                <w:rFonts w:hint="eastAsia" w:ascii="宋体" w:hAnsi="宋体" w:eastAsia="宋体" w:cs="宋体"/>
                <w:color w:val="auto"/>
                <w:kern w:val="0"/>
                <w:sz w:val="21"/>
                <w:szCs w:val="21"/>
                <w:highlight w:val="none"/>
                <w:lang w:val="en-US" w:eastAsia="zh-CN" w:bidi="ar"/>
              </w:rPr>
              <w:t>保安</w:t>
            </w:r>
            <w:r>
              <w:rPr>
                <w:rFonts w:hint="eastAsia" w:ascii="宋体" w:hAnsi="宋体" w:eastAsia="宋体" w:cs="宋体"/>
                <w:color w:val="auto"/>
                <w:sz w:val="21"/>
                <w:szCs w:val="21"/>
                <w:highlight w:val="none"/>
              </w:rPr>
              <w:t>维护。</w:t>
            </w:r>
          </w:p>
          <w:p w14:paraId="131DA9DB">
            <w:pPr>
              <w:pageBreakBefore w:val="0"/>
              <w:widowControl w:val="0"/>
              <w:kinsoku/>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val="en-US" w:eastAsia="zh-CN"/>
              </w:rPr>
              <w:t>4.</w:t>
            </w:r>
            <w:r>
              <w:rPr>
                <w:rFonts w:hint="eastAsia" w:ascii="宋体" w:hAnsi="宋体" w:eastAsia="宋体" w:cs="宋体"/>
                <w:b/>
                <w:bCs w:val="0"/>
                <w:color w:val="auto"/>
                <w:kern w:val="0"/>
                <w:sz w:val="21"/>
                <w:szCs w:val="21"/>
                <w:highlight w:val="none"/>
              </w:rPr>
              <w:t>保洁服务</w:t>
            </w:r>
            <w:r>
              <w:rPr>
                <w:rFonts w:hint="eastAsia" w:ascii="宋体" w:hAnsi="宋体" w:eastAsia="宋体" w:cs="宋体"/>
                <w:b/>
                <w:bCs w:val="0"/>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eastAsia="zh-CN"/>
              </w:rPr>
              <w:t>负责</w:t>
            </w:r>
            <w:r>
              <w:rPr>
                <w:rFonts w:hint="eastAsia" w:ascii="宋体" w:hAnsi="宋体" w:eastAsia="宋体" w:cs="宋体"/>
                <w:b w:val="0"/>
                <w:bCs/>
                <w:color w:val="auto"/>
                <w:kern w:val="0"/>
                <w:sz w:val="21"/>
                <w:szCs w:val="21"/>
                <w:highlight w:val="none"/>
                <w:lang w:val="en-US" w:eastAsia="zh-CN"/>
              </w:rPr>
              <w:t>办公楼（区）内大厅、过道、楼梯、天台电梯间、卫生间、茶水间、公共活动场所楼宇外墙等所有公共部位，办公区域道路、停车场（库）等所有公共场地及“门前二包”区域，</w:t>
            </w:r>
            <w:r>
              <w:rPr>
                <w:rFonts w:hint="eastAsia" w:ascii="宋体" w:hAnsi="宋体" w:eastAsia="宋体" w:cs="宋体"/>
                <w:color w:val="auto"/>
                <w:sz w:val="21"/>
                <w:szCs w:val="21"/>
                <w:highlight w:val="none"/>
                <w:lang w:val="en-US" w:eastAsia="zh-CN"/>
              </w:rPr>
              <w:t>办税服务厅办公室、会议室、工作区、服务区等区域的</w:t>
            </w:r>
            <w:r>
              <w:rPr>
                <w:rFonts w:hint="eastAsia" w:ascii="宋体" w:hAnsi="宋体" w:eastAsia="宋体" w:cs="宋体"/>
                <w:b w:val="0"/>
                <w:bCs/>
                <w:color w:val="auto"/>
                <w:kern w:val="0"/>
                <w:sz w:val="21"/>
                <w:szCs w:val="21"/>
                <w:highlight w:val="none"/>
                <w:lang w:val="en-US" w:eastAsia="zh-CN"/>
              </w:rPr>
              <w:t xml:space="preserve">日常清洁。办公垃圾等废弃物分类、清理、灭虫除害等所产生的费用由成交供应商承担；办公清洁药剂、清洁工具、洗手液、卫生纸等低值易耗品由采购人承担。具体保洁服务要求如下： </w:t>
            </w:r>
          </w:p>
          <w:p w14:paraId="73E88414">
            <w:pPr>
              <w:pageBreakBefore w:val="0"/>
              <w:widowControl w:val="0"/>
              <w:kinsoku/>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t>本区域内日常环境卫生维护。</w:t>
            </w:r>
            <w:r>
              <w:rPr>
                <w:rFonts w:hint="eastAsia" w:ascii="宋体" w:hAnsi="宋体" w:eastAsia="宋体" w:cs="宋体"/>
                <w:color w:val="auto"/>
                <w:kern w:val="0"/>
                <w:sz w:val="21"/>
                <w:szCs w:val="21"/>
                <w:highlight w:val="none"/>
              </w:rPr>
              <w:t>有健全的保洁管理制度，有明确的分工和职责范围；</w:t>
            </w:r>
          </w:p>
          <w:p w14:paraId="10FAB115">
            <w:pPr>
              <w:pageBreakBefore w:val="0"/>
              <w:widowControl w:val="0"/>
              <w:kinsoku/>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对本区域室内外公共区域和办公区域进行清扫，做到无废弃杂物、无烟头；</w:t>
            </w:r>
          </w:p>
          <w:p w14:paraId="3EEBBA95">
            <w:pPr>
              <w:pageBreakBefore w:val="0"/>
              <w:widowControl w:val="0"/>
              <w:kinsoku/>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按层设置垃圾</w:t>
            </w:r>
            <w:r>
              <w:rPr>
                <w:rFonts w:hint="eastAsia" w:ascii="宋体" w:hAnsi="宋体" w:eastAsia="宋体" w:cs="宋体"/>
                <w:color w:val="auto"/>
                <w:kern w:val="0"/>
                <w:sz w:val="21"/>
                <w:szCs w:val="21"/>
                <w:highlight w:val="none"/>
                <w:lang w:val="en-US" w:eastAsia="zh-CN"/>
              </w:rPr>
              <w:t>桶，每日收集1次。垃圾袋装化，保持垃圾桶清洁、无异味；并做好垃圾清运工作。保洁员在作业中产生的所有垃圾必须倒入指定位置，所有生活垃圾必须做到日产日清，不得在管理区域内私自焚烧或随意倒放，垃圾箱外侧表面清洁、内侧无残留物；装修垃圾必须集中堆放，不影响交通，不影响环境。</w:t>
            </w:r>
          </w:p>
          <w:p w14:paraId="2F9D1E14">
            <w:pPr>
              <w:pageBreakBefore w:val="0"/>
              <w:widowControl w:val="0"/>
              <w:kinsoku/>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（4）楼道每日清扫1次，拖1次；楼梯扶手每日擦拭1次；办公室内清洁一周1次；公用部位玻璃每月清洁1次；楼道灯具每月清洁1次；</w:t>
            </w:r>
          </w:p>
          <w:p w14:paraId="1E74963C">
            <w:pPr>
              <w:pageBreakBefore w:val="0"/>
              <w:widowControl w:val="0"/>
              <w:kinsoku/>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（5）分班次按时段（包括但不仅限于大厅、卫生间，下同）进行保洁作业，保证公共区域环境卫生清洁，防疫期间增加对公共区域的消毒频次，做到消毒全覆盖；</w:t>
            </w:r>
          </w:p>
          <w:p w14:paraId="5998D147">
            <w:pPr>
              <w:pageBreakBefore w:val="0"/>
              <w:widowControl w:val="0"/>
              <w:kinsoku/>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）根据实际情况定期</w:t>
            </w:r>
            <w:r>
              <w:rPr>
                <w:rFonts w:hint="eastAsia" w:ascii="宋体" w:hAnsi="宋体" w:eastAsia="宋体" w:cs="宋体"/>
                <w:color w:val="auto"/>
                <w:kern w:val="0"/>
                <w:sz w:val="21"/>
                <w:szCs w:val="21"/>
                <w:highlight w:val="none"/>
              </w:rPr>
              <w:t>进行消毒和灭虫除害工作，对食堂、公共场所、卫生间及人流密集处加强重点消杀防控，对重要触点定时擦拭消毒，同时每日对垃圾桶及垃圾区进行全面消杀，防止及预防病毒的产生与传播；</w:t>
            </w:r>
          </w:p>
          <w:p w14:paraId="7E919E0C">
            <w:pPr>
              <w:pageBreakBefore w:val="0"/>
              <w:widowControl w:val="0"/>
              <w:kinsoku/>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配合政府做好创城创卫等工作，积极参与爱卫活动；完成迎检、迎新的突击性卫生清扫清运工作。</w:t>
            </w:r>
          </w:p>
          <w:p w14:paraId="78616483">
            <w:pPr>
              <w:pageBreakBefore w:val="0"/>
              <w:widowControl w:val="0"/>
              <w:suppressAutoHyphens/>
              <w:kinsoku/>
              <w:overflowPunct w:val="0"/>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会务</w:t>
            </w:r>
            <w:r>
              <w:rPr>
                <w:rFonts w:hint="eastAsia" w:ascii="宋体" w:hAnsi="宋体" w:eastAsia="宋体" w:cs="宋体"/>
                <w:b/>
                <w:bCs w:val="0"/>
                <w:color w:val="auto"/>
                <w:sz w:val="21"/>
                <w:szCs w:val="21"/>
                <w:highlight w:val="none"/>
                <w:lang w:eastAsia="zh-CN"/>
              </w:rPr>
              <w:t>及收发</w:t>
            </w:r>
            <w:r>
              <w:rPr>
                <w:rFonts w:hint="eastAsia" w:ascii="宋体" w:hAnsi="宋体" w:eastAsia="宋体" w:cs="宋体"/>
                <w:b/>
                <w:bCs w:val="0"/>
                <w:color w:val="auto"/>
                <w:sz w:val="21"/>
                <w:szCs w:val="21"/>
                <w:highlight w:val="none"/>
              </w:rPr>
              <w:t>服务</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val="0"/>
                <w:bCs/>
                <w:color w:val="auto"/>
                <w:sz w:val="21"/>
                <w:szCs w:val="21"/>
                <w:highlight w:val="none"/>
                <w:lang w:eastAsia="zh-CN"/>
              </w:rPr>
              <w:t>负责</w:t>
            </w:r>
            <w:r>
              <w:rPr>
                <w:rFonts w:hint="eastAsia" w:ascii="宋体" w:hAnsi="宋体" w:eastAsia="宋体" w:cs="宋体"/>
                <w:color w:val="auto"/>
                <w:sz w:val="21"/>
                <w:szCs w:val="21"/>
                <w:highlight w:val="none"/>
                <w:lang w:val="en-US" w:eastAsia="zh-CN"/>
              </w:rPr>
              <w:t xml:space="preserve">办公楼（区）内发生的会前的物品准备、会场清洁、会场布置、会议期间的茶水供应、应急疏散、会议用品保管等，会议服务的茶叶、纸杯纸巾、清洁用品等材料费由采购人承担。会议服务具体要求如下： </w:t>
            </w:r>
          </w:p>
          <w:p w14:paraId="3EFCF9BC">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（1）会务人员提前把会议室、接待室开门通风，检查卫生情况，使其始终处于完善良好的备</w:t>
            </w:r>
            <w:r>
              <w:rPr>
                <w:rFonts w:hint="eastAsia" w:ascii="宋体" w:hAnsi="宋体" w:eastAsia="宋体" w:cs="宋体"/>
                <w:color w:val="auto"/>
                <w:sz w:val="21"/>
                <w:szCs w:val="21"/>
                <w:highlight w:val="none"/>
                <w:lang w:eastAsia="zh-CN"/>
              </w:rPr>
              <w:t>用状</w:t>
            </w:r>
            <w:r>
              <w:rPr>
                <w:rFonts w:hint="eastAsia" w:ascii="宋体" w:hAnsi="宋体" w:eastAsia="宋体" w:cs="宋体"/>
                <w:color w:val="auto"/>
                <w:sz w:val="21"/>
                <w:szCs w:val="21"/>
                <w:highlight w:val="none"/>
              </w:rPr>
              <w:t>态。</w:t>
            </w:r>
          </w:p>
          <w:p w14:paraId="45257083">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（2）会务在岗期间，不得随意串岗、空岗，不擅离工作岗位；不得干私活</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接打私人电话；不接待亲友及做与本职工作无关的任何事情。</w:t>
            </w:r>
          </w:p>
          <w:p w14:paraId="33EC574D">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（3）会务不得在会议室扎堆聊天，不在岗位上吃东西，会议结束后应清理会议室，以备待用。</w:t>
            </w:r>
          </w:p>
          <w:p w14:paraId="634E3440">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（4）工作区域不存放私人用品，保持干净整洁。</w:t>
            </w:r>
          </w:p>
          <w:p w14:paraId="62C3CC17">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（5）负责会议室及公共区域的卫生检查工作，上、下午各一次，包括地面、门窗、桌椅、植物及会议室。</w:t>
            </w:r>
          </w:p>
          <w:p w14:paraId="269B7179">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（6）负责保管会议物品（接线板、激光笔、茶杯），按照会议调配使用，会议后收回。</w:t>
            </w:r>
          </w:p>
          <w:p w14:paraId="6D1C8D46">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（7）负责管理会议室钥匙，对于提前一天收到的会议通知应提前1小时开门调试设备，询问会议对于投影等方面的特定要求，做好会议准备；对于临时会议通知，接到通知后立刻打开会议室并调试设备，</w:t>
            </w:r>
            <w:r>
              <w:rPr>
                <w:rFonts w:hint="eastAsia" w:ascii="宋体" w:hAnsi="宋体" w:eastAsia="宋体" w:cs="宋体"/>
                <w:color w:val="auto"/>
                <w:sz w:val="21"/>
                <w:szCs w:val="21"/>
                <w:highlight w:val="none"/>
                <w:lang w:eastAsia="zh-CN"/>
              </w:rPr>
              <w:t>做好</w:t>
            </w:r>
            <w:r>
              <w:rPr>
                <w:rFonts w:hint="eastAsia" w:ascii="宋体" w:hAnsi="宋体" w:eastAsia="宋体" w:cs="宋体"/>
                <w:color w:val="auto"/>
                <w:sz w:val="21"/>
                <w:szCs w:val="21"/>
                <w:highlight w:val="none"/>
              </w:rPr>
              <w:t>会议准备。</w:t>
            </w:r>
          </w:p>
          <w:p w14:paraId="43E4C8C1">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（8）负责会议期间的茶水服务，保证参会人员的随时服务需求。</w:t>
            </w:r>
          </w:p>
          <w:p w14:paraId="719D46AB">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（9）负责会议结束后的清场工作，包括会议用品的回收、会议设施的关闭等，并将门锁好。</w:t>
            </w:r>
          </w:p>
          <w:p w14:paraId="218274C3">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（10）负责各会议室之间的工作协调配合。</w:t>
            </w:r>
          </w:p>
          <w:p w14:paraId="7DC50AA9">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（11）负责检查会议室照明、空调、音响、饮水设施是否完好，有问题及时向</w:t>
            </w:r>
            <w:r>
              <w:rPr>
                <w:rFonts w:hint="eastAsia" w:ascii="宋体" w:hAnsi="宋体" w:eastAsia="宋体" w:cs="宋体"/>
                <w:color w:val="auto"/>
                <w:sz w:val="21"/>
                <w:szCs w:val="21"/>
                <w:highlight w:val="none"/>
                <w:lang w:eastAsia="zh-CN"/>
              </w:rPr>
              <w:t>办公室</w:t>
            </w:r>
            <w:r>
              <w:rPr>
                <w:rFonts w:hint="eastAsia" w:ascii="宋体" w:hAnsi="宋体" w:eastAsia="宋体" w:cs="宋体"/>
                <w:color w:val="auto"/>
                <w:sz w:val="21"/>
                <w:szCs w:val="21"/>
                <w:highlight w:val="none"/>
              </w:rPr>
              <w:t>汇报。</w:t>
            </w:r>
          </w:p>
          <w:p w14:paraId="18F5AA6A">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（12）负责与相关物业保洁人员做好工作协同和配合，确保会议室内时刻保持干净整洁。</w:t>
            </w:r>
          </w:p>
          <w:p w14:paraId="3EEA833C">
            <w:pPr>
              <w:pStyle w:val="4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zh-CN"/>
              </w:rPr>
              <w:t>负责各类报刊杂志收发、邮件寄递，办公用品实物的领、用、存管理等收发工作。</w:t>
            </w:r>
          </w:p>
          <w:p w14:paraId="7AD34A96">
            <w:pPr>
              <w:spacing w:line="360" w:lineRule="auto"/>
              <w:ind w:firstLine="422" w:firstLineChars="200"/>
              <w:jc w:val="left"/>
              <w:rPr>
                <w:rFonts w:hint="eastAsia" w:ascii="宋体" w:hAnsi="宋体" w:eastAsia="宋体" w:cs="宋体"/>
                <w:b/>
                <w:color w:val="auto"/>
                <w:kern w:val="0"/>
                <w:sz w:val="21"/>
                <w:szCs w:val="21"/>
                <w:highlight w:val="none"/>
                <w:lang w:val="zh-CN" w:eastAsia="zh-CN"/>
              </w:rPr>
            </w:pPr>
            <w:r>
              <w:rPr>
                <w:rFonts w:hint="eastAsia" w:ascii="宋体" w:hAnsi="宋体" w:eastAsia="宋体" w:cs="宋体"/>
                <w:b/>
                <w:bCs w:val="0"/>
                <w:color w:val="auto"/>
                <w:kern w:val="0"/>
                <w:sz w:val="21"/>
                <w:szCs w:val="21"/>
                <w:highlight w:val="none"/>
                <w:lang w:val="en-US" w:eastAsia="zh-CN"/>
              </w:rPr>
              <w:t>6.</w:t>
            </w:r>
            <w:r>
              <w:rPr>
                <w:rFonts w:hint="eastAsia" w:ascii="宋体" w:hAnsi="宋体" w:eastAsia="宋体" w:cs="宋体"/>
                <w:b/>
                <w:color w:val="auto"/>
                <w:kern w:val="0"/>
                <w:sz w:val="21"/>
                <w:szCs w:val="21"/>
                <w:highlight w:val="none"/>
                <w:lang w:val="zh-CN"/>
              </w:rPr>
              <w:t>食堂</w:t>
            </w:r>
            <w:r>
              <w:rPr>
                <w:rFonts w:hint="eastAsia" w:ascii="宋体" w:hAnsi="宋体" w:eastAsia="宋体" w:cs="宋体"/>
                <w:b/>
                <w:color w:val="auto"/>
                <w:kern w:val="0"/>
                <w:sz w:val="21"/>
                <w:szCs w:val="21"/>
                <w:highlight w:val="none"/>
                <w:lang w:val="en-US" w:eastAsia="zh-CN"/>
              </w:rPr>
              <w:t>餐饮</w:t>
            </w:r>
            <w:r>
              <w:rPr>
                <w:rFonts w:hint="eastAsia" w:ascii="宋体" w:hAnsi="宋体" w:eastAsia="宋体" w:cs="宋体"/>
                <w:b/>
                <w:color w:val="auto"/>
                <w:kern w:val="0"/>
                <w:sz w:val="21"/>
                <w:szCs w:val="21"/>
                <w:highlight w:val="none"/>
              </w:rPr>
              <w:t>服务</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eastAsia="zh-CN"/>
              </w:rPr>
              <w:t>负责员工职工食堂饭菜加工、卫生清理等工作，具体要求如下：</w:t>
            </w:r>
          </w:p>
          <w:p w14:paraId="4272C13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SA"/>
              </w:rPr>
              <w:t>负责机关食堂工作日期间早、中、晚餐的餐饮加工，因工作需要双休日节假日组织较多人员加班的餐饮加工，公务接待的餐饮加工等</w:t>
            </w:r>
            <w:r>
              <w:rPr>
                <w:rFonts w:hint="eastAsia" w:ascii="宋体" w:hAnsi="宋体" w:eastAsia="宋体" w:cs="宋体"/>
                <w:color w:val="auto"/>
                <w:sz w:val="21"/>
                <w:szCs w:val="21"/>
                <w:highlight w:val="none"/>
              </w:rPr>
              <w:t>。</w:t>
            </w:r>
          </w:p>
          <w:p w14:paraId="6E5EBC4A">
            <w:pPr>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zh-CN"/>
              </w:rPr>
              <w:t>进入食堂必须换工作服、戴工作帽，讲究个人卫生。</w:t>
            </w:r>
          </w:p>
          <w:p w14:paraId="137BD313">
            <w:pPr>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zh-CN"/>
              </w:rPr>
              <w:t>每次操作前，仔细观察原料、调味品等有无鼠害、污染及杂物，发现问题，必须及时报告，及时处理。</w:t>
            </w:r>
          </w:p>
          <w:p w14:paraId="1BA0736F">
            <w:pPr>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zh-CN"/>
              </w:rPr>
              <w:t>根据就餐人数确定用餐量，按量领用加工原料，不得欠缺，也不得浪费，注重节约。</w:t>
            </w:r>
          </w:p>
          <w:p w14:paraId="788C264E">
            <w:pPr>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zh-CN"/>
              </w:rPr>
              <w:t>每天工作完毕，必须认真清洗加工机械、炊具、工作台、灶台、灶具、地面、门窗、墙壁、水沟等。将清洁的炊具、食品、物品整齐、有序地摆放在固定的位置，不得乱丢、乱放；生、熟食品该回归保管室的应立即入库；暂时不入库的，应立即入柜和加盖有序摆放。</w:t>
            </w:r>
          </w:p>
          <w:p w14:paraId="08E9BBE1">
            <w:pPr>
              <w:pageBreakBefore w:val="0"/>
              <w:widowControl w:val="0"/>
              <w:kinsoku/>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zh-CN"/>
              </w:rPr>
              <w:t>妥善处理剩饭、剩菜，对变质食品一律倒掉；每天要干干净净地处理掉生活垃圾，生活垃圾不得留存在食堂里。</w:t>
            </w:r>
          </w:p>
          <w:p w14:paraId="0B6961F3">
            <w:pPr>
              <w:pStyle w:val="2"/>
              <w:keepNext w:val="0"/>
              <w:keepLines w:val="0"/>
              <w:pageBreakBefore w:val="0"/>
              <w:kinsoku/>
              <w:overflowPunct/>
              <w:topLinePunct w:val="0"/>
              <w:bidi w:val="0"/>
              <w:spacing w:line="360" w:lineRule="auto"/>
              <w:ind w:firstLine="422" w:firstLineChars="20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（四）物业管理服务目标</w:t>
            </w:r>
          </w:p>
          <w:p w14:paraId="71F316E7">
            <w:pPr>
              <w:pStyle w:val="2"/>
              <w:keepNext w:val="0"/>
              <w:keepLines w:val="0"/>
              <w:pageBreakBefore w:val="0"/>
              <w:kinsoku/>
              <w:overflowPunct/>
              <w:topLinePunct w:val="0"/>
              <w:bidi w:val="0"/>
              <w:spacing w:line="360"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 xml:space="preserve">服务目标是：为采购人工作人员创造高效、便捷、安全、卫生的办公生活环境，为外来人员创造文明、舒适、温馨的办事环境。 </w:t>
            </w:r>
          </w:p>
          <w:p w14:paraId="5888097E">
            <w:pPr>
              <w:pStyle w:val="2"/>
              <w:keepNext w:val="0"/>
              <w:keepLines w:val="0"/>
              <w:pageBreakBefore w:val="0"/>
              <w:kinsoku/>
              <w:overflowPunct/>
              <w:topLinePunct w:val="0"/>
              <w:bidi w:val="0"/>
              <w:spacing w:line="360"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 xml:space="preserve">服务应达到的各项指标要求，全体物业服务人员须统一着装，佩戴统一标志，仪表端庄、大方，衣着整洁，表情自然和蔼、亲切；对业主一视同仁；接待时主动、热情、规范；迎送接待业主和来访人员时，用语准确，称呼恰当，问候亲切，语气诚恳，耐心细致；使用文明用语，不使用服务忌语。达到以下指标： </w:t>
            </w:r>
          </w:p>
          <w:p w14:paraId="04D1D2E2">
            <w:pPr>
              <w:pStyle w:val="2"/>
              <w:keepNext w:val="0"/>
              <w:keepLines w:val="0"/>
              <w:pageBreakBefore w:val="0"/>
              <w:kinsoku/>
              <w:overflowPunct/>
              <w:topLinePunct w:val="0"/>
              <w:bidi w:val="0"/>
              <w:spacing w:line="360"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①杜绝火灾责任事故和其他安全事故； </w:t>
            </w:r>
          </w:p>
          <w:p w14:paraId="20AB5132">
            <w:pPr>
              <w:pStyle w:val="2"/>
              <w:keepNext w:val="0"/>
              <w:keepLines w:val="0"/>
              <w:pageBreakBefore w:val="0"/>
              <w:kinsoku/>
              <w:overflowPunct/>
              <w:topLinePunct w:val="0"/>
              <w:bidi w:val="0"/>
              <w:spacing w:line="360"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②环境卫生、清洁率达99%； </w:t>
            </w:r>
          </w:p>
          <w:p w14:paraId="2FB84B5B">
            <w:pPr>
              <w:pStyle w:val="2"/>
              <w:keepNext w:val="0"/>
              <w:keepLines w:val="0"/>
              <w:pageBreakBefore w:val="0"/>
              <w:kinsoku/>
              <w:overflowPunct/>
              <w:topLinePunct w:val="0"/>
              <w:bidi w:val="0"/>
              <w:spacing w:line="360"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③消防设备设施完好率100%； </w:t>
            </w:r>
          </w:p>
          <w:p w14:paraId="02399B88">
            <w:pPr>
              <w:pStyle w:val="2"/>
              <w:keepNext w:val="0"/>
              <w:keepLines w:val="0"/>
              <w:pageBreakBefore w:val="0"/>
              <w:kinsoku/>
              <w:overflowPunct/>
              <w:topLinePunct w:val="0"/>
              <w:bidi w:val="0"/>
              <w:spacing w:line="360"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④房屋、门窗完好率99%； </w:t>
            </w:r>
          </w:p>
          <w:p w14:paraId="40C5A13F">
            <w:pPr>
              <w:pStyle w:val="2"/>
              <w:keepNext w:val="0"/>
              <w:keepLines w:val="0"/>
              <w:pageBreakBefore w:val="0"/>
              <w:kinsoku/>
              <w:overflowPunct/>
              <w:topLinePunct w:val="0"/>
              <w:bidi w:val="0"/>
              <w:spacing w:line="360"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⑤车库设备完好率98% ； </w:t>
            </w:r>
          </w:p>
          <w:p w14:paraId="1F14E046">
            <w:pPr>
              <w:pStyle w:val="2"/>
              <w:keepNext w:val="0"/>
              <w:keepLines w:val="0"/>
              <w:pageBreakBefore w:val="0"/>
              <w:kinsoku/>
              <w:overflowPunct/>
              <w:topLinePunct w:val="0"/>
              <w:bidi w:val="0"/>
              <w:spacing w:line="360"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⑥智能化系统运行正常率98% ； </w:t>
            </w:r>
          </w:p>
          <w:p w14:paraId="267DC771">
            <w:pPr>
              <w:pStyle w:val="2"/>
              <w:keepNext w:val="0"/>
              <w:keepLines w:val="0"/>
              <w:pageBreakBefore w:val="0"/>
              <w:kinsoku/>
              <w:overflowPunct/>
              <w:topLinePunct w:val="0"/>
              <w:bidi w:val="0"/>
              <w:spacing w:line="360"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⑦零星维修、报修及时率100% ，返修率≤1% ； </w:t>
            </w:r>
          </w:p>
          <w:p w14:paraId="1B4B08D9">
            <w:pPr>
              <w:pStyle w:val="2"/>
              <w:keepNext w:val="0"/>
              <w:keepLines w:val="0"/>
              <w:pageBreakBefore w:val="0"/>
              <w:kinsoku/>
              <w:overflowPunct/>
              <w:topLinePunct w:val="0"/>
              <w:bidi w:val="0"/>
              <w:spacing w:line="360"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⑧服务有效投诉≤5%，处理率100%； </w:t>
            </w:r>
          </w:p>
          <w:p w14:paraId="6AECD9EA">
            <w:pPr>
              <w:pStyle w:val="2"/>
              <w:keepNext w:val="0"/>
              <w:keepLines w:val="0"/>
              <w:pageBreakBefore w:val="0"/>
              <w:kinsoku/>
              <w:overflowPunct/>
              <w:topLinePunct w:val="0"/>
              <w:bidi w:val="0"/>
              <w:spacing w:line="360"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⑨会议服务及时率100% ； </w:t>
            </w:r>
          </w:p>
          <w:p w14:paraId="59593ADC">
            <w:pPr>
              <w:pStyle w:val="2"/>
              <w:keepNext w:val="0"/>
              <w:keepLines w:val="0"/>
              <w:pageBreakBefore w:val="0"/>
              <w:kinsoku/>
              <w:overflowPunct/>
              <w:topLinePunct w:val="0"/>
              <w:bidi w:val="0"/>
              <w:spacing w:line="360"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⑩每季度对物业管理服务满意度抽样调查，满意率达95%以上，对不满意的情况进行分析并及时整改。</w:t>
            </w:r>
          </w:p>
          <w:p w14:paraId="542AE6CC">
            <w:pPr>
              <w:pStyle w:val="2"/>
              <w:keepNext w:val="0"/>
              <w:keepLines w:val="0"/>
              <w:pageBreakBefore w:val="0"/>
              <w:kinsoku/>
              <w:overflowPunct/>
              <w:topLinePunct w:val="0"/>
              <w:bidi w:val="0"/>
              <w:spacing w:line="360" w:lineRule="auto"/>
              <w:ind w:firstLine="422" w:firstLineChars="20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（五）物业管理服务相关制度</w:t>
            </w:r>
          </w:p>
          <w:p w14:paraId="776C093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成交供应商要严格遵守采购人制订的各项管理制度并在此基础上开展物业服务，包括但不限于机关办公大院管理办法、车辆出入停放管理办法、卫生管理制度和公共机构节能管理制度等。</w:t>
            </w:r>
          </w:p>
          <w:p w14:paraId="2E8E4EA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成交供应商应根据本项目物业服务内容及要求提供开展物业服务时的服务承诺、职责以及要求等物业管理规范性制度。成交供应商进场服务后，需及时将相关服务承诺、职责及管理制度在相应位置明示。</w:t>
            </w:r>
            <w:r>
              <w:rPr>
                <w:rFonts w:hint="eastAsia" w:ascii="宋体" w:hAnsi="宋体" w:eastAsia="宋体" w:cs="宋体"/>
                <w:b w:val="0"/>
                <w:bCs/>
                <w:color w:val="auto"/>
                <w:sz w:val="21"/>
                <w:szCs w:val="21"/>
                <w:highlight w:val="none"/>
                <w:lang w:val="en-US" w:eastAsia="zh-CN"/>
              </w:rPr>
              <w:t xml:space="preserve"> </w:t>
            </w:r>
          </w:p>
          <w:p w14:paraId="27E66FC4">
            <w:pPr>
              <w:pStyle w:val="2"/>
              <w:keepNext w:val="0"/>
              <w:keepLines w:val="0"/>
              <w:pageBreakBefore w:val="0"/>
              <w:numPr>
                <w:ilvl w:val="0"/>
                <w:numId w:val="5"/>
              </w:numPr>
              <w:kinsoku/>
              <w:overflowPunct/>
              <w:topLinePunct w:val="0"/>
              <w:bidi w:val="0"/>
              <w:spacing w:line="360" w:lineRule="auto"/>
              <w:ind w:firstLine="422" w:firstLineChars="20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物业管理服务组织及人员配置</w:t>
            </w:r>
          </w:p>
          <w:p w14:paraId="6C939CBE">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在项目进场服务前须对所有服务人员进行健康体检，体检合格，无传染疾病及精神病等不能控制自己行为能力的疾病病史，将体检报告交采购人核对无误后，方能进场开展服务。</w:t>
            </w:r>
          </w:p>
          <w:p w14:paraId="1EDF88E9">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所有服务人员要求责任心强，无违法犯罪记录，具备相关专业知识或技能。</w:t>
            </w:r>
          </w:p>
          <w:p w14:paraId="4C13BCD6">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须按国家规定为物业服务人员购买养老保险、医疗保险、失业保险、工伤保险、生育保险。</w:t>
            </w:r>
          </w:p>
          <w:p w14:paraId="621B9D41">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物业服务人数不足要求且不及时补充的，采购人有权扣减相应的物业服务费。</w:t>
            </w:r>
          </w:p>
          <w:p w14:paraId="5DEB931E">
            <w:pPr>
              <w:pageBreakBefore w:val="0"/>
              <w:widowControl w:val="0"/>
              <w:suppressAutoHyphens/>
              <w:kinsoku/>
              <w:overflowPunct w:val="0"/>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服务团队配备需求人数为</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人以上（本项所称的“以上”“以下”“内”“以内”，包括本数；所称的“不足”，不包括本数），具体配备要求如下：</w:t>
            </w:r>
          </w:p>
          <w:tbl>
            <w:tblPr>
              <w:tblStyle w:val="20"/>
              <w:tblW w:w="50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557"/>
              <w:gridCol w:w="4208"/>
            </w:tblGrid>
            <w:tr w14:paraId="7B63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60" w:type="pct"/>
                  <w:noWrap w:val="0"/>
                  <w:vAlign w:val="center"/>
                </w:tcPr>
                <w:p w14:paraId="3BD5EB5D">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岗位名称</w:t>
                  </w:r>
                </w:p>
              </w:tc>
              <w:tc>
                <w:tcPr>
                  <w:tcW w:w="472" w:type="pct"/>
                  <w:noWrap w:val="0"/>
                  <w:vAlign w:val="center"/>
                </w:tcPr>
                <w:p w14:paraId="2E63AC65">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人数</w:t>
                  </w:r>
                </w:p>
              </w:tc>
              <w:tc>
                <w:tcPr>
                  <w:tcW w:w="3566" w:type="pct"/>
                  <w:noWrap w:val="0"/>
                  <w:vAlign w:val="center"/>
                </w:tcPr>
                <w:p w14:paraId="29D13D3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资历、条件要求</w:t>
                  </w:r>
                </w:p>
              </w:tc>
            </w:tr>
            <w:tr w14:paraId="7A39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 w:type="pct"/>
                  <w:noWrap w:val="0"/>
                  <w:vAlign w:val="center"/>
                </w:tcPr>
                <w:p w14:paraId="5D61B298">
                  <w:pPr>
                    <w:keepNext w:val="0"/>
                    <w:keepLines w:val="0"/>
                    <w:pageBreakBefore w:val="0"/>
                    <w:widowControl/>
                    <w:suppressAutoHyphens/>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项目经理</w:t>
                  </w:r>
                </w:p>
              </w:tc>
              <w:tc>
                <w:tcPr>
                  <w:tcW w:w="472" w:type="pct"/>
                  <w:noWrap w:val="0"/>
                  <w:vAlign w:val="center"/>
                </w:tcPr>
                <w:p w14:paraId="6B2F49BA">
                  <w:pPr>
                    <w:keepNext w:val="0"/>
                    <w:keepLines w:val="0"/>
                    <w:pageBreakBefore w:val="0"/>
                    <w:widowControl/>
                    <w:suppressAutoHyphens/>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566" w:type="pct"/>
                  <w:noWrap w:val="0"/>
                  <w:vAlign w:val="center"/>
                </w:tcPr>
                <w:p w14:paraId="252F7FDC">
                  <w:pPr>
                    <w:keepNext w:val="0"/>
                    <w:keepLines w:val="0"/>
                    <w:pageBreakBefore w:val="0"/>
                    <w:widowControl/>
                    <w:suppressAutoHyphens/>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男女不限，有</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年物业</w:t>
                  </w:r>
                  <w:r>
                    <w:rPr>
                      <w:rFonts w:hint="eastAsia" w:ascii="宋体" w:hAnsi="宋体" w:eastAsia="宋体" w:cs="宋体"/>
                      <w:color w:val="auto"/>
                      <w:sz w:val="21"/>
                      <w:szCs w:val="21"/>
                      <w:highlight w:val="none"/>
                      <w:lang w:eastAsia="zh-CN"/>
                    </w:rPr>
                    <w:t>服务项目的管理</w:t>
                  </w:r>
                  <w:r>
                    <w:rPr>
                      <w:rFonts w:hint="eastAsia" w:ascii="宋体" w:hAnsi="宋体" w:eastAsia="宋体" w:cs="宋体"/>
                      <w:color w:val="auto"/>
                      <w:sz w:val="21"/>
                      <w:szCs w:val="21"/>
                      <w:highlight w:val="none"/>
                    </w:rPr>
                    <w:t>经验，具有大专</w:t>
                  </w:r>
                  <w:r>
                    <w:rPr>
                      <w:rFonts w:hint="eastAsia" w:ascii="宋体" w:hAnsi="宋体" w:eastAsia="宋体" w:cs="宋体"/>
                      <w:color w:val="auto"/>
                      <w:sz w:val="21"/>
                      <w:szCs w:val="21"/>
                      <w:highlight w:val="none"/>
                      <w:lang w:eastAsia="zh-CN"/>
                    </w:rPr>
                    <w:t>以上</w:t>
                  </w:r>
                  <w:r>
                    <w:rPr>
                      <w:rFonts w:hint="eastAsia" w:ascii="宋体" w:hAnsi="宋体" w:eastAsia="宋体" w:cs="宋体"/>
                      <w:color w:val="auto"/>
                      <w:sz w:val="21"/>
                      <w:szCs w:val="21"/>
                      <w:highlight w:val="none"/>
                    </w:rPr>
                    <w:t>学历，物业管理专业技能熟练，有较强的组织管理能力、协调能力，身体健康，体检合格。</w:t>
                  </w:r>
                </w:p>
              </w:tc>
            </w:tr>
            <w:tr w14:paraId="39CE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960" w:type="pct"/>
                  <w:noWrap w:val="0"/>
                  <w:vAlign w:val="center"/>
                </w:tcPr>
                <w:p w14:paraId="0BD29E02">
                  <w:pPr>
                    <w:keepNext w:val="0"/>
                    <w:keepLines w:val="0"/>
                    <w:pageBreakBefore w:val="0"/>
                    <w:widowControl/>
                    <w:suppressAutoHyphens/>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会务、</w:t>
                  </w:r>
                  <w:r>
                    <w:rPr>
                      <w:rFonts w:hint="eastAsia" w:ascii="宋体" w:hAnsi="宋体" w:eastAsia="宋体" w:cs="宋体"/>
                      <w:color w:val="auto"/>
                      <w:sz w:val="21"/>
                      <w:szCs w:val="21"/>
                      <w:highlight w:val="none"/>
                      <w:lang w:eastAsia="zh-CN"/>
                    </w:rPr>
                    <w:t>收发</w:t>
                  </w:r>
                  <w:r>
                    <w:rPr>
                      <w:rFonts w:hint="eastAsia" w:ascii="宋体" w:hAnsi="宋体" w:eastAsia="宋体" w:cs="宋体"/>
                      <w:color w:val="auto"/>
                      <w:sz w:val="21"/>
                      <w:szCs w:val="21"/>
                      <w:highlight w:val="none"/>
                    </w:rPr>
                    <w:t>员</w:t>
                  </w:r>
                </w:p>
              </w:tc>
              <w:tc>
                <w:tcPr>
                  <w:tcW w:w="472" w:type="pct"/>
                  <w:noWrap w:val="0"/>
                  <w:vAlign w:val="center"/>
                </w:tcPr>
                <w:p w14:paraId="47AE5894">
                  <w:pPr>
                    <w:keepNext w:val="0"/>
                    <w:keepLines w:val="0"/>
                    <w:pageBreakBefore w:val="0"/>
                    <w:widowControl/>
                    <w:suppressAutoHyphens/>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3566" w:type="pct"/>
                  <w:noWrap w:val="0"/>
                  <w:vAlign w:val="center"/>
                </w:tcPr>
                <w:p w14:paraId="3E69A6E2">
                  <w:pPr>
                    <w:keepNext w:val="0"/>
                    <w:keepLines w:val="0"/>
                    <w:pageBreakBefore w:val="0"/>
                    <w:widowControl/>
                    <w:tabs>
                      <w:tab w:val="left" w:pos="1890"/>
                    </w:tabs>
                    <w:suppressAutoHyphen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女性，品貌端庄，身体健康，体检合格；具有</w:t>
                  </w:r>
                  <w:r>
                    <w:rPr>
                      <w:rFonts w:hint="eastAsia" w:ascii="宋体" w:hAnsi="宋体" w:eastAsia="宋体" w:cs="宋体"/>
                      <w:color w:val="auto"/>
                      <w:sz w:val="21"/>
                      <w:szCs w:val="21"/>
                      <w:highlight w:val="none"/>
                      <w:lang w:eastAsia="zh-CN"/>
                    </w:rPr>
                    <w:t>大专以上</w:t>
                  </w:r>
                  <w:r>
                    <w:rPr>
                      <w:rFonts w:hint="eastAsia" w:ascii="宋体" w:hAnsi="宋体" w:eastAsia="宋体" w:cs="宋体"/>
                      <w:color w:val="auto"/>
                      <w:sz w:val="21"/>
                      <w:szCs w:val="21"/>
                      <w:highlight w:val="none"/>
                    </w:rPr>
                    <w:t>学历，能吃苦耐劳</w:t>
                  </w:r>
                  <w:r>
                    <w:rPr>
                      <w:rFonts w:hint="eastAsia" w:ascii="宋体" w:hAnsi="宋体" w:eastAsia="宋体" w:cs="宋体"/>
                      <w:color w:val="auto"/>
                      <w:sz w:val="21"/>
                      <w:szCs w:val="21"/>
                      <w:highlight w:val="none"/>
                      <w:lang w:val="en-US" w:eastAsia="zh-CN"/>
                    </w:rPr>
                    <w:t>；具有一年</w:t>
                  </w:r>
                  <w:r>
                    <w:rPr>
                      <w:rFonts w:hint="eastAsia" w:ascii="宋体" w:hAnsi="宋体" w:eastAsia="宋体" w:cs="宋体"/>
                      <w:color w:val="auto"/>
                      <w:sz w:val="21"/>
                      <w:szCs w:val="21"/>
                      <w:highlight w:val="none"/>
                    </w:rPr>
                    <w:t>物业</w:t>
                  </w:r>
                  <w:r>
                    <w:rPr>
                      <w:rFonts w:hint="eastAsia" w:ascii="宋体" w:hAnsi="宋体" w:eastAsia="宋体" w:cs="宋体"/>
                      <w:color w:val="auto"/>
                      <w:sz w:val="21"/>
                      <w:szCs w:val="21"/>
                      <w:highlight w:val="none"/>
                      <w:lang w:val="en-US" w:eastAsia="zh-CN"/>
                    </w:rPr>
                    <w:t>服务工作经验</w:t>
                  </w:r>
                  <w:r>
                    <w:rPr>
                      <w:rFonts w:hint="eastAsia" w:ascii="宋体" w:hAnsi="宋体" w:eastAsia="宋体" w:cs="宋体"/>
                      <w:color w:val="auto"/>
                      <w:sz w:val="21"/>
                      <w:szCs w:val="21"/>
                      <w:highlight w:val="none"/>
                    </w:rPr>
                    <w:t xml:space="preserve">。 </w:t>
                  </w:r>
                </w:p>
              </w:tc>
            </w:tr>
            <w:tr w14:paraId="3C9B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960" w:type="pct"/>
                  <w:noWrap w:val="0"/>
                  <w:vAlign w:val="center"/>
                </w:tcPr>
                <w:p w14:paraId="0C1FA21D">
                  <w:pPr>
                    <w:keepNext w:val="0"/>
                    <w:keepLines w:val="0"/>
                    <w:widowControl/>
                    <w:suppressLineNumbers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供电</w:t>
                  </w:r>
                  <w:r>
                    <w:rPr>
                      <w:rFonts w:hint="eastAsia" w:ascii="宋体" w:hAnsi="宋体" w:cs="宋体"/>
                      <w:b/>
                      <w:bCs/>
                      <w:color w:val="auto"/>
                      <w:sz w:val="21"/>
                      <w:szCs w:val="21"/>
                      <w:highlight w:val="none"/>
                      <w:lang w:val="en-US" w:eastAsia="zh-CN"/>
                    </w:rPr>
                    <w:t>、监控</w:t>
                  </w:r>
                  <w:r>
                    <w:rPr>
                      <w:rFonts w:hint="eastAsia" w:ascii="宋体" w:hAnsi="宋体" w:eastAsia="宋体" w:cs="宋体"/>
                      <w:b/>
                      <w:bCs/>
                      <w:color w:val="auto"/>
                      <w:sz w:val="21"/>
                      <w:szCs w:val="21"/>
                      <w:highlight w:val="none"/>
                      <w:lang w:val="en-US" w:eastAsia="zh-CN"/>
                    </w:rPr>
                    <w:t>设备</w:t>
                  </w:r>
                  <w:r>
                    <w:rPr>
                      <w:rFonts w:hint="eastAsia" w:ascii="宋体" w:hAnsi="宋体" w:cs="宋体"/>
                      <w:b/>
                      <w:bCs/>
                      <w:color w:val="auto"/>
                      <w:sz w:val="21"/>
                      <w:szCs w:val="21"/>
                      <w:highlight w:val="none"/>
                      <w:lang w:val="en-US" w:eastAsia="zh-CN"/>
                    </w:rPr>
                    <w:t>管理</w:t>
                  </w:r>
                </w:p>
              </w:tc>
              <w:tc>
                <w:tcPr>
                  <w:tcW w:w="472" w:type="pct"/>
                  <w:noWrap w:val="0"/>
                  <w:vAlign w:val="center"/>
                </w:tcPr>
                <w:p w14:paraId="0D80E342">
                  <w:pPr>
                    <w:keepNext w:val="0"/>
                    <w:keepLines w:val="0"/>
                    <w:pageBreakBefore w:val="0"/>
                    <w:widowControl/>
                    <w:suppressAutoHyphens/>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3566" w:type="pct"/>
                  <w:noWrap w:val="0"/>
                  <w:vAlign w:val="center"/>
                </w:tcPr>
                <w:p w14:paraId="2589CF5E">
                  <w:pPr>
                    <w:keepNext w:val="0"/>
                    <w:keepLines w:val="0"/>
                    <w:pageBreakBefore w:val="0"/>
                    <w:widowControl/>
                    <w:suppressAutoHyphen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男性，身体健康，体检合格，能吃苦耐劳；</w:t>
                  </w:r>
                  <w:r>
                    <w:rPr>
                      <w:rFonts w:hint="eastAsia" w:ascii="宋体" w:hAnsi="宋体" w:eastAsia="宋体" w:cs="宋体"/>
                      <w:color w:val="auto"/>
                      <w:sz w:val="21"/>
                      <w:szCs w:val="21"/>
                      <w:highlight w:val="none"/>
                      <w:lang w:val="en-US" w:eastAsia="zh-CN"/>
                    </w:rPr>
                    <w:t>熟悉电工操作的各项规程，</w:t>
                  </w:r>
                  <w:r>
                    <w:rPr>
                      <w:rFonts w:hint="eastAsia" w:ascii="宋体" w:hAnsi="宋体" w:eastAsia="宋体" w:cs="宋体"/>
                      <w:color w:val="auto"/>
                      <w:sz w:val="21"/>
                      <w:szCs w:val="21"/>
                      <w:highlight w:val="none"/>
                      <w:lang w:eastAsia="zh-CN"/>
                    </w:rPr>
                    <w:t>至少</w:t>
                  </w:r>
                  <w:r>
                    <w:rPr>
                      <w:rFonts w:hint="eastAsia" w:ascii="宋体" w:hAnsi="宋体" w:eastAsia="宋体" w:cs="宋体"/>
                      <w:color w:val="auto"/>
                      <w:sz w:val="21"/>
                      <w:szCs w:val="21"/>
                      <w:highlight w:val="none"/>
                      <w:lang w:val="en-US" w:eastAsia="zh-CN"/>
                    </w:rPr>
                    <w:t>1人具有</w:t>
                  </w:r>
                  <w:r>
                    <w:rPr>
                      <w:rFonts w:hint="eastAsia" w:ascii="宋体" w:hAnsi="宋体" w:cs="宋体"/>
                      <w:b/>
                      <w:bCs w:val="0"/>
                      <w:color w:val="auto"/>
                      <w:szCs w:val="21"/>
                      <w:highlight w:val="none"/>
                    </w:rPr>
                    <w:t>《特种作业操作证》（操作项目：低压电工作业）</w:t>
                  </w:r>
                  <w:r>
                    <w:rPr>
                      <w:rFonts w:hint="eastAsia" w:ascii="宋体" w:hAnsi="宋体" w:eastAsia="宋体" w:cs="宋体"/>
                      <w:color w:val="auto"/>
                      <w:sz w:val="21"/>
                      <w:szCs w:val="21"/>
                      <w:highlight w:val="none"/>
                      <w:lang w:val="en-US" w:eastAsia="zh-CN"/>
                    </w:rPr>
                    <w:t>；具有一年</w:t>
                  </w:r>
                  <w:r>
                    <w:rPr>
                      <w:rFonts w:hint="eastAsia" w:ascii="宋体" w:hAnsi="宋体" w:eastAsia="宋体" w:cs="宋体"/>
                      <w:color w:val="auto"/>
                      <w:sz w:val="21"/>
                      <w:szCs w:val="21"/>
                      <w:highlight w:val="none"/>
                    </w:rPr>
                    <w:t>物业</w:t>
                  </w:r>
                  <w:r>
                    <w:rPr>
                      <w:rFonts w:hint="eastAsia" w:ascii="宋体" w:hAnsi="宋体" w:eastAsia="宋体" w:cs="宋体"/>
                      <w:color w:val="auto"/>
                      <w:sz w:val="21"/>
                      <w:szCs w:val="21"/>
                      <w:highlight w:val="none"/>
                      <w:lang w:val="en-US" w:eastAsia="zh-CN"/>
                    </w:rPr>
                    <w:t>服务工作经验</w:t>
                  </w:r>
                  <w:r>
                    <w:rPr>
                      <w:rFonts w:hint="eastAsia" w:ascii="宋体" w:hAnsi="宋体" w:eastAsia="宋体" w:cs="宋体"/>
                      <w:color w:val="auto"/>
                      <w:sz w:val="21"/>
                      <w:szCs w:val="21"/>
                      <w:highlight w:val="none"/>
                    </w:rPr>
                    <w:t>。</w:t>
                  </w:r>
                </w:p>
              </w:tc>
            </w:tr>
            <w:tr w14:paraId="0E00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960" w:type="pct"/>
                  <w:noWrap w:val="0"/>
                  <w:vAlign w:val="center"/>
                </w:tcPr>
                <w:p w14:paraId="34C0B5F5">
                  <w:pPr>
                    <w:keepNext w:val="0"/>
                    <w:keepLines w:val="0"/>
                    <w:pageBreakBefore w:val="0"/>
                    <w:widowControl/>
                    <w:suppressAutoHyphens/>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食堂人员</w:t>
                  </w:r>
                </w:p>
              </w:tc>
              <w:tc>
                <w:tcPr>
                  <w:tcW w:w="472" w:type="pct"/>
                  <w:noWrap w:val="0"/>
                  <w:vAlign w:val="center"/>
                </w:tcPr>
                <w:p w14:paraId="4946FECD">
                  <w:pPr>
                    <w:keepNext w:val="0"/>
                    <w:keepLines w:val="0"/>
                    <w:pageBreakBefore w:val="0"/>
                    <w:widowControl/>
                    <w:suppressAutoHyphens/>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566" w:type="pct"/>
                  <w:noWrap w:val="0"/>
                  <w:vAlign w:val="center"/>
                </w:tcPr>
                <w:p w14:paraId="1723250B">
                  <w:pPr>
                    <w:keepNext w:val="0"/>
                    <w:keepLines w:val="0"/>
                    <w:pageBreakBefore w:val="0"/>
                    <w:widowControl/>
                    <w:suppressAutoHyphen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需执有健康从业证，掌握本地特色和家常菜烹饪技术</w:t>
                  </w:r>
                  <w:r>
                    <w:rPr>
                      <w:rFonts w:hint="eastAsia" w:ascii="宋体" w:hAnsi="宋体" w:eastAsia="宋体" w:cs="宋体"/>
                      <w:color w:val="auto"/>
                      <w:sz w:val="21"/>
                      <w:szCs w:val="21"/>
                      <w:highlight w:val="none"/>
                      <w:lang w:val="en-US" w:eastAsia="zh-CN"/>
                    </w:rPr>
                    <w:t>；具有一年厨师工作经验</w:t>
                  </w:r>
                  <w:r>
                    <w:rPr>
                      <w:rFonts w:hint="eastAsia" w:ascii="宋体" w:hAnsi="宋体" w:eastAsia="宋体" w:cs="宋体"/>
                      <w:color w:val="auto"/>
                      <w:sz w:val="21"/>
                      <w:szCs w:val="21"/>
                      <w:highlight w:val="none"/>
                    </w:rPr>
                    <w:t>。</w:t>
                  </w:r>
                </w:p>
              </w:tc>
            </w:tr>
            <w:tr w14:paraId="4AC6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960" w:type="pct"/>
                  <w:noWrap w:val="0"/>
                  <w:vAlign w:val="center"/>
                </w:tcPr>
                <w:p w14:paraId="6307638B">
                  <w:pPr>
                    <w:keepNext w:val="0"/>
                    <w:keepLines w:val="0"/>
                    <w:pageBreakBefore w:val="0"/>
                    <w:widowControl/>
                    <w:suppressAutoHyphens/>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保安</w:t>
                  </w:r>
                </w:p>
              </w:tc>
              <w:tc>
                <w:tcPr>
                  <w:tcW w:w="472" w:type="pct"/>
                  <w:noWrap w:val="0"/>
                  <w:vAlign w:val="center"/>
                </w:tcPr>
                <w:p w14:paraId="3F87770F">
                  <w:pPr>
                    <w:keepNext w:val="0"/>
                    <w:keepLines w:val="0"/>
                    <w:pageBreakBefore w:val="0"/>
                    <w:widowControl/>
                    <w:suppressAutoHyphens/>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3566" w:type="pct"/>
                  <w:noWrap w:val="0"/>
                  <w:vAlign w:val="center"/>
                </w:tcPr>
                <w:p w14:paraId="3C16564D">
                  <w:pPr>
                    <w:keepNext w:val="0"/>
                    <w:keepLines w:val="0"/>
                    <w:pageBreakBefore w:val="0"/>
                    <w:widowControl/>
                    <w:suppressAutoHyphens/>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具有一年物业服务相关工作经验，</w:t>
                  </w:r>
                  <w:r>
                    <w:rPr>
                      <w:rFonts w:hint="eastAsia" w:ascii="宋体" w:hAnsi="宋体" w:eastAsia="宋体" w:cs="宋体"/>
                      <w:color w:val="auto"/>
                      <w:sz w:val="21"/>
                      <w:szCs w:val="21"/>
                      <w:highlight w:val="none"/>
                      <w:lang w:eastAsia="zh-CN"/>
                    </w:rPr>
                    <w:t>复转军人优先。</w:t>
                  </w:r>
                </w:p>
                <w:p w14:paraId="75137D5D">
                  <w:pPr>
                    <w:keepNext w:val="0"/>
                    <w:keepLines w:val="0"/>
                    <w:pageBreakBefore w:val="0"/>
                    <w:widowControl/>
                    <w:suppressAutoHyphens/>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b/>
                      <w:bCs/>
                      <w:color w:val="auto"/>
                      <w:highlight w:val="none"/>
                      <w:lang w:val="en-US" w:eastAsia="zh-CN"/>
                    </w:rPr>
                    <w:t>★</w:t>
                  </w:r>
                  <w:r>
                    <w:rPr>
                      <w:rFonts w:hint="eastAsia" w:ascii="宋体" w:hAnsi="宋体" w:eastAsia="宋体" w:cs="宋体"/>
                      <w:color w:val="auto"/>
                      <w:sz w:val="21"/>
                      <w:szCs w:val="21"/>
                      <w:highlight w:val="none"/>
                      <w:lang w:val="en-US" w:eastAsia="zh-CN"/>
                    </w:rPr>
                    <w:t>具有公安部门颁发的</w:t>
                  </w:r>
                  <w:r>
                    <w:rPr>
                      <w:rFonts w:hint="eastAsia" w:ascii="宋体" w:hAnsi="宋体" w:eastAsia="宋体" w:cs="宋体"/>
                      <w:color w:val="auto"/>
                      <w:sz w:val="21"/>
                      <w:szCs w:val="21"/>
                      <w:highlight w:val="none"/>
                      <w:lang w:eastAsia="zh-CN"/>
                    </w:rPr>
                    <w:t>保安员证。</w:t>
                  </w:r>
                </w:p>
              </w:tc>
            </w:tr>
            <w:tr w14:paraId="67D4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960" w:type="pct"/>
                  <w:noWrap w:val="0"/>
                  <w:vAlign w:val="center"/>
                </w:tcPr>
                <w:p w14:paraId="7E7EF0C0">
                  <w:pPr>
                    <w:keepNext w:val="0"/>
                    <w:keepLines w:val="0"/>
                    <w:pageBreakBefore w:val="0"/>
                    <w:widowControl/>
                    <w:suppressAutoHyphens/>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保洁员</w:t>
                  </w:r>
                </w:p>
              </w:tc>
              <w:tc>
                <w:tcPr>
                  <w:tcW w:w="472" w:type="pct"/>
                  <w:noWrap w:val="0"/>
                  <w:vAlign w:val="center"/>
                </w:tcPr>
                <w:p w14:paraId="51CD9A97">
                  <w:pPr>
                    <w:keepNext w:val="0"/>
                    <w:keepLines w:val="0"/>
                    <w:pageBreakBefore w:val="0"/>
                    <w:widowControl/>
                    <w:suppressAutoHyphens/>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3566" w:type="pct"/>
                  <w:noWrap w:val="0"/>
                  <w:vAlign w:val="center"/>
                </w:tcPr>
                <w:p w14:paraId="06CDAD34">
                  <w:pPr>
                    <w:keepNext w:val="0"/>
                    <w:keepLines w:val="0"/>
                    <w:pageBreakBefore w:val="0"/>
                    <w:widowControl/>
                    <w:suppressAutoHyphen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具有一年物业服务相关工作经验，身体健康，体检合格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能吃苦耐劳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责任心强</w:t>
                  </w:r>
                  <w:r>
                    <w:rPr>
                      <w:rFonts w:hint="eastAsia" w:ascii="宋体" w:hAnsi="宋体" w:eastAsia="宋体" w:cs="宋体"/>
                      <w:color w:val="auto"/>
                      <w:sz w:val="21"/>
                      <w:szCs w:val="21"/>
                      <w:highlight w:val="none"/>
                      <w:lang w:eastAsia="zh-CN"/>
                    </w:rPr>
                    <w:t>。</w:t>
                  </w:r>
                </w:p>
              </w:tc>
            </w:tr>
            <w:tr w14:paraId="225F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60" w:type="pct"/>
                  <w:noWrap w:val="0"/>
                  <w:vAlign w:val="center"/>
                </w:tcPr>
                <w:p w14:paraId="51466F96">
                  <w:pPr>
                    <w:keepNext w:val="0"/>
                    <w:keepLines w:val="0"/>
                    <w:pageBreakBefore w:val="0"/>
                    <w:widowControl/>
                    <w:kinsoku/>
                    <w:wordWrap/>
                    <w:topLinePunct w:val="0"/>
                    <w:autoSpaceDE w:val="0"/>
                    <w:autoSpaceDN w:val="0"/>
                    <w:bidi w:val="0"/>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472" w:type="pct"/>
                  <w:noWrap w:val="0"/>
                  <w:vAlign w:val="center"/>
                </w:tcPr>
                <w:p w14:paraId="007302B8">
                  <w:pPr>
                    <w:keepNext w:val="0"/>
                    <w:keepLines w:val="0"/>
                    <w:pageBreakBefore w:val="0"/>
                    <w:widowControl/>
                    <w:kinsoku/>
                    <w:wordWrap/>
                    <w:topLinePunct w:val="0"/>
                    <w:autoSpaceDE w:val="0"/>
                    <w:autoSpaceDN w:val="0"/>
                    <w:bidi w:val="0"/>
                    <w:adjustRightIn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3566" w:type="pct"/>
                  <w:noWrap w:val="0"/>
                  <w:vAlign w:val="center"/>
                </w:tcPr>
                <w:p w14:paraId="0D800ED5">
                  <w:pPr>
                    <w:keepNext w:val="0"/>
                    <w:keepLines w:val="0"/>
                    <w:pageBreakBefore w:val="0"/>
                    <w:widowControl/>
                    <w:kinsoku/>
                    <w:wordWrap/>
                    <w:topLinePunct w:val="0"/>
                    <w:autoSpaceDE w:val="0"/>
                    <w:autoSpaceDN w:val="0"/>
                    <w:bidi w:val="0"/>
                    <w:adjustRightInd w:val="0"/>
                    <w:spacing w:line="360" w:lineRule="auto"/>
                    <w:jc w:val="center"/>
                    <w:rPr>
                      <w:rFonts w:hint="eastAsia" w:ascii="宋体" w:hAnsi="宋体" w:eastAsia="宋体" w:cs="宋体"/>
                      <w:color w:val="auto"/>
                      <w:sz w:val="21"/>
                      <w:szCs w:val="21"/>
                      <w:highlight w:val="none"/>
                    </w:rPr>
                  </w:pPr>
                </w:p>
              </w:tc>
            </w:tr>
          </w:tbl>
          <w:p w14:paraId="4F3A5A87">
            <w:pPr>
              <w:pStyle w:val="2"/>
              <w:keepNext w:val="0"/>
              <w:keepLines w:val="0"/>
              <w:pageBreakBefore w:val="0"/>
              <w:kinsoku/>
              <w:overflowPunct/>
              <w:topLinePunct w:val="0"/>
              <w:bidi w:val="0"/>
              <w:spacing w:line="360" w:lineRule="auto"/>
              <w:ind w:firstLine="422" w:firstLineChars="20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（七）物业管理服务考核办法</w:t>
            </w:r>
          </w:p>
          <w:p w14:paraId="1F55C51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Style w:val="25"/>
                <w:rFonts w:hint="eastAsia" w:ascii="宋体" w:hAnsi="宋体" w:eastAsia="宋体" w:cs="宋体"/>
                <w:i w:val="0"/>
                <w:iCs/>
                <w:color w:val="auto"/>
                <w:sz w:val="21"/>
                <w:szCs w:val="21"/>
                <w:highlight w:val="none"/>
                <w:lang w:val="en-US" w:eastAsia="zh-CN"/>
              </w:rPr>
            </w:pPr>
            <w:r>
              <w:rPr>
                <w:rStyle w:val="25"/>
                <w:rFonts w:hint="eastAsia" w:ascii="宋体" w:hAnsi="宋体" w:eastAsia="宋体" w:cs="宋体"/>
                <w:i w:val="0"/>
                <w:iCs/>
                <w:color w:val="auto"/>
                <w:sz w:val="21"/>
                <w:szCs w:val="21"/>
                <w:highlight w:val="none"/>
                <w:lang w:val="en-US" w:eastAsia="zh-CN"/>
              </w:rPr>
              <w:t>（本办法所称的“以上”“以下”“内”“以内”，包括本数；所称的“不足”，不包括本数）</w:t>
            </w:r>
          </w:p>
          <w:p w14:paraId="6416ADB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Style w:val="25"/>
                <w:rFonts w:hint="eastAsia" w:ascii="宋体" w:hAnsi="宋体" w:eastAsia="宋体" w:cs="宋体"/>
                <w:i w:val="0"/>
                <w:iCs/>
                <w:color w:val="auto"/>
                <w:sz w:val="21"/>
                <w:szCs w:val="21"/>
                <w:highlight w:val="none"/>
                <w:lang w:val="en-US" w:eastAsia="zh-CN"/>
              </w:rPr>
            </w:pPr>
            <w:r>
              <w:rPr>
                <w:rStyle w:val="25"/>
                <w:rFonts w:hint="eastAsia" w:ascii="宋体" w:hAnsi="宋体" w:eastAsia="宋体" w:cs="宋体"/>
                <w:i w:val="0"/>
                <w:iCs/>
                <w:color w:val="auto"/>
                <w:sz w:val="21"/>
                <w:szCs w:val="21"/>
                <w:highlight w:val="none"/>
                <w:lang w:val="en-US" w:eastAsia="zh-CN"/>
              </w:rPr>
              <w:t>1.采购人采取每月定期（详见附件一：物业服务月度考核评分表）及不定期（详见附件二：物业服务日常工作考核评分表）方式对成交供应商进行考核。</w:t>
            </w:r>
          </w:p>
          <w:p w14:paraId="7E7E263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Style w:val="25"/>
                <w:rFonts w:hint="eastAsia" w:ascii="宋体" w:hAnsi="宋体" w:eastAsia="宋体" w:cs="宋体"/>
                <w:i w:val="0"/>
                <w:iCs/>
                <w:color w:val="auto"/>
                <w:sz w:val="21"/>
                <w:szCs w:val="21"/>
                <w:highlight w:val="none"/>
                <w:lang w:val="en-US" w:eastAsia="zh-CN"/>
              </w:rPr>
            </w:pPr>
            <w:r>
              <w:rPr>
                <w:rStyle w:val="25"/>
                <w:rFonts w:hint="eastAsia" w:ascii="宋体" w:hAnsi="宋体" w:eastAsia="宋体" w:cs="宋体"/>
                <w:i w:val="0"/>
                <w:iCs/>
                <w:color w:val="auto"/>
                <w:sz w:val="21"/>
                <w:szCs w:val="21"/>
                <w:highlight w:val="none"/>
                <w:lang w:val="en-US" w:eastAsia="zh-CN"/>
              </w:rPr>
              <w:t>2.采购人于每月末最后一个工作日对本月物业服务进行定期考核，考核结论分“优”“良”“中”“差”四档。其中：“优”为总分达95分以上，“良”为总分在90分以上不足95分，“中”为总分在85分以上不足90分，“差”为总分不足85分。</w:t>
            </w:r>
          </w:p>
          <w:p w14:paraId="492A6BA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Style w:val="25"/>
                <w:rFonts w:hint="eastAsia" w:ascii="宋体" w:hAnsi="宋体" w:eastAsia="宋体" w:cs="宋体"/>
                <w:i w:val="0"/>
                <w:iCs/>
                <w:color w:val="auto"/>
                <w:sz w:val="21"/>
                <w:szCs w:val="21"/>
                <w:highlight w:val="none"/>
                <w:lang w:val="en-US" w:eastAsia="zh-CN"/>
              </w:rPr>
            </w:pPr>
            <w:r>
              <w:rPr>
                <w:rStyle w:val="25"/>
                <w:rFonts w:hint="eastAsia" w:ascii="宋体" w:hAnsi="宋体" w:eastAsia="宋体" w:cs="宋体"/>
                <w:i w:val="0"/>
                <w:iCs/>
                <w:color w:val="auto"/>
                <w:sz w:val="21"/>
                <w:szCs w:val="21"/>
                <w:highlight w:val="none"/>
                <w:lang w:val="en-US" w:eastAsia="zh-CN"/>
              </w:rPr>
              <w:t>3.采购人对成交供应商的服务质量不定期抽查，检查记录经双方签字确认后保存在采购人处。采购人有权根据检查结果，按物业服务日常工作考核评分表（详见附件二）对成交供应商实施扣款，并下达书面整改通知责令成交供应商限期整改。成交供应商应派人参加每月考核，采购人发现问题则当场告知。成交供应商应根据考核发现问题，自采购人当场告知后5 个工作日内提出整改意见，及时落实整改。</w:t>
            </w:r>
          </w:p>
          <w:p w14:paraId="50A7901F">
            <w:pPr>
              <w:pStyle w:val="42"/>
              <w:spacing w:line="360" w:lineRule="auto"/>
              <w:rPr>
                <w:rFonts w:hint="eastAsia" w:ascii="宋体" w:hAnsi="宋体" w:eastAsia="宋体" w:cs="宋体"/>
                <w:color w:val="auto"/>
                <w:sz w:val="21"/>
                <w:szCs w:val="21"/>
                <w:highlight w:val="none"/>
              </w:rPr>
            </w:pPr>
            <w:r>
              <w:rPr>
                <w:rStyle w:val="25"/>
                <w:rFonts w:hint="eastAsia" w:ascii="宋体" w:hAnsi="宋体" w:eastAsia="宋体" w:cs="宋体"/>
                <w:i w:val="0"/>
                <w:iCs/>
                <w:color w:val="auto"/>
                <w:sz w:val="21"/>
                <w:szCs w:val="21"/>
                <w:highlight w:val="none"/>
                <w:lang w:val="en-US" w:eastAsia="zh-CN"/>
              </w:rPr>
              <w:t>4.物业管理服务费按月支付，次月 10 个工作日内采购人根据考核结果支付上月物业服务费。当月实际支付物业服务费=当月应付物业服务费-不定期考核扣款-每月定期考核扣款。</w:t>
            </w:r>
            <w:r>
              <w:rPr>
                <w:rFonts w:hint="eastAsia" w:ascii="宋体" w:hAnsi="宋体" w:eastAsia="宋体" w:cs="宋体"/>
                <w:color w:val="auto"/>
                <w:sz w:val="21"/>
                <w:szCs w:val="21"/>
                <w:highlight w:val="none"/>
                <w:lang w:val="en-US" w:eastAsia="zh-CN"/>
              </w:rPr>
              <w:t>服务时间不足一个月的，按实际天数计算当月应付物业服务费。</w:t>
            </w:r>
          </w:p>
        </w:tc>
      </w:tr>
      <w:tr w14:paraId="1CA3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057" w:type="dxa"/>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335E082">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二、商务要求</w:t>
            </w:r>
          </w:p>
        </w:tc>
      </w:tr>
      <w:tr w14:paraId="0D8A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0" w:type="dxa"/>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2DE265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63" w:type="dxa"/>
            <w:tcBorders>
              <w:top w:val="single" w:color="auto" w:sz="4" w:space="0"/>
              <w:left w:val="single" w:color="auto" w:sz="4" w:space="0"/>
              <w:bottom w:val="single" w:color="auto" w:sz="4" w:space="0"/>
              <w:right w:val="single" w:color="auto" w:sz="4" w:space="0"/>
            </w:tcBorders>
            <w:vAlign w:val="center"/>
          </w:tcPr>
          <w:p w14:paraId="3DA4649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★服务期限</w:t>
            </w:r>
          </w:p>
        </w:tc>
        <w:tc>
          <w:tcPr>
            <w:tcW w:w="7064" w:type="dxa"/>
            <w:gridSpan w:val="4"/>
            <w:tcBorders>
              <w:top w:val="single" w:color="auto" w:sz="4" w:space="0"/>
              <w:left w:val="single" w:color="auto" w:sz="4" w:space="0"/>
              <w:bottom w:val="single" w:color="auto" w:sz="4" w:space="0"/>
              <w:right w:val="single" w:color="auto" w:sz="4" w:space="0"/>
            </w:tcBorders>
            <w:vAlign w:val="center"/>
          </w:tcPr>
          <w:p w14:paraId="4761D916">
            <w:pPr>
              <w:spacing w:line="360" w:lineRule="auto"/>
              <w:ind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SA"/>
              </w:rPr>
              <w:t>1年</w:t>
            </w:r>
          </w:p>
        </w:tc>
      </w:tr>
      <w:tr w14:paraId="1456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0" w:type="dxa"/>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CF0FBF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63" w:type="dxa"/>
            <w:tcBorders>
              <w:top w:val="single" w:color="auto" w:sz="4" w:space="0"/>
              <w:left w:val="single" w:color="auto" w:sz="4" w:space="0"/>
              <w:bottom w:val="single" w:color="auto" w:sz="4" w:space="0"/>
              <w:right w:val="single" w:color="auto" w:sz="4" w:space="0"/>
            </w:tcBorders>
            <w:vAlign w:val="center"/>
          </w:tcPr>
          <w:p w14:paraId="2BFCEFB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c>
          <w:tcPr>
            <w:tcW w:w="7064" w:type="dxa"/>
            <w:gridSpan w:val="4"/>
            <w:tcBorders>
              <w:top w:val="single" w:color="auto" w:sz="4" w:space="0"/>
              <w:left w:val="single" w:color="auto" w:sz="4" w:space="0"/>
              <w:bottom w:val="single" w:color="auto" w:sz="4" w:space="0"/>
              <w:right w:val="single" w:color="auto" w:sz="4" w:space="0"/>
            </w:tcBorders>
            <w:vAlign w:val="center"/>
          </w:tcPr>
          <w:p w14:paraId="31096B9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国家税务总局南丹县税务局（包括办税服务厅、锡都路办公区大院及办公楼、城北办公区大院及办公楼）。</w:t>
            </w:r>
          </w:p>
        </w:tc>
      </w:tr>
      <w:tr w14:paraId="6B36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0" w:type="dxa"/>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0B031B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63" w:type="dxa"/>
            <w:tcBorders>
              <w:top w:val="single" w:color="auto" w:sz="4" w:space="0"/>
              <w:left w:val="single" w:color="auto" w:sz="4" w:space="0"/>
              <w:bottom w:val="single" w:color="auto" w:sz="4" w:space="0"/>
              <w:right w:val="single" w:color="auto" w:sz="4" w:space="0"/>
            </w:tcBorders>
            <w:vAlign w:val="center"/>
          </w:tcPr>
          <w:p w14:paraId="67E37E5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7064" w:type="dxa"/>
            <w:gridSpan w:val="4"/>
            <w:tcBorders>
              <w:top w:val="single" w:color="auto" w:sz="4" w:space="0"/>
              <w:left w:val="single" w:color="auto" w:sz="4" w:space="0"/>
              <w:bottom w:val="single" w:color="auto" w:sz="4" w:space="0"/>
              <w:right w:val="single" w:color="auto" w:sz="4" w:space="0"/>
            </w:tcBorders>
            <w:vAlign w:val="center"/>
          </w:tcPr>
          <w:p w14:paraId="3C45A80A">
            <w:pPr>
              <w:adjustRightInd w:val="0"/>
              <w:snapToGrid w:val="0"/>
              <w:spacing w:line="400" w:lineRule="exact"/>
              <w:ind w:firstLine="210" w:firstLineChars="100"/>
              <w:jc w:val="left"/>
              <w:rPr>
                <w:rFonts w:hint="eastAsia" w:eastAsia="宋体"/>
                <w:color w:val="auto"/>
                <w:highlight w:val="none"/>
                <w:lang w:eastAsia="zh-CN"/>
              </w:rPr>
            </w:pPr>
            <w:r>
              <w:rPr>
                <w:rFonts w:hint="eastAsia"/>
                <w:color w:val="auto"/>
                <w:highlight w:val="none"/>
              </w:rPr>
              <w:t>1</w:t>
            </w:r>
            <w:r>
              <w:rPr>
                <w:rFonts w:hint="eastAsia"/>
                <w:color w:val="auto"/>
                <w:highlight w:val="none"/>
                <w:lang w:val="en-US" w:eastAsia="zh-CN"/>
              </w:rPr>
              <w:t>、供应商的报价应包含以下</w:t>
            </w:r>
            <w:r>
              <w:rPr>
                <w:rFonts w:hint="eastAsia"/>
                <w:color w:val="auto"/>
                <w:highlight w:val="none"/>
              </w:rPr>
              <w:t>费用</w:t>
            </w:r>
            <w:r>
              <w:rPr>
                <w:rFonts w:hint="eastAsia"/>
                <w:color w:val="auto"/>
                <w:highlight w:val="none"/>
                <w:lang w:eastAsia="zh-CN"/>
              </w:rPr>
              <w:t>：</w:t>
            </w:r>
          </w:p>
          <w:p w14:paraId="1912AC59">
            <w:pPr>
              <w:adjustRightInd w:val="0"/>
              <w:snapToGrid w:val="0"/>
              <w:spacing w:line="400" w:lineRule="exact"/>
              <w:ind w:firstLine="210" w:firstLineChars="100"/>
              <w:jc w:val="left"/>
              <w:rPr>
                <w:rFonts w:hint="eastAsia"/>
                <w:color w:val="auto"/>
                <w:highlight w:val="none"/>
              </w:rPr>
            </w:pPr>
            <w:r>
              <w:rPr>
                <w:rFonts w:hint="eastAsia"/>
                <w:color w:val="auto"/>
                <w:highlight w:val="none"/>
              </w:rPr>
              <w:t>（1）员工工资（含社保、福利）。</w:t>
            </w:r>
          </w:p>
          <w:p w14:paraId="52A5768A">
            <w:pPr>
              <w:adjustRightInd w:val="0"/>
              <w:snapToGrid w:val="0"/>
              <w:spacing w:line="400" w:lineRule="exact"/>
              <w:ind w:firstLine="210" w:firstLineChars="100"/>
              <w:jc w:val="left"/>
              <w:rPr>
                <w:rFonts w:hint="eastAsia"/>
                <w:color w:val="auto"/>
                <w:highlight w:val="none"/>
              </w:rPr>
            </w:pPr>
            <w:r>
              <w:rPr>
                <w:rFonts w:hint="eastAsia"/>
                <w:color w:val="auto"/>
                <w:highlight w:val="none"/>
              </w:rPr>
              <w:t>（2）物业日常行政办公及后勤管理费</w:t>
            </w:r>
            <w:r>
              <w:rPr>
                <w:rFonts w:hint="eastAsia" w:ascii="宋体" w:hAnsi="宋体" w:cs="宋体"/>
                <w:color w:val="auto"/>
                <w:szCs w:val="21"/>
                <w:highlight w:val="none"/>
              </w:rPr>
              <w:t>。</w:t>
            </w:r>
          </w:p>
          <w:p w14:paraId="32326B69">
            <w:pPr>
              <w:adjustRightInd w:val="0"/>
              <w:snapToGrid w:val="0"/>
              <w:spacing w:line="400" w:lineRule="exact"/>
              <w:ind w:firstLine="210" w:firstLineChars="100"/>
              <w:jc w:val="left"/>
              <w:rPr>
                <w:rFonts w:hint="eastAsia"/>
                <w:color w:val="auto"/>
                <w:highlight w:val="none"/>
              </w:rPr>
            </w:pPr>
            <w:r>
              <w:rPr>
                <w:rFonts w:hint="eastAsia"/>
                <w:color w:val="auto"/>
                <w:highlight w:val="none"/>
              </w:rPr>
              <w:t>（3）国家法定税费。</w:t>
            </w:r>
          </w:p>
          <w:p w14:paraId="48608495">
            <w:pPr>
              <w:adjustRightInd w:val="0"/>
              <w:snapToGrid w:val="0"/>
              <w:spacing w:line="400" w:lineRule="exact"/>
              <w:ind w:firstLine="210" w:firstLineChars="100"/>
              <w:jc w:val="left"/>
              <w:rPr>
                <w:rFonts w:hint="eastAsia"/>
                <w:color w:val="auto"/>
                <w:highlight w:val="none"/>
              </w:rPr>
            </w:pPr>
            <w:r>
              <w:rPr>
                <w:rFonts w:hint="eastAsia"/>
                <w:color w:val="auto"/>
                <w:highlight w:val="none"/>
              </w:rPr>
              <w:t>（4）其他不可预见费。</w:t>
            </w:r>
          </w:p>
          <w:p w14:paraId="5FCBFBB2">
            <w:pPr>
              <w:adjustRightInd w:val="0"/>
              <w:snapToGrid w:val="0"/>
              <w:spacing w:line="400" w:lineRule="exact"/>
              <w:ind w:firstLine="210" w:firstLineChars="100"/>
              <w:jc w:val="left"/>
              <w:rPr>
                <w:rFonts w:hint="eastAsia"/>
                <w:color w:val="auto"/>
                <w:highlight w:val="none"/>
              </w:rPr>
            </w:pPr>
            <w:r>
              <w:rPr>
                <w:rFonts w:hint="eastAsia"/>
                <w:color w:val="auto"/>
                <w:highlight w:val="none"/>
              </w:rPr>
              <w:t>（5）其它费用（包括以下费用：</w:t>
            </w:r>
            <w:r>
              <w:rPr>
                <w:rFonts w:hint="eastAsia"/>
                <w:color w:val="auto"/>
                <w:highlight w:val="none"/>
                <w:lang w:eastAsia="zh-CN"/>
              </w:rPr>
              <w:t>保安服务</w:t>
            </w:r>
            <w:r>
              <w:rPr>
                <w:rFonts w:hint="eastAsia"/>
                <w:color w:val="auto"/>
                <w:highlight w:val="none"/>
              </w:rPr>
              <w:t>所需配备的对讲机、服装、电筒、应急包等材料费用；餐饮服务人员所需配备的工作装、口罩、操作手套等材料费用和健康体检费用；提供服务所需的其他费用）。</w:t>
            </w:r>
          </w:p>
          <w:p w14:paraId="660AADA7">
            <w:pPr>
              <w:adjustRightInd w:val="0"/>
              <w:snapToGrid w:val="0"/>
              <w:spacing w:line="400" w:lineRule="exact"/>
              <w:ind w:firstLine="210" w:firstLineChars="100"/>
              <w:jc w:val="left"/>
              <w:rPr>
                <w:rFonts w:hint="eastAsia"/>
                <w:color w:val="auto"/>
                <w:highlight w:val="none"/>
              </w:rPr>
            </w:pPr>
            <w:r>
              <w:rPr>
                <w:rFonts w:hint="eastAsia"/>
                <w:color w:val="auto"/>
                <w:highlight w:val="none"/>
              </w:rPr>
              <w:t>2</w:t>
            </w:r>
            <w:r>
              <w:rPr>
                <w:rFonts w:hint="eastAsia"/>
                <w:color w:val="auto"/>
                <w:highlight w:val="none"/>
                <w:lang w:val="en-US" w:eastAsia="zh-CN"/>
              </w:rPr>
              <w:t>、</w:t>
            </w:r>
            <w:r>
              <w:rPr>
                <w:rFonts w:hint="eastAsia"/>
                <w:color w:val="auto"/>
                <w:highlight w:val="none"/>
              </w:rPr>
              <w:t>以下费用</w:t>
            </w:r>
            <w:r>
              <w:rPr>
                <w:rFonts w:hint="eastAsia"/>
                <w:color w:val="auto"/>
                <w:highlight w:val="none"/>
                <w:lang w:val="en-US" w:eastAsia="zh-CN"/>
              </w:rPr>
              <w:t>由采购人</w:t>
            </w:r>
            <w:r>
              <w:rPr>
                <w:rFonts w:hint="eastAsia"/>
                <w:color w:val="auto"/>
                <w:highlight w:val="none"/>
              </w:rPr>
              <w:t>承担和支付：</w:t>
            </w:r>
          </w:p>
          <w:p w14:paraId="18E8F8B8">
            <w:pPr>
              <w:adjustRightInd w:val="0"/>
              <w:snapToGrid w:val="0"/>
              <w:spacing w:line="400" w:lineRule="exact"/>
              <w:ind w:firstLine="210" w:firstLineChars="100"/>
              <w:jc w:val="left"/>
              <w:rPr>
                <w:rFonts w:hint="eastAsia"/>
                <w:color w:val="auto"/>
                <w:highlight w:val="none"/>
              </w:rPr>
            </w:pPr>
            <w:r>
              <w:rPr>
                <w:rFonts w:hint="eastAsia"/>
                <w:color w:val="auto"/>
                <w:highlight w:val="none"/>
              </w:rPr>
              <w:t>（1）办公楼（区）及食堂内保洁服务使用的清洁剂、洗手液、卫生纸、垃圾袋等低值易耗品。</w:t>
            </w:r>
            <w:r>
              <w:rPr>
                <w:rFonts w:hint="eastAsia"/>
                <w:color w:val="auto"/>
                <w:highlight w:val="none"/>
                <w:lang w:val="en-US" w:eastAsia="zh-CN"/>
              </w:rPr>
              <w:t>成交供应商</w:t>
            </w:r>
            <w:r>
              <w:rPr>
                <w:rFonts w:hint="eastAsia"/>
                <w:color w:val="auto"/>
                <w:highlight w:val="none"/>
              </w:rPr>
              <w:t>每月向采购方申报下月低值易耗品计划，由采购人审核并采购，供</w:t>
            </w:r>
            <w:r>
              <w:rPr>
                <w:rFonts w:hint="eastAsia"/>
                <w:color w:val="auto"/>
                <w:highlight w:val="none"/>
                <w:lang w:val="en-US" w:eastAsia="zh-CN"/>
              </w:rPr>
              <w:t>成交供应商</w:t>
            </w:r>
            <w:r>
              <w:rPr>
                <w:rFonts w:hint="eastAsia"/>
                <w:color w:val="auto"/>
                <w:highlight w:val="none"/>
              </w:rPr>
              <w:t>使用。</w:t>
            </w:r>
          </w:p>
          <w:p w14:paraId="72D69D77">
            <w:pPr>
              <w:adjustRightInd w:val="0"/>
              <w:snapToGrid w:val="0"/>
              <w:spacing w:line="400" w:lineRule="exact"/>
              <w:ind w:firstLine="210" w:firstLineChars="100"/>
              <w:jc w:val="left"/>
              <w:rPr>
                <w:rFonts w:hint="eastAsia"/>
                <w:color w:val="auto"/>
                <w:highlight w:val="none"/>
              </w:rPr>
            </w:pPr>
            <w:r>
              <w:rPr>
                <w:rFonts w:hint="eastAsia"/>
                <w:color w:val="auto"/>
                <w:highlight w:val="none"/>
              </w:rPr>
              <w:t>（2）办公楼（区）内会议服务使用的茶叶、水杯、纸巾等材料</w:t>
            </w:r>
            <w:r>
              <w:rPr>
                <w:rFonts w:hint="eastAsia"/>
                <w:color w:val="auto"/>
                <w:highlight w:val="none"/>
                <w:lang w:val="en-US" w:eastAsia="zh-CN"/>
              </w:rPr>
              <w:t>由采购人承诺</w:t>
            </w:r>
            <w:r>
              <w:rPr>
                <w:rFonts w:hint="eastAsia"/>
                <w:color w:val="auto"/>
                <w:highlight w:val="none"/>
              </w:rPr>
              <w:t>。</w:t>
            </w:r>
          </w:p>
          <w:p w14:paraId="77B56905">
            <w:pPr>
              <w:adjustRightInd w:val="0"/>
              <w:snapToGrid w:val="0"/>
              <w:spacing w:line="400" w:lineRule="exact"/>
              <w:ind w:firstLine="210" w:firstLineChars="100"/>
              <w:jc w:val="left"/>
              <w:rPr>
                <w:rFonts w:hint="eastAsia"/>
                <w:color w:val="auto"/>
                <w:highlight w:val="none"/>
              </w:rPr>
            </w:pPr>
            <w:r>
              <w:rPr>
                <w:rFonts w:hint="eastAsia"/>
                <w:color w:val="auto"/>
                <w:highlight w:val="none"/>
              </w:rPr>
              <w:t>（3）</w:t>
            </w:r>
            <w:r>
              <w:rPr>
                <w:rFonts w:hint="eastAsia" w:ascii="宋体" w:hAnsi="宋体" w:eastAsia="宋体" w:cs="宋体"/>
                <w:color w:val="auto"/>
                <w:sz w:val="21"/>
                <w:szCs w:val="21"/>
                <w:highlight w:val="none"/>
                <w:lang w:val="en-US" w:eastAsia="zh-CN"/>
              </w:rPr>
              <w:t>维修零配件材料费由采购人承担</w:t>
            </w:r>
            <w:r>
              <w:rPr>
                <w:rFonts w:hint="eastAsia"/>
                <w:color w:val="auto"/>
                <w:highlight w:val="none"/>
              </w:rPr>
              <w:t>。</w:t>
            </w:r>
          </w:p>
          <w:p w14:paraId="0D0B6A53">
            <w:pPr>
              <w:adjustRightInd w:val="0"/>
              <w:snapToGrid w:val="0"/>
              <w:spacing w:line="400" w:lineRule="exact"/>
              <w:ind w:firstLine="210" w:firstLineChars="100"/>
              <w:jc w:val="left"/>
              <w:rPr>
                <w:rFonts w:hint="eastAsia" w:ascii="宋体" w:hAnsi="宋体" w:eastAsia="宋体" w:cs="宋体"/>
                <w:color w:val="auto"/>
                <w:sz w:val="21"/>
                <w:szCs w:val="21"/>
                <w:highlight w:val="none"/>
              </w:rPr>
            </w:pPr>
            <w:r>
              <w:rPr>
                <w:rFonts w:hint="eastAsia"/>
                <w:color w:val="auto"/>
                <w:highlight w:val="none"/>
              </w:rPr>
              <w:t>（4）</w:t>
            </w:r>
            <w:r>
              <w:rPr>
                <w:rFonts w:hint="eastAsia"/>
                <w:color w:val="auto"/>
                <w:highlight w:val="none"/>
                <w:lang w:val="en-US" w:eastAsia="zh-CN"/>
              </w:rPr>
              <w:t>食堂</w:t>
            </w:r>
            <w:r>
              <w:rPr>
                <w:rFonts w:hint="eastAsia"/>
                <w:color w:val="auto"/>
                <w:highlight w:val="none"/>
              </w:rPr>
              <w:t>燃料费用，燃料主要指食堂使用的能源燃料等，</w:t>
            </w:r>
            <w:r>
              <w:rPr>
                <w:rFonts w:hint="eastAsia" w:ascii="宋体" w:hAnsi="宋体" w:eastAsia="宋体" w:cs="宋体"/>
                <w:color w:val="auto"/>
                <w:sz w:val="21"/>
                <w:szCs w:val="21"/>
                <w:highlight w:val="none"/>
                <w:lang w:val="en-US" w:eastAsia="zh-CN"/>
              </w:rPr>
              <w:t>由采购人承担。</w:t>
            </w:r>
          </w:p>
        </w:tc>
      </w:tr>
      <w:tr w14:paraId="38FD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0" w:type="dxa"/>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8D3D3F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63" w:type="dxa"/>
            <w:tcBorders>
              <w:top w:val="single" w:color="auto" w:sz="4" w:space="0"/>
              <w:left w:val="single" w:color="auto" w:sz="4" w:space="0"/>
              <w:bottom w:val="single" w:color="auto" w:sz="4" w:space="0"/>
              <w:right w:val="single" w:color="auto" w:sz="4" w:space="0"/>
            </w:tcBorders>
            <w:vAlign w:val="center"/>
          </w:tcPr>
          <w:p w14:paraId="1B23E5A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7064" w:type="dxa"/>
            <w:gridSpan w:val="4"/>
            <w:tcBorders>
              <w:top w:val="single" w:color="auto" w:sz="4" w:space="0"/>
              <w:left w:val="single" w:color="auto" w:sz="4" w:space="0"/>
              <w:bottom w:val="single" w:color="auto" w:sz="4" w:space="0"/>
              <w:right w:val="single" w:color="auto" w:sz="4" w:space="0"/>
            </w:tcBorders>
            <w:vAlign w:val="center"/>
          </w:tcPr>
          <w:p w14:paraId="48851FB0">
            <w:pPr>
              <w:numPr>
                <w:ilvl w:val="0"/>
                <w:numId w:val="6"/>
              </w:num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物业管理服务费按月支付，次月成交人向采购人提供有效结算文件，采购人在收到结算文件后10个工作日内以转账方式支付上月物业服务费。当月支付金额=合同总金额/12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每月定期考核扣款</w:t>
            </w:r>
            <w:r>
              <w:rPr>
                <w:rFonts w:hint="eastAsia" w:ascii="宋体" w:hAnsi="宋体" w:eastAsia="宋体" w:cs="宋体"/>
                <w:color w:val="auto"/>
                <w:sz w:val="21"/>
                <w:szCs w:val="21"/>
                <w:highlight w:val="none"/>
                <w:lang w:val="en-US" w:eastAsia="zh-CN"/>
              </w:rPr>
              <w:t>-不定期检查扣款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具体考核标准详见附件1）。</w:t>
            </w:r>
            <w:r>
              <w:rPr>
                <w:rFonts w:hint="eastAsia" w:ascii="宋体" w:hAnsi="宋体" w:eastAsia="宋体" w:cs="宋体"/>
                <w:color w:val="auto"/>
                <w:sz w:val="21"/>
                <w:szCs w:val="21"/>
                <w:highlight w:val="none"/>
              </w:rPr>
              <w:t>服务时间不足一个月的，按实际天数计算当月实际应支付金额。</w:t>
            </w:r>
          </w:p>
          <w:p w14:paraId="737F8E5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人付款前，成交供应商应向采购人开具等额有效的发票，采购人收到合规发票后10个工作日内将合同款项支付到合同约定的成交供应商账户；采购人未收到合规发票的，有权不予支付相应款项，并不承担延迟付款责任。</w:t>
            </w:r>
          </w:p>
          <w:p w14:paraId="66BFB98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tc>
      </w:tr>
      <w:tr w14:paraId="66A91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0" w:type="dxa"/>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8613731">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363" w:type="dxa"/>
            <w:tcBorders>
              <w:top w:val="single" w:color="auto" w:sz="4" w:space="0"/>
              <w:left w:val="single" w:color="auto" w:sz="4" w:space="0"/>
              <w:bottom w:val="single" w:color="auto" w:sz="4" w:space="0"/>
              <w:right w:val="single" w:color="auto" w:sz="4" w:space="0"/>
            </w:tcBorders>
            <w:vAlign w:val="center"/>
          </w:tcPr>
          <w:p w14:paraId="6766D53A">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验收方式及标准</w:t>
            </w:r>
          </w:p>
        </w:tc>
        <w:tc>
          <w:tcPr>
            <w:tcW w:w="7064" w:type="dxa"/>
            <w:gridSpan w:val="4"/>
            <w:tcBorders>
              <w:top w:val="single" w:color="auto" w:sz="4" w:space="0"/>
              <w:left w:val="single" w:color="auto" w:sz="4" w:space="0"/>
              <w:bottom w:val="single" w:color="auto" w:sz="4" w:space="0"/>
              <w:right w:val="single" w:color="auto" w:sz="4" w:space="0"/>
            </w:tcBorders>
            <w:vAlign w:val="center"/>
          </w:tcPr>
          <w:p w14:paraId="39EF260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项目验收工作由采购人按照内部验收的有关制度和流程组织开展。</w:t>
            </w:r>
          </w:p>
          <w:p w14:paraId="739A4846">
            <w:pPr>
              <w:tabs>
                <w:tab w:val="center" w:pos="4536"/>
              </w:tabs>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项目验收标准：</w:t>
            </w:r>
          </w:p>
          <w:p w14:paraId="03C8829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（1）房屋外观：外观完好、整洁，外墙装饰无脱落、无污迹、无乱搭乱建、公共设施无随意占用。</w:t>
            </w:r>
          </w:p>
          <w:p w14:paraId="56D6588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（2）设备运行</w:t>
            </w:r>
          </w:p>
          <w:p w14:paraId="2CB3EEA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①保证水、电、消防、排风等设备及系统运行正常、无事故隐患。</w:t>
            </w:r>
          </w:p>
          <w:p w14:paraId="77D58F2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②预防故障和养护及管理到位。</w:t>
            </w:r>
          </w:p>
          <w:p w14:paraId="7D7BD5A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（3）房屋及设施、设备的维修、养护</w:t>
            </w:r>
          </w:p>
          <w:p w14:paraId="3339344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①建立共用部位共用设施设备养护管理制度。</w:t>
            </w:r>
          </w:p>
          <w:p w14:paraId="18E0CDA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②保证房屋共用部位、共用设施设备完好，无随意改变用途现象。</w:t>
            </w:r>
          </w:p>
          <w:p w14:paraId="6B68E73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（4）公共环境</w:t>
            </w:r>
          </w:p>
          <w:p w14:paraId="6A6FCBF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①垃圾日产日清，定期进行卫生消毒灭菌。</w:t>
            </w:r>
          </w:p>
          <w:p w14:paraId="70D4B8A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②公共场地保持清洁，无纸屑、烟头等废弃物。</w:t>
            </w:r>
          </w:p>
          <w:p w14:paraId="26BCC74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③定期对本区域进行虫害杀除工作。</w:t>
            </w:r>
          </w:p>
          <w:p w14:paraId="528DACC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（5）交通秩序</w:t>
            </w:r>
          </w:p>
          <w:p w14:paraId="5F0319E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①车辆进出有序；“门前三包”达到有关部门的要求；</w:t>
            </w:r>
          </w:p>
          <w:p w14:paraId="630F463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②道路畅通、车辆停放有序。</w:t>
            </w:r>
          </w:p>
          <w:p w14:paraId="5E97966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（6）治安、消防：24小时值班巡逻，无违法犯罪、失窃、被盗、被劫及打架斗殴、火灾事件发生，公共秩序良好。</w:t>
            </w:r>
          </w:p>
          <w:p w14:paraId="6BDC6D4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（7）各项工作须有应急预案，有专人负责；急修要求随叫随到，小修要求1小时内到位。</w:t>
            </w:r>
          </w:p>
          <w:p w14:paraId="39D531E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（8）物业管理制度健全，管理落实到位。</w:t>
            </w:r>
          </w:p>
          <w:p w14:paraId="314EE9F3">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（9）上岗人员经过系统、规范的岗前培训，熟练掌握业务技能。</w:t>
            </w:r>
          </w:p>
        </w:tc>
      </w:tr>
      <w:tr w14:paraId="637A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8" w:hRule="atLeast"/>
          <w:jc w:val="center"/>
        </w:trPr>
        <w:tc>
          <w:tcPr>
            <w:tcW w:w="630" w:type="dxa"/>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7095075">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1363" w:type="dxa"/>
            <w:tcBorders>
              <w:top w:val="single" w:color="auto" w:sz="4" w:space="0"/>
              <w:left w:val="single" w:color="auto" w:sz="4" w:space="0"/>
              <w:bottom w:val="single" w:color="auto" w:sz="4" w:space="0"/>
              <w:right w:val="single" w:color="auto" w:sz="4" w:space="0"/>
            </w:tcBorders>
            <w:vAlign w:val="center"/>
          </w:tcPr>
          <w:p w14:paraId="584BB61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7064" w:type="dxa"/>
            <w:gridSpan w:val="4"/>
            <w:tcBorders>
              <w:top w:val="single" w:color="auto" w:sz="4" w:space="0"/>
              <w:left w:val="single" w:color="auto" w:sz="4" w:space="0"/>
              <w:bottom w:val="single" w:color="auto" w:sz="4" w:space="0"/>
              <w:right w:val="single" w:color="auto" w:sz="4" w:space="0"/>
            </w:tcBorders>
            <w:vAlign w:val="center"/>
          </w:tcPr>
          <w:p w14:paraId="620DE9F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1、成交后不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成交供应商不</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将项目</w:t>
            </w:r>
            <w:r>
              <w:rPr>
                <w:rFonts w:hint="eastAsia" w:ascii="宋体" w:hAnsi="宋体" w:eastAsia="宋体" w:cs="宋体"/>
                <w:color w:val="auto"/>
                <w:sz w:val="21"/>
                <w:szCs w:val="21"/>
                <w:highlight w:val="none"/>
              </w:rPr>
              <w:t>转包、分包，不得以挂靠形式承揽该项目，派驻项目人员应当与响应文件相一致，服务人员原则上不能进行调整，如有特殊原因需要调整，必须在保证服务质量的前提上，将人员变动情况报采购人，经采购人同意后才能调整，否则视为违约并承担相应的违约责任。</w:t>
            </w:r>
          </w:p>
        </w:tc>
      </w:tr>
    </w:tbl>
    <w:p w14:paraId="1DCEBFBB">
      <w:pPr>
        <w:suppressAutoHyphens/>
        <w:adjustRightInd w:val="0"/>
        <w:snapToGrid w:val="0"/>
        <w:spacing w:line="400" w:lineRule="exact"/>
        <w:ind w:firstLine="482" w:firstLineChars="200"/>
        <w:rPr>
          <w:rFonts w:hint="eastAsia" w:ascii="宋体" w:hAnsi="宋体" w:cs="Times New Roman"/>
          <w:b/>
          <w:color w:val="auto"/>
          <w:sz w:val="24"/>
          <w:szCs w:val="24"/>
          <w:highlight w:val="none"/>
        </w:rPr>
      </w:pPr>
    </w:p>
    <w:p w14:paraId="54871A54">
      <w:pPr>
        <w:rPr>
          <w:rFonts w:hint="eastAsia" w:ascii="宋体" w:hAnsi="宋体" w:cs="Times New Roman"/>
          <w:b/>
          <w:color w:val="auto"/>
          <w:sz w:val="24"/>
          <w:szCs w:val="24"/>
          <w:highlight w:val="none"/>
        </w:rPr>
      </w:pPr>
    </w:p>
    <w:p w14:paraId="35CDE510">
      <w:pPr>
        <w:pStyle w:val="2"/>
        <w:spacing w:before="59" w:line="219" w:lineRule="auto"/>
        <w:ind w:left="48"/>
        <w:rPr>
          <w:color w:val="auto"/>
          <w:highlight w:val="none"/>
        </w:rPr>
      </w:pPr>
      <w:r>
        <w:rPr>
          <w:b/>
          <w:bCs/>
          <w:color w:val="auto"/>
          <w:spacing w:val="-12"/>
          <w:highlight w:val="none"/>
        </w:rPr>
        <w:t>附件</w:t>
      </w:r>
      <w:r>
        <w:rPr>
          <w:rFonts w:hint="eastAsia"/>
          <w:b/>
          <w:bCs/>
          <w:color w:val="auto"/>
          <w:spacing w:val="-12"/>
          <w:highlight w:val="none"/>
          <w:lang w:val="en-US" w:eastAsia="zh-CN"/>
        </w:rPr>
        <w:t>1</w:t>
      </w:r>
      <w:r>
        <w:rPr>
          <w:b/>
          <w:bCs/>
          <w:color w:val="auto"/>
          <w:spacing w:val="-12"/>
          <w:highlight w:val="none"/>
        </w:rPr>
        <w:t>：</w:t>
      </w:r>
    </w:p>
    <w:p w14:paraId="39F1391B">
      <w:pPr>
        <w:pStyle w:val="2"/>
        <w:spacing w:before="27" w:line="251" w:lineRule="auto"/>
        <w:ind w:left="0" w:leftChars="0" w:right="322" w:rightChars="0" w:firstLine="143" w:firstLineChars="0"/>
        <w:jc w:val="center"/>
        <w:rPr>
          <w:color w:val="auto"/>
          <w:sz w:val="28"/>
          <w:szCs w:val="28"/>
          <w:highlight w:val="none"/>
        </w:rPr>
      </w:pPr>
      <w:r>
        <w:rPr>
          <w:rStyle w:val="25"/>
          <w:rFonts w:hint="eastAsia" w:ascii="宋体" w:hAnsi="宋体" w:eastAsia="宋体" w:cs="宋体"/>
          <w:i w:val="0"/>
          <w:iCs/>
          <w:color w:val="auto"/>
          <w:sz w:val="28"/>
          <w:szCs w:val="28"/>
          <w:highlight w:val="none"/>
          <w:lang w:val="en-US" w:eastAsia="zh-CN"/>
        </w:rPr>
        <w:t>物业服务月度考核评分表</w:t>
      </w:r>
    </w:p>
    <w:p w14:paraId="05BFD89B">
      <w:pPr>
        <w:pStyle w:val="2"/>
        <w:spacing w:before="32" w:line="219" w:lineRule="auto"/>
        <w:ind w:left="6373"/>
        <w:rPr>
          <w:color w:val="auto"/>
          <w:highlight w:val="none"/>
        </w:rPr>
      </w:pPr>
      <w:r>
        <w:rPr>
          <w:color w:val="auto"/>
          <w:spacing w:val="-9"/>
          <w:highlight w:val="none"/>
        </w:rPr>
        <w:t>年</w:t>
      </w:r>
      <w:r>
        <w:rPr>
          <w:color w:val="auto"/>
          <w:spacing w:val="3"/>
          <w:highlight w:val="none"/>
        </w:rPr>
        <w:t xml:space="preserve">     </w:t>
      </w:r>
      <w:r>
        <w:rPr>
          <w:color w:val="auto"/>
          <w:spacing w:val="-9"/>
          <w:highlight w:val="none"/>
        </w:rPr>
        <w:t>月</w:t>
      </w:r>
      <w:r>
        <w:rPr>
          <w:color w:val="auto"/>
          <w:spacing w:val="8"/>
          <w:highlight w:val="none"/>
        </w:rPr>
        <w:t xml:space="preserve">      </w:t>
      </w:r>
      <w:r>
        <w:rPr>
          <w:color w:val="auto"/>
          <w:spacing w:val="-9"/>
          <w:highlight w:val="none"/>
        </w:rPr>
        <w:t>日</w:t>
      </w:r>
    </w:p>
    <w:p w14:paraId="6E95CDBA">
      <w:pPr>
        <w:spacing w:line="54" w:lineRule="auto"/>
        <w:rPr>
          <w:rFonts w:ascii="Arial"/>
          <w:color w:val="auto"/>
          <w:sz w:val="2"/>
          <w:highlight w:val="none"/>
        </w:rPr>
      </w:pPr>
    </w:p>
    <w:tbl>
      <w:tblPr>
        <w:tblStyle w:val="38"/>
        <w:tblW w:w="90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3776"/>
        <w:gridCol w:w="567"/>
        <w:gridCol w:w="3445"/>
        <w:gridCol w:w="615"/>
      </w:tblGrid>
      <w:tr w14:paraId="1FD9F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645" w:type="dxa"/>
            <w:vAlign w:val="top"/>
          </w:tcPr>
          <w:p w14:paraId="2B67A2B5">
            <w:pPr>
              <w:pStyle w:val="37"/>
              <w:spacing w:before="228" w:line="229" w:lineRule="auto"/>
              <w:ind w:left="116"/>
              <w:rPr>
                <w:rFonts w:hint="eastAsia" w:ascii="宋体" w:hAnsi="宋体" w:eastAsia="宋体" w:cs="宋体"/>
                <w:b/>
                <w:bCs/>
                <w:color w:val="auto"/>
                <w:sz w:val="21"/>
                <w:szCs w:val="21"/>
                <w:highlight w:val="none"/>
              </w:rPr>
            </w:pPr>
            <w:r>
              <w:rPr>
                <w:rFonts w:hint="eastAsia" w:ascii="宋体" w:hAnsi="宋体" w:eastAsia="宋体" w:cs="宋体"/>
                <w:b/>
                <w:bCs/>
                <w:color w:val="auto"/>
                <w:spacing w:val="4"/>
                <w:sz w:val="21"/>
                <w:szCs w:val="21"/>
                <w:highlight w:val="none"/>
              </w:rPr>
              <w:t>序号</w:t>
            </w:r>
          </w:p>
        </w:tc>
        <w:tc>
          <w:tcPr>
            <w:tcW w:w="3776" w:type="dxa"/>
            <w:vAlign w:val="top"/>
          </w:tcPr>
          <w:p w14:paraId="11754D7C">
            <w:pPr>
              <w:pStyle w:val="37"/>
              <w:spacing w:before="228" w:line="228" w:lineRule="auto"/>
              <w:ind w:left="1370"/>
              <w:rPr>
                <w:rFonts w:hint="eastAsia" w:ascii="宋体" w:hAnsi="宋体" w:eastAsia="宋体" w:cs="宋体"/>
                <w:b/>
                <w:bCs/>
                <w:color w:val="auto"/>
                <w:sz w:val="21"/>
                <w:szCs w:val="21"/>
                <w:highlight w:val="none"/>
              </w:rPr>
            </w:pPr>
            <w:r>
              <w:rPr>
                <w:rFonts w:hint="eastAsia" w:ascii="宋体" w:hAnsi="宋体" w:eastAsia="宋体" w:cs="宋体"/>
                <w:b/>
                <w:bCs/>
                <w:color w:val="auto"/>
                <w:spacing w:val="5"/>
                <w:sz w:val="21"/>
                <w:szCs w:val="21"/>
                <w:highlight w:val="none"/>
              </w:rPr>
              <w:t>范围和标准</w:t>
            </w:r>
          </w:p>
        </w:tc>
        <w:tc>
          <w:tcPr>
            <w:tcW w:w="567" w:type="dxa"/>
            <w:vAlign w:val="top"/>
          </w:tcPr>
          <w:p w14:paraId="37EA7E8B">
            <w:pPr>
              <w:pStyle w:val="37"/>
              <w:spacing w:before="72" w:line="268" w:lineRule="auto"/>
              <w:ind w:left="80" w:right="71" w:hanging="1"/>
              <w:rPr>
                <w:rFonts w:hint="eastAsia" w:ascii="宋体" w:hAnsi="宋体" w:eastAsia="宋体" w:cs="宋体"/>
                <w:b/>
                <w:bCs/>
                <w:color w:val="auto"/>
                <w:sz w:val="21"/>
                <w:szCs w:val="21"/>
                <w:highlight w:val="none"/>
              </w:rPr>
            </w:pPr>
            <w:r>
              <w:rPr>
                <w:rFonts w:hint="eastAsia" w:ascii="宋体" w:hAnsi="宋体" w:eastAsia="宋体" w:cs="宋体"/>
                <w:b/>
                <w:bCs/>
                <w:color w:val="auto"/>
                <w:spacing w:val="3"/>
                <w:sz w:val="21"/>
                <w:szCs w:val="21"/>
                <w:highlight w:val="none"/>
              </w:rPr>
              <w:t>规定</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pacing w:val="2"/>
                <w:sz w:val="21"/>
                <w:szCs w:val="21"/>
                <w:highlight w:val="none"/>
              </w:rPr>
              <w:t>分值</w:t>
            </w:r>
          </w:p>
        </w:tc>
        <w:tc>
          <w:tcPr>
            <w:tcW w:w="3445" w:type="dxa"/>
            <w:vAlign w:val="top"/>
          </w:tcPr>
          <w:p w14:paraId="007AD188">
            <w:pPr>
              <w:pStyle w:val="37"/>
              <w:spacing w:before="228" w:line="228" w:lineRule="auto"/>
              <w:ind w:left="1639"/>
              <w:rPr>
                <w:rFonts w:hint="eastAsia" w:ascii="宋体" w:hAnsi="宋体" w:eastAsia="宋体" w:cs="宋体"/>
                <w:b/>
                <w:bCs/>
                <w:color w:val="auto"/>
                <w:sz w:val="21"/>
                <w:szCs w:val="21"/>
                <w:highlight w:val="none"/>
              </w:rPr>
            </w:pPr>
            <w:r>
              <w:rPr>
                <w:rFonts w:hint="eastAsia" w:ascii="宋体" w:hAnsi="宋体" w:eastAsia="宋体" w:cs="宋体"/>
                <w:b/>
                <w:bCs/>
                <w:color w:val="auto"/>
                <w:spacing w:val="6"/>
                <w:sz w:val="21"/>
                <w:szCs w:val="21"/>
                <w:highlight w:val="none"/>
              </w:rPr>
              <w:t>评分细则</w:t>
            </w:r>
          </w:p>
        </w:tc>
        <w:tc>
          <w:tcPr>
            <w:tcW w:w="615" w:type="dxa"/>
            <w:vAlign w:val="top"/>
          </w:tcPr>
          <w:p w14:paraId="205B3A47">
            <w:pPr>
              <w:pStyle w:val="37"/>
              <w:spacing w:before="227" w:line="228" w:lineRule="auto"/>
              <w:ind w:left="133"/>
              <w:rPr>
                <w:rFonts w:hint="eastAsia" w:ascii="宋体" w:hAnsi="宋体" w:eastAsia="宋体" w:cs="宋体"/>
                <w:b/>
                <w:bCs/>
                <w:color w:val="auto"/>
                <w:sz w:val="21"/>
                <w:szCs w:val="21"/>
                <w:highlight w:val="none"/>
              </w:rPr>
            </w:pPr>
            <w:r>
              <w:rPr>
                <w:rFonts w:hint="eastAsia" w:ascii="宋体" w:hAnsi="宋体" w:eastAsia="宋体" w:cs="宋体"/>
                <w:b/>
                <w:bCs/>
                <w:color w:val="auto"/>
                <w:spacing w:val="3"/>
                <w:sz w:val="21"/>
                <w:szCs w:val="21"/>
                <w:highlight w:val="none"/>
              </w:rPr>
              <w:t>得分</w:t>
            </w:r>
          </w:p>
        </w:tc>
      </w:tr>
      <w:tr w14:paraId="6D192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645" w:type="dxa"/>
            <w:vAlign w:val="top"/>
          </w:tcPr>
          <w:p w14:paraId="098DAA7A">
            <w:pPr>
              <w:spacing w:line="344" w:lineRule="auto"/>
              <w:rPr>
                <w:rFonts w:hint="eastAsia" w:ascii="宋体" w:hAnsi="宋体" w:eastAsia="宋体" w:cs="宋体"/>
                <w:b w:val="0"/>
                <w:bCs w:val="0"/>
                <w:color w:val="auto"/>
                <w:sz w:val="21"/>
                <w:szCs w:val="21"/>
                <w:highlight w:val="none"/>
              </w:rPr>
            </w:pPr>
          </w:p>
          <w:p w14:paraId="7C49CFF5">
            <w:pPr>
              <w:pStyle w:val="37"/>
              <w:spacing w:before="65" w:line="189" w:lineRule="auto"/>
              <w:ind w:left="29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1</w:t>
            </w:r>
          </w:p>
        </w:tc>
        <w:tc>
          <w:tcPr>
            <w:tcW w:w="3776" w:type="dxa"/>
            <w:vAlign w:val="top"/>
          </w:tcPr>
          <w:p w14:paraId="1441C666">
            <w:pPr>
              <w:pStyle w:val="37"/>
              <w:spacing w:before="66" w:line="275" w:lineRule="auto"/>
              <w:ind w:left="19" w:firstLine="1"/>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工作人员服装统一、整齐，佩戴统一标识，</w:t>
            </w:r>
            <w:r>
              <w:rPr>
                <w:rFonts w:hint="eastAsia" w:ascii="宋体" w:hAnsi="宋体" w:eastAsia="宋体" w:cs="宋体"/>
                <w:b w:val="0"/>
                <w:bCs w:val="0"/>
                <w:color w:val="auto"/>
                <w:spacing w:val="5"/>
                <w:sz w:val="21"/>
                <w:szCs w:val="21"/>
                <w:highlight w:val="none"/>
              </w:rPr>
              <w:t xml:space="preserve"> 仪表端庄、大方，衣着整洁，挂牌持证上</w:t>
            </w:r>
            <w:r>
              <w:rPr>
                <w:rFonts w:hint="eastAsia" w:ascii="宋体" w:hAnsi="宋体" w:eastAsia="宋体" w:cs="宋体"/>
                <w:b w:val="0"/>
                <w:bCs w:val="0"/>
                <w:color w:val="auto"/>
                <w:spacing w:val="-2"/>
                <w:sz w:val="21"/>
                <w:szCs w:val="21"/>
                <w:highlight w:val="none"/>
              </w:rPr>
              <w:t>岗。</w:t>
            </w:r>
          </w:p>
        </w:tc>
        <w:tc>
          <w:tcPr>
            <w:tcW w:w="567" w:type="dxa"/>
            <w:vAlign w:val="top"/>
          </w:tcPr>
          <w:p w14:paraId="3AE88DB0">
            <w:pPr>
              <w:spacing w:line="344" w:lineRule="auto"/>
              <w:rPr>
                <w:rFonts w:hint="eastAsia" w:ascii="宋体" w:hAnsi="宋体" w:eastAsia="宋体" w:cs="宋体"/>
                <w:b w:val="0"/>
                <w:bCs w:val="0"/>
                <w:color w:val="auto"/>
                <w:sz w:val="21"/>
                <w:szCs w:val="21"/>
                <w:highlight w:val="none"/>
              </w:rPr>
            </w:pPr>
          </w:p>
          <w:p w14:paraId="3799AF82">
            <w:pPr>
              <w:pStyle w:val="37"/>
              <w:spacing w:before="65" w:line="189" w:lineRule="auto"/>
              <w:ind w:left="238"/>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w:t>
            </w:r>
          </w:p>
        </w:tc>
        <w:tc>
          <w:tcPr>
            <w:tcW w:w="3445" w:type="dxa"/>
            <w:vAlign w:val="top"/>
          </w:tcPr>
          <w:p w14:paraId="4DD48216">
            <w:pPr>
              <w:pStyle w:val="37"/>
              <w:spacing w:before="223" w:line="273" w:lineRule="auto"/>
              <w:ind w:left="23" w:right="367" w:hanging="3"/>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4"/>
                <w:sz w:val="21"/>
                <w:szCs w:val="21"/>
                <w:highlight w:val="none"/>
              </w:rPr>
              <w:t>服装不统一、佩戴不统一人一次扣</w:t>
            </w:r>
            <w:r>
              <w:rPr>
                <w:rFonts w:hint="eastAsia" w:ascii="宋体" w:hAnsi="宋体" w:eastAsia="宋体" w:cs="宋体"/>
                <w:b w:val="0"/>
                <w:bCs w:val="0"/>
                <w:color w:val="auto"/>
                <w:spacing w:val="-22"/>
                <w:sz w:val="21"/>
                <w:szCs w:val="21"/>
                <w:highlight w:val="none"/>
              </w:rPr>
              <w:t xml:space="preserve"> </w:t>
            </w:r>
            <w:r>
              <w:rPr>
                <w:rFonts w:hint="eastAsia" w:ascii="宋体" w:hAnsi="宋体" w:eastAsia="宋体" w:cs="宋体"/>
                <w:b w:val="0"/>
                <w:bCs w:val="0"/>
                <w:color w:val="auto"/>
                <w:spacing w:val="4"/>
                <w:sz w:val="21"/>
                <w:szCs w:val="21"/>
                <w:highlight w:val="none"/>
              </w:rPr>
              <w:t>1</w:t>
            </w:r>
            <w:r>
              <w:rPr>
                <w:rFonts w:hint="eastAsia" w:ascii="宋体" w:hAnsi="宋体" w:eastAsia="宋体" w:cs="宋体"/>
                <w:b w:val="0"/>
                <w:bCs w:val="0"/>
                <w:color w:val="auto"/>
                <w:spacing w:val="-35"/>
                <w:sz w:val="21"/>
                <w:szCs w:val="21"/>
                <w:highlight w:val="none"/>
              </w:rPr>
              <w:t xml:space="preserve"> </w:t>
            </w:r>
            <w:r>
              <w:rPr>
                <w:rFonts w:hint="eastAsia" w:ascii="宋体" w:hAnsi="宋体" w:eastAsia="宋体" w:cs="宋体"/>
                <w:b w:val="0"/>
                <w:bCs w:val="0"/>
                <w:color w:val="auto"/>
                <w:spacing w:val="4"/>
                <w:sz w:val="21"/>
                <w:szCs w:val="21"/>
                <w:highlight w:val="none"/>
              </w:rPr>
              <w:t>分；</w:t>
            </w: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pacing w:val="5"/>
                <w:sz w:val="21"/>
                <w:szCs w:val="21"/>
                <w:highlight w:val="none"/>
              </w:rPr>
              <w:t>没挂牌持证上岗一人一次扣</w:t>
            </w:r>
            <w:r>
              <w:rPr>
                <w:rFonts w:hint="eastAsia" w:ascii="宋体" w:hAnsi="宋体" w:eastAsia="宋体" w:cs="宋体"/>
                <w:b w:val="0"/>
                <w:bCs w:val="0"/>
                <w:color w:val="auto"/>
                <w:spacing w:val="-12"/>
                <w:sz w:val="21"/>
                <w:szCs w:val="21"/>
                <w:highlight w:val="none"/>
              </w:rPr>
              <w:t xml:space="preserve"> </w:t>
            </w:r>
            <w:r>
              <w:rPr>
                <w:rFonts w:hint="eastAsia" w:ascii="宋体" w:hAnsi="宋体" w:eastAsia="宋体" w:cs="宋体"/>
                <w:b w:val="0"/>
                <w:bCs w:val="0"/>
                <w:color w:val="auto"/>
                <w:spacing w:val="5"/>
                <w:sz w:val="21"/>
                <w:szCs w:val="21"/>
                <w:highlight w:val="none"/>
              </w:rPr>
              <w:t>1</w:t>
            </w:r>
            <w:r>
              <w:rPr>
                <w:rFonts w:hint="eastAsia" w:ascii="宋体" w:hAnsi="宋体" w:eastAsia="宋体" w:cs="宋体"/>
                <w:b w:val="0"/>
                <w:bCs w:val="0"/>
                <w:color w:val="auto"/>
                <w:spacing w:val="-36"/>
                <w:sz w:val="21"/>
                <w:szCs w:val="21"/>
                <w:highlight w:val="none"/>
              </w:rPr>
              <w:t xml:space="preserve"> </w:t>
            </w:r>
            <w:r>
              <w:rPr>
                <w:rFonts w:hint="eastAsia" w:ascii="宋体" w:hAnsi="宋体" w:eastAsia="宋体" w:cs="宋体"/>
                <w:b w:val="0"/>
                <w:bCs w:val="0"/>
                <w:color w:val="auto"/>
                <w:spacing w:val="5"/>
                <w:sz w:val="21"/>
                <w:szCs w:val="21"/>
                <w:highlight w:val="none"/>
              </w:rPr>
              <w:t>分。</w:t>
            </w:r>
          </w:p>
        </w:tc>
        <w:tc>
          <w:tcPr>
            <w:tcW w:w="615" w:type="dxa"/>
            <w:vAlign w:val="top"/>
          </w:tcPr>
          <w:p w14:paraId="0A11B153">
            <w:pPr>
              <w:rPr>
                <w:rFonts w:hint="eastAsia" w:ascii="宋体" w:hAnsi="宋体" w:eastAsia="宋体" w:cs="宋体"/>
                <w:b w:val="0"/>
                <w:bCs w:val="0"/>
                <w:color w:val="auto"/>
                <w:sz w:val="21"/>
                <w:szCs w:val="21"/>
                <w:highlight w:val="none"/>
              </w:rPr>
            </w:pPr>
          </w:p>
        </w:tc>
      </w:tr>
      <w:tr w14:paraId="7AF54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645" w:type="dxa"/>
            <w:vAlign w:val="top"/>
          </w:tcPr>
          <w:p w14:paraId="3F896758">
            <w:pPr>
              <w:spacing w:line="248" w:lineRule="auto"/>
              <w:rPr>
                <w:rFonts w:hint="eastAsia" w:ascii="宋体" w:hAnsi="宋体" w:eastAsia="宋体" w:cs="宋体"/>
                <w:b w:val="0"/>
                <w:bCs w:val="0"/>
                <w:color w:val="auto"/>
                <w:sz w:val="21"/>
                <w:szCs w:val="21"/>
                <w:highlight w:val="none"/>
              </w:rPr>
            </w:pPr>
          </w:p>
          <w:p w14:paraId="756ED5A5">
            <w:pPr>
              <w:pStyle w:val="37"/>
              <w:spacing w:before="65" w:line="189" w:lineRule="auto"/>
              <w:ind w:left="277"/>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2</w:t>
            </w:r>
          </w:p>
        </w:tc>
        <w:tc>
          <w:tcPr>
            <w:tcW w:w="3776" w:type="dxa"/>
            <w:vAlign w:val="top"/>
          </w:tcPr>
          <w:p w14:paraId="78A1C019">
            <w:pPr>
              <w:pStyle w:val="37"/>
              <w:spacing w:before="126" w:line="273" w:lineRule="auto"/>
              <w:ind w:left="19" w:right="33" w:firstLine="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6"/>
                <w:sz w:val="21"/>
                <w:szCs w:val="21"/>
                <w:highlight w:val="none"/>
              </w:rPr>
              <w:t xml:space="preserve">设立值班牌、值班电话。随时接受投诉， </w:t>
            </w:r>
            <w:r>
              <w:rPr>
                <w:rFonts w:hint="eastAsia" w:ascii="宋体" w:hAnsi="宋体" w:eastAsia="宋体" w:cs="宋体"/>
                <w:b w:val="0"/>
                <w:bCs w:val="0"/>
                <w:color w:val="auto"/>
                <w:spacing w:val="8"/>
                <w:sz w:val="21"/>
                <w:szCs w:val="21"/>
                <w:highlight w:val="none"/>
              </w:rPr>
              <w:t>监督服务工作，提高服务质量。</w:t>
            </w:r>
          </w:p>
        </w:tc>
        <w:tc>
          <w:tcPr>
            <w:tcW w:w="567" w:type="dxa"/>
            <w:vAlign w:val="top"/>
          </w:tcPr>
          <w:p w14:paraId="16A644B6">
            <w:pPr>
              <w:spacing w:line="250" w:lineRule="auto"/>
              <w:rPr>
                <w:rFonts w:hint="eastAsia" w:ascii="宋体" w:hAnsi="宋体" w:eastAsia="宋体" w:cs="宋体"/>
                <w:b w:val="0"/>
                <w:bCs w:val="0"/>
                <w:color w:val="auto"/>
                <w:sz w:val="21"/>
                <w:szCs w:val="21"/>
                <w:highlight w:val="none"/>
              </w:rPr>
            </w:pPr>
          </w:p>
          <w:p w14:paraId="19585175">
            <w:pPr>
              <w:pStyle w:val="37"/>
              <w:spacing w:before="65" w:line="187" w:lineRule="auto"/>
              <w:ind w:left="24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w:t>
            </w:r>
          </w:p>
        </w:tc>
        <w:tc>
          <w:tcPr>
            <w:tcW w:w="3445" w:type="dxa"/>
            <w:vAlign w:val="top"/>
          </w:tcPr>
          <w:p w14:paraId="48765B5D">
            <w:pPr>
              <w:pStyle w:val="37"/>
              <w:spacing w:before="281" w:line="228" w:lineRule="auto"/>
              <w:ind w:left="23"/>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6"/>
                <w:sz w:val="21"/>
                <w:szCs w:val="21"/>
                <w:highlight w:val="none"/>
              </w:rPr>
              <w:t>未设值班牌、值班电话一</w:t>
            </w:r>
            <w:r>
              <w:rPr>
                <w:rFonts w:hint="eastAsia" w:ascii="宋体" w:hAnsi="宋体" w:eastAsia="宋体" w:cs="宋体"/>
                <w:b w:val="0"/>
                <w:bCs w:val="0"/>
                <w:color w:val="auto"/>
                <w:spacing w:val="6"/>
                <w:sz w:val="21"/>
                <w:szCs w:val="21"/>
                <w:highlight w:val="none"/>
                <w:lang w:eastAsia="zh-CN"/>
              </w:rPr>
              <w:t>次</w:t>
            </w:r>
            <w:r>
              <w:rPr>
                <w:rFonts w:hint="eastAsia" w:ascii="宋体" w:hAnsi="宋体" w:eastAsia="宋体" w:cs="宋体"/>
                <w:b w:val="0"/>
                <w:bCs w:val="0"/>
                <w:color w:val="auto"/>
                <w:spacing w:val="6"/>
                <w:sz w:val="21"/>
                <w:szCs w:val="21"/>
                <w:highlight w:val="none"/>
              </w:rPr>
              <w:t>扣</w:t>
            </w:r>
            <w:r>
              <w:rPr>
                <w:rFonts w:hint="eastAsia" w:ascii="宋体" w:hAnsi="宋体" w:eastAsia="宋体" w:cs="宋体"/>
                <w:b w:val="0"/>
                <w:bCs w:val="0"/>
                <w:color w:val="auto"/>
                <w:spacing w:val="-25"/>
                <w:sz w:val="21"/>
                <w:szCs w:val="21"/>
                <w:highlight w:val="none"/>
              </w:rPr>
              <w:t xml:space="preserve"> </w:t>
            </w:r>
            <w:r>
              <w:rPr>
                <w:rFonts w:hint="eastAsia" w:ascii="宋体" w:hAnsi="宋体" w:eastAsia="宋体" w:cs="宋体"/>
                <w:b w:val="0"/>
                <w:bCs w:val="0"/>
                <w:color w:val="auto"/>
                <w:spacing w:val="6"/>
                <w:sz w:val="21"/>
                <w:szCs w:val="21"/>
                <w:highlight w:val="none"/>
              </w:rPr>
              <w:t>0.5</w:t>
            </w:r>
            <w:r>
              <w:rPr>
                <w:rFonts w:hint="eastAsia" w:ascii="宋体" w:hAnsi="宋体" w:eastAsia="宋体" w:cs="宋体"/>
                <w:b w:val="0"/>
                <w:bCs w:val="0"/>
                <w:color w:val="auto"/>
                <w:spacing w:val="-36"/>
                <w:sz w:val="21"/>
                <w:szCs w:val="21"/>
                <w:highlight w:val="none"/>
              </w:rPr>
              <w:t xml:space="preserve"> </w:t>
            </w:r>
            <w:r>
              <w:rPr>
                <w:rFonts w:hint="eastAsia" w:ascii="宋体" w:hAnsi="宋体" w:eastAsia="宋体" w:cs="宋体"/>
                <w:b w:val="0"/>
                <w:bCs w:val="0"/>
                <w:color w:val="auto"/>
                <w:spacing w:val="6"/>
                <w:sz w:val="21"/>
                <w:szCs w:val="21"/>
                <w:highlight w:val="none"/>
              </w:rPr>
              <w:t>分。</w:t>
            </w:r>
          </w:p>
        </w:tc>
        <w:tc>
          <w:tcPr>
            <w:tcW w:w="615" w:type="dxa"/>
            <w:vAlign w:val="top"/>
          </w:tcPr>
          <w:p w14:paraId="16B82DC1">
            <w:pPr>
              <w:rPr>
                <w:rFonts w:hint="eastAsia" w:ascii="宋体" w:hAnsi="宋体" w:eastAsia="宋体" w:cs="宋体"/>
                <w:b w:val="0"/>
                <w:bCs w:val="0"/>
                <w:color w:val="auto"/>
                <w:sz w:val="21"/>
                <w:szCs w:val="21"/>
                <w:highlight w:val="none"/>
              </w:rPr>
            </w:pPr>
          </w:p>
        </w:tc>
      </w:tr>
      <w:tr w14:paraId="42F7A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9" w:hRule="atLeast"/>
        </w:trPr>
        <w:tc>
          <w:tcPr>
            <w:tcW w:w="645" w:type="dxa"/>
            <w:vAlign w:val="top"/>
          </w:tcPr>
          <w:p w14:paraId="6D6FB1F1">
            <w:pPr>
              <w:spacing w:line="293" w:lineRule="auto"/>
              <w:rPr>
                <w:rFonts w:hint="eastAsia" w:ascii="宋体" w:hAnsi="宋体" w:eastAsia="宋体" w:cs="宋体"/>
                <w:b w:val="0"/>
                <w:bCs w:val="0"/>
                <w:color w:val="auto"/>
                <w:sz w:val="21"/>
                <w:szCs w:val="21"/>
                <w:highlight w:val="none"/>
              </w:rPr>
            </w:pPr>
          </w:p>
          <w:p w14:paraId="72E8152B">
            <w:pPr>
              <w:spacing w:line="294" w:lineRule="auto"/>
              <w:rPr>
                <w:rFonts w:hint="eastAsia" w:ascii="宋体" w:hAnsi="宋体" w:eastAsia="宋体" w:cs="宋体"/>
                <w:b w:val="0"/>
                <w:bCs w:val="0"/>
                <w:color w:val="auto"/>
                <w:sz w:val="21"/>
                <w:szCs w:val="21"/>
                <w:highlight w:val="none"/>
              </w:rPr>
            </w:pPr>
          </w:p>
          <w:p w14:paraId="63CD67DE">
            <w:pPr>
              <w:spacing w:line="294" w:lineRule="auto"/>
              <w:rPr>
                <w:rFonts w:hint="eastAsia" w:ascii="宋体" w:hAnsi="宋体" w:eastAsia="宋体" w:cs="宋体"/>
                <w:b w:val="0"/>
                <w:bCs w:val="0"/>
                <w:color w:val="auto"/>
                <w:sz w:val="21"/>
                <w:szCs w:val="21"/>
                <w:highlight w:val="none"/>
              </w:rPr>
            </w:pPr>
          </w:p>
          <w:p w14:paraId="0F656A14">
            <w:pPr>
              <w:pStyle w:val="37"/>
              <w:spacing w:before="65" w:line="189" w:lineRule="auto"/>
              <w:ind w:left="27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3</w:t>
            </w:r>
          </w:p>
        </w:tc>
        <w:tc>
          <w:tcPr>
            <w:tcW w:w="3776" w:type="dxa"/>
            <w:vAlign w:val="top"/>
          </w:tcPr>
          <w:p w14:paraId="4AB029AA">
            <w:pPr>
              <w:pStyle w:val="37"/>
              <w:spacing w:before="139" w:line="283" w:lineRule="auto"/>
              <w:ind w:left="18" w:right="13" w:firstLine="8"/>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8"/>
                <w:sz w:val="21"/>
                <w:szCs w:val="21"/>
                <w:highlight w:val="none"/>
              </w:rPr>
              <w:t>员工工作纪律严明</w:t>
            </w:r>
            <w:r>
              <w:rPr>
                <w:rFonts w:hint="eastAsia" w:ascii="宋体" w:hAnsi="宋体" w:eastAsia="宋体" w:cs="宋体"/>
                <w:b w:val="0"/>
                <w:bCs w:val="0"/>
                <w:color w:val="auto"/>
                <w:spacing w:val="8"/>
                <w:sz w:val="21"/>
                <w:szCs w:val="21"/>
                <w:highlight w:val="none"/>
                <w:lang w:eastAsia="zh-CN"/>
              </w:rPr>
              <w:t>，</w:t>
            </w:r>
            <w:r>
              <w:rPr>
                <w:rFonts w:hint="eastAsia" w:ascii="宋体" w:hAnsi="宋体" w:eastAsia="宋体" w:cs="宋体"/>
                <w:b w:val="0"/>
                <w:bCs w:val="0"/>
                <w:color w:val="auto"/>
                <w:spacing w:val="8"/>
                <w:sz w:val="21"/>
                <w:szCs w:val="21"/>
                <w:highlight w:val="none"/>
              </w:rPr>
              <w:t>不缺勤、不脱岗。对</w:t>
            </w:r>
            <w:r>
              <w:rPr>
                <w:rFonts w:hint="eastAsia" w:ascii="宋体" w:hAnsi="宋体" w:eastAsia="宋体" w:cs="宋体"/>
                <w:b w:val="0"/>
                <w:bCs w:val="0"/>
                <w:color w:val="auto"/>
                <w:spacing w:val="7"/>
                <w:sz w:val="21"/>
                <w:szCs w:val="21"/>
                <w:highlight w:val="none"/>
              </w:rPr>
              <w:t>业主（</w:t>
            </w:r>
            <w:r>
              <w:rPr>
                <w:rFonts w:hint="eastAsia" w:ascii="宋体" w:hAnsi="宋体" w:eastAsia="宋体" w:cs="宋体"/>
                <w:b w:val="0"/>
                <w:bCs w:val="0"/>
                <w:color w:val="auto"/>
                <w:spacing w:val="7"/>
                <w:sz w:val="21"/>
                <w:szCs w:val="21"/>
                <w:highlight w:val="none"/>
                <w:lang w:eastAsia="zh-CN"/>
              </w:rPr>
              <w:t>采购</w:t>
            </w:r>
            <w:r>
              <w:rPr>
                <w:rFonts w:hint="eastAsia" w:ascii="宋体" w:hAnsi="宋体" w:eastAsia="宋体" w:cs="宋体"/>
                <w:b w:val="0"/>
                <w:bCs w:val="0"/>
                <w:color w:val="auto"/>
                <w:spacing w:val="7"/>
                <w:sz w:val="21"/>
                <w:szCs w:val="21"/>
                <w:highlight w:val="none"/>
              </w:rPr>
              <w:t>人）一视同仁；接待时主动、热情、规范；迎送接待业主(</w:t>
            </w:r>
            <w:r>
              <w:rPr>
                <w:rFonts w:hint="eastAsia" w:ascii="宋体" w:hAnsi="宋体" w:eastAsia="宋体" w:cs="宋体"/>
                <w:b w:val="0"/>
                <w:bCs w:val="0"/>
                <w:color w:val="auto"/>
                <w:spacing w:val="7"/>
                <w:sz w:val="21"/>
                <w:szCs w:val="21"/>
                <w:highlight w:val="none"/>
                <w:lang w:eastAsia="zh-CN"/>
              </w:rPr>
              <w:t>采购</w:t>
            </w:r>
            <w:r>
              <w:rPr>
                <w:rFonts w:hint="eastAsia" w:ascii="宋体" w:hAnsi="宋体" w:eastAsia="宋体" w:cs="宋体"/>
                <w:b w:val="0"/>
                <w:bCs w:val="0"/>
                <w:color w:val="auto"/>
                <w:spacing w:val="7"/>
                <w:sz w:val="21"/>
                <w:szCs w:val="21"/>
                <w:highlight w:val="none"/>
              </w:rPr>
              <w:t>人)时，</w:t>
            </w:r>
            <w:r>
              <w:rPr>
                <w:rFonts w:hint="eastAsia" w:ascii="宋体" w:hAnsi="宋体" w:eastAsia="宋体" w:cs="宋体"/>
                <w:b w:val="0"/>
                <w:bCs w:val="0"/>
                <w:color w:val="auto"/>
                <w:spacing w:val="5"/>
                <w:sz w:val="21"/>
                <w:szCs w:val="21"/>
                <w:highlight w:val="none"/>
              </w:rPr>
              <w:t xml:space="preserve"> </w:t>
            </w:r>
            <w:r>
              <w:rPr>
                <w:rFonts w:hint="eastAsia" w:ascii="宋体" w:hAnsi="宋体" w:eastAsia="宋体" w:cs="宋体"/>
                <w:b w:val="0"/>
                <w:bCs w:val="0"/>
                <w:color w:val="auto"/>
                <w:spacing w:val="7"/>
                <w:sz w:val="21"/>
                <w:szCs w:val="21"/>
                <w:highlight w:val="none"/>
              </w:rPr>
              <w:t>用语准确，称呼恰当，问候亲切，语气诚恳，耐心细致；使用文明用语，不应使用</w:t>
            </w:r>
            <w:r>
              <w:rPr>
                <w:rFonts w:hint="eastAsia" w:ascii="宋体" w:hAnsi="宋体" w:eastAsia="宋体" w:cs="宋体"/>
                <w:b w:val="0"/>
                <w:bCs w:val="0"/>
                <w:color w:val="auto"/>
                <w:spacing w:val="6"/>
                <w:sz w:val="21"/>
                <w:szCs w:val="21"/>
                <w:highlight w:val="none"/>
              </w:rPr>
              <w:t>服务忌语。</w:t>
            </w:r>
          </w:p>
        </w:tc>
        <w:tc>
          <w:tcPr>
            <w:tcW w:w="567" w:type="dxa"/>
            <w:vAlign w:val="top"/>
          </w:tcPr>
          <w:p w14:paraId="5CA6EFC7">
            <w:pPr>
              <w:spacing w:line="293" w:lineRule="auto"/>
              <w:rPr>
                <w:rFonts w:hint="eastAsia" w:ascii="宋体" w:hAnsi="宋体" w:eastAsia="宋体" w:cs="宋体"/>
                <w:b w:val="0"/>
                <w:bCs w:val="0"/>
                <w:color w:val="auto"/>
                <w:sz w:val="21"/>
                <w:szCs w:val="21"/>
                <w:highlight w:val="none"/>
              </w:rPr>
            </w:pPr>
          </w:p>
          <w:p w14:paraId="0AD3F79A">
            <w:pPr>
              <w:spacing w:line="294" w:lineRule="auto"/>
              <w:rPr>
                <w:rFonts w:hint="eastAsia" w:ascii="宋体" w:hAnsi="宋体" w:eastAsia="宋体" w:cs="宋体"/>
                <w:b w:val="0"/>
                <w:bCs w:val="0"/>
                <w:color w:val="auto"/>
                <w:sz w:val="21"/>
                <w:szCs w:val="21"/>
                <w:highlight w:val="none"/>
              </w:rPr>
            </w:pPr>
          </w:p>
          <w:p w14:paraId="4EA66C31">
            <w:pPr>
              <w:spacing w:line="294" w:lineRule="auto"/>
              <w:rPr>
                <w:rFonts w:hint="eastAsia" w:ascii="宋体" w:hAnsi="宋体" w:eastAsia="宋体" w:cs="宋体"/>
                <w:b w:val="0"/>
                <w:bCs w:val="0"/>
                <w:color w:val="auto"/>
                <w:sz w:val="21"/>
                <w:szCs w:val="21"/>
                <w:highlight w:val="none"/>
              </w:rPr>
            </w:pPr>
          </w:p>
          <w:p w14:paraId="6BCBABC6">
            <w:pPr>
              <w:pStyle w:val="37"/>
              <w:spacing w:before="65" w:line="189" w:lineRule="auto"/>
              <w:ind w:left="237"/>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w:t>
            </w:r>
          </w:p>
        </w:tc>
        <w:tc>
          <w:tcPr>
            <w:tcW w:w="3445" w:type="dxa"/>
            <w:vAlign w:val="top"/>
          </w:tcPr>
          <w:p w14:paraId="01C0F313">
            <w:pPr>
              <w:spacing w:line="282" w:lineRule="auto"/>
              <w:rPr>
                <w:rFonts w:hint="eastAsia" w:ascii="宋体" w:hAnsi="宋体" w:eastAsia="宋体" w:cs="宋体"/>
                <w:b w:val="0"/>
                <w:bCs w:val="0"/>
                <w:color w:val="auto"/>
                <w:sz w:val="21"/>
                <w:szCs w:val="21"/>
                <w:highlight w:val="none"/>
              </w:rPr>
            </w:pPr>
          </w:p>
          <w:p w14:paraId="25DD411D">
            <w:pPr>
              <w:spacing w:line="283" w:lineRule="auto"/>
              <w:rPr>
                <w:rFonts w:hint="eastAsia" w:ascii="宋体" w:hAnsi="宋体" w:eastAsia="宋体" w:cs="宋体"/>
                <w:b w:val="0"/>
                <w:bCs w:val="0"/>
                <w:color w:val="auto"/>
                <w:sz w:val="21"/>
                <w:szCs w:val="21"/>
                <w:highlight w:val="none"/>
              </w:rPr>
            </w:pPr>
          </w:p>
          <w:p w14:paraId="7148B8E6">
            <w:pPr>
              <w:spacing w:line="283" w:lineRule="auto"/>
              <w:rPr>
                <w:rFonts w:hint="eastAsia" w:ascii="宋体" w:hAnsi="宋体" w:eastAsia="宋体" w:cs="宋体"/>
                <w:b w:val="0"/>
                <w:bCs w:val="0"/>
                <w:color w:val="auto"/>
                <w:sz w:val="21"/>
                <w:szCs w:val="21"/>
                <w:highlight w:val="none"/>
              </w:rPr>
            </w:pPr>
          </w:p>
          <w:p w14:paraId="3DBE3C44">
            <w:pPr>
              <w:pStyle w:val="37"/>
              <w:spacing w:before="65" w:line="227" w:lineRule="auto"/>
              <w:ind w:left="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6"/>
                <w:sz w:val="21"/>
                <w:szCs w:val="21"/>
                <w:highlight w:val="none"/>
              </w:rPr>
              <w:t>缺勤、脱岗、业主投诉等一人一次扣</w:t>
            </w:r>
            <w:r>
              <w:rPr>
                <w:rFonts w:hint="eastAsia" w:ascii="宋体" w:hAnsi="宋体" w:eastAsia="宋体" w:cs="宋体"/>
                <w:b w:val="0"/>
                <w:bCs w:val="0"/>
                <w:color w:val="auto"/>
                <w:spacing w:val="-8"/>
                <w:sz w:val="21"/>
                <w:szCs w:val="21"/>
                <w:highlight w:val="none"/>
              </w:rPr>
              <w:t xml:space="preserve"> </w:t>
            </w:r>
            <w:r>
              <w:rPr>
                <w:rFonts w:hint="eastAsia" w:ascii="宋体" w:hAnsi="宋体" w:eastAsia="宋体" w:cs="宋体"/>
                <w:b w:val="0"/>
                <w:bCs w:val="0"/>
                <w:color w:val="auto"/>
                <w:spacing w:val="6"/>
                <w:sz w:val="21"/>
                <w:szCs w:val="21"/>
                <w:highlight w:val="none"/>
              </w:rPr>
              <w:t>1</w:t>
            </w:r>
            <w:r>
              <w:rPr>
                <w:rFonts w:hint="eastAsia" w:ascii="宋体" w:hAnsi="宋体" w:eastAsia="宋体" w:cs="宋体"/>
                <w:b w:val="0"/>
                <w:bCs w:val="0"/>
                <w:color w:val="auto"/>
                <w:spacing w:val="-35"/>
                <w:sz w:val="21"/>
                <w:szCs w:val="21"/>
                <w:highlight w:val="none"/>
              </w:rPr>
              <w:t xml:space="preserve"> </w:t>
            </w:r>
            <w:r>
              <w:rPr>
                <w:rFonts w:hint="eastAsia" w:ascii="宋体" w:hAnsi="宋体" w:eastAsia="宋体" w:cs="宋体"/>
                <w:b w:val="0"/>
                <w:bCs w:val="0"/>
                <w:color w:val="auto"/>
                <w:spacing w:val="6"/>
                <w:sz w:val="21"/>
                <w:szCs w:val="21"/>
                <w:highlight w:val="none"/>
              </w:rPr>
              <w:t>分。</w:t>
            </w:r>
          </w:p>
        </w:tc>
        <w:tc>
          <w:tcPr>
            <w:tcW w:w="615" w:type="dxa"/>
            <w:vAlign w:val="top"/>
          </w:tcPr>
          <w:p w14:paraId="7AEE4DC4">
            <w:pPr>
              <w:rPr>
                <w:rFonts w:hint="eastAsia" w:ascii="宋体" w:hAnsi="宋体" w:eastAsia="宋体" w:cs="宋体"/>
                <w:b w:val="0"/>
                <w:bCs w:val="0"/>
                <w:color w:val="auto"/>
                <w:sz w:val="21"/>
                <w:szCs w:val="21"/>
                <w:highlight w:val="none"/>
              </w:rPr>
            </w:pPr>
          </w:p>
        </w:tc>
      </w:tr>
      <w:tr w14:paraId="1566E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645" w:type="dxa"/>
            <w:vAlign w:val="top"/>
          </w:tcPr>
          <w:p w14:paraId="53738E1D">
            <w:pPr>
              <w:spacing w:line="328" w:lineRule="auto"/>
              <w:rPr>
                <w:rFonts w:hint="eastAsia" w:ascii="宋体" w:hAnsi="宋体" w:eastAsia="宋体" w:cs="宋体"/>
                <w:b w:val="0"/>
                <w:bCs w:val="0"/>
                <w:color w:val="auto"/>
                <w:sz w:val="21"/>
                <w:szCs w:val="21"/>
                <w:highlight w:val="none"/>
              </w:rPr>
            </w:pPr>
          </w:p>
          <w:p w14:paraId="40CBA28E">
            <w:pPr>
              <w:pStyle w:val="37"/>
              <w:spacing w:before="65" w:line="189" w:lineRule="auto"/>
              <w:ind w:left="27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4</w:t>
            </w:r>
          </w:p>
        </w:tc>
        <w:tc>
          <w:tcPr>
            <w:tcW w:w="3776" w:type="dxa"/>
            <w:vAlign w:val="top"/>
          </w:tcPr>
          <w:p w14:paraId="76C5D82A">
            <w:pPr>
              <w:pStyle w:val="37"/>
              <w:spacing w:before="207" w:line="273" w:lineRule="auto"/>
              <w:ind w:left="20" w:right="13" w:hanging="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7"/>
                <w:sz w:val="21"/>
                <w:szCs w:val="21"/>
                <w:highlight w:val="none"/>
              </w:rPr>
              <w:t>服务人员相对稳定，有人员更换情况及时上报办公室备案。</w:t>
            </w:r>
          </w:p>
        </w:tc>
        <w:tc>
          <w:tcPr>
            <w:tcW w:w="567" w:type="dxa"/>
            <w:vAlign w:val="top"/>
          </w:tcPr>
          <w:p w14:paraId="06953D25">
            <w:pPr>
              <w:spacing w:line="330" w:lineRule="auto"/>
              <w:rPr>
                <w:rFonts w:hint="eastAsia" w:ascii="宋体" w:hAnsi="宋体" w:eastAsia="宋体" w:cs="宋体"/>
                <w:b w:val="0"/>
                <w:bCs w:val="0"/>
                <w:color w:val="auto"/>
                <w:sz w:val="21"/>
                <w:szCs w:val="21"/>
                <w:highlight w:val="none"/>
              </w:rPr>
            </w:pPr>
          </w:p>
          <w:p w14:paraId="0DF05BD9">
            <w:pPr>
              <w:pStyle w:val="37"/>
              <w:spacing w:before="65" w:line="187" w:lineRule="auto"/>
              <w:ind w:left="24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w:t>
            </w:r>
          </w:p>
        </w:tc>
        <w:tc>
          <w:tcPr>
            <w:tcW w:w="3445" w:type="dxa"/>
            <w:vAlign w:val="top"/>
          </w:tcPr>
          <w:p w14:paraId="205057FF">
            <w:pPr>
              <w:spacing w:line="295" w:lineRule="auto"/>
              <w:rPr>
                <w:rFonts w:hint="eastAsia" w:ascii="宋体" w:hAnsi="宋体" w:eastAsia="宋体" w:cs="宋体"/>
                <w:b w:val="0"/>
                <w:bCs w:val="0"/>
                <w:color w:val="auto"/>
                <w:sz w:val="21"/>
                <w:szCs w:val="21"/>
                <w:highlight w:val="none"/>
              </w:rPr>
            </w:pPr>
          </w:p>
          <w:p w14:paraId="19F4AECD">
            <w:pPr>
              <w:pStyle w:val="37"/>
              <w:spacing w:before="65" w:line="228" w:lineRule="auto"/>
              <w:ind w:left="2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6"/>
                <w:sz w:val="21"/>
                <w:szCs w:val="21"/>
                <w:highlight w:val="none"/>
              </w:rPr>
              <w:t>人员更换没报办公室备案一次扣</w:t>
            </w:r>
            <w:r>
              <w:rPr>
                <w:rFonts w:hint="eastAsia" w:ascii="宋体" w:hAnsi="宋体" w:eastAsia="宋体" w:cs="宋体"/>
                <w:b w:val="0"/>
                <w:bCs w:val="0"/>
                <w:color w:val="auto"/>
                <w:spacing w:val="-17"/>
                <w:sz w:val="21"/>
                <w:szCs w:val="21"/>
                <w:highlight w:val="none"/>
              </w:rPr>
              <w:t xml:space="preserve"> </w:t>
            </w:r>
            <w:r>
              <w:rPr>
                <w:rFonts w:hint="eastAsia" w:ascii="宋体" w:hAnsi="宋体" w:eastAsia="宋体" w:cs="宋体"/>
                <w:b w:val="0"/>
                <w:bCs w:val="0"/>
                <w:color w:val="auto"/>
                <w:spacing w:val="6"/>
                <w:sz w:val="21"/>
                <w:szCs w:val="21"/>
                <w:highlight w:val="none"/>
              </w:rPr>
              <w:t>1</w:t>
            </w:r>
            <w:r>
              <w:rPr>
                <w:rFonts w:hint="eastAsia" w:ascii="宋体" w:hAnsi="宋体" w:eastAsia="宋体" w:cs="宋体"/>
                <w:b w:val="0"/>
                <w:bCs w:val="0"/>
                <w:color w:val="auto"/>
                <w:spacing w:val="-35"/>
                <w:sz w:val="21"/>
                <w:szCs w:val="21"/>
                <w:highlight w:val="none"/>
              </w:rPr>
              <w:t xml:space="preserve"> </w:t>
            </w:r>
            <w:r>
              <w:rPr>
                <w:rFonts w:hint="eastAsia" w:ascii="宋体" w:hAnsi="宋体" w:eastAsia="宋体" w:cs="宋体"/>
                <w:b w:val="0"/>
                <w:bCs w:val="0"/>
                <w:color w:val="auto"/>
                <w:spacing w:val="6"/>
                <w:sz w:val="21"/>
                <w:szCs w:val="21"/>
                <w:highlight w:val="none"/>
              </w:rPr>
              <w:t>分 。</w:t>
            </w:r>
          </w:p>
        </w:tc>
        <w:tc>
          <w:tcPr>
            <w:tcW w:w="615" w:type="dxa"/>
            <w:vAlign w:val="top"/>
          </w:tcPr>
          <w:p w14:paraId="2EE4F2FB">
            <w:pPr>
              <w:rPr>
                <w:rFonts w:hint="eastAsia" w:ascii="宋体" w:hAnsi="宋体" w:eastAsia="宋体" w:cs="宋体"/>
                <w:b w:val="0"/>
                <w:bCs w:val="0"/>
                <w:color w:val="auto"/>
                <w:sz w:val="21"/>
                <w:szCs w:val="21"/>
                <w:highlight w:val="none"/>
              </w:rPr>
            </w:pPr>
          </w:p>
        </w:tc>
      </w:tr>
      <w:tr w14:paraId="4AF6D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645" w:type="dxa"/>
            <w:vAlign w:val="top"/>
          </w:tcPr>
          <w:p w14:paraId="4C68677F">
            <w:pPr>
              <w:pStyle w:val="37"/>
              <w:spacing w:before="301" w:line="187" w:lineRule="auto"/>
              <w:ind w:left="27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5</w:t>
            </w:r>
          </w:p>
        </w:tc>
        <w:tc>
          <w:tcPr>
            <w:tcW w:w="3776" w:type="dxa"/>
            <w:vAlign w:val="top"/>
          </w:tcPr>
          <w:p w14:paraId="27B4CAAB">
            <w:pPr>
              <w:pStyle w:val="37"/>
              <w:spacing w:before="110" w:line="273" w:lineRule="auto"/>
              <w:ind w:left="20" w:right="13"/>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7"/>
                <w:sz w:val="21"/>
                <w:szCs w:val="21"/>
                <w:highlight w:val="none"/>
              </w:rPr>
              <w:t>工作人员的岗位职责明确，管理工作台账完备，有详细的记录。</w:t>
            </w:r>
          </w:p>
        </w:tc>
        <w:tc>
          <w:tcPr>
            <w:tcW w:w="567" w:type="dxa"/>
            <w:vAlign w:val="top"/>
          </w:tcPr>
          <w:p w14:paraId="3B329DE6">
            <w:pPr>
              <w:pStyle w:val="37"/>
              <w:spacing w:before="301" w:line="187" w:lineRule="auto"/>
              <w:ind w:left="24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w:t>
            </w:r>
          </w:p>
        </w:tc>
        <w:tc>
          <w:tcPr>
            <w:tcW w:w="3445" w:type="dxa"/>
            <w:vAlign w:val="top"/>
          </w:tcPr>
          <w:p w14:paraId="31B62F1A">
            <w:pPr>
              <w:pStyle w:val="37"/>
              <w:spacing w:before="265" w:line="228"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人员岗位不明确、台账不完备一项扣</w:t>
            </w:r>
            <w:r>
              <w:rPr>
                <w:rFonts w:hint="eastAsia" w:ascii="宋体" w:hAnsi="宋体" w:eastAsia="宋体" w:cs="宋体"/>
                <w:b w:val="0"/>
                <w:bCs w:val="0"/>
                <w:color w:val="auto"/>
                <w:spacing w:val="-23"/>
                <w:sz w:val="21"/>
                <w:szCs w:val="21"/>
                <w:highlight w:val="none"/>
              </w:rPr>
              <w:t xml:space="preserve"> </w:t>
            </w:r>
            <w:r>
              <w:rPr>
                <w:rFonts w:hint="eastAsia" w:ascii="宋体" w:hAnsi="宋体" w:eastAsia="宋体" w:cs="宋体"/>
                <w:b w:val="0"/>
                <w:bCs w:val="0"/>
                <w:color w:val="auto"/>
                <w:spacing w:val="2"/>
                <w:sz w:val="21"/>
                <w:szCs w:val="21"/>
                <w:highlight w:val="none"/>
              </w:rPr>
              <w:t>0.5</w:t>
            </w:r>
            <w:r>
              <w:rPr>
                <w:rFonts w:hint="eastAsia" w:ascii="宋体" w:hAnsi="宋体" w:eastAsia="宋体" w:cs="宋体"/>
                <w:b w:val="0"/>
                <w:bCs w:val="0"/>
                <w:color w:val="auto"/>
                <w:spacing w:val="-38"/>
                <w:sz w:val="21"/>
                <w:szCs w:val="21"/>
                <w:highlight w:val="none"/>
              </w:rPr>
              <w:t xml:space="preserve"> </w:t>
            </w:r>
            <w:r>
              <w:rPr>
                <w:rFonts w:hint="eastAsia" w:ascii="宋体" w:hAnsi="宋体" w:eastAsia="宋体" w:cs="宋体"/>
                <w:b w:val="0"/>
                <w:bCs w:val="0"/>
                <w:color w:val="auto"/>
                <w:spacing w:val="2"/>
                <w:sz w:val="21"/>
                <w:szCs w:val="21"/>
                <w:highlight w:val="none"/>
              </w:rPr>
              <w:t>分。</w:t>
            </w:r>
          </w:p>
        </w:tc>
        <w:tc>
          <w:tcPr>
            <w:tcW w:w="615" w:type="dxa"/>
            <w:vAlign w:val="top"/>
          </w:tcPr>
          <w:p w14:paraId="1E9DF06A">
            <w:pPr>
              <w:rPr>
                <w:rFonts w:hint="eastAsia" w:ascii="宋体" w:hAnsi="宋体" w:eastAsia="宋体" w:cs="宋体"/>
                <w:b w:val="0"/>
                <w:bCs w:val="0"/>
                <w:color w:val="auto"/>
                <w:sz w:val="21"/>
                <w:szCs w:val="21"/>
                <w:highlight w:val="none"/>
              </w:rPr>
            </w:pPr>
          </w:p>
        </w:tc>
      </w:tr>
      <w:tr w14:paraId="33BA5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45" w:type="dxa"/>
            <w:vAlign w:val="top"/>
          </w:tcPr>
          <w:p w14:paraId="6BAA4E5F">
            <w:pPr>
              <w:pStyle w:val="37"/>
              <w:spacing w:before="254" w:line="189" w:lineRule="auto"/>
              <w:ind w:left="277"/>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6</w:t>
            </w:r>
          </w:p>
        </w:tc>
        <w:tc>
          <w:tcPr>
            <w:tcW w:w="3776" w:type="dxa"/>
            <w:vAlign w:val="top"/>
          </w:tcPr>
          <w:p w14:paraId="4B8C6DF1">
            <w:pPr>
              <w:pStyle w:val="37"/>
              <w:spacing w:before="221" w:line="228" w:lineRule="auto"/>
              <w:ind w:left="25"/>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7"/>
                <w:sz w:val="21"/>
                <w:szCs w:val="21"/>
                <w:highlight w:val="none"/>
              </w:rPr>
              <w:t>公共环境卫生</w:t>
            </w:r>
          </w:p>
        </w:tc>
        <w:tc>
          <w:tcPr>
            <w:tcW w:w="567" w:type="dxa"/>
            <w:vAlign w:val="top"/>
          </w:tcPr>
          <w:p w14:paraId="22A1A64D">
            <w:pPr>
              <w:pStyle w:val="37"/>
              <w:spacing w:before="253" w:line="190" w:lineRule="auto"/>
              <w:ind w:left="19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7"/>
                <w:sz w:val="21"/>
                <w:szCs w:val="21"/>
                <w:highlight w:val="none"/>
              </w:rPr>
              <w:t>10</w:t>
            </w:r>
          </w:p>
        </w:tc>
        <w:tc>
          <w:tcPr>
            <w:tcW w:w="3445" w:type="dxa"/>
            <w:vAlign w:val="top"/>
          </w:tcPr>
          <w:p w14:paraId="4A396162">
            <w:pPr>
              <w:pStyle w:val="37"/>
              <w:spacing w:before="221" w:line="228" w:lineRule="auto"/>
              <w:ind w:left="23"/>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7"/>
                <w:sz w:val="21"/>
                <w:szCs w:val="21"/>
                <w:highlight w:val="none"/>
              </w:rPr>
              <w:t>未按相关规定要求完成一次一处扣</w:t>
            </w:r>
            <w:r>
              <w:rPr>
                <w:rFonts w:hint="eastAsia" w:ascii="宋体" w:hAnsi="宋体" w:eastAsia="宋体" w:cs="宋体"/>
                <w:b w:val="0"/>
                <w:bCs w:val="0"/>
                <w:color w:val="auto"/>
                <w:spacing w:val="-35"/>
                <w:sz w:val="21"/>
                <w:szCs w:val="21"/>
                <w:highlight w:val="none"/>
              </w:rPr>
              <w:t xml:space="preserve"> </w:t>
            </w:r>
            <w:r>
              <w:rPr>
                <w:rFonts w:hint="eastAsia" w:ascii="宋体" w:hAnsi="宋体" w:eastAsia="宋体" w:cs="宋体"/>
                <w:b w:val="0"/>
                <w:bCs w:val="0"/>
                <w:color w:val="auto"/>
                <w:spacing w:val="7"/>
                <w:sz w:val="21"/>
                <w:szCs w:val="21"/>
                <w:highlight w:val="none"/>
              </w:rPr>
              <w:t>2</w:t>
            </w:r>
            <w:r>
              <w:rPr>
                <w:rFonts w:hint="eastAsia" w:ascii="宋体" w:hAnsi="宋体" w:eastAsia="宋体" w:cs="宋体"/>
                <w:b w:val="0"/>
                <w:bCs w:val="0"/>
                <w:color w:val="auto"/>
                <w:spacing w:val="-35"/>
                <w:sz w:val="21"/>
                <w:szCs w:val="21"/>
                <w:highlight w:val="none"/>
              </w:rPr>
              <w:t xml:space="preserve"> </w:t>
            </w:r>
            <w:r>
              <w:rPr>
                <w:rFonts w:hint="eastAsia" w:ascii="宋体" w:hAnsi="宋体" w:eastAsia="宋体" w:cs="宋体"/>
                <w:b w:val="0"/>
                <w:bCs w:val="0"/>
                <w:color w:val="auto"/>
                <w:spacing w:val="7"/>
                <w:sz w:val="21"/>
                <w:szCs w:val="21"/>
                <w:highlight w:val="none"/>
              </w:rPr>
              <w:t>分。</w:t>
            </w:r>
          </w:p>
        </w:tc>
        <w:tc>
          <w:tcPr>
            <w:tcW w:w="615" w:type="dxa"/>
            <w:vAlign w:val="top"/>
          </w:tcPr>
          <w:p w14:paraId="36C2DEB0">
            <w:pPr>
              <w:rPr>
                <w:rFonts w:hint="eastAsia" w:ascii="宋体" w:hAnsi="宋体" w:eastAsia="宋体" w:cs="宋体"/>
                <w:b w:val="0"/>
                <w:bCs w:val="0"/>
                <w:color w:val="auto"/>
                <w:sz w:val="21"/>
                <w:szCs w:val="21"/>
                <w:highlight w:val="none"/>
              </w:rPr>
            </w:pPr>
          </w:p>
        </w:tc>
      </w:tr>
      <w:tr w14:paraId="5C2DA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645" w:type="dxa"/>
            <w:vAlign w:val="top"/>
          </w:tcPr>
          <w:p w14:paraId="09FAE097">
            <w:pPr>
              <w:pStyle w:val="37"/>
              <w:spacing w:before="176" w:line="187" w:lineRule="auto"/>
              <w:ind w:left="28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7</w:t>
            </w:r>
          </w:p>
        </w:tc>
        <w:tc>
          <w:tcPr>
            <w:tcW w:w="3776" w:type="dxa"/>
            <w:vAlign w:val="top"/>
          </w:tcPr>
          <w:p w14:paraId="7F111BAE">
            <w:pPr>
              <w:pStyle w:val="37"/>
              <w:spacing w:before="140" w:line="228" w:lineRule="auto"/>
              <w:ind w:left="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8"/>
                <w:sz w:val="21"/>
                <w:szCs w:val="21"/>
                <w:highlight w:val="none"/>
              </w:rPr>
              <w:t>车辆停放秩序的管理服务。</w:t>
            </w:r>
          </w:p>
        </w:tc>
        <w:tc>
          <w:tcPr>
            <w:tcW w:w="567" w:type="dxa"/>
            <w:vAlign w:val="top"/>
          </w:tcPr>
          <w:p w14:paraId="0E6D86A2">
            <w:pPr>
              <w:pStyle w:val="37"/>
              <w:spacing w:before="173" w:line="189" w:lineRule="auto"/>
              <w:ind w:left="237"/>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w:t>
            </w:r>
          </w:p>
        </w:tc>
        <w:tc>
          <w:tcPr>
            <w:tcW w:w="3445" w:type="dxa"/>
            <w:vAlign w:val="top"/>
          </w:tcPr>
          <w:p w14:paraId="0AF22735">
            <w:pPr>
              <w:pStyle w:val="37"/>
              <w:spacing w:before="140" w:line="228" w:lineRule="auto"/>
              <w:ind w:left="23"/>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6"/>
                <w:sz w:val="21"/>
                <w:szCs w:val="21"/>
                <w:highlight w:val="none"/>
              </w:rPr>
              <w:t>未按要求管理的一次扣</w:t>
            </w:r>
            <w:r>
              <w:rPr>
                <w:rFonts w:hint="eastAsia" w:ascii="宋体" w:hAnsi="宋体" w:eastAsia="宋体" w:cs="宋体"/>
                <w:b w:val="0"/>
                <w:bCs w:val="0"/>
                <w:color w:val="auto"/>
                <w:spacing w:val="-35"/>
                <w:sz w:val="21"/>
                <w:szCs w:val="21"/>
                <w:highlight w:val="none"/>
              </w:rPr>
              <w:t xml:space="preserve"> </w:t>
            </w:r>
            <w:r>
              <w:rPr>
                <w:rFonts w:hint="eastAsia" w:ascii="宋体" w:hAnsi="宋体" w:eastAsia="宋体" w:cs="宋体"/>
                <w:b w:val="0"/>
                <w:bCs w:val="0"/>
                <w:color w:val="auto"/>
                <w:spacing w:val="6"/>
                <w:sz w:val="21"/>
                <w:szCs w:val="21"/>
                <w:highlight w:val="none"/>
              </w:rPr>
              <w:t>2</w:t>
            </w:r>
            <w:r>
              <w:rPr>
                <w:rFonts w:hint="eastAsia" w:ascii="宋体" w:hAnsi="宋体" w:eastAsia="宋体" w:cs="宋体"/>
                <w:b w:val="0"/>
                <w:bCs w:val="0"/>
                <w:color w:val="auto"/>
                <w:spacing w:val="-36"/>
                <w:sz w:val="21"/>
                <w:szCs w:val="21"/>
                <w:highlight w:val="none"/>
              </w:rPr>
              <w:t xml:space="preserve"> </w:t>
            </w:r>
            <w:r>
              <w:rPr>
                <w:rFonts w:hint="eastAsia" w:ascii="宋体" w:hAnsi="宋体" w:eastAsia="宋体" w:cs="宋体"/>
                <w:b w:val="0"/>
                <w:bCs w:val="0"/>
                <w:color w:val="auto"/>
                <w:spacing w:val="6"/>
                <w:sz w:val="21"/>
                <w:szCs w:val="21"/>
                <w:highlight w:val="none"/>
              </w:rPr>
              <w:t>分。</w:t>
            </w:r>
          </w:p>
        </w:tc>
        <w:tc>
          <w:tcPr>
            <w:tcW w:w="615" w:type="dxa"/>
            <w:vAlign w:val="top"/>
          </w:tcPr>
          <w:p w14:paraId="782FF44C">
            <w:pPr>
              <w:rPr>
                <w:rFonts w:hint="eastAsia" w:ascii="宋体" w:hAnsi="宋体" w:eastAsia="宋体" w:cs="宋体"/>
                <w:b w:val="0"/>
                <w:bCs w:val="0"/>
                <w:color w:val="auto"/>
                <w:sz w:val="21"/>
                <w:szCs w:val="21"/>
                <w:highlight w:val="none"/>
              </w:rPr>
            </w:pPr>
          </w:p>
        </w:tc>
      </w:tr>
      <w:tr w14:paraId="02872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645" w:type="dxa"/>
            <w:vAlign w:val="top"/>
          </w:tcPr>
          <w:p w14:paraId="48D40BEA">
            <w:pPr>
              <w:spacing w:line="346" w:lineRule="auto"/>
              <w:rPr>
                <w:rFonts w:hint="eastAsia" w:ascii="宋体" w:hAnsi="宋体" w:eastAsia="宋体" w:cs="宋体"/>
                <w:b w:val="0"/>
                <w:bCs w:val="0"/>
                <w:color w:val="auto"/>
                <w:sz w:val="21"/>
                <w:szCs w:val="21"/>
                <w:highlight w:val="none"/>
              </w:rPr>
            </w:pPr>
          </w:p>
          <w:p w14:paraId="18BF187B">
            <w:pPr>
              <w:pStyle w:val="37"/>
              <w:spacing w:before="65" w:line="189" w:lineRule="auto"/>
              <w:ind w:left="276"/>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8</w:t>
            </w:r>
          </w:p>
        </w:tc>
        <w:tc>
          <w:tcPr>
            <w:tcW w:w="3776" w:type="dxa"/>
            <w:vAlign w:val="top"/>
          </w:tcPr>
          <w:p w14:paraId="46B25262">
            <w:pPr>
              <w:pStyle w:val="37"/>
              <w:spacing w:before="69" w:line="274" w:lineRule="auto"/>
              <w:ind w:left="20" w:right="13" w:hanging="2"/>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7"/>
                <w:sz w:val="21"/>
                <w:szCs w:val="21"/>
                <w:highlight w:val="none"/>
              </w:rPr>
              <w:t>迎检、节日庆典的布置服务，包括办公庭院的美化亮化、横幅悬挂、彩灯彩旗安装</w:t>
            </w:r>
            <w:r>
              <w:rPr>
                <w:rFonts w:hint="eastAsia" w:ascii="宋体" w:hAnsi="宋体" w:eastAsia="宋体" w:cs="宋体"/>
                <w:b w:val="0"/>
                <w:bCs w:val="0"/>
                <w:color w:val="auto"/>
                <w:spacing w:val="-1"/>
                <w:sz w:val="21"/>
                <w:szCs w:val="21"/>
                <w:highlight w:val="none"/>
              </w:rPr>
              <w:t>等。</w:t>
            </w:r>
          </w:p>
        </w:tc>
        <w:tc>
          <w:tcPr>
            <w:tcW w:w="567" w:type="dxa"/>
            <w:vAlign w:val="top"/>
          </w:tcPr>
          <w:p w14:paraId="275BBE11">
            <w:pPr>
              <w:spacing w:line="346" w:lineRule="auto"/>
              <w:rPr>
                <w:rFonts w:hint="eastAsia" w:ascii="宋体" w:hAnsi="宋体" w:eastAsia="宋体" w:cs="宋体"/>
                <w:b w:val="0"/>
                <w:bCs w:val="0"/>
                <w:color w:val="auto"/>
                <w:sz w:val="21"/>
                <w:szCs w:val="21"/>
                <w:highlight w:val="none"/>
              </w:rPr>
            </w:pPr>
          </w:p>
          <w:p w14:paraId="19802881">
            <w:pPr>
              <w:pStyle w:val="37"/>
              <w:spacing w:before="65" w:line="189" w:lineRule="auto"/>
              <w:ind w:left="24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p>
        </w:tc>
        <w:tc>
          <w:tcPr>
            <w:tcW w:w="3445" w:type="dxa"/>
            <w:vAlign w:val="top"/>
          </w:tcPr>
          <w:p w14:paraId="75FC9E7F">
            <w:pPr>
              <w:spacing w:line="313" w:lineRule="auto"/>
              <w:rPr>
                <w:rFonts w:hint="eastAsia" w:ascii="宋体" w:hAnsi="宋体" w:eastAsia="宋体" w:cs="宋体"/>
                <w:b w:val="0"/>
                <w:bCs w:val="0"/>
                <w:color w:val="auto"/>
                <w:sz w:val="21"/>
                <w:szCs w:val="21"/>
                <w:highlight w:val="none"/>
              </w:rPr>
            </w:pPr>
          </w:p>
          <w:p w14:paraId="64364A87">
            <w:pPr>
              <w:pStyle w:val="37"/>
              <w:spacing w:before="65" w:line="228" w:lineRule="auto"/>
              <w:ind w:left="23"/>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6"/>
                <w:sz w:val="21"/>
                <w:szCs w:val="21"/>
                <w:highlight w:val="none"/>
              </w:rPr>
              <w:t>未按时按质完成每一项每一次扣</w:t>
            </w:r>
            <w:r>
              <w:rPr>
                <w:rFonts w:hint="eastAsia" w:ascii="宋体" w:hAnsi="宋体" w:eastAsia="宋体" w:cs="宋体"/>
                <w:b w:val="0"/>
                <w:bCs w:val="0"/>
                <w:color w:val="auto"/>
                <w:spacing w:val="-20"/>
                <w:sz w:val="21"/>
                <w:szCs w:val="21"/>
                <w:highlight w:val="none"/>
              </w:rPr>
              <w:t xml:space="preserve"> </w:t>
            </w:r>
            <w:r>
              <w:rPr>
                <w:rFonts w:hint="eastAsia" w:ascii="宋体" w:hAnsi="宋体" w:eastAsia="宋体" w:cs="宋体"/>
                <w:b w:val="0"/>
                <w:bCs w:val="0"/>
                <w:color w:val="auto"/>
                <w:spacing w:val="6"/>
                <w:sz w:val="21"/>
                <w:szCs w:val="21"/>
                <w:highlight w:val="none"/>
              </w:rPr>
              <w:t>0.5</w:t>
            </w:r>
            <w:r>
              <w:rPr>
                <w:rFonts w:hint="eastAsia" w:ascii="宋体" w:hAnsi="宋体" w:eastAsia="宋体" w:cs="宋体"/>
                <w:b w:val="0"/>
                <w:bCs w:val="0"/>
                <w:color w:val="auto"/>
                <w:spacing w:val="-38"/>
                <w:sz w:val="21"/>
                <w:szCs w:val="21"/>
                <w:highlight w:val="none"/>
              </w:rPr>
              <w:t xml:space="preserve"> </w:t>
            </w:r>
            <w:r>
              <w:rPr>
                <w:rFonts w:hint="eastAsia" w:ascii="宋体" w:hAnsi="宋体" w:eastAsia="宋体" w:cs="宋体"/>
                <w:b w:val="0"/>
                <w:bCs w:val="0"/>
                <w:color w:val="auto"/>
                <w:spacing w:val="6"/>
                <w:sz w:val="21"/>
                <w:szCs w:val="21"/>
                <w:highlight w:val="none"/>
              </w:rPr>
              <w:t>分。</w:t>
            </w:r>
          </w:p>
        </w:tc>
        <w:tc>
          <w:tcPr>
            <w:tcW w:w="615" w:type="dxa"/>
            <w:vAlign w:val="top"/>
          </w:tcPr>
          <w:p w14:paraId="123F2044">
            <w:pPr>
              <w:rPr>
                <w:rFonts w:hint="eastAsia" w:ascii="宋体" w:hAnsi="宋体" w:eastAsia="宋体" w:cs="宋体"/>
                <w:b w:val="0"/>
                <w:bCs w:val="0"/>
                <w:color w:val="auto"/>
                <w:sz w:val="21"/>
                <w:szCs w:val="21"/>
                <w:highlight w:val="none"/>
              </w:rPr>
            </w:pPr>
          </w:p>
        </w:tc>
      </w:tr>
      <w:tr w14:paraId="40D63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645" w:type="dxa"/>
            <w:vAlign w:val="top"/>
          </w:tcPr>
          <w:p w14:paraId="0BFDB7D6">
            <w:pPr>
              <w:spacing w:line="347" w:lineRule="auto"/>
              <w:rPr>
                <w:rFonts w:hint="eastAsia" w:ascii="宋体" w:hAnsi="宋体" w:eastAsia="宋体" w:cs="宋体"/>
                <w:b w:val="0"/>
                <w:bCs w:val="0"/>
                <w:color w:val="auto"/>
                <w:sz w:val="21"/>
                <w:szCs w:val="21"/>
                <w:highlight w:val="none"/>
              </w:rPr>
            </w:pPr>
          </w:p>
          <w:p w14:paraId="35D75F15">
            <w:pPr>
              <w:pStyle w:val="37"/>
              <w:spacing w:before="65" w:line="189" w:lineRule="auto"/>
              <w:ind w:left="276"/>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9</w:t>
            </w:r>
          </w:p>
        </w:tc>
        <w:tc>
          <w:tcPr>
            <w:tcW w:w="3776" w:type="dxa"/>
            <w:vAlign w:val="top"/>
          </w:tcPr>
          <w:p w14:paraId="5C3BB7B6">
            <w:pPr>
              <w:pStyle w:val="37"/>
              <w:spacing w:before="69" w:line="274" w:lineRule="auto"/>
              <w:ind w:left="22" w:right="13"/>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7"/>
                <w:sz w:val="21"/>
                <w:szCs w:val="21"/>
                <w:highlight w:val="none"/>
              </w:rPr>
              <w:t>维护公共秩序，包括门岗执勤、巡视、防盗、防火、灭火、防洪，在紧急情况下组织人员疏散</w:t>
            </w:r>
          </w:p>
        </w:tc>
        <w:tc>
          <w:tcPr>
            <w:tcW w:w="567" w:type="dxa"/>
            <w:vAlign w:val="top"/>
          </w:tcPr>
          <w:p w14:paraId="1060D58F">
            <w:pPr>
              <w:spacing w:line="350" w:lineRule="auto"/>
              <w:rPr>
                <w:rFonts w:hint="eastAsia" w:ascii="宋体" w:hAnsi="宋体" w:eastAsia="宋体" w:cs="宋体"/>
                <w:b w:val="0"/>
                <w:bCs w:val="0"/>
                <w:color w:val="auto"/>
                <w:sz w:val="21"/>
                <w:szCs w:val="21"/>
                <w:highlight w:val="none"/>
              </w:rPr>
            </w:pPr>
          </w:p>
          <w:p w14:paraId="2954965A">
            <w:pPr>
              <w:pStyle w:val="37"/>
              <w:spacing w:before="65" w:line="187" w:lineRule="auto"/>
              <w:ind w:left="24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w:t>
            </w:r>
          </w:p>
        </w:tc>
        <w:tc>
          <w:tcPr>
            <w:tcW w:w="3445" w:type="dxa"/>
            <w:vAlign w:val="top"/>
          </w:tcPr>
          <w:p w14:paraId="6797DE8A">
            <w:pPr>
              <w:pStyle w:val="37"/>
              <w:spacing w:before="225" w:line="274" w:lineRule="auto"/>
              <w:ind w:left="22" w:right="15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7"/>
                <w:sz w:val="21"/>
                <w:szCs w:val="21"/>
                <w:highlight w:val="none"/>
              </w:rPr>
              <w:t>未按规定做好巡察记录，发现一项一次扣</w:t>
            </w:r>
            <w:r>
              <w:rPr>
                <w:rFonts w:hint="eastAsia" w:ascii="宋体" w:hAnsi="宋体" w:eastAsia="宋体" w:cs="宋体"/>
                <w:b w:val="0"/>
                <w:bCs w:val="0"/>
                <w:color w:val="auto"/>
                <w:spacing w:val="-9"/>
                <w:sz w:val="21"/>
                <w:szCs w:val="21"/>
                <w:highlight w:val="none"/>
              </w:rPr>
              <w:t xml:space="preserve"> </w:t>
            </w:r>
            <w:r>
              <w:rPr>
                <w:rFonts w:hint="eastAsia" w:ascii="宋体" w:hAnsi="宋体" w:eastAsia="宋体" w:cs="宋体"/>
                <w:b w:val="0"/>
                <w:bCs w:val="0"/>
                <w:color w:val="auto"/>
                <w:spacing w:val="7"/>
                <w:sz w:val="21"/>
                <w:szCs w:val="21"/>
                <w:highlight w:val="none"/>
              </w:rPr>
              <w:t>1</w:t>
            </w: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pacing w:val="-1"/>
                <w:sz w:val="21"/>
                <w:szCs w:val="21"/>
                <w:highlight w:val="none"/>
              </w:rPr>
              <w:t>分。</w:t>
            </w:r>
          </w:p>
        </w:tc>
        <w:tc>
          <w:tcPr>
            <w:tcW w:w="615" w:type="dxa"/>
            <w:vAlign w:val="top"/>
          </w:tcPr>
          <w:p w14:paraId="2819E732">
            <w:pPr>
              <w:rPr>
                <w:rFonts w:hint="eastAsia" w:ascii="宋体" w:hAnsi="宋体" w:eastAsia="宋体" w:cs="宋体"/>
                <w:b w:val="0"/>
                <w:bCs w:val="0"/>
                <w:color w:val="auto"/>
                <w:sz w:val="21"/>
                <w:szCs w:val="21"/>
                <w:highlight w:val="none"/>
              </w:rPr>
            </w:pPr>
          </w:p>
        </w:tc>
      </w:tr>
      <w:tr w14:paraId="5F378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645" w:type="dxa"/>
            <w:vAlign w:val="top"/>
          </w:tcPr>
          <w:p w14:paraId="47CB0D82">
            <w:pPr>
              <w:pStyle w:val="37"/>
              <w:spacing w:before="166" w:line="190" w:lineRule="auto"/>
              <w:ind w:left="238"/>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9"/>
                <w:sz w:val="21"/>
                <w:szCs w:val="21"/>
                <w:highlight w:val="none"/>
              </w:rPr>
              <w:t>10</w:t>
            </w:r>
          </w:p>
        </w:tc>
        <w:tc>
          <w:tcPr>
            <w:tcW w:w="3776" w:type="dxa"/>
            <w:vAlign w:val="top"/>
          </w:tcPr>
          <w:p w14:paraId="70BD9E6A">
            <w:pPr>
              <w:pStyle w:val="37"/>
              <w:spacing w:before="134" w:line="228" w:lineRule="auto"/>
              <w:ind w:left="2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9"/>
                <w:sz w:val="21"/>
                <w:szCs w:val="21"/>
                <w:highlight w:val="none"/>
              </w:rPr>
              <w:t>治安或其他突发事件、事故的应急处理</w:t>
            </w:r>
          </w:p>
        </w:tc>
        <w:tc>
          <w:tcPr>
            <w:tcW w:w="567" w:type="dxa"/>
            <w:vAlign w:val="top"/>
          </w:tcPr>
          <w:p w14:paraId="09BAA7E4">
            <w:pPr>
              <w:pStyle w:val="37"/>
              <w:spacing w:before="169" w:line="187" w:lineRule="auto"/>
              <w:ind w:left="24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w:t>
            </w:r>
          </w:p>
        </w:tc>
        <w:tc>
          <w:tcPr>
            <w:tcW w:w="3445" w:type="dxa"/>
            <w:vAlign w:val="top"/>
          </w:tcPr>
          <w:p w14:paraId="117567CA">
            <w:pPr>
              <w:pStyle w:val="37"/>
              <w:spacing w:before="134" w:line="226" w:lineRule="auto"/>
              <w:ind w:left="23"/>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6"/>
                <w:sz w:val="21"/>
                <w:szCs w:val="21"/>
                <w:highlight w:val="none"/>
              </w:rPr>
              <w:t>未及时向相关部门报告，发现一次扣</w:t>
            </w:r>
            <w:r>
              <w:rPr>
                <w:rFonts w:hint="eastAsia" w:ascii="宋体" w:hAnsi="宋体" w:eastAsia="宋体" w:cs="宋体"/>
                <w:b w:val="0"/>
                <w:bCs w:val="0"/>
                <w:color w:val="auto"/>
                <w:spacing w:val="-11"/>
                <w:sz w:val="21"/>
                <w:szCs w:val="21"/>
                <w:highlight w:val="none"/>
              </w:rPr>
              <w:t xml:space="preserve"> </w:t>
            </w:r>
            <w:r>
              <w:rPr>
                <w:rFonts w:hint="eastAsia" w:ascii="宋体" w:hAnsi="宋体" w:eastAsia="宋体" w:cs="宋体"/>
                <w:b w:val="0"/>
                <w:bCs w:val="0"/>
                <w:color w:val="auto"/>
                <w:spacing w:val="6"/>
                <w:sz w:val="21"/>
                <w:szCs w:val="21"/>
                <w:highlight w:val="none"/>
              </w:rPr>
              <w:t>1</w:t>
            </w:r>
            <w:r>
              <w:rPr>
                <w:rFonts w:hint="eastAsia" w:ascii="宋体" w:hAnsi="宋体" w:eastAsia="宋体" w:cs="宋体"/>
                <w:b w:val="0"/>
                <w:bCs w:val="0"/>
                <w:color w:val="auto"/>
                <w:spacing w:val="-36"/>
                <w:sz w:val="21"/>
                <w:szCs w:val="21"/>
                <w:highlight w:val="none"/>
              </w:rPr>
              <w:t xml:space="preserve"> </w:t>
            </w:r>
            <w:r>
              <w:rPr>
                <w:rFonts w:hint="eastAsia" w:ascii="宋体" w:hAnsi="宋体" w:eastAsia="宋体" w:cs="宋体"/>
                <w:b w:val="0"/>
                <w:bCs w:val="0"/>
                <w:color w:val="auto"/>
                <w:spacing w:val="6"/>
                <w:sz w:val="21"/>
                <w:szCs w:val="21"/>
                <w:highlight w:val="none"/>
              </w:rPr>
              <w:t>分。</w:t>
            </w:r>
          </w:p>
        </w:tc>
        <w:tc>
          <w:tcPr>
            <w:tcW w:w="615" w:type="dxa"/>
            <w:vAlign w:val="top"/>
          </w:tcPr>
          <w:p w14:paraId="05303DAB">
            <w:pPr>
              <w:rPr>
                <w:rFonts w:hint="eastAsia" w:ascii="宋体" w:hAnsi="宋体" w:eastAsia="宋体" w:cs="宋体"/>
                <w:b w:val="0"/>
                <w:bCs w:val="0"/>
                <w:color w:val="auto"/>
                <w:sz w:val="21"/>
                <w:szCs w:val="21"/>
                <w:highlight w:val="none"/>
              </w:rPr>
            </w:pPr>
          </w:p>
        </w:tc>
      </w:tr>
      <w:tr w14:paraId="1E727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45" w:type="dxa"/>
            <w:vAlign w:val="top"/>
          </w:tcPr>
          <w:p w14:paraId="440F87ED">
            <w:pPr>
              <w:pStyle w:val="37"/>
              <w:spacing w:before="259" w:line="189" w:lineRule="auto"/>
              <w:ind w:left="238"/>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9"/>
                <w:sz w:val="21"/>
                <w:szCs w:val="21"/>
                <w:highlight w:val="none"/>
              </w:rPr>
              <w:t>11</w:t>
            </w:r>
          </w:p>
        </w:tc>
        <w:tc>
          <w:tcPr>
            <w:tcW w:w="3776" w:type="dxa"/>
            <w:vAlign w:val="top"/>
          </w:tcPr>
          <w:p w14:paraId="7D7ACEFF">
            <w:pPr>
              <w:pStyle w:val="37"/>
              <w:spacing w:before="226" w:line="228" w:lineRule="auto"/>
              <w:ind w:left="1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8"/>
                <w:sz w:val="21"/>
                <w:szCs w:val="21"/>
                <w:highlight w:val="none"/>
              </w:rPr>
              <w:t>库房资料房的安保服务。</w:t>
            </w:r>
          </w:p>
        </w:tc>
        <w:tc>
          <w:tcPr>
            <w:tcW w:w="567" w:type="dxa"/>
            <w:vAlign w:val="top"/>
          </w:tcPr>
          <w:p w14:paraId="7C185FEA">
            <w:pPr>
              <w:pStyle w:val="37"/>
              <w:spacing w:before="262" w:line="187" w:lineRule="auto"/>
              <w:ind w:left="24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w:t>
            </w:r>
          </w:p>
        </w:tc>
        <w:tc>
          <w:tcPr>
            <w:tcW w:w="3445" w:type="dxa"/>
            <w:vAlign w:val="top"/>
          </w:tcPr>
          <w:p w14:paraId="46CAF277">
            <w:pPr>
              <w:pStyle w:val="37"/>
              <w:spacing w:before="70" w:line="267" w:lineRule="auto"/>
              <w:ind w:left="21" w:right="103" w:firstLine="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9"/>
                <w:sz w:val="21"/>
                <w:szCs w:val="21"/>
                <w:highlight w:val="none"/>
              </w:rPr>
              <w:t>未对库房资料房进行巡察，无巡察记录，发</w:t>
            </w:r>
            <w:r>
              <w:rPr>
                <w:rFonts w:hint="eastAsia" w:ascii="宋体" w:hAnsi="宋体" w:eastAsia="宋体" w:cs="宋体"/>
                <w:b w:val="0"/>
                <w:bCs w:val="0"/>
                <w:color w:val="auto"/>
                <w:spacing w:val="5"/>
                <w:sz w:val="21"/>
                <w:szCs w:val="21"/>
                <w:highlight w:val="none"/>
              </w:rPr>
              <w:t xml:space="preserve"> </w:t>
            </w:r>
            <w:r>
              <w:rPr>
                <w:rFonts w:hint="eastAsia" w:ascii="宋体" w:hAnsi="宋体" w:eastAsia="宋体" w:cs="宋体"/>
                <w:b w:val="0"/>
                <w:bCs w:val="0"/>
                <w:color w:val="auto"/>
                <w:spacing w:val="3"/>
                <w:sz w:val="21"/>
                <w:szCs w:val="21"/>
                <w:highlight w:val="none"/>
              </w:rPr>
              <w:t>现一次扣</w:t>
            </w:r>
            <w:r>
              <w:rPr>
                <w:rFonts w:hint="eastAsia" w:ascii="宋体" w:hAnsi="宋体" w:eastAsia="宋体" w:cs="宋体"/>
                <w:b w:val="0"/>
                <w:bCs w:val="0"/>
                <w:color w:val="auto"/>
                <w:spacing w:val="-31"/>
                <w:sz w:val="21"/>
                <w:szCs w:val="21"/>
                <w:highlight w:val="none"/>
              </w:rPr>
              <w:t xml:space="preserve"> </w:t>
            </w:r>
            <w:r>
              <w:rPr>
                <w:rFonts w:hint="eastAsia" w:ascii="宋体" w:hAnsi="宋体" w:eastAsia="宋体" w:cs="宋体"/>
                <w:b w:val="0"/>
                <w:bCs w:val="0"/>
                <w:color w:val="auto"/>
                <w:spacing w:val="3"/>
                <w:sz w:val="21"/>
                <w:szCs w:val="21"/>
                <w:highlight w:val="none"/>
              </w:rPr>
              <w:t>0.5</w:t>
            </w:r>
            <w:r>
              <w:rPr>
                <w:rFonts w:hint="eastAsia" w:ascii="宋体" w:hAnsi="宋体" w:eastAsia="宋体" w:cs="宋体"/>
                <w:b w:val="0"/>
                <w:bCs w:val="0"/>
                <w:color w:val="auto"/>
                <w:spacing w:val="-38"/>
                <w:sz w:val="21"/>
                <w:szCs w:val="21"/>
                <w:highlight w:val="none"/>
              </w:rPr>
              <w:t xml:space="preserve"> </w:t>
            </w:r>
            <w:r>
              <w:rPr>
                <w:rFonts w:hint="eastAsia" w:ascii="宋体" w:hAnsi="宋体" w:eastAsia="宋体" w:cs="宋体"/>
                <w:b w:val="0"/>
                <w:bCs w:val="0"/>
                <w:color w:val="auto"/>
                <w:spacing w:val="3"/>
                <w:sz w:val="21"/>
                <w:szCs w:val="21"/>
                <w:highlight w:val="none"/>
              </w:rPr>
              <w:t>分。</w:t>
            </w:r>
          </w:p>
        </w:tc>
        <w:tc>
          <w:tcPr>
            <w:tcW w:w="615" w:type="dxa"/>
            <w:vAlign w:val="top"/>
          </w:tcPr>
          <w:p w14:paraId="73BBF75C">
            <w:pPr>
              <w:rPr>
                <w:rFonts w:hint="eastAsia" w:ascii="宋体" w:hAnsi="宋体" w:eastAsia="宋体" w:cs="宋体"/>
                <w:b w:val="0"/>
                <w:bCs w:val="0"/>
                <w:color w:val="auto"/>
                <w:sz w:val="21"/>
                <w:szCs w:val="21"/>
                <w:highlight w:val="none"/>
              </w:rPr>
            </w:pPr>
          </w:p>
        </w:tc>
      </w:tr>
      <w:tr w14:paraId="5D39A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645" w:type="dxa"/>
            <w:vAlign w:val="top"/>
          </w:tcPr>
          <w:p w14:paraId="3A83423D">
            <w:pPr>
              <w:spacing w:line="282" w:lineRule="auto"/>
              <w:rPr>
                <w:rFonts w:hint="eastAsia" w:ascii="宋体" w:hAnsi="宋体" w:eastAsia="宋体" w:cs="宋体"/>
                <w:b w:val="0"/>
                <w:bCs w:val="0"/>
                <w:color w:val="auto"/>
                <w:sz w:val="21"/>
                <w:szCs w:val="21"/>
                <w:highlight w:val="none"/>
              </w:rPr>
            </w:pPr>
          </w:p>
          <w:p w14:paraId="3FD851D8">
            <w:pPr>
              <w:pStyle w:val="37"/>
              <w:spacing w:before="65" w:line="189" w:lineRule="auto"/>
              <w:ind w:left="238"/>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9"/>
                <w:sz w:val="21"/>
                <w:szCs w:val="21"/>
                <w:highlight w:val="none"/>
              </w:rPr>
              <w:t>12</w:t>
            </w:r>
          </w:p>
        </w:tc>
        <w:tc>
          <w:tcPr>
            <w:tcW w:w="3776" w:type="dxa"/>
            <w:vAlign w:val="top"/>
          </w:tcPr>
          <w:p w14:paraId="2739C34C">
            <w:pPr>
              <w:spacing w:line="249" w:lineRule="auto"/>
              <w:rPr>
                <w:rFonts w:hint="eastAsia" w:ascii="宋体" w:hAnsi="宋体" w:eastAsia="宋体" w:cs="宋体"/>
                <w:b w:val="0"/>
                <w:bCs w:val="0"/>
                <w:color w:val="auto"/>
                <w:sz w:val="21"/>
                <w:szCs w:val="21"/>
                <w:highlight w:val="none"/>
              </w:rPr>
            </w:pPr>
          </w:p>
          <w:p w14:paraId="4C54DA20">
            <w:pPr>
              <w:pStyle w:val="37"/>
              <w:spacing w:before="65" w:line="228" w:lineRule="auto"/>
              <w:ind w:left="55"/>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6"/>
                <w:sz w:val="21"/>
                <w:szCs w:val="21"/>
                <w:highlight w:val="none"/>
              </w:rPr>
              <w:t>日常安保服务及门前三包服务。</w:t>
            </w:r>
          </w:p>
        </w:tc>
        <w:tc>
          <w:tcPr>
            <w:tcW w:w="567" w:type="dxa"/>
            <w:vAlign w:val="top"/>
          </w:tcPr>
          <w:p w14:paraId="3CA63251">
            <w:pPr>
              <w:spacing w:line="284" w:lineRule="auto"/>
              <w:rPr>
                <w:rFonts w:hint="eastAsia" w:ascii="宋体" w:hAnsi="宋体" w:eastAsia="宋体" w:cs="宋体"/>
                <w:b w:val="0"/>
                <w:bCs w:val="0"/>
                <w:color w:val="auto"/>
                <w:sz w:val="21"/>
                <w:szCs w:val="21"/>
                <w:highlight w:val="none"/>
              </w:rPr>
            </w:pPr>
          </w:p>
          <w:p w14:paraId="77D00152">
            <w:pPr>
              <w:pStyle w:val="37"/>
              <w:spacing w:before="65" w:line="187" w:lineRule="auto"/>
              <w:ind w:left="24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w:t>
            </w:r>
          </w:p>
        </w:tc>
        <w:tc>
          <w:tcPr>
            <w:tcW w:w="3445" w:type="dxa"/>
            <w:vAlign w:val="top"/>
          </w:tcPr>
          <w:p w14:paraId="2101EAF9">
            <w:pPr>
              <w:spacing w:line="249" w:lineRule="auto"/>
              <w:rPr>
                <w:rFonts w:hint="eastAsia" w:ascii="宋体" w:hAnsi="宋体" w:eastAsia="宋体" w:cs="宋体"/>
                <w:b w:val="0"/>
                <w:bCs w:val="0"/>
                <w:color w:val="auto"/>
                <w:sz w:val="21"/>
                <w:szCs w:val="21"/>
                <w:highlight w:val="none"/>
              </w:rPr>
            </w:pPr>
          </w:p>
          <w:p w14:paraId="1BAAB0E6">
            <w:pPr>
              <w:pStyle w:val="37"/>
              <w:spacing w:before="65" w:line="228" w:lineRule="auto"/>
              <w:ind w:left="23"/>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7"/>
                <w:sz w:val="21"/>
                <w:szCs w:val="21"/>
                <w:highlight w:val="none"/>
              </w:rPr>
              <w:t>未按规定进行服务，发现一次扣</w:t>
            </w:r>
            <w:r>
              <w:rPr>
                <w:rFonts w:hint="eastAsia" w:ascii="宋体" w:hAnsi="宋体" w:eastAsia="宋体" w:cs="宋体"/>
                <w:b w:val="0"/>
                <w:bCs w:val="0"/>
                <w:color w:val="auto"/>
                <w:spacing w:val="-30"/>
                <w:sz w:val="21"/>
                <w:szCs w:val="21"/>
                <w:highlight w:val="none"/>
              </w:rPr>
              <w:t xml:space="preserve"> </w:t>
            </w:r>
            <w:r>
              <w:rPr>
                <w:rFonts w:hint="eastAsia" w:ascii="宋体" w:hAnsi="宋体" w:eastAsia="宋体" w:cs="宋体"/>
                <w:b w:val="0"/>
                <w:bCs w:val="0"/>
                <w:color w:val="auto"/>
                <w:spacing w:val="7"/>
                <w:sz w:val="21"/>
                <w:szCs w:val="21"/>
                <w:highlight w:val="none"/>
              </w:rPr>
              <w:t>0.5</w:t>
            </w:r>
            <w:r>
              <w:rPr>
                <w:rFonts w:hint="eastAsia" w:ascii="宋体" w:hAnsi="宋体" w:eastAsia="宋体" w:cs="宋体"/>
                <w:b w:val="0"/>
                <w:bCs w:val="0"/>
                <w:color w:val="auto"/>
                <w:spacing w:val="-38"/>
                <w:sz w:val="21"/>
                <w:szCs w:val="21"/>
                <w:highlight w:val="none"/>
              </w:rPr>
              <w:t xml:space="preserve"> </w:t>
            </w:r>
            <w:r>
              <w:rPr>
                <w:rFonts w:hint="eastAsia" w:ascii="宋体" w:hAnsi="宋体" w:eastAsia="宋体" w:cs="宋体"/>
                <w:b w:val="0"/>
                <w:bCs w:val="0"/>
                <w:color w:val="auto"/>
                <w:spacing w:val="7"/>
                <w:sz w:val="21"/>
                <w:szCs w:val="21"/>
                <w:highlight w:val="none"/>
              </w:rPr>
              <w:t>分</w:t>
            </w:r>
          </w:p>
        </w:tc>
        <w:tc>
          <w:tcPr>
            <w:tcW w:w="615" w:type="dxa"/>
            <w:vAlign w:val="top"/>
          </w:tcPr>
          <w:p w14:paraId="2A19C49B">
            <w:pPr>
              <w:rPr>
                <w:rFonts w:hint="eastAsia" w:ascii="宋体" w:hAnsi="宋体" w:eastAsia="宋体" w:cs="宋体"/>
                <w:b w:val="0"/>
                <w:bCs w:val="0"/>
                <w:color w:val="auto"/>
                <w:sz w:val="21"/>
                <w:szCs w:val="21"/>
                <w:highlight w:val="none"/>
              </w:rPr>
            </w:pPr>
          </w:p>
        </w:tc>
      </w:tr>
      <w:tr w14:paraId="0334C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645" w:type="dxa"/>
            <w:vAlign w:val="top"/>
          </w:tcPr>
          <w:p w14:paraId="0346CEA4">
            <w:pPr>
              <w:spacing w:line="354" w:lineRule="auto"/>
              <w:rPr>
                <w:rFonts w:hint="eastAsia" w:ascii="宋体" w:hAnsi="宋体" w:eastAsia="宋体" w:cs="宋体"/>
                <w:b w:val="0"/>
                <w:bCs w:val="0"/>
                <w:color w:val="auto"/>
                <w:sz w:val="21"/>
                <w:szCs w:val="21"/>
                <w:highlight w:val="none"/>
              </w:rPr>
            </w:pPr>
          </w:p>
          <w:p w14:paraId="26CD7C07">
            <w:pPr>
              <w:pStyle w:val="37"/>
              <w:spacing w:before="65" w:line="190" w:lineRule="auto"/>
              <w:ind w:left="238"/>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9"/>
                <w:sz w:val="21"/>
                <w:szCs w:val="21"/>
                <w:highlight w:val="none"/>
              </w:rPr>
              <w:t>13</w:t>
            </w:r>
          </w:p>
        </w:tc>
        <w:tc>
          <w:tcPr>
            <w:tcW w:w="3776" w:type="dxa"/>
            <w:vAlign w:val="top"/>
          </w:tcPr>
          <w:p w14:paraId="24A9645B">
            <w:pPr>
              <w:spacing w:line="323" w:lineRule="auto"/>
              <w:rPr>
                <w:rFonts w:hint="eastAsia" w:ascii="宋体" w:hAnsi="宋体" w:eastAsia="宋体" w:cs="宋体"/>
                <w:b w:val="0"/>
                <w:bCs w:val="0"/>
                <w:color w:val="auto"/>
                <w:sz w:val="21"/>
                <w:szCs w:val="21"/>
                <w:highlight w:val="none"/>
              </w:rPr>
            </w:pPr>
          </w:p>
          <w:p w14:paraId="1C02A389">
            <w:pPr>
              <w:pStyle w:val="37"/>
              <w:spacing w:before="65" w:line="228" w:lineRule="auto"/>
              <w:ind w:left="23"/>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8"/>
                <w:sz w:val="21"/>
                <w:szCs w:val="21"/>
                <w:highlight w:val="none"/>
              </w:rPr>
              <w:t>安排的卫生环境责任服务。</w:t>
            </w:r>
          </w:p>
        </w:tc>
        <w:tc>
          <w:tcPr>
            <w:tcW w:w="567" w:type="dxa"/>
            <w:vAlign w:val="top"/>
          </w:tcPr>
          <w:p w14:paraId="09F5D71F">
            <w:pPr>
              <w:spacing w:line="358" w:lineRule="auto"/>
              <w:rPr>
                <w:rFonts w:hint="eastAsia" w:ascii="宋体" w:hAnsi="宋体" w:eastAsia="宋体" w:cs="宋体"/>
                <w:b w:val="0"/>
                <w:bCs w:val="0"/>
                <w:color w:val="auto"/>
                <w:sz w:val="21"/>
                <w:szCs w:val="21"/>
                <w:highlight w:val="none"/>
              </w:rPr>
            </w:pPr>
          </w:p>
          <w:p w14:paraId="68CCC974">
            <w:pPr>
              <w:pStyle w:val="37"/>
              <w:spacing w:before="65" w:line="187" w:lineRule="auto"/>
              <w:ind w:left="24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w:t>
            </w:r>
          </w:p>
        </w:tc>
        <w:tc>
          <w:tcPr>
            <w:tcW w:w="3445" w:type="dxa"/>
            <w:vAlign w:val="top"/>
          </w:tcPr>
          <w:p w14:paraId="5E4A1B73">
            <w:pPr>
              <w:spacing w:line="323" w:lineRule="auto"/>
              <w:rPr>
                <w:rFonts w:hint="eastAsia" w:ascii="宋体" w:hAnsi="宋体" w:eastAsia="宋体" w:cs="宋体"/>
                <w:b w:val="0"/>
                <w:bCs w:val="0"/>
                <w:color w:val="auto"/>
                <w:sz w:val="21"/>
                <w:szCs w:val="21"/>
                <w:highlight w:val="none"/>
              </w:rPr>
            </w:pPr>
          </w:p>
          <w:p w14:paraId="15F78285">
            <w:pPr>
              <w:pStyle w:val="37"/>
              <w:spacing w:before="65" w:line="228" w:lineRule="auto"/>
              <w:ind w:left="38"/>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4"/>
                <w:sz w:val="21"/>
                <w:szCs w:val="21"/>
                <w:highlight w:val="none"/>
              </w:rPr>
              <w:t>出现一次投诉扣</w:t>
            </w:r>
            <w:r>
              <w:rPr>
                <w:rFonts w:hint="eastAsia" w:ascii="宋体" w:hAnsi="宋体" w:eastAsia="宋体" w:cs="宋体"/>
                <w:b w:val="0"/>
                <w:bCs w:val="0"/>
                <w:color w:val="auto"/>
                <w:spacing w:val="-37"/>
                <w:sz w:val="21"/>
                <w:szCs w:val="21"/>
                <w:highlight w:val="none"/>
              </w:rPr>
              <w:t xml:space="preserve"> </w:t>
            </w:r>
            <w:r>
              <w:rPr>
                <w:rFonts w:hint="eastAsia" w:ascii="宋体" w:hAnsi="宋体" w:eastAsia="宋体" w:cs="宋体"/>
                <w:b w:val="0"/>
                <w:bCs w:val="0"/>
                <w:color w:val="auto"/>
                <w:spacing w:val="4"/>
                <w:sz w:val="21"/>
                <w:szCs w:val="21"/>
                <w:highlight w:val="none"/>
              </w:rPr>
              <w:t>0.5</w:t>
            </w:r>
            <w:r>
              <w:rPr>
                <w:rFonts w:hint="eastAsia" w:ascii="宋体" w:hAnsi="宋体" w:eastAsia="宋体" w:cs="宋体"/>
                <w:b w:val="0"/>
                <w:bCs w:val="0"/>
                <w:color w:val="auto"/>
                <w:spacing w:val="-36"/>
                <w:sz w:val="21"/>
                <w:szCs w:val="21"/>
                <w:highlight w:val="none"/>
              </w:rPr>
              <w:t xml:space="preserve"> </w:t>
            </w:r>
            <w:r>
              <w:rPr>
                <w:rFonts w:hint="eastAsia" w:ascii="宋体" w:hAnsi="宋体" w:eastAsia="宋体" w:cs="宋体"/>
                <w:b w:val="0"/>
                <w:bCs w:val="0"/>
                <w:color w:val="auto"/>
                <w:spacing w:val="4"/>
                <w:sz w:val="21"/>
                <w:szCs w:val="21"/>
                <w:highlight w:val="none"/>
              </w:rPr>
              <w:t>分 。</w:t>
            </w:r>
          </w:p>
        </w:tc>
        <w:tc>
          <w:tcPr>
            <w:tcW w:w="615" w:type="dxa"/>
            <w:vAlign w:val="top"/>
          </w:tcPr>
          <w:p w14:paraId="0F5C447C">
            <w:pPr>
              <w:rPr>
                <w:rFonts w:hint="eastAsia" w:ascii="宋体" w:hAnsi="宋体" w:eastAsia="宋体" w:cs="宋体"/>
                <w:b w:val="0"/>
                <w:bCs w:val="0"/>
                <w:color w:val="auto"/>
                <w:sz w:val="21"/>
                <w:szCs w:val="21"/>
                <w:highlight w:val="none"/>
              </w:rPr>
            </w:pPr>
          </w:p>
        </w:tc>
      </w:tr>
      <w:tr w14:paraId="4A530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645" w:type="dxa"/>
            <w:vAlign w:val="top"/>
          </w:tcPr>
          <w:p w14:paraId="7065040F">
            <w:pPr>
              <w:spacing w:line="241" w:lineRule="auto"/>
              <w:rPr>
                <w:rFonts w:hint="eastAsia" w:ascii="宋体" w:hAnsi="宋体" w:eastAsia="宋体" w:cs="宋体"/>
                <w:b w:val="0"/>
                <w:bCs w:val="0"/>
                <w:color w:val="auto"/>
                <w:sz w:val="21"/>
                <w:szCs w:val="21"/>
                <w:highlight w:val="none"/>
              </w:rPr>
            </w:pPr>
          </w:p>
          <w:p w14:paraId="00819883">
            <w:pPr>
              <w:pStyle w:val="37"/>
              <w:spacing w:before="65" w:line="189" w:lineRule="auto"/>
              <w:ind w:left="238"/>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9"/>
                <w:sz w:val="21"/>
                <w:szCs w:val="21"/>
                <w:highlight w:val="none"/>
              </w:rPr>
              <w:t>14</w:t>
            </w:r>
          </w:p>
        </w:tc>
        <w:tc>
          <w:tcPr>
            <w:tcW w:w="3776" w:type="dxa"/>
            <w:vAlign w:val="top"/>
          </w:tcPr>
          <w:p w14:paraId="5D01F619">
            <w:pPr>
              <w:pStyle w:val="37"/>
              <w:spacing w:before="275" w:line="228" w:lineRule="auto"/>
              <w:ind w:left="43"/>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4"/>
                <w:sz w:val="21"/>
                <w:szCs w:val="21"/>
                <w:highlight w:val="none"/>
              </w:rPr>
              <w:t>电梯、消防设备。</w:t>
            </w:r>
          </w:p>
        </w:tc>
        <w:tc>
          <w:tcPr>
            <w:tcW w:w="567" w:type="dxa"/>
            <w:vAlign w:val="top"/>
          </w:tcPr>
          <w:p w14:paraId="12B48906">
            <w:pPr>
              <w:spacing w:line="243" w:lineRule="auto"/>
              <w:rPr>
                <w:rFonts w:hint="eastAsia" w:ascii="宋体" w:hAnsi="宋体" w:eastAsia="宋体" w:cs="宋体"/>
                <w:b w:val="0"/>
                <w:bCs w:val="0"/>
                <w:color w:val="auto"/>
                <w:sz w:val="21"/>
                <w:szCs w:val="21"/>
                <w:highlight w:val="none"/>
              </w:rPr>
            </w:pPr>
          </w:p>
          <w:p w14:paraId="4B45ECBF">
            <w:pPr>
              <w:pStyle w:val="37"/>
              <w:spacing w:before="65" w:line="187" w:lineRule="auto"/>
              <w:ind w:left="24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w:t>
            </w:r>
          </w:p>
        </w:tc>
        <w:tc>
          <w:tcPr>
            <w:tcW w:w="3445" w:type="dxa"/>
            <w:vAlign w:val="top"/>
          </w:tcPr>
          <w:p w14:paraId="089C2294">
            <w:pPr>
              <w:pStyle w:val="37"/>
              <w:spacing w:before="118" w:line="273" w:lineRule="auto"/>
              <w:ind w:left="29" w:right="103" w:hanging="6"/>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9"/>
                <w:sz w:val="21"/>
                <w:szCs w:val="21"/>
                <w:highlight w:val="none"/>
              </w:rPr>
              <w:t>未按规定做好相关巡察记录、出现故障未及</w:t>
            </w:r>
            <w:r>
              <w:rPr>
                <w:rFonts w:hint="eastAsia" w:ascii="宋体" w:hAnsi="宋体" w:eastAsia="宋体" w:cs="宋体"/>
                <w:b w:val="0"/>
                <w:bCs w:val="0"/>
                <w:color w:val="auto"/>
                <w:spacing w:val="4"/>
                <w:sz w:val="21"/>
                <w:szCs w:val="21"/>
                <w:highlight w:val="none"/>
              </w:rPr>
              <w:t>时报告，发现一次扣</w:t>
            </w:r>
            <w:r>
              <w:rPr>
                <w:rFonts w:hint="eastAsia" w:ascii="宋体" w:hAnsi="宋体" w:eastAsia="宋体" w:cs="宋体"/>
                <w:b w:val="0"/>
                <w:bCs w:val="0"/>
                <w:color w:val="auto"/>
                <w:spacing w:val="-18"/>
                <w:sz w:val="21"/>
                <w:szCs w:val="21"/>
                <w:highlight w:val="none"/>
              </w:rPr>
              <w:t xml:space="preserve"> </w:t>
            </w:r>
            <w:r>
              <w:rPr>
                <w:rFonts w:hint="eastAsia" w:ascii="宋体" w:hAnsi="宋体" w:eastAsia="宋体" w:cs="宋体"/>
                <w:b w:val="0"/>
                <w:bCs w:val="0"/>
                <w:color w:val="auto"/>
                <w:spacing w:val="4"/>
                <w:sz w:val="21"/>
                <w:szCs w:val="21"/>
                <w:highlight w:val="none"/>
              </w:rPr>
              <w:t>1</w:t>
            </w:r>
            <w:r>
              <w:rPr>
                <w:rFonts w:hint="eastAsia" w:ascii="宋体" w:hAnsi="宋体" w:eastAsia="宋体" w:cs="宋体"/>
                <w:b w:val="0"/>
                <w:bCs w:val="0"/>
                <w:color w:val="auto"/>
                <w:spacing w:val="-35"/>
                <w:sz w:val="21"/>
                <w:szCs w:val="21"/>
                <w:highlight w:val="none"/>
              </w:rPr>
              <w:t xml:space="preserve"> </w:t>
            </w:r>
            <w:r>
              <w:rPr>
                <w:rFonts w:hint="eastAsia" w:ascii="宋体" w:hAnsi="宋体" w:eastAsia="宋体" w:cs="宋体"/>
                <w:b w:val="0"/>
                <w:bCs w:val="0"/>
                <w:color w:val="auto"/>
                <w:spacing w:val="4"/>
                <w:sz w:val="21"/>
                <w:szCs w:val="21"/>
                <w:highlight w:val="none"/>
              </w:rPr>
              <w:t>分 。</w:t>
            </w:r>
          </w:p>
        </w:tc>
        <w:tc>
          <w:tcPr>
            <w:tcW w:w="615" w:type="dxa"/>
            <w:vAlign w:val="top"/>
          </w:tcPr>
          <w:p w14:paraId="27F48FDF">
            <w:pPr>
              <w:rPr>
                <w:rFonts w:hint="eastAsia" w:ascii="宋体" w:hAnsi="宋体" w:eastAsia="宋体" w:cs="宋体"/>
                <w:b w:val="0"/>
                <w:bCs w:val="0"/>
                <w:color w:val="auto"/>
                <w:sz w:val="21"/>
                <w:szCs w:val="21"/>
                <w:highlight w:val="none"/>
              </w:rPr>
            </w:pPr>
          </w:p>
        </w:tc>
      </w:tr>
      <w:tr w14:paraId="220E1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645" w:type="dxa"/>
            <w:vAlign w:val="top"/>
          </w:tcPr>
          <w:p w14:paraId="01882260">
            <w:pPr>
              <w:pStyle w:val="37"/>
              <w:spacing w:before="269" w:line="190" w:lineRule="auto"/>
              <w:ind w:left="238"/>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9"/>
                <w:sz w:val="21"/>
                <w:szCs w:val="21"/>
                <w:highlight w:val="none"/>
              </w:rPr>
              <w:t>15</w:t>
            </w:r>
          </w:p>
        </w:tc>
        <w:tc>
          <w:tcPr>
            <w:tcW w:w="3776" w:type="dxa"/>
            <w:vAlign w:val="top"/>
          </w:tcPr>
          <w:p w14:paraId="529815A5">
            <w:pPr>
              <w:pStyle w:val="37"/>
              <w:spacing w:before="82" w:line="273" w:lineRule="auto"/>
              <w:ind w:left="24" w:right="13" w:hanging="5"/>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7"/>
                <w:sz w:val="21"/>
                <w:szCs w:val="21"/>
                <w:highlight w:val="none"/>
              </w:rPr>
              <w:t>物业管理有关的文件、资料和客户情况的</w:t>
            </w:r>
            <w:r>
              <w:rPr>
                <w:rFonts w:hint="eastAsia" w:ascii="宋体" w:hAnsi="宋体" w:eastAsia="宋体" w:cs="宋体"/>
                <w:b w:val="0"/>
                <w:bCs w:val="0"/>
                <w:color w:val="auto"/>
                <w:spacing w:val="11"/>
                <w:sz w:val="21"/>
                <w:szCs w:val="21"/>
                <w:highlight w:val="none"/>
              </w:rPr>
              <w:t xml:space="preserve"> </w:t>
            </w:r>
            <w:r>
              <w:rPr>
                <w:rFonts w:hint="eastAsia" w:ascii="宋体" w:hAnsi="宋体" w:eastAsia="宋体" w:cs="宋体"/>
                <w:b w:val="0"/>
                <w:bCs w:val="0"/>
                <w:color w:val="auto"/>
                <w:spacing w:val="1"/>
                <w:sz w:val="21"/>
                <w:szCs w:val="21"/>
                <w:highlight w:val="none"/>
              </w:rPr>
              <w:t>管理。</w:t>
            </w:r>
          </w:p>
        </w:tc>
        <w:tc>
          <w:tcPr>
            <w:tcW w:w="567" w:type="dxa"/>
            <w:vAlign w:val="top"/>
          </w:tcPr>
          <w:p w14:paraId="0BBCC562">
            <w:pPr>
              <w:pStyle w:val="37"/>
              <w:spacing w:before="273" w:line="187" w:lineRule="auto"/>
              <w:ind w:left="24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w:t>
            </w:r>
          </w:p>
        </w:tc>
        <w:tc>
          <w:tcPr>
            <w:tcW w:w="3445" w:type="dxa"/>
            <w:vAlign w:val="top"/>
          </w:tcPr>
          <w:p w14:paraId="5DF33D7C">
            <w:pPr>
              <w:pStyle w:val="37"/>
              <w:spacing w:before="82" w:line="273" w:lineRule="auto"/>
              <w:ind w:left="20" w:right="103" w:firstLine="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9"/>
                <w:sz w:val="21"/>
                <w:szCs w:val="21"/>
                <w:highlight w:val="none"/>
              </w:rPr>
              <w:t>未及时提供物业管理有关的文件、资料和客</w:t>
            </w:r>
            <w:r>
              <w:rPr>
                <w:rFonts w:hint="eastAsia" w:ascii="宋体" w:hAnsi="宋体" w:eastAsia="宋体" w:cs="宋体"/>
                <w:b w:val="0"/>
                <w:bCs w:val="0"/>
                <w:color w:val="auto"/>
                <w:spacing w:val="3"/>
                <w:sz w:val="21"/>
                <w:szCs w:val="21"/>
                <w:highlight w:val="none"/>
              </w:rPr>
              <w:t>户情况的一次扣</w:t>
            </w:r>
            <w:r>
              <w:rPr>
                <w:rFonts w:hint="eastAsia" w:ascii="宋体" w:hAnsi="宋体" w:eastAsia="宋体" w:cs="宋体"/>
                <w:b w:val="0"/>
                <w:bCs w:val="0"/>
                <w:color w:val="auto"/>
                <w:spacing w:val="-16"/>
                <w:sz w:val="21"/>
                <w:szCs w:val="21"/>
                <w:highlight w:val="none"/>
              </w:rPr>
              <w:t xml:space="preserve"> </w:t>
            </w:r>
            <w:r>
              <w:rPr>
                <w:rFonts w:hint="eastAsia" w:ascii="宋体" w:hAnsi="宋体" w:eastAsia="宋体" w:cs="宋体"/>
                <w:b w:val="0"/>
                <w:bCs w:val="0"/>
                <w:color w:val="auto"/>
                <w:spacing w:val="3"/>
                <w:sz w:val="21"/>
                <w:szCs w:val="21"/>
                <w:highlight w:val="none"/>
              </w:rPr>
              <w:t>1</w:t>
            </w:r>
            <w:r>
              <w:rPr>
                <w:rFonts w:hint="eastAsia" w:ascii="宋体" w:hAnsi="宋体" w:eastAsia="宋体" w:cs="宋体"/>
                <w:b w:val="0"/>
                <w:bCs w:val="0"/>
                <w:color w:val="auto"/>
                <w:spacing w:val="-35"/>
                <w:sz w:val="21"/>
                <w:szCs w:val="21"/>
                <w:highlight w:val="none"/>
              </w:rPr>
              <w:t xml:space="preserve"> </w:t>
            </w:r>
            <w:r>
              <w:rPr>
                <w:rFonts w:hint="eastAsia" w:ascii="宋体" w:hAnsi="宋体" w:eastAsia="宋体" w:cs="宋体"/>
                <w:b w:val="0"/>
                <w:bCs w:val="0"/>
                <w:color w:val="auto"/>
                <w:spacing w:val="3"/>
                <w:sz w:val="21"/>
                <w:szCs w:val="21"/>
                <w:highlight w:val="none"/>
              </w:rPr>
              <w:t>分。</w:t>
            </w:r>
          </w:p>
        </w:tc>
        <w:tc>
          <w:tcPr>
            <w:tcW w:w="615" w:type="dxa"/>
            <w:vAlign w:val="top"/>
          </w:tcPr>
          <w:p w14:paraId="0A90954B">
            <w:pPr>
              <w:rPr>
                <w:rFonts w:hint="eastAsia" w:ascii="宋体" w:hAnsi="宋体" w:eastAsia="宋体" w:cs="宋体"/>
                <w:b w:val="0"/>
                <w:bCs w:val="0"/>
                <w:color w:val="auto"/>
                <w:sz w:val="21"/>
                <w:szCs w:val="21"/>
                <w:highlight w:val="none"/>
              </w:rPr>
            </w:pPr>
          </w:p>
        </w:tc>
      </w:tr>
      <w:tr w14:paraId="172C4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645" w:type="dxa"/>
            <w:vAlign w:val="top"/>
          </w:tcPr>
          <w:p w14:paraId="72A1E963">
            <w:pPr>
              <w:pStyle w:val="37"/>
              <w:spacing w:before="232" w:line="190" w:lineRule="auto"/>
              <w:ind w:left="238"/>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9"/>
                <w:sz w:val="21"/>
                <w:szCs w:val="21"/>
                <w:highlight w:val="none"/>
              </w:rPr>
              <w:t>16</w:t>
            </w:r>
          </w:p>
        </w:tc>
        <w:tc>
          <w:tcPr>
            <w:tcW w:w="3776" w:type="dxa"/>
            <w:vAlign w:val="top"/>
          </w:tcPr>
          <w:p w14:paraId="09264981">
            <w:pPr>
              <w:pStyle w:val="37"/>
              <w:spacing w:before="201" w:line="227" w:lineRule="auto"/>
              <w:ind w:left="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9"/>
                <w:sz w:val="21"/>
                <w:szCs w:val="21"/>
                <w:highlight w:val="none"/>
              </w:rPr>
              <w:t>按月提供服务人员工资发放表</w:t>
            </w:r>
          </w:p>
        </w:tc>
        <w:tc>
          <w:tcPr>
            <w:tcW w:w="567" w:type="dxa"/>
            <w:vAlign w:val="top"/>
          </w:tcPr>
          <w:p w14:paraId="1A299C76">
            <w:pPr>
              <w:pStyle w:val="37"/>
              <w:spacing w:before="236" w:line="187" w:lineRule="auto"/>
              <w:ind w:left="24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w:t>
            </w:r>
          </w:p>
        </w:tc>
        <w:tc>
          <w:tcPr>
            <w:tcW w:w="3445" w:type="dxa"/>
            <w:vAlign w:val="top"/>
          </w:tcPr>
          <w:p w14:paraId="0A2D58F2">
            <w:pPr>
              <w:pStyle w:val="37"/>
              <w:spacing w:before="201" w:line="227" w:lineRule="auto"/>
              <w:ind w:left="23"/>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7"/>
                <w:sz w:val="21"/>
                <w:szCs w:val="21"/>
                <w:highlight w:val="none"/>
              </w:rPr>
              <w:t>未按时提供服务人员工资发放表一次扣</w:t>
            </w:r>
            <w:r>
              <w:rPr>
                <w:rFonts w:hint="eastAsia" w:ascii="宋体" w:hAnsi="宋体" w:eastAsia="宋体" w:cs="宋体"/>
                <w:b w:val="0"/>
                <w:bCs w:val="0"/>
                <w:color w:val="auto"/>
                <w:spacing w:val="-20"/>
                <w:sz w:val="21"/>
                <w:szCs w:val="21"/>
                <w:highlight w:val="none"/>
              </w:rPr>
              <w:t xml:space="preserve"> </w:t>
            </w:r>
            <w:r>
              <w:rPr>
                <w:rFonts w:hint="eastAsia" w:ascii="宋体" w:hAnsi="宋体" w:eastAsia="宋体" w:cs="宋体"/>
                <w:b w:val="0"/>
                <w:bCs w:val="0"/>
                <w:color w:val="auto"/>
                <w:spacing w:val="7"/>
                <w:sz w:val="21"/>
                <w:szCs w:val="21"/>
                <w:highlight w:val="none"/>
              </w:rPr>
              <w:t>1</w:t>
            </w:r>
            <w:r>
              <w:rPr>
                <w:rFonts w:hint="eastAsia" w:ascii="宋体" w:hAnsi="宋体" w:eastAsia="宋体" w:cs="宋体"/>
                <w:b w:val="0"/>
                <w:bCs w:val="0"/>
                <w:color w:val="auto"/>
                <w:spacing w:val="-35"/>
                <w:sz w:val="21"/>
                <w:szCs w:val="21"/>
                <w:highlight w:val="none"/>
              </w:rPr>
              <w:t xml:space="preserve"> </w:t>
            </w:r>
            <w:r>
              <w:rPr>
                <w:rFonts w:hint="eastAsia" w:ascii="宋体" w:hAnsi="宋体" w:eastAsia="宋体" w:cs="宋体"/>
                <w:b w:val="0"/>
                <w:bCs w:val="0"/>
                <w:color w:val="auto"/>
                <w:spacing w:val="7"/>
                <w:sz w:val="21"/>
                <w:szCs w:val="21"/>
                <w:highlight w:val="none"/>
              </w:rPr>
              <w:t>分</w:t>
            </w:r>
          </w:p>
        </w:tc>
        <w:tc>
          <w:tcPr>
            <w:tcW w:w="615" w:type="dxa"/>
            <w:vAlign w:val="top"/>
          </w:tcPr>
          <w:p w14:paraId="308DBE2C">
            <w:pPr>
              <w:rPr>
                <w:rFonts w:hint="eastAsia" w:ascii="宋体" w:hAnsi="宋体" w:eastAsia="宋体" w:cs="宋体"/>
                <w:b w:val="0"/>
                <w:bCs w:val="0"/>
                <w:color w:val="auto"/>
                <w:sz w:val="21"/>
                <w:szCs w:val="21"/>
                <w:highlight w:val="none"/>
              </w:rPr>
            </w:pPr>
          </w:p>
        </w:tc>
      </w:tr>
      <w:tr w14:paraId="72663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645" w:type="dxa"/>
            <w:vAlign w:val="top"/>
          </w:tcPr>
          <w:p w14:paraId="4C839904">
            <w:pPr>
              <w:pStyle w:val="37"/>
              <w:spacing w:before="186" w:line="190" w:lineRule="auto"/>
              <w:ind w:left="238"/>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9"/>
                <w:sz w:val="21"/>
                <w:szCs w:val="21"/>
                <w:highlight w:val="none"/>
              </w:rPr>
              <w:t>17</w:t>
            </w:r>
          </w:p>
        </w:tc>
        <w:tc>
          <w:tcPr>
            <w:tcW w:w="3776" w:type="dxa"/>
            <w:vAlign w:val="top"/>
          </w:tcPr>
          <w:p w14:paraId="668DDEFA">
            <w:pPr>
              <w:pStyle w:val="37"/>
              <w:spacing w:before="154" w:line="228" w:lineRule="auto"/>
              <w:ind w:left="2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
                <w:sz w:val="21"/>
                <w:szCs w:val="21"/>
                <w:highlight w:val="none"/>
              </w:rPr>
              <w:t>总分：</w:t>
            </w:r>
          </w:p>
        </w:tc>
        <w:tc>
          <w:tcPr>
            <w:tcW w:w="567" w:type="dxa"/>
            <w:vAlign w:val="top"/>
          </w:tcPr>
          <w:p w14:paraId="2543EFD0">
            <w:pPr>
              <w:pStyle w:val="37"/>
              <w:spacing w:before="186" w:line="190" w:lineRule="auto"/>
              <w:ind w:left="146"/>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100</w:t>
            </w:r>
          </w:p>
        </w:tc>
        <w:tc>
          <w:tcPr>
            <w:tcW w:w="3445" w:type="dxa"/>
            <w:vAlign w:val="top"/>
          </w:tcPr>
          <w:p w14:paraId="2D195E5F">
            <w:pPr>
              <w:rPr>
                <w:rFonts w:hint="eastAsia" w:ascii="宋体" w:hAnsi="宋体" w:eastAsia="宋体" w:cs="宋体"/>
                <w:b w:val="0"/>
                <w:bCs w:val="0"/>
                <w:color w:val="auto"/>
                <w:sz w:val="21"/>
                <w:szCs w:val="21"/>
                <w:highlight w:val="none"/>
              </w:rPr>
            </w:pPr>
          </w:p>
        </w:tc>
        <w:tc>
          <w:tcPr>
            <w:tcW w:w="615" w:type="dxa"/>
            <w:vAlign w:val="top"/>
          </w:tcPr>
          <w:p w14:paraId="272362FA">
            <w:pPr>
              <w:rPr>
                <w:rFonts w:hint="eastAsia" w:ascii="宋体" w:hAnsi="宋体" w:eastAsia="宋体" w:cs="宋体"/>
                <w:b w:val="0"/>
                <w:bCs w:val="0"/>
                <w:color w:val="auto"/>
                <w:sz w:val="21"/>
                <w:szCs w:val="21"/>
                <w:highlight w:val="none"/>
              </w:rPr>
            </w:pPr>
          </w:p>
        </w:tc>
      </w:tr>
      <w:tr w14:paraId="33B8A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645" w:type="dxa"/>
            <w:vAlign w:val="top"/>
          </w:tcPr>
          <w:p w14:paraId="4ED6A0AB">
            <w:pPr>
              <w:pStyle w:val="37"/>
              <w:spacing w:before="291" w:line="190" w:lineRule="auto"/>
              <w:ind w:left="238"/>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9"/>
                <w:sz w:val="21"/>
                <w:szCs w:val="21"/>
                <w:highlight w:val="none"/>
              </w:rPr>
              <w:t>18</w:t>
            </w:r>
          </w:p>
        </w:tc>
        <w:tc>
          <w:tcPr>
            <w:tcW w:w="3776" w:type="dxa"/>
            <w:vAlign w:val="top"/>
          </w:tcPr>
          <w:p w14:paraId="0CE00901">
            <w:pPr>
              <w:pStyle w:val="37"/>
              <w:spacing w:before="259" w:line="229" w:lineRule="auto"/>
              <w:ind w:left="1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pacing w:val="4"/>
                <w:sz w:val="21"/>
                <w:szCs w:val="21"/>
                <w:highlight w:val="none"/>
                <w:lang w:eastAsia="zh-CN"/>
              </w:rPr>
              <w:t>得分</w:t>
            </w:r>
          </w:p>
        </w:tc>
        <w:tc>
          <w:tcPr>
            <w:tcW w:w="567" w:type="dxa"/>
            <w:vAlign w:val="top"/>
          </w:tcPr>
          <w:p w14:paraId="7364EADB">
            <w:pPr>
              <w:rPr>
                <w:rFonts w:hint="eastAsia" w:ascii="宋体" w:hAnsi="宋体" w:eastAsia="宋体" w:cs="宋体"/>
                <w:b w:val="0"/>
                <w:bCs w:val="0"/>
                <w:color w:val="auto"/>
                <w:sz w:val="21"/>
                <w:szCs w:val="21"/>
                <w:highlight w:val="none"/>
              </w:rPr>
            </w:pPr>
          </w:p>
        </w:tc>
        <w:tc>
          <w:tcPr>
            <w:tcW w:w="3445" w:type="dxa"/>
            <w:vAlign w:val="top"/>
          </w:tcPr>
          <w:p w14:paraId="6D3A65B3">
            <w:pPr>
              <w:rPr>
                <w:rFonts w:hint="eastAsia" w:ascii="宋体" w:hAnsi="宋体" w:eastAsia="宋体" w:cs="宋体"/>
                <w:b w:val="0"/>
                <w:bCs w:val="0"/>
                <w:color w:val="auto"/>
                <w:sz w:val="21"/>
                <w:szCs w:val="21"/>
                <w:highlight w:val="none"/>
              </w:rPr>
            </w:pPr>
          </w:p>
        </w:tc>
        <w:tc>
          <w:tcPr>
            <w:tcW w:w="615" w:type="dxa"/>
            <w:vAlign w:val="top"/>
          </w:tcPr>
          <w:p w14:paraId="2464B960">
            <w:pPr>
              <w:rPr>
                <w:rFonts w:hint="eastAsia" w:ascii="宋体" w:hAnsi="宋体" w:eastAsia="宋体" w:cs="宋体"/>
                <w:b w:val="0"/>
                <w:bCs w:val="0"/>
                <w:color w:val="auto"/>
                <w:sz w:val="21"/>
                <w:szCs w:val="21"/>
                <w:highlight w:val="none"/>
              </w:rPr>
            </w:pPr>
          </w:p>
        </w:tc>
      </w:tr>
    </w:tbl>
    <w:p w14:paraId="30A14168">
      <w:pPr>
        <w:spacing w:line="91" w:lineRule="auto"/>
        <w:rPr>
          <w:rFonts w:ascii="Arial"/>
          <w:color w:val="auto"/>
          <w:sz w:val="2"/>
          <w:highlight w:val="none"/>
        </w:rPr>
      </w:pPr>
    </w:p>
    <w:p w14:paraId="6C5FADE3">
      <w:pPr>
        <w:pStyle w:val="2"/>
        <w:numPr>
          <w:ilvl w:val="0"/>
          <w:numId w:val="0"/>
        </w:numPr>
        <w:spacing w:line="360" w:lineRule="auto"/>
        <w:ind w:firstLine="420" w:firstLineChars="200"/>
        <w:rPr>
          <w:rFonts w:hint="eastAsia" w:ascii="宋体" w:hAnsi="宋体" w:eastAsia="宋体" w:cs="宋体"/>
          <w:b w:val="0"/>
          <w:bCs w:val="0"/>
          <w:color w:val="auto"/>
          <w:sz w:val="21"/>
          <w:szCs w:val="21"/>
          <w:highlight w:val="none"/>
          <w:lang w:val="en-US" w:eastAsia="zh-CN"/>
        </w:rPr>
      </w:pPr>
    </w:p>
    <w:p w14:paraId="3D8CB9AA">
      <w:pPr>
        <w:rPr>
          <w:rFonts w:hint="eastAsia" w:ascii="宋体" w:hAnsi="宋体" w:eastAsia="宋体" w:cs="宋体"/>
          <w:b w:val="0"/>
          <w:bCs w:val="0"/>
          <w:color w:val="auto"/>
          <w:sz w:val="21"/>
          <w:szCs w:val="21"/>
          <w:highlight w:val="none"/>
          <w:lang w:val="en-US" w:eastAsia="zh-CN"/>
        </w:rPr>
      </w:pPr>
    </w:p>
    <w:p w14:paraId="749651BC">
      <w:pPr>
        <w:pStyle w:val="2"/>
        <w:rPr>
          <w:rFonts w:hint="eastAsia" w:ascii="宋体" w:hAnsi="宋体" w:eastAsia="宋体" w:cs="宋体"/>
          <w:b w:val="0"/>
          <w:bCs w:val="0"/>
          <w:color w:val="auto"/>
          <w:sz w:val="21"/>
          <w:szCs w:val="21"/>
          <w:highlight w:val="none"/>
          <w:lang w:val="en-US" w:eastAsia="zh-CN"/>
        </w:rPr>
      </w:pPr>
    </w:p>
    <w:p w14:paraId="05801860">
      <w:pPr>
        <w:rPr>
          <w:rFonts w:hint="eastAsia" w:ascii="宋体" w:hAnsi="宋体" w:eastAsia="宋体" w:cs="宋体"/>
          <w:b w:val="0"/>
          <w:bCs w:val="0"/>
          <w:color w:val="auto"/>
          <w:sz w:val="21"/>
          <w:szCs w:val="21"/>
          <w:highlight w:val="none"/>
          <w:lang w:val="en-US" w:eastAsia="zh-CN"/>
        </w:rPr>
      </w:pPr>
    </w:p>
    <w:p w14:paraId="6895E099">
      <w:pPr>
        <w:pStyle w:val="2"/>
        <w:rPr>
          <w:rFonts w:hint="eastAsia"/>
          <w:color w:val="auto"/>
          <w:highlight w:val="none"/>
          <w:lang w:val="en-US" w:eastAsia="zh-CN"/>
        </w:rPr>
      </w:pPr>
    </w:p>
    <w:p w14:paraId="6109F0DB">
      <w:pPr>
        <w:rPr>
          <w:rFonts w:hint="eastAsia" w:ascii="宋体" w:hAnsi="宋体" w:eastAsia="宋体" w:cs="宋体"/>
          <w:b w:val="0"/>
          <w:bCs w:val="0"/>
          <w:color w:val="auto"/>
          <w:sz w:val="21"/>
          <w:szCs w:val="21"/>
          <w:highlight w:val="none"/>
          <w:lang w:val="en-US" w:eastAsia="zh-CN"/>
        </w:rPr>
      </w:pPr>
    </w:p>
    <w:p w14:paraId="0891CFA9">
      <w:pPr>
        <w:pStyle w:val="2"/>
        <w:rPr>
          <w:rFonts w:hint="eastAsia" w:ascii="宋体" w:hAnsi="宋体" w:eastAsia="宋体" w:cs="宋体"/>
          <w:b w:val="0"/>
          <w:bCs w:val="0"/>
          <w:color w:val="auto"/>
          <w:sz w:val="21"/>
          <w:szCs w:val="21"/>
          <w:highlight w:val="none"/>
          <w:lang w:val="en-US" w:eastAsia="zh-CN"/>
        </w:rPr>
      </w:pPr>
    </w:p>
    <w:p w14:paraId="7E5554C4">
      <w:pPr>
        <w:spacing w:line="360" w:lineRule="auto"/>
        <w:jc w:val="left"/>
        <w:rPr>
          <w:rFonts w:ascii="宋体" w:hAnsi="宋体" w:cs="黑体"/>
          <w:b/>
          <w:color w:val="auto"/>
          <w:szCs w:val="21"/>
          <w:highlight w:val="none"/>
        </w:rPr>
      </w:pPr>
      <w:r>
        <w:rPr>
          <w:rFonts w:hint="eastAsia" w:ascii="宋体" w:hAnsi="宋体" w:cs="黑体"/>
          <w:b/>
          <w:color w:val="auto"/>
          <w:szCs w:val="21"/>
          <w:highlight w:val="none"/>
        </w:rPr>
        <w:t>附件2：</w:t>
      </w:r>
    </w:p>
    <w:p w14:paraId="65836E9D">
      <w:pPr>
        <w:spacing w:line="360" w:lineRule="auto"/>
        <w:jc w:val="center"/>
        <w:rPr>
          <w:rFonts w:ascii="宋体" w:hAnsi="宋体" w:cs="方正小标宋简体"/>
          <w:b/>
          <w:bCs w:val="0"/>
          <w:color w:val="auto"/>
          <w:sz w:val="28"/>
          <w:szCs w:val="28"/>
          <w:highlight w:val="none"/>
        </w:rPr>
      </w:pPr>
      <w:r>
        <w:rPr>
          <w:rFonts w:hint="eastAsia" w:ascii="宋体" w:hAnsi="宋体" w:cs="方正小标宋简体"/>
          <w:b/>
          <w:bCs w:val="0"/>
          <w:color w:val="auto"/>
          <w:sz w:val="28"/>
          <w:szCs w:val="28"/>
          <w:highlight w:val="none"/>
        </w:rPr>
        <w:t>物业服务日常工作考核评分表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3"/>
        <w:gridCol w:w="2970"/>
        <w:gridCol w:w="552"/>
      </w:tblGrid>
      <w:tr w14:paraId="3836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53" w:type="dxa"/>
            <w:noWrap w:val="0"/>
            <w:vAlign w:val="center"/>
          </w:tcPr>
          <w:p w14:paraId="0BBD6794">
            <w:pPr>
              <w:spacing w:line="360" w:lineRule="auto"/>
              <w:jc w:val="center"/>
              <w:rPr>
                <w:rFonts w:ascii="宋体" w:hAnsi="宋体" w:cs="仿宋_GB2312"/>
                <w:bCs/>
                <w:snapToGrid w:val="0"/>
                <w:color w:val="auto"/>
                <w:kern w:val="0"/>
                <w:szCs w:val="21"/>
                <w:highlight w:val="none"/>
              </w:rPr>
            </w:pPr>
            <w:r>
              <w:rPr>
                <w:rFonts w:hint="eastAsia" w:ascii="宋体" w:hAnsi="宋体" w:cs="仿宋_GB2312"/>
                <w:bCs/>
                <w:snapToGrid w:val="0"/>
                <w:color w:val="auto"/>
                <w:kern w:val="0"/>
                <w:szCs w:val="21"/>
                <w:highlight w:val="none"/>
              </w:rPr>
              <w:t>考核检查内容</w:t>
            </w:r>
          </w:p>
        </w:tc>
        <w:tc>
          <w:tcPr>
            <w:tcW w:w="2970" w:type="dxa"/>
            <w:noWrap w:val="0"/>
            <w:vAlign w:val="center"/>
          </w:tcPr>
          <w:p w14:paraId="368B40A8">
            <w:pPr>
              <w:spacing w:line="360" w:lineRule="auto"/>
              <w:jc w:val="center"/>
              <w:rPr>
                <w:rFonts w:ascii="宋体" w:hAnsi="宋体" w:cs="仿宋_GB2312"/>
                <w:bCs/>
                <w:snapToGrid w:val="0"/>
                <w:color w:val="auto"/>
                <w:kern w:val="0"/>
                <w:szCs w:val="21"/>
                <w:highlight w:val="none"/>
              </w:rPr>
            </w:pPr>
            <w:r>
              <w:rPr>
                <w:rFonts w:hint="eastAsia" w:ascii="宋体" w:hAnsi="宋体" w:cs="仿宋_GB2312"/>
                <w:bCs/>
                <w:snapToGrid w:val="0"/>
                <w:color w:val="auto"/>
                <w:kern w:val="0"/>
                <w:szCs w:val="21"/>
                <w:highlight w:val="none"/>
              </w:rPr>
              <w:t>扣款额度</w:t>
            </w:r>
          </w:p>
        </w:tc>
        <w:tc>
          <w:tcPr>
            <w:tcW w:w="552" w:type="dxa"/>
            <w:noWrap w:val="0"/>
            <w:vAlign w:val="center"/>
          </w:tcPr>
          <w:p w14:paraId="02CE6D81">
            <w:pPr>
              <w:spacing w:line="360" w:lineRule="auto"/>
              <w:jc w:val="center"/>
              <w:rPr>
                <w:rFonts w:ascii="宋体" w:hAnsi="宋体" w:cs="仿宋_GB2312"/>
                <w:bCs/>
                <w:snapToGrid w:val="0"/>
                <w:color w:val="auto"/>
                <w:kern w:val="0"/>
                <w:szCs w:val="21"/>
                <w:highlight w:val="none"/>
              </w:rPr>
            </w:pPr>
            <w:r>
              <w:rPr>
                <w:rFonts w:hint="eastAsia" w:ascii="宋体" w:hAnsi="宋体" w:cs="仿宋_GB2312"/>
                <w:bCs/>
                <w:snapToGrid w:val="0"/>
                <w:color w:val="auto"/>
                <w:kern w:val="0"/>
                <w:szCs w:val="21"/>
                <w:highlight w:val="none"/>
              </w:rPr>
              <w:t>备注</w:t>
            </w:r>
          </w:p>
        </w:tc>
      </w:tr>
      <w:tr w14:paraId="1289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5653" w:type="dxa"/>
            <w:noWrap w:val="0"/>
            <w:vAlign w:val="center"/>
          </w:tcPr>
          <w:p w14:paraId="23F4E718">
            <w:pPr>
              <w:spacing w:line="360" w:lineRule="auto"/>
              <w:jc w:val="left"/>
              <w:rPr>
                <w:rFonts w:ascii="宋体" w:hAnsi="宋体" w:cs="仿宋_GB2312"/>
                <w:bCs/>
                <w:snapToGrid w:val="0"/>
                <w:color w:val="auto"/>
                <w:kern w:val="0"/>
                <w:szCs w:val="21"/>
                <w:highlight w:val="none"/>
              </w:rPr>
            </w:pPr>
            <w:r>
              <w:rPr>
                <w:rFonts w:hint="eastAsia" w:ascii="宋体" w:hAnsi="宋体" w:cs="仿宋_GB2312"/>
                <w:snapToGrid w:val="0"/>
                <w:color w:val="auto"/>
                <w:kern w:val="0"/>
                <w:szCs w:val="21"/>
                <w:highlight w:val="none"/>
              </w:rPr>
              <w:t>发生重大失责行为，造成严重后果者。</w:t>
            </w:r>
          </w:p>
        </w:tc>
        <w:tc>
          <w:tcPr>
            <w:tcW w:w="2970" w:type="dxa"/>
            <w:noWrap w:val="0"/>
            <w:vAlign w:val="center"/>
          </w:tcPr>
          <w:p w14:paraId="2E56E518">
            <w:pPr>
              <w:spacing w:line="360" w:lineRule="auto"/>
              <w:jc w:val="left"/>
              <w:rPr>
                <w:rFonts w:ascii="宋体" w:hAnsi="宋体" w:cs="仿宋_GB2312"/>
                <w:bCs/>
                <w:snapToGrid w:val="0"/>
                <w:color w:val="auto"/>
                <w:kern w:val="0"/>
                <w:szCs w:val="21"/>
                <w:highlight w:val="none"/>
              </w:rPr>
            </w:pPr>
            <w:r>
              <w:rPr>
                <w:rFonts w:hint="eastAsia" w:ascii="宋体" w:hAnsi="宋体" w:cs="仿宋_GB2312"/>
                <w:snapToGrid w:val="0"/>
                <w:color w:val="auto"/>
                <w:kern w:val="0"/>
                <w:szCs w:val="21"/>
                <w:highlight w:val="none"/>
              </w:rPr>
              <w:t>每次扣款10000元。</w:t>
            </w:r>
          </w:p>
        </w:tc>
        <w:tc>
          <w:tcPr>
            <w:tcW w:w="552" w:type="dxa"/>
            <w:noWrap w:val="0"/>
            <w:vAlign w:val="center"/>
          </w:tcPr>
          <w:p w14:paraId="12C2EE38">
            <w:pPr>
              <w:spacing w:line="360" w:lineRule="auto"/>
              <w:rPr>
                <w:rFonts w:ascii="宋体" w:hAnsi="宋体" w:cs="仿宋_GB2312"/>
                <w:bCs/>
                <w:snapToGrid w:val="0"/>
                <w:color w:val="auto"/>
                <w:kern w:val="0"/>
                <w:szCs w:val="21"/>
                <w:highlight w:val="none"/>
              </w:rPr>
            </w:pPr>
          </w:p>
        </w:tc>
      </w:tr>
      <w:tr w14:paraId="7BE4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53" w:type="dxa"/>
            <w:noWrap w:val="0"/>
            <w:vAlign w:val="center"/>
          </w:tcPr>
          <w:p w14:paraId="03F929B4">
            <w:pPr>
              <w:spacing w:line="360" w:lineRule="auto"/>
              <w:jc w:val="left"/>
              <w:rPr>
                <w:rFonts w:ascii="宋体" w:hAnsi="宋体" w:cs="仿宋_GB2312"/>
                <w:bCs/>
                <w:snapToGrid w:val="0"/>
                <w:color w:val="auto"/>
                <w:kern w:val="0"/>
                <w:szCs w:val="21"/>
                <w:highlight w:val="none"/>
              </w:rPr>
            </w:pPr>
            <w:r>
              <w:rPr>
                <w:rFonts w:hint="eastAsia" w:ascii="宋体" w:hAnsi="宋体" w:cs="仿宋_GB2312"/>
                <w:snapToGrid w:val="0"/>
                <w:color w:val="auto"/>
                <w:kern w:val="0"/>
                <w:szCs w:val="21"/>
                <w:highlight w:val="none"/>
              </w:rPr>
              <w:t>物业服务人员服务态度端正，佩戴明显标志（工作牌），穿工作服，讲文明礼貌用语、服从和接受采购人的管理和检查。</w:t>
            </w:r>
          </w:p>
        </w:tc>
        <w:tc>
          <w:tcPr>
            <w:tcW w:w="2970" w:type="dxa"/>
            <w:noWrap w:val="0"/>
            <w:vAlign w:val="center"/>
          </w:tcPr>
          <w:p w14:paraId="71CF261B">
            <w:pPr>
              <w:spacing w:line="360" w:lineRule="auto"/>
              <w:jc w:val="left"/>
              <w:rPr>
                <w:rFonts w:ascii="宋体" w:hAnsi="宋体" w:cs="仿宋_GB2312"/>
                <w:bCs/>
                <w:snapToGrid w:val="0"/>
                <w:color w:val="auto"/>
                <w:kern w:val="0"/>
                <w:szCs w:val="21"/>
                <w:highlight w:val="none"/>
              </w:rPr>
            </w:pPr>
            <w:r>
              <w:rPr>
                <w:rFonts w:hint="eastAsia" w:ascii="宋体" w:hAnsi="宋体" w:cs="仿宋_GB2312"/>
                <w:snapToGrid w:val="0"/>
                <w:color w:val="auto"/>
                <w:kern w:val="0"/>
                <w:szCs w:val="21"/>
                <w:highlight w:val="none"/>
              </w:rPr>
              <w:t>每发现一次不合格者扣款50元。</w:t>
            </w:r>
          </w:p>
        </w:tc>
        <w:tc>
          <w:tcPr>
            <w:tcW w:w="552" w:type="dxa"/>
            <w:noWrap w:val="0"/>
            <w:vAlign w:val="center"/>
          </w:tcPr>
          <w:p w14:paraId="3DFB9FD3">
            <w:pPr>
              <w:spacing w:line="360" w:lineRule="auto"/>
              <w:rPr>
                <w:rFonts w:ascii="宋体" w:hAnsi="宋体" w:cs="仿宋_GB2312"/>
                <w:bCs/>
                <w:snapToGrid w:val="0"/>
                <w:color w:val="auto"/>
                <w:kern w:val="0"/>
                <w:szCs w:val="21"/>
                <w:highlight w:val="none"/>
              </w:rPr>
            </w:pPr>
          </w:p>
        </w:tc>
      </w:tr>
      <w:tr w14:paraId="6986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53" w:type="dxa"/>
            <w:noWrap w:val="0"/>
            <w:vAlign w:val="center"/>
          </w:tcPr>
          <w:p w14:paraId="36FF5B66">
            <w:pPr>
              <w:spacing w:line="360" w:lineRule="auto"/>
              <w:jc w:val="left"/>
              <w:rPr>
                <w:rFonts w:ascii="宋体" w:hAnsi="宋体" w:cs="仿宋_GB2312"/>
                <w:bCs/>
                <w:snapToGrid w:val="0"/>
                <w:color w:val="auto"/>
                <w:kern w:val="0"/>
                <w:szCs w:val="21"/>
                <w:highlight w:val="none"/>
              </w:rPr>
            </w:pPr>
            <w:r>
              <w:rPr>
                <w:rFonts w:hint="eastAsia" w:ascii="宋体" w:hAnsi="宋体" w:cs="仿宋_GB2312"/>
                <w:snapToGrid w:val="0"/>
                <w:color w:val="auto"/>
                <w:kern w:val="0"/>
                <w:szCs w:val="21"/>
                <w:highlight w:val="none"/>
                <w:lang w:eastAsia="zh-CN"/>
              </w:rPr>
              <w:t>保安</w:t>
            </w:r>
            <w:r>
              <w:rPr>
                <w:rFonts w:hint="eastAsia" w:ascii="宋体" w:hAnsi="宋体" w:cs="仿宋_GB2312"/>
                <w:snapToGrid w:val="0"/>
                <w:color w:val="auto"/>
                <w:kern w:val="0"/>
                <w:szCs w:val="21"/>
                <w:highlight w:val="none"/>
              </w:rPr>
              <w:t>人员务必坚守岗位严禁脱岗，值班（上班）时间喝酒睡觉、擅离岗位者</w:t>
            </w:r>
            <w:r>
              <w:rPr>
                <w:rFonts w:hint="eastAsia" w:ascii="宋体" w:hAnsi="宋体"/>
                <w:snapToGrid w:val="0"/>
                <w:color w:val="auto"/>
                <w:kern w:val="0"/>
                <w:szCs w:val="21"/>
                <w:highlight w:val="none"/>
              </w:rPr>
              <w:t>。</w:t>
            </w:r>
          </w:p>
        </w:tc>
        <w:tc>
          <w:tcPr>
            <w:tcW w:w="2970" w:type="dxa"/>
            <w:noWrap w:val="0"/>
            <w:vAlign w:val="center"/>
          </w:tcPr>
          <w:p w14:paraId="7AD7D440">
            <w:pPr>
              <w:spacing w:line="360" w:lineRule="auto"/>
              <w:jc w:val="left"/>
              <w:rPr>
                <w:rFonts w:ascii="宋体" w:hAnsi="宋体" w:cs="仿宋_GB2312"/>
                <w:bCs/>
                <w:snapToGrid w:val="0"/>
                <w:color w:val="auto"/>
                <w:kern w:val="0"/>
                <w:szCs w:val="21"/>
                <w:highlight w:val="none"/>
              </w:rPr>
            </w:pPr>
            <w:r>
              <w:rPr>
                <w:rFonts w:hint="eastAsia" w:ascii="宋体" w:hAnsi="宋体" w:cs="仿宋_GB2312"/>
                <w:snapToGrid w:val="0"/>
                <w:color w:val="auto"/>
                <w:kern w:val="0"/>
                <w:szCs w:val="21"/>
                <w:highlight w:val="none"/>
              </w:rPr>
              <w:t>每发现一次不合格者扣款100元。</w:t>
            </w:r>
          </w:p>
        </w:tc>
        <w:tc>
          <w:tcPr>
            <w:tcW w:w="552" w:type="dxa"/>
            <w:noWrap w:val="0"/>
            <w:vAlign w:val="center"/>
          </w:tcPr>
          <w:p w14:paraId="4D636FEE">
            <w:pPr>
              <w:spacing w:line="360" w:lineRule="auto"/>
              <w:rPr>
                <w:rFonts w:ascii="宋体" w:hAnsi="宋体" w:cs="仿宋_GB2312"/>
                <w:bCs/>
                <w:snapToGrid w:val="0"/>
                <w:color w:val="auto"/>
                <w:kern w:val="0"/>
                <w:szCs w:val="21"/>
                <w:highlight w:val="none"/>
              </w:rPr>
            </w:pPr>
          </w:p>
        </w:tc>
      </w:tr>
      <w:tr w14:paraId="2786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53" w:type="dxa"/>
            <w:noWrap w:val="0"/>
            <w:vAlign w:val="center"/>
          </w:tcPr>
          <w:p w14:paraId="53C2523E">
            <w:pPr>
              <w:spacing w:line="360" w:lineRule="auto"/>
              <w:jc w:val="left"/>
              <w:rPr>
                <w:rFonts w:ascii="宋体" w:hAnsi="宋体" w:cs="仿宋_GB2312"/>
                <w:bCs/>
                <w:snapToGrid w:val="0"/>
                <w:color w:val="auto"/>
                <w:kern w:val="0"/>
                <w:szCs w:val="21"/>
                <w:highlight w:val="none"/>
              </w:rPr>
            </w:pPr>
            <w:r>
              <w:rPr>
                <w:rFonts w:hint="eastAsia" w:ascii="宋体" w:hAnsi="宋体" w:cs="仿宋_GB2312"/>
                <w:snapToGrid w:val="0"/>
                <w:color w:val="auto"/>
                <w:kern w:val="0"/>
                <w:szCs w:val="21"/>
                <w:highlight w:val="none"/>
                <w:lang w:eastAsia="zh-CN"/>
              </w:rPr>
              <w:t>提供保安服务时</w:t>
            </w:r>
            <w:r>
              <w:rPr>
                <w:rFonts w:hint="eastAsia" w:ascii="宋体" w:hAnsi="宋体" w:cs="仿宋_GB2312"/>
                <w:snapToGrid w:val="0"/>
                <w:color w:val="auto"/>
                <w:kern w:val="0"/>
                <w:szCs w:val="21"/>
                <w:highlight w:val="none"/>
              </w:rPr>
              <w:t>不准嬉笑打闹，不准看书、看报或进行其他与值班无关的事。</w:t>
            </w:r>
          </w:p>
        </w:tc>
        <w:tc>
          <w:tcPr>
            <w:tcW w:w="2970" w:type="dxa"/>
            <w:noWrap w:val="0"/>
            <w:vAlign w:val="center"/>
          </w:tcPr>
          <w:p w14:paraId="5BE3F8A7">
            <w:pPr>
              <w:spacing w:line="360" w:lineRule="auto"/>
              <w:jc w:val="left"/>
              <w:rPr>
                <w:rFonts w:ascii="宋体" w:hAnsi="宋体" w:cs="仿宋_GB2312"/>
                <w:bCs/>
                <w:snapToGrid w:val="0"/>
                <w:color w:val="auto"/>
                <w:kern w:val="0"/>
                <w:szCs w:val="21"/>
                <w:highlight w:val="none"/>
              </w:rPr>
            </w:pPr>
            <w:r>
              <w:rPr>
                <w:rFonts w:hint="eastAsia" w:ascii="宋体" w:hAnsi="宋体" w:cs="仿宋_GB2312"/>
                <w:snapToGrid w:val="0"/>
                <w:color w:val="auto"/>
                <w:kern w:val="0"/>
                <w:szCs w:val="21"/>
                <w:highlight w:val="none"/>
              </w:rPr>
              <w:t>每发现一次不合格者扣款50元。</w:t>
            </w:r>
          </w:p>
        </w:tc>
        <w:tc>
          <w:tcPr>
            <w:tcW w:w="552" w:type="dxa"/>
            <w:noWrap w:val="0"/>
            <w:vAlign w:val="center"/>
          </w:tcPr>
          <w:p w14:paraId="29AEC6CA">
            <w:pPr>
              <w:spacing w:line="360" w:lineRule="auto"/>
              <w:rPr>
                <w:rFonts w:ascii="宋体" w:hAnsi="宋体" w:cs="仿宋_GB2312"/>
                <w:bCs/>
                <w:snapToGrid w:val="0"/>
                <w:color w:val="auto"/>
                <w:kern w:val="0"/>
                <w:szCs w:val="21"/>
                <w:highlight w:val="none"/>
              </w:rPr>
            </w:pPr>
          </w:p>
        </w:tc>
      </w:tr>
      <w:tr w14:paraId="6F6B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53" w:type="dxa"/>
            <w:noWrap w:val="0"/>
            <w:vAlign w:val="center"/>
          </w:tcPr>
          <w:p w14:paraId="5DDE27E4">
            <w:pPr>
              <w:spacing w:line="360" w:lineRule="auto"/>
              <w:jc w:val="left"/>
              <w:rPr>
                <w:rFonts w:ascii="宋体" w:hAnsi="宋体" w:cs="仿宋_GB2312"/>
                <w:bCs/>
                <w:snapToGrid w:val="0"/>
                <w:color w:val="auto"/>
                <w:kern w:val="0"/>
                <w:szCs w:val="21"/>
                <w:highlight w:val="none"/>
              </w:rPr>
            </w:pPr>
            <w:r>
              <w:rPr>
                <w:rFonts w:hint="eastAsia" w:ascii="宋体" w:hAnsi="宋体" w:cs="仿宋_GB2312"/>
                <w:snapToGrid w:val="0"/>
                <w:color w:val="auto"/>
                <w:kern w:val="0"/>
                <w:szCs w:val="21"/>
                <w:highlight w:val="none"/>
                <w:lang w:eastAsia="zh-CN"/>
              </w:rPr>
              <w:t>提供保安服务时</w:t>
            </w:r>
            <w:r>
              <w:rPr>
                <w:rFonts w:hint="eastAsia" w:ascii="宋体" w:hAnsi="宋体" w:cs="仿宋_GB2312"/>
                <w:snapToGrid w:val="0"/>
                <w:color w:val="auto"/>
                <w:kern w:val="0"/>
                <w:szCs w:val="21"/>
                <w:highlight w:val="none"/>
              </w:rPr>
              <w:t>出现打架、斗殴、寻衅滋事的事件发生；出现盗窃和人为破坏行为。</w:t>
            </w:r>
          </w:p>
        </w:tc>
        <w:tc>
          <w:tcPr>
            <w:tcW w:w="2970" w:type="dxa"/>
            <w:noWrap w:val="0"/>
            <w:vAlign w:val="center"/>
          </w:tcPr>
          <w:p w14:paraId="733B3532">
            <w:pPr>
              <w:spacing w:line="360" w:lineRule="auto"/>
              <w:jc w:val="left"/>
              <w:rPr>
                <w:rFonts w:ascii="宋体" w:hAnsi="宋体" w:cs="仿宋_GB2312"/>
                <w:bCs/>
                <w:snapToGrid w:val="0"/>
                <w:color w:val="auto"/>
                <w:kern w:val="0"/>
                <w:szCs w:val="21"/>
                <w:highlight w:val="none"/>
              </w:rPr>
            </w:pPr>
            <w:r>
              <w:rPr>
                <w:rFonts w:hint="eastAsia" w:ascii="宋体" w:hAnsi="宋体" w:cs="仿宋_GB2312"/>
                <w:snapToGrid w:val="0"/>
                <w:color w:val="auto"/>
                <w:kern w:val="0"/>
                <w:szCs w:val="21"/>
                <w:highlight w:val="none"/>
              </w:rPr>
              <w:t>每发现一次扣款500元。</w:t>
            </w:r>
          </w:p>
        </w:tc>
        <w:tc>
          <w:tcPr>
            <w:tcW w:w="552" w:type="dxa"/>
            <w:noWrap w:val="0"/>
            <w:vAlign w:val="center"/>
          </w:tcPr>
          <w:p w14:paraId="3DEA54D6">
            <w:pPr>
              <w:spacing w:line="360" w:lineRule="auto"/>
              <w:rPr>
                <w:rFonts w:ascii="宋体" w:hAnsi="宋体" w:cs="仿宋_GB2312"/>
                <w:bCs/>
                <w:snapToGrid w:val="0"/>
                <w:color w:val="auto"/>
                <w:kern w:val="0"/>
                <w:szCs w:val="21"/>
                <w:highlight w:val="none"/>
              </w:rPr>
            </w:pPr>
          </w:p>
        </w:tc>
      </w:tr>
      <w:tr w14:paraId="7F3E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53" w:type="dxa"/>
            <w:noWrap w:val="0"/>
            <w:vAlign w:val="center"/>
          </w:tcPr>
          <w:p w14:paraId="62D7E25D">
            <w:pPr>
              <w:spacing w:line="360" w:lineRule="auto"/>
              <w:jc w:val="left"/>
              <w:rPr>
                <w:rFonts w:ascii="宋体" w:hAnsi="宋体" w:cs="仿宋_GB2312"/>
                <w:bCs/>
                <w:snapToGrid w:val="0"/>
                <w:color w:val="auto"/>
                <w:kern w:val="0"/>
                <w:szCs w:val="21"/>
                <w:highlight w:val="none"/>
              </w:rPr>
            </w:pPr>
            <w:r>
              <w:rPr>
                <w:rFonts w:hint="eastAsia" w:ascii="宋体" w:hAnsi="宋体" w:cs="仿宋_GB2312"/>
                <w:snapToGrid w:val="0"/>
                <w:color w:val="auto"/>
                <w:kern w:val="0"/>
                <w:szCs w:val="21"/>
                <w:highlight w:val="none"/>
              </w:rPr>
              <w:t>消防设备、器材和消防安全标志是否在位，状态是否良好，发现破损应及时上报。</w:t>
            </w:r>
          </w:p>
        </w:tc>
        <w:tc>
          <w:tcPr>
            <w:tcW w:w="2970" w:type="dxa"/>
            <w:noWrap w:val="0"/>
            <w:vAlign w:val="center"/>
          </w:tcPr>
          <w:p w14:paraId="26BA062C">
            <w:pPr>
              <w:spacing w:line="360" w:lineRule="auto"/>
              <w:jc w:val="left"/>
              <w:rPr>
                <w:rFonts w:ascii="宋体" w:hAnsi="宋体" w:cs="仿宋_GB2312"/>
                <w:bCs/>
                <w:snapToGrid w:val="0"/>
                <w:color w:val="auto"/>
                <w:kern w:val="0"/>
                <w:szCs w:val="21"/>
                <w:highlight w:val="none"/>
              </w:rPr>
            </w:pPr>
            <w:r>
              <w:rPr>
                <w:rFonts w:hint="eastAsia" w:ascii="宋体" w:hAnsi="宋体" w:cs="仿宋_GB2312"/>
                <w:snapToGrid w:val="0"/>
                <w:color w:val="auto"/>
                <w:kern w:val="0"/>
                <w:szCs w:val="21"/>
                <w:highlight w:val="none"/>
              </w:rPr>
              <w:t>每发现一次不合格者扣款100元。</w:t>
            </w:r>
          </w:p>
        </w:tc>
        <w:tc>
          <w:tcPr>
            <w:tcW w:w="552" w:type="dxa"/>
            <w:noWrap w:val="0"/>
            <w:vAlign w:val="center"/>
          </w:tcPr>
          <w:p w14:paraId="20595254">
            <w:pPr>
              <w:spacing w:line="360" w:lineRule="auto"/>
              <w:rPr>
                <w:rFonts w:ascii="宋体" w:hAnsi="宋体" w:cs="仿宋_GB2312"/>
                <w:bCs/>
                <w:snapToGrid w:val="0"/>
                <w:color w:val="auto"/>
                <w:kern w:val="0"/>
                <w:szCs w:val="21"/>
                <w:highlight w:val="none"/>
              </w:rPr>
            </w:pPr>
          </w:p>
        </w:tc>
      </w:tr>
      <w:tr w14:paraId="11FA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53" w:type="dxa"/>
            <w:noWrap w:val="0"/>
            <w:vAlign w:val="center"/>
          </w:tcPr>
          <w:p w14:paraId="650B93EA">
            <w:pPr>
              <w:spacing w:line="360" w:lineRule="auto"/>
              <w:jc w:val="left"/>
              <w:rPr>
                <w:rFonts w:ascii="宋体" w:hAnsi="宋体" w:cs="仿宋_GB2312"/>
                <w:bCs/>
                <w:snapToGrid w:val="0"/>
                <w:color w:val="auto"/>
                <w:kern w:val="0"/>
                <w:szCs w:val="21"/>
                <w:highlight w:val="none"/>
              </w:rPr>
            </w:pPr>
            <w:r>
              <w:rPr>
                <w:rFonts w:hint="eastAsia" w:ascii="宋体" w:hAnsi="宋体" w:cs="仿宋_GB2312"/>
                <w:snapToGrid w:val="0"/>
                <w:color w:val="auto"/>
                <w:kern w:val="0"/>
                <w:szCs w:val="21"/>
                <w:highlight w:val="none"/>
              </w:rPr>
              <w:t>安全通道无违规占用、无杂物堆放等现象。</w:t>
            </w:r>
          </w:p>
        </w:tc>
        <w:tc>
          <w:tcPr>
            <w:tcW w:w="2970" w:type="dxa"/>
            <w:noWrap w:val="0"/>
            <w:vAlign w:val="center"/>
          </w:tcPr>
          <w:p w14:paraId="2EBE6C2D">
            <w:pPr>
              <w:spacing w:line="360" w:lineRule="auto"/>
              <w:jc w:val="left"/>
              <w:rPr>
                <w:rFonts w:ascii="宋体" w:hAnsi="宋体" w:cs="仿宋_GB2312"/>
                <w:bCs/>
                <w:snapToGrid w:val="0"/>
                <w:color w:val="auto"/>
                <w:kern w:val="0"/>
                <w:szCs w:val="21"/>
                <w:highlight w:val="none"/>
              </w:rPr>
            </w:pPr>
            <w:r>
              <w:rPr>
                <w:rFonts w:hint="eastAsia" w:ascii="宋体" w:hAnsi="宋体" w:cs="仿宋_GB2312"/>
                <w:snapToGrid w:val="0"/>
                <w:color w:val="auto"/>
                <w:kern w:val="0"/>
                <w:szCs w:val="21"/>
                <w:highlight w:val="none"/>
              </w:rPr>
              <w:t>每发现一次不合格者扣款100元。</w:t>
            </w:r>
          </w:p>
        </w:tc>
        <w:tc>
          <w:tcPr>
            <w:tcW w:w="552" w:type="dxa"/>
            <w:noWrap w:val="0"/>
            <w:vAlign w:val="center"/>
          </w:tcPr>
          <w:p w14:paraId="0B0D5755">
            <w:pPr>
              <w:spacing w:line="360" w:lineRule="auto"/>
              <w:rPr>
                <w:rFonts w:ascii="宋体" w:hAnsi="宋体" w:cs="仿宋_GB2312"/>
                <w:bCs/>
                <w:snapToGrid w:val="0"/>
                <w:color w:val="auto"/>
                <w:kern w:val="0"/>
                <w:szCs w:val="21"/>
                <w:highlight w:val="none"/>
              </w:rPr>
            </w:pPr>
          </w:p>
        </w:tc>
      </w:tr>
      <w:tr w14:paraId="6A46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53" w:type="dxa"/>
            <w:noWrap w:val="0"/>
            <w:vAlign w:val="center"/>
          </w:tcPr>
          <w:p w14:paraId="2759C964">
            <w:pPr>
              <w:spacing w:line="360" w:lineRule="auto"/>
              <w:jc w:val="left"/>
              <w:rPr>
                <w:rFonts w:ascii="宋体" w:hAnsi="宋体" w:cs="仿宋_GB2312"/>
                <w:bCs/>
                <w:snapToGrid w:val="0"/>
                <w:color w:val="auto"/>
                <w:kern w:val="0"/>
                <w:szCs w:val="21"/>
                <w:highlight w:val="none"/>
              </w:rPr>
            </w:pPr>
            <w:r>
              <w:rPr>
                <w:rFonts w:hint="eastAsia" w:ascii="宋体" w:hAnsi="宋体" w:cs="仿宋_GB2312"/>
                <w:snapToGrid w:val="0"/>
                <w:color w:val="auto"/>
                <w:kern w:val="0"/>
                <w:szCs w:val="21"/>
                <w:highlight w:val="none"/>
              </w:rPr>
              <w:t>闲杂人员进入大楼，院内车辆乱停乱放，不及时制止者。</w:t>
            </w:r>
          </w:p>
        </w:tc>
        <w:tc>
          <w:tcPr>
            <w:tcW w:w="2970" w:type="dxa"/>
            <w:noWrap w:val="0"/>
            <w:vAlign w:val="center"/>
          </w:tcPr>
          <w:p w14:paraId="7C314291">
            <w:pPr>
              <w:spacing w:line="360" w:lineRule="auto"/>
              <w:jc w:val="left"/>
              <w:rPr>
                <w:rFonts w:ascii="宋体" w:hAnsi="宋体" w:cs="仿宋_GB2312"/>
                <w:bCs/>
                <w:snapToGrid w:val="0"/>
                <w:color w:val="auto"/>
                <w:kern w:val="0"/>
                <w:szCs w:val="21"/>
                <w:highlight w:val="none"/>
              </w:rPr>
            </w:pPr>
            <w:r>
              <w:rPr>
                <w:rFonts w:hint="eastAsia" w:ascii="宋体" w:hAnsi="宋体" w:cs="仿宋_GB2312"/>
                <w:snapToGrid w:val="0"/>
                <w:color w:val="auto"/>
                <w:kern w:val="0"/>
                <w:szCs w:val="21"/>
                <w:highlight w:val="none"/>
              </w:rPr>
              <w:t>每发现一次扣款50元。</w:t>
            </w:r>
          </w:p>
        </w:tc>
        <w:tc>
          <w:tcPr>
            <w:tcW w:w="552" w:type="dxa"/>
            <w:noWrap w:val="0"/>
            <w:vAlign w:val="center"/>
          </w:tcPr>
          <w:p w14:paraId="6BA83E22">
            <w:pPr>
              <w:spacing w:line="360" w:lineRule="auto"/>
              <w:rPr>
                <w:rFonts w:ascii="宋体" w:hAnsi="宋体" w:cs="仿宋_GB2312"/>
                <w:bCs/>
                <w:snapToGrid w:val="0"/>
                <w:color w:val="auto"/>
                <w:kern w:val="0"/>
                <w:szCs w:val="21"/>
                <w:highlight w:val="none"/>
              </w:rPr>
            </w:pPr>
          </w:p>
        </w:tc>
      </w:tr>
      <w:tr w14:paraId="59DE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53" w:type="dxa"/>
            <w:noWrap w:val="0"/>
            <w:vAlign w:val="center"/>
          </w:tcPr>
          <w:p w14:paraId="010C9AC2">
            <w:pPr>
              <w:spacing w:line="360" w:lineRule="auto"/>
              <w:jc w:val="left"/>
              <w:rPr>
                <w:rFonts w:ascii="宋体" w:hAnsi="宋体" w:cs="仿宋_GB2312"/>
                <w:bCs/>
                <w:snapToGrid w:val="0"/>
                <w:color w:val="auto"/>
                <w:kern w:val="0"/>
                <w:szCs w:val="21"/>
                <w:highlight w:val="none"/>
              </w:rPr>
            </w:pPr>
            <w:r>
              <w:rPr>
                <w:rFonts w:hint="eastAsia" w:ascii="宋体" w:hAnsi="宋体" w:cs="仿宋_GB2312"/>
                <w:snapToGrid w:val="0"/>
                <w:color w:val="auto"/>
                <w:kern w:val="0"/>
                <w:szCs w:val="21"/>
                <w:highlight w:val="none"/>
              </w:rPr>
              <w:t>建筑物内公共楼道、步行梯、电梯间、卫生间、大堂、门厅、会议室保洁及时、无死角。</w:t>
            </w:r>
          </w:p>
        </w:tc>
        <w:tc>
          <w:tcPr>
            <w:tcW w:w="2970" w:type="dxa"/>
            <w:noWrap w:val="0"/>
            <w:vAlign w:val="center"/>
          </w:tcPr>
          <w:p w14:paraId="4F5342F1">
            <w:pPr>
              <w:spacing w:line="360" w:lineRule="auto"/>
              <w:jc w:val="left"/>
              <w:rPr>
                <w:rFonts w:ascii="宋体" w:hAnsi="宋体" w:cs="仿宋_GB2312"/>
                <w:bCs/>
                <w:snapToGrid w:val="0"/>
                <w:color w:val="auto"/>
                <w:kern w:val="0"/>
                <w:szCs w:val="21"/>
                <w:highlight w:val="none"/>
              </w:rPr>
            </w:pPr>
            <w:r>
              <w:rPr>
                <w:rFonts w:hint="eastAsia" w:ascii="宋体" w:hAnsi="宋体" w:cs="仿宋_GB2312"/>
                <w:snapToGrid w:val="0"/>
                <w:color w:val="auto"/>
                <w:kern w:val="0"/>
                <w:szCs w:val="21"/>
                <w:highlight w:val="none"/>
              </w:rPr>
              <w:t>每发现一次不合格者扣款100元。</w:t>
            </w:r>
          </w:p>
        </w:tc>
        <w:tc>
          <w:tcPr>
            <w:tcW w:w="552" w:type="dxa"/>
            <w:noWrap w:val="0"/>
            <w:vAlign w:val="center"/>
          </w:tcPr>
          <w:p w14:paraId="5A53E475">
            <w:pPr>
              <w:spacing w:line="360" w:lineRule="auto"/>
              <w:rPr>
                <w:rFonts w:ascii="宋体" w:hAnsi="宋体" w:cs="仿宋_GB2312"/>
                <w:bCs/>
                <w:snapToGrid w:val="0"/>
                <w:color w:val="auto"/>
                <w:kern w:val="0"/>
                <w:szCs w:val="21"/>
                <w:highlight w:val="none"/>
              </w:rPr>
            </w:pPr>
          </w:p>
        </w:tc>
      </w:tr>
      <w:tr w14:paraId="496B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5653" w:type="dxa"/>
            <w:noWrap w:val="0"/>
            <w:vAlign w:val="center"/>
          </w:tcPr>
          <w:p w14:paraId="6102AAB2">
            <w:pPr>
              <w:spacing w:line="360" w:lineRule="auto"/>
              <w:jc w:val="left"/>
              <w:rPr>
                <w:rFonts w:ascii="宋体" w:hAnsi="宋体" w:cs="仿宋_GB2312"/>
                <w:bCs/>
                <w:snapToGrid w:val="0"/>
                <w:color w:val="auto"/>
                <w:kern w:val="0"/>
                <w:szCs w:val="21"/>
                <w:highlight w:val="none"/>
              </w:rPr>
            </w:pPr>
            <w:r>
              <w:rPr>
                <w:rFonts w:hint="eastAsia" w:ascii="宋体" w:hAnsi="宋体" w:cs="仿宋_GB2312"/>
                <w:snapToGrid w:val="0"/>
                <w:color w:val="auto"/>
                <w:kern w:val="0"/>
                <w:szCs w:val="21"/>
                <w:highlight w:val="none"/>
              </w:rPr>
              <w:t>大楼外观完好、整洁，外墙、路面、绿地、散水坡、停车场、池塘、楼梯入口台阶保洁及时、无死角。</w:t>
            </w:r>
          </w:p>
        </w:tc>
        <w:tc>
          <w:tcPr>
            <w:tcW w:w="2970" w:type="dxa"/>
            <w:noWrap w:val="0"/>
            <w:vAlign w:val="center"/>
          </w:tcPr>
          <w:p w14:paraId="53AE89A1">
            <w:pPr>
              <w:spacing w:line="360" w:lineRule="auto"/>
              <w:jc w:val="left"/>
              <w:rPr>
                <w:rFonts w:ascii="宋体" w:hAnsi="宋体" w:cs="仿宋_GB2312"/>
                <w:bCs/>
                <w:snapToGrid w:val="0"/>
                <w:color w:val="auto"/>
                <w:kern w:val="0"/>
                <w:szCs w:val="21"/>
                <w:highlight w:val="none"/>
              </w:rPr>
            </w:pPr>
            <w:r>
              <w:rPr>
                <w:rFonts w:hint="eastAsia" w:ascii="宋体" w:hAnsi="宋体" w:cs="仿宋_GB2312"/>
                <w:snapToGrid w:val="0"/>
                <w:color w:val="auto"/>
                <w:kern w:val="0"/>
                <w:szCs w:val="21"/>
                <w:highlight w:val="none"/>
              </w:rPr>
              <w:t>每发现一次不合格者扣款100元。</w:t>
            </w:r>
          </w:p>
        </w:tc>
        <w:tc>
          <w:tcPr>
            <w:tcW w:w="552" w:type="dxa"/>
            <w:noWrap w:val="0"/>
            <w:vAlign w:val="center"/>
          </w:tcPr>
          <w:p w14:paraId="0E01F455">
            <w:pPr>
              <w:spacing w:line="360" w:lineRule="auto"/>
              <w:rPr>
                <w:rFonts w:ascii="宋体" w:hAnsi="宋体" w:cs="仿宋_GB2312"/>
                <w:bCs/>
                <w:snapToGrid w:val="0"/>
                <w:color w:val="auto"/>
                <w:kern w:val="0"/>
                <w:szCs w:val="21"/>
                <w:highlight w:val="none"/>
              </w:rPr>
            </w:pPr>
          </w:p>
        </w:tc>
      </w:tr>
      <w:tr w14:paraId="1DA7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53" w:type="dxa"/>
            <w:noWrap w:val="0"/>
            <w:vAlign w:val="center"/>
          </w:tcPr>
          <w:p w14:paraId="02A93153">
            <w:pPr>
              <w:spacing w:line="360" w:lineRule="auto"/>
              <w:jc w:val="left"/>
              <w:rPr>
                <w:rFonts w:ascii="宋体" w:hAnsi="宋体" w:cs="仿宋_GB2312"/>
                <w:bCs/>
                <w:snapToGrid w:val="0"/>
                <w:color w:val="auto"/>
                <w:kern w:val="0"/>
                <w:szCs w:val="21"/>
                <w:highlight w:val="none"/>
              </w:rPr>
            </w:pPr>
            <w:r>
              <w:rPr>
                <w:rFonts w:hint="eastAsia" w:ascii="宋体" w:hAnsi="宋体" w:cs="仿宋_GB2312"/>
                <w:snapToGrid w:val="0"/>
                <w:color w:val="auto"/>
                <w:kern w:val="0"/>
                <w:szCs w:val="21"/>
                <w:highlight w:val="none"/>
              </w:rPr>
              <w:t>垃圾箱等环卫设备内部垃圾及时清理，外表无污迹，垃圾箱周围无散落垃圾，污迹。</w:t>
            </w:r>
          </w:p>
        </w:tc>
        <w:tc>
          <w:tcPr>
            <w:tcW w:w="2970" w:type="dxa"/>
            <w:noWrap w:val="0"/>
            <w:vAlign w:val="center"/>
          </w:tcPr>
          <w:p w14:paraId="05D762F5">
            <w:pPr>
              <w:spacing w:line="360" w:lineRule="auto"/>
              <w:jc w:val="left"/>
              <w:rPr>
                <w:rFonts w:ascii="宋体" w:hAnsi="宋体" w:cs="仿宋_GB2312"/>
                <w:bCs/>
                <w:snapToGrid w:val="0"/>
                <w:color w:val="auto"/>
                <w:kern w:val="0"/>
                <w:szCs w:val="21"/>
                <w:highlight w:val="none"/>
              </w:rPr>
            </w:pPr>
            <w:r>
              <w:rPr>
                <w:rFonts w:hint="eastAsia" w:ascii="宋体" w:hAnsi="宋体" w:cs="仿宋_GB2312"/>
                <w:snapToGrid w:val="0"/>
                <w:color w:val="auto"/>
                <w:kern w:val="0"/>
                <w:szCs w:val="21"/>
                <w:highlight w:val="none"/>
              </w:rPr>
              <w:t>每发现一次不合格者扣款100元。</w:t>
            </w:r>
          </w:p>
        </w:tc>
        <w:tc>
          <w:tcPr>
            <w:tcW w:w="552" w:type="dxa"/>
            <w:noWrap w:val="0"/>
            <w:vAlign w:val="center"/>
          </w:tcPr>
          <w:p w14:paraId="23526035">
            <w:pPr>
              <w:spacing w:line="360" w:lineRule="auto"/>
              <w:rPr>
                <w:rFonts w:ascii="宋体" w:hAnsi="宋体" w:cs="仿宋_GB2312"/>
                <w:bCs/>
                <w:snapToGrid w:val="0"/>
                <w:color w:val="auto"/>
                <w:kern w:val="0"/>
                <w:szCs w:val="21"/>
                <w:highlight w:val="none"/>
              </w:rPr>
            </w:pPr>
          </w:p>
        </w:tc>
      </w:tr>
      <w:tr w14:paraId="306A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53" w:type="dxa"/>
            <w:noWrap w:val="0"/>
            <w:vAlign w:val="center"/>
          </w:tcPr>
          <w:p w14:paraId="6DEFB37A">
            <w:pPr>
              <w:spacing w:line="360" w:lineRule="auto"/>
              <w:jc w:val="left"/>
              <w:rPr>
                <w:rFonts w:ascii="宋体" w:hAnsi="宋体" w:cs="仿宋_GB2312"/>
                <w:bCs/>
                <w:snapToGrid w:val="0"/>
                <w:color w:val="auto"/>
                <w:kern w:val="0"/>
                <w:szCs w:val="21"/>
                <w:highlight w:val="none"/>
              </w:rPr>
            </w:pPr>
            <w:r>
              <w:rPr>
                <w:rFonts w:hint="eastAsia" w:ascii="宋体" w:hAnsi="宋体" w:cs="仿宋_GB2312"/>
                <w:snapToGrid w:val="0"/>
                <w:color w:val="auto"/>
                <w:kern w:val="0"/>
                <w:szCs w:val="21"/>
                <w:highlight w:val="none"/>
              </w:rPr>
              <w:t>雨、污水管井的井底无沉淀物，水流畅通；井盖上无污物，盖板无污迹。</w:t>
            </w:r>
          </w:p>
        </w:tc>
        <w:tc>
          <w:tcPr>
            <w:tcW w:w="2970" w:type="dxa"/>
            <w:noWrap w:val="0"/>
            <w:vAlign w:val="center"/>
          </w:tcPr>
          <w:p w14:paraId="7FE90018">
            <w:pPr>
              <w:spacing w:line="360" w:lineRule="auto"/>
              <w:jc w:val="left"/>
              <w:rPr>
                <w:rFonts w:ascii="宋体" w:hAnsi="宋体" w:cs="仿宋_GB2312"/>
                <w:bCs/>
                <w:snapToGrid w:val="0"/>
                <w:color w:val="auto"/>
                <w:kern w:val="0"/>
                <w:szCs w:val="21"/>
                <w:highlight w:val="none"/>
              </w:rPr>
            </w:pPr>
            <w:r>
              <w:rPr>
                <w:rFonts w:hint="eastAsia" w:ascii="宋体" w:hAnsi="宋体" w:cs="仿宋_GB2312"/>
                <w:snapToGrid w:val="0"/>
                <w:color w:val="auto"/>
                <w:kern w:val="0"/>
                <w:szCs w:val="21"/>
                <w:highlight w:val="none"/>
              </w:rPr>
              <w:t>每发现一次不合格者扣款100元。</w:t>
            </w:r>
          </w:p>
        </w:tc>
        <w:tc>
          <w:tcPr>
            <w:tcW w:w="552" w:type="dxa"/>
            <w:noWrap w:val="0"/>
            <w:vAlign w:val="center"/>
          </w:tcPr>
          <w:p w14:paraId="38B49EF9">
            <w:pPr>
              <w:spacing w:line="360" w:lineRule="auto"/>
              <w:rPr>
                <w:rFonts w:ascii="宋体" w:hAnsi="宋体" w:cs="仿宋_GB2312"/>
                <w:bCs/>
                <w:snapToGrid w:val="0"/>
                <w:color w:val="auto"/>
                <w:kern w:val="0"/>
                <w:szCs w:val="21"/>
                <w:highlight w:val="none"/>
              </w:rPr>
            </w:pPr>
          </w:p>
        </w:tc>
      </w:tr>
      <w:tr w14:paraId="3ED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53" w:type="dxa"/>
            <w:noWrap w:val="0"/>
            <w:vAlign w:val="center"/>
          </w:tcPr>
          <w:p w14:paraId="6006CE38">
            <w:pPr>
              <w:spacing w:line="360" w:lineRule="auto"/>
              <w:jc w:val="left"/>
              <w:rPr>
                <w:rFonts w:ascii="宋体" w:hAnsi="宋体" w:cs="仿宋_GB2312"/>
                <w:bCs/>
                <w:snapToGrid w:val="0"/>
                <w:color w:val="auto"/>
                <w:kern w:val="0"/>
                <w:szCs w:val="21"/>
                <w:highlight w:val="none"/>
              </w:rPr>
            </w:pPr>
            <w:r>
              <w:rPr>
                <w:rFonts w:hint="eastAsia" w:ascii="宋体" w:hAnsi="宋体" w:cs="仿宋_GB2312"/>
                <w:snapToGrid w:val="0"/>
                <w:color w:val="auto"/>
                <w:kern w:val="0"/>
                <w:szCs w:val="21"/>
                <w:highlight w:val="none"/>
              </w:rPr>
              <w:t>地面地漏完好无堵塞，无大面积积水，明沟、暗沟排水畅通，无垃圾，无溢流现象。沟盖板安装牢固、平稳。</w:t>
            </w:r>
          </w:p>
        </w:tc>
        <w:tc>
          <w:tcPr>
            <w:tcW w:w="2970" w:type="dxa"/>
            <w:noWrap w:val="0"/>
            <w:vAlign w:val="center"/>
          </w:tcPr>
          <w:p w14:paraId="7516D546">
            <w:pPr>
              <w:spacing w:line="360" w:lineRule="auto"/>
              <w:jc w:val="left"/>
              <w:rPr>
                <w:rFonts w:ascii="宋体" w:hAnsi="宋体" w:cs="仿宋_GB2312"/>
                <w:bCs/>
                <w:snapToGrid w:val="0"/>
                <w:color w:val="auto"/>
                <w:kern w:val="0"/>
                <w:szCs w:val="21"/>
                <w:highlight w:val="none"/>
              </w:rPr>
            </w:pPr>
            <w:r>
              <w:rPr>
                <w:rFonts w:hint="eastAsia" w:ascii="宋体" w:hAnsi="宋体" w:cs="仿宋_GB2312"/>
                <w:snapToGrid w:val="0"/>
                <w:color w:val="auto"/>
                <w:kern w:val="0"/>
                <w:szCs w:val="21"/>
                <w:highlight w:val="none"/>
              </w:rPr>
              <w:t>每发现一次不合格者扣款100元。</w:t>
            </w:r>
          </w:p>
        </w:tc>
        <w:tc>
          <w:tcPr>
            <w:tcW w:w="552" w:type="dxa"/>
            <w:noWrap w:val="0"/>
            <w:vAlign w:val="center"/>
          </w:tcPr>
          <w:p w14:paraId="761BE9F1">
            <w:pPr>
              <w:spacing w:line="360" w:lineRule="auto"/>
              <w:rPr>
                <w:rFonts w:ascii="宋体" w:hAnsi="宋体" w:cs="仿宋_GB2312"/>
                <w:bCs/>
                <w:snapToGrid w:val="0"/>
                <w:color w:val="auto"/>
                <w:kern w:val="0"/>
                <w:szCs w:val="21"/>
                <w:highlight w:val="none"/>
              </w:rPr>
            </w:pPr>
          </w:p>
        </w:tc>
      </w:tr>
      <w:tr w14:paraId="2FCF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5653" w:type="dxa"/>
            <w:noWrap w:val="0"/>
            <w:vAlign w:val="center"/>
          </w:tcPr>
          <w:p w14:paraId="3BFEFC90">
            <w:pPr>
              <w:spacing w:line="360" w:lineRule="auto"/>
              <w:jc w:val="left"/>
              <w:rPr>
                <w:rFonts w:ascii="宋体" w:hAnsi="宋体" w:cs="仿宋_GB2312"/>
                <w:bCs/>
                <w:snapToGrid w:val="0"/>
                <w:color w:val="auto"/>
                <w:kern w:val="0"/>
                <w:szCs w:val="21"/>
                <w:highlight w:val="none"/>
              </w:rPr>
            </w:pPr>
            <w:r>
              <w:rPr>
                <w:rFonts w:hint="eastAsia" w:ascii="宋体" w:hAnsi="宋体" w:cs="仿宋_GB2312"/>
                <w:snapToGrid w:val="0"/>
                <w:color w:val="auto"/>
                <w:kern w:val="0"/>
                <w:szCs w:val="21"/>
                <w:highlight w:val="none"/>
              </w:rPr>
              <w:t>垃圾中转站、收集箱垃圾不能溢出，周围无散落垃圾，无明显污物。有效控制蝇、蚊等害虫孳生。</w:t>
            </w:r>
          </w:p>
        </w:tc>
        <w:tc>
          <w:tcPr>
            <w:tcW w:w="2970" w:type="dxa"/>
            <w:noWrap w:val="0"/>
            <w:vAlign w:val="center"/>
          </w:tcPr>
          <w:p w14:paraId="70EBDF1E">
            <w:pPr>
              <w:spacing w:line="360" w:lineRule="auto"/>
              <w:jc w:val="left"/>
              <w:rPr>
                <w:rFonts w:ascii="宋体" w:hAnsi="宋体" w:cs="仿宋_GB2312"/>
                <w:bCs/>
                <w:snapToGrid w:val="0"/>
                <w:color w:val="auto"/>
                <w:kern w:val="0"/>
                <w:szCs w:val="21"/>
                <w:highlight w:val="none"/>
              </w:rPr>
            </w:pPr>
            <w:r>
              <w:rPr>
                <w:rFonts w:hint="eastAsia" w:ascii="宋体" w:hAnsi="宋体" w:cs="仿宋_GB2312"/>
                <w:snapToGrid w:val="0"/>
                <w:color w:val="auto"/>
                <w:kern w:val="0"/>
                <w:szCs w:val="21"/>
                <w:highlight w:val="none"/>
              </w:rPr>
              <w:t>每发现一次不合格者扣款100元。</w:t>
            </w:r>
          </w:p>
        </w:tc>
        <w:tc>
          <w:tcPr>
            <w:tcW w:w="552" w:type="dxa"/>
            <w:noWrap w:val="0"/>
            <w:vAlign w:val="center"/>
          </w:tcPr>
          <w:p w14:paraId="3E0EC597">
            <w:pPr>
              <w:spacing w:line="360" w:lineRule="auto"/>
              <w:rPr>
                <w:rFonts w:ascii="宋体" w:hAnsi="宋体" w:cs="仿宋_GB2312"/>
                <w:bCs/>
                <w:snapToGrid w:val="0"/>
                <w:color w:val="auto"/>
                <w:kern w:val="0"/>
                <w:szCs w:val="21"/>
                <w:highlight w:val="none"/>
              </w:rPr>
            </w:pPr>
          </w:p>
        </w:tc>
      </w:tr>
      <w:tr w14:paraId="18CA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53" w:type="dxa"/>
            <w:shd w:val="clear" w:color="auto" w:fill="auto"/>
            <w:noWrap w:val="0"/>
            <w:vAlign w:val="center"/>
          </w:tcPr>
          <w:p w14:paraId="77C8F1C5">
            <w:pPr>
              <w:spacing w:line="360" w:lineRule="auto"/>
              <w:jc w:val="left"/>
              <w:rPr>
                <w:rFonts w:ascii="宋体" w:hAnsi="宋体" w:eastAsia="宋体" w:cs="仿宋_GB2312"/>
                <w:bCs/>
                <w:snapToGrid w:val="0"/>
                <w:color w:val="auto"/>
                <w:kern w:val="0"/>
                <w:sz w:val="21"/>
                <w:szCs w:val="21"/>
                <w:highlight w:val="none"/>
                <w:lang w:val="en-US" w:eastAsia="zh-CN" w:bidi="ar-SA"/>
              </w:rPr>
            </w:pPr>
            <w:r>
              <w:rPr>
                <w:rFonts w:hint="eastAsia" w:ascii="宋体" w:hAnsi="宋体" w:cs="仿宋_GB2312"/>
                <w:snapToGrid w:val="0"/>
                <w:color w:val="auto"/>
                <w:kern w:val="0"/>
                <w:szCs w:val="21"/>
                <w:highlight w:val="none"/>
              </w:rPr>
              <w:t>值班室保持清洁、卫生、通风、照明良好。</w:t>
            </w:r>
          </w:p>
        </w:tc>
        <w:tc>
          <w:tcPr>
            <w:tcW w:w="2970" w:type="dxa"/>
            <w:shd w:val="clear" w:color="auto" w:fill="auto"/>
            <w:noWrap w:val="0"/>
            <w:vAlign w:val="center"/>
          </w:tcPr>
          <w:p w14:paraId="43DA1DC8">
            <w:pPr>
              <w:spacing w:line="360" w:lineRule="auto"/>
              <w:jc w:val="left"/>
              <w:rPr>
                <w:rFonts w:ascii="宋体" w:hAnsi="宋体" w:eastAsia="宋体" w:cs="仿宋_GB2312"/>
                <w:bCs/>
                <w:snapToGrid w:val="0"/>
                <w:color w:val="auto"/>
                <w:kern w:val="0"/>
                <w:sz w:val="21"/>
                <w:szCs w:val="21"/>
                <w:highlight w:val="none"/>
                <w:lang w:val="en-US" w:eastAsia="zh-CN" w:bidi="ar-SA"/>
              </w:rPr>
            </w:pPr>
            <w:r>
              <w:rPr>
                <w:rFonts w:hint="eastAsia" w:ascii="宋体" w:hAnsi="宋体" w:cs="仿宋_GB2312"/>
                <w:snapToGrid w:val="0"/>
                <w:color w:val="auto"/>
                <w:kern w:val="0"/>
                <w:szCs w:val="21"/>
                <w:highlight w:val="none"/>
              </w:rPr>
              <w:t>每发现一次不合格者扣款100元。</w:t>
            </w:r>
          </w:p>
        </w:tc>
        <w:tc>
          <w:tcPr>
            <w:tcW w:w="552" w:type="dxa"/>
            <w:noWrap w:val="0"/>
            <w:vAlign w:val="center"/>
          </w:tcPr>
          <w:p w14:paraId="30EC54AC">
            <w:pPr>
              <w:spacing w:line="360" w:lineRule="auto"/>
              <w:rPr>
                <w:rFonts w:ascii="宋体" w:hAnsi="宋体" w:cs="仿宋_GB2312"/>
                <w:bCs/>
                <w:snapToGrid w:val="0"/>
                <w:color w:val="auto"/>
                <w:kern w:val="0"/>
                <w:szCs w:val="21"/>
                <w:highlight w:val="none"/>
              </w:rPr>
            </w:pPr>
          </w:p>
        </w:tc>
      </w:tr>
      <w:tr w14:paraId="5C89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53" w:type="dxa"/>
            <w:noWrap w:val="0"/>
            <w:vAlign w:val="center"/>
          </w:tcPr>
          <w:p w14:paraId="7DC7FE22">
            <w:pPr>
              <w:spacing w:line="360" w:lineRule="auto"/>
              <w:jc w:val="left"/>
              <w:rPr>
                <w:rFonts w:ascii="宋体" w:hAnsi="宋体" w:cs="仿宋_GB2312"/>
                <w:snapToGrid w:val="0"/>
                <w:color w:val="auto"/>
                <w:kern w:val="0"/>
                <w:szCs w:val="21"/>
                <w:highlight w:val="none"/>
              </w:rPr>
            </w:pPr>
            <w:r>
              <w:rPr>
                <w:rFonts w:hint="eastAsia" w:ascii="宋体" w:hAnsi="宋体" w:cs="仿宋_GB2312"/>
                <w:snapToGrid w:val="0"/>
                <w:color w:val="auto"/>
                <w:kern w:val="0"/>
                <w:szCs w:val="21"/>
                <w:highlight w:val="none"/>
              </w:rPr>
              <w:t>设备机房（特指监控室和配电室，不包含信息中心机房）内整洁，无烟头无乱堆现象，保持机身洁净、仪表清晰，设备、阀门、管道工作正常、无跑冒滴漏。</w:t>
            </w:r>
          </w:p>
        </w:tc>
        <w:tc>
          <w:tcPr>
            <w:tcW w:w="2970" w:type="dxa"/>
            <w:noWrap w:val="0"/>
            <w:vAlign w:val="center"/>
          </w:tcPr>
          <w:p w14:paraId="09EF8321">
            <w:pPr>
              <w:spacing w:line="360" w:lineRule="auto"/>
              <w:jc w:val="left"/>
              <w:rPr>
                <w:rFonts w:ascii="宋体" w:hAnsi="宋体" w:cs="仿宋_GB2312"/>
                <w:snapToGrid w:val="0"/>
                <w:color w:val="auto"/>
                <w:kern w:val="0"/>
                <w:szCs w:val="21"/>
                <w:highlight w:val="none"/>
              </w:rPr>
            </w:pPr>
            <w:r>
              <w:rPr>
                <w:rFonts w:hint="eastAsia" w:ascii="宋体" w:hAnsi="宋体" w:cs="仿宋_GB2312"/>
                <w:snapToGrid w:val="0"/>
                <w:color w:val="auto"/>
                <w:kern w:val="0"/>
                <w:szCs w:val="21"/>
                <w:highlight w:val="none"/>
              </w:rPr>
              <w:t>每发现一次不合格者扣款100元。</w:t>
            </w:r>
          </w:p>
        </w:tc>
        <w:tc>
          <w:tcPr>
            <w:tcW w:w="552" w:type="dxa"/>
            <w:noWrap w:val="0"/>
            <w:vAlign w:val="center"/>
          </w:tcPr>
          <w:p w14:paraId="6692721E">
            <w:pPr>
              <w:spacing w:line="360" w:lineRule="auto"/>
              <w:rPr>
                <w:rFonts w:ascii="宋体" w:hAnsi="宋体" w:cs="仿宋_GB2312"/>
                <w:snapToGrid w:val="0"/>
                <w:color w:val="auto"/>
                <w:kern w:val="0"/>
                <w:szCs w:val="21"/>
                <w:highlight w:val="none"/>
              </w:rPr>
            </w:pPr>
          </w:p>
        </w:tc>
      </w:tr>
      <w:tr w14:paraId="750A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5653" w:type="dxa"/>
            <w:noWrap w:val="0"/>
            <w:vAlign w:val="center"/>
          </w:tcPr>
          <w:p w14:paraId="79A0DC28">
            <w:pPr>
              <w:spacing w:line="360" w:lineRule="auto"/>
              <w:jc w:val="left"/>
              <w:rPr>
                <w:rFonts w:ascii="宋体" w:hAnsi="宋体" w:cs="仿宋_GB2312"/>
                <w:snapToGrid w:val="0"/>
                <w:color w:val="auto"/>
                <w:kern w:val="0"/>
                <w:szCs w:val="21"/>
                <w:highlight w:val="none"/>
              </w:rPr>
            </w:pPr>
            <w:r>
              <w:rPr>
                <w:rFonts w:hint="eastAsia" w:ascii="宋体" w:hAnsi="宋体" w:cs="仿宋_GB2312"/>
                <w:snapToGrid w:val="0"/>
                <w:color w:val="auto"/>
                <w:kern w:val="0"/>
                <w:szCs w:val="21"/>
                <w:highlight w:val="none"/>
              </w:rPr>
              <w:t>维修不及时造成设备故障问题者。</w:t>
            </w:r>
          </w:p>
        </w:tc>
        <w:tc>
          <w:tcPr>
            <w:tcW w:w="2970" w:type="dxa"/>
            <w:noWrap w:val="0"/>
            <w:vAlign w:val="center"/>
          </w:tcPr>
          <w:p w14:paraId="262290A3">
            <w:pPr>
              <w:spacing w:line="360" w:lineRule="auto"/>
              <w:jc w:val="left"/>
              <w:rPr>
                <w:rFonts w:ascii="宋体" w:hAnsi="宋体" w:cs="仿宋_GB2312"/>
                <w:snapToGrid w:val="0"/>
                <w:color w:val="auto"/>
                <w:kern w:val="0"/>
                <w:szCs w:val="21"/>
                <w:highlight w:val="none"/>
              </w:rPr>
            </w:pPr>
            <w:r>
              <w:rPr>
                <w:rFonts w:hint="eastAsia" w:ascii="宋体" w:hAnsi="宋体" w:cs="仿宋_GB2312"/>
                <w:snapToGrid w:val="0"/>
                <w:color w:val="auto"/>
                <w:kern w:val="0"/>
                <w:szCs w:val="21"/>
                <w:highlight w:val="none"/>
              </w:rPr>
              <w:t>每次扣款500元。</w:t>
            </w:r>
          </w:p>
        </w:tc>
        <w:tc>
          <w:tcPr>
            <w:tcW w:w="552" w:type="dxa"/>
            <w:noWrap w:val="0"/>
            <w:vAlign w:val="center"/>
          </w:tcPr>
          <w:p w14:paraId="783DADDA">
            <w:pPr>
              <w:spacing w:line="360" w:lineRule="auto"/>
              <w:rPr>
                <w:rFonts w:ascii="宋体" w:hAnsi="宋体" w:cs="仿宋_GB2312"/>
                <w:snapToGrid w:val="0"/>
                <w:color w:val="auto"/>
                <w:kern w:val="0"/>
                <w:szCs w:val="21"/>
                <w:highlight w:val="none"/>
              </w:rPr>
            </w:pPr>
          </w:p>
        </w:tc>
      </w:tr>
      <w:tr w14:paraId="61B5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5653" w:type="dxa"/>
            <w:noWrap w:val="0"/>
            <w:vAlign w:val="center"/>
          </w:tcPr>
          <w:p w14:paraId="4CFAE23C">
            <w:pPr>
              <w:spacing w:line="360" w:lineRule="auto"/>
              <w:jc w:val="left"/>
              <w:rPr>
                <w:rFonts w:ascii="宋体" w:hAnsi="宋体" w:cs="仿宋_GB2312"/>
                <w:snapToGrid w:val="0"/>
                <w:color w:val="auto"/>
                <w:kern w:val="0"/>
                <w:szCs w:val="21"/>
                <w:highlight w:val="none"/>
              </w:rPr>
            </w:pPr>
            <w:r>
              <w:rPr>
                <w:rFonts w:hint="eastAsia" w:ascii="宋体" w:hAnsi="宋体" w:cs="仿宋_GB2312"/>
                <w:snapToGrid w:val="0"/>
                <w:color w:val="auto"/>
                <w:kern w:val="0"/>
                <w:szCs w:val="21"/>
                <w:highlight w:val="none"/>
              </w:rPr>
              <w:t>接到采购人报修，未能及时维修和报备的。</w:t>
            </w:r>
          </w:p>
        </w:tc>
        <w:tc>
          <w:tcPr>
            <w:tcW w:w="2970" w:type="dxa"/>
            <w:noWrap w:val="0"/>
            <w:vAlign w:val="center"/>
          </w:tcPr>
          <w:p w14:paraId="33AEBA3C">
            <w:pPr>
              <w:spacing w:line="360" w:lineRule="auto"/>
              <w:jc w:val="left"/>
              <w:rPr>
                <w:rFonts w:ascii="宋体" w:hAnsi="宋体" w:cs="仿宋_GB2312"/>
                <w:snapToGrid w:val="0"/>
                <w:color w:val="auto"/>
                <w:kern w:val="0"/>
                <w:szCs w:val="21"/>
                <w:highlight w:val="none"/>
              </w:rPr>
            </w:pPr>
            <w:r>
              <w:rPr>
                <w:rFonts w:hint="eastAsia" w:ascii="宋体" w:hAnsi="宋体" w:cs="仿宋_GB2312"/>
                <w:snapToGrid w:val="0"/>
                <w:color w:val="auto"/>
                <w:kern w:val="0"/>
                <w:szCs w:val="21"/>
                <w:highlight w:val="none"/>
              </w:rPr>
              <w:t>每发现一次不合格者扣款100元。</w:t>
            </w:r>
          </w:p>
        </w:tc>
        <w:tc>
          <w:tcPr>
            <w:tcW w:w="552" w:type="dxa"/>
            <w:noWrap w:val="0"/>
            <w:vAlign w:val="center"/>
          </w:tcPr>
          <w:p w14:paraId="4DB43B9E">
            <w:pPr>
              <w:spacing w:line="360" w:lineRule="auto"/>
              <w:rPr>
                <w:rFonts w:ascii="宋体" w:hAnsi="宋体" w:cs="仿宋_GB2312"/>
                <w:snapToGrid w:val="0"/>
                <w:color w:val="auto"/>
                <w:kern w:val="0"/>
                <w:szCs w:val="21"/>
                <w:highlight w:val="none"/>
              </w:rPr>
            </w:pPr>
          </w:p>
        </w:tc>
      </w:tr>
      <w:tr w14:paraId="7D13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5653" w:type="dxa"/>
            <w:noWrap w:val="0"/>
            <w:vAlign w:val="center"/>
          </w:tcPr>
          <w:p w14:paraId="6EB8069E">
            <w:pPr>
              <w:spacing w:line="360" w:lineRule="auto"/>
              <w:jc w:val="left"/>
              <w:rPr>
                <w:rFonts w:ascii="宋体" w:hAnsi="宋体" w:cs="仿宋_GB2312"/>
                <w:snapToGrid w:val="0"/>
                <w:color w:val="auto"/>
                <w:kern w:val="0"/>
                <w:szCs w:val="21"/>
                <w:highlight w:val="none"/>
              </w:rPr>
            </w:pPr>
            <w:r>
              <w:rPr>
                <w:rFonts w:hint="eastAsia" w:ascii="宋体" w:hAnsi="宋体" w:cs="仿宋_GB2312"/>
                <w:snapToGrid w:val="0"/>
                <w:color w:val="auto"/>
                <w:kern w:val="0"/>
                <w:szCs w:val="21"/>
                <w:highlight w:val="none"/>
              </w:rPr>
              <w:t>态度蛮横、与采购人员工或来访人员争吵、发生冲突。</w:t>
            </w:r>
          </w:p>
        </w:tc>
        <w:tc>
          <w:tcPr>
            <w:tcW w:w="2970" w:type="dxa"/>
            <w:noWrap w:val="0"/>
            <w:vAlign w:val="center"/>
          </w:tcPr>
          <w:p w14:paraId="10E897AD">
            <w:pPr>
              <w:spacing w:line="360" w:lineRule="auto"/>
              <w:jc w:val="left"/>
              <w:rPr>
                <w:rFonts w:ascii="宋体" w:hAnsi="宋体" w:cs="仿宋_GB2312"/>
                <w:snapToGrid w:val="0"/>
                <w:color w:val="auto"/>
                <w:kern w:val="0"/>
                <w:szCs w:val="21"/>
                <w:highlight w:val="none"/>
              </w:rPr>
            </w:pPr>
            <w:r>
              <w:rPr>
                <w:rFonts w:hint="eastAsia" w:ascii="宋体" w:hAnsi="宋体" w:cs="仿宋_GB2312"/>
                <w:snapToGrid w:val="0"/>
                <w:color w:val="auto"/>
                <w:kern w:val="0"/>
                <w:szCs w:val="21"/>
                <w:highlight w:val="none"/>
              </w:rPr>
              <w:t>每次扣款1000元以上。</w:t>
            </w:r>
          </w:p>
        </w:tc>
        <w:tc>
          <w:tcPr>
            <w:tcW w:w="552" w:type="dxa"/>
            <w:noWrap w:val="0"/>
            <w:vAlign w:val="center"/>
          </w:tcPr>
          <w:p w14:paraId="34996B83">
            <w:pPr>
              <w:spacing w:line="360" w:lineRule="auto"/>
              <w:rPr>
                <w:rFonts w:ascii="宋体" w:hAnsi="宋体" w:cs="仿宋_GB2312"/>
                <w:snapToGrid w:val="0"/>
                <w:color w:val="auto"/>
                <w:kern w:val="0"/>
                <w:szCs w:val="21"/>
                <w:highlight w:val="none"/>
              </w:rPr>
            </w:pPr>
          </w:p>
        </w:tc>
      </w:tr>
      <w:tr w14:paraId="18F3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5653" w:type="dxa"/>
            <w:noWrap w:val="0"/>
            <w:vAlign w:val="center"/>
          </w:tcPr>
          <w:p w14:paraId="53FD169D">
            <w:pPr>
              <w:spacing w:line="360" w:lineRule="auto"/>
              <w:jc w:val="left"/>
              <w:rPr>
                <w:rFonts w:ascii="宋体" w:hAnsi="宋体" w:cs="仿宋_GB2312"/>
                <w:snapToGrid w:val="0"/>
                <w:color w:val="auto"/>
                <w:kern w:val="0"/>
                <w:szCs w:val="21"/>
                <w:highlight w:val="none"/>
              </w:rPr>
            </w:pPr>
            <w:r>
              <w:rPr>
                <w:rFonts w:hint="eastAsia" w:ascii="宋体" w:hAnsi="宋体" w:cs="仿宋_GB2312"/>
                <w:snapToGrid w:val="0"/>
                <w:color w:val="auto"/>
                <w:kern w:val="0"/>
                <w:szCs w:val="21"/>
                <w:highlight w:val="none"/>
              </w:rPr>
              <w:t>发生有效投诉。</w:t>
            </w:r>
          </w:p>
        </w:tc>
        <w:tc>
          <w:tcPr>
            <w:tcW w:w="2970" w:type="dxa"/>
            <w:noWrap w:val="0"/>
            <w:vAlign w:val="center"/>
          </w:tcPr>
          <w:p w14:paraId="4664AC9D">
            <w:pPr>
              <w:spacing w:line="360" w:lineRule="auto"/>
              <w:jc w:val="left"/>
              <w:rPr>
                <w:rFonts w:ascii="宋体" w:hAnsi="宋体" w:cs="仿宋_GB2312"/>
                <w:snapToGrid w:val="0"/>
                <w:color w:val="auto"/>
                <w:kern w:val="0"/>
                <w:szCs w:val="21"/>
                <w:highlight w:val="none"/>
              </w:rPr>
            </w:pPr>
            <w:r>
              <w:rPr>
                <w:rFonts w:hint="eastAsia" w:ascii="宋体" w:hAnsi="宋体" w:cs="仿宋_GB2312"/>
                <w:snapToGrid w:val="0"/>
                <w:color w:val="auto"/>
                <w:kern w:val="0"/>
                <w:szCs w:val="21"/>
                <w:highlight w:val="none"/>
              </w:rPr>
              <w:t>每次扣款200元以上。</w:t>
            </w:r>
          </w:p>
        </w:tc>
        <w:tc>
          <w:tcPr>
            <w:tcW w:w="552" w:type="dxa"/>
            <w:noWrap w:val="0"/>
            <w:vAlign w:val="center"/>
          </w:tcPr>
          <w:p w14:paraId="7D480AC5">
            <w:pPr>
              <w:spacing w:line="360" w:lineRule="auto"/>
              <w:rPr>
                <w:rFonts w:ascii="宋体" w:hAnsi="宋体" w:cs="仿宋_GB2312"/>
                <w:snapToGrid w:val="0"/>
                <w:color w:val="auto"/>
                <w:kern w:val="0"/>
                <w:szCs w:val="21"/>
                <w:highlight w:val="none"/>
              </w:rPr>
            </w:pPr>
          </w:p>
        </w:tc>
      </w:tr>
      <w:tr w14:paraId="23A7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653" w:type="dxa"/>
            <w:noWrap w:val="0"/>
            <w:vAlign w:val="center"/>
          </w:tcPr>
          <w:p w14:paraId="408A461D">
            <w:pPr>
              <w:spacing w:line="360" w:lineRule="auto"/>
              <w:jc w:val="left"/>
              <w:rPr>
                <w:rFonts w:ascii="宋体" w:hAnsi="宋体" w:cs="仿宋_GB2312"/>
                <w:snapToGrid w:val="0"/>
                <w:color w:val="auto"/>
                <w:kern w:val="0"/>
                <w:szCs w:val="21"/>
                <w:highlight w:val="none"/>
              </w:rPr>
            </w:pPr>
            <w:r>
              <w:rPr>
                <w:rFonts w:hint="eastAsia" w:ascii="宋体" w:hAnsi="宋体" w:cs="仿宋_GB2312"/>
                <w:snapToGrid w:val="0"/>
                <w:color w:val="auto"/>
                <w:kern w:val="0"/>
                <w:szCs w:val="21"/>
                <w:highlight w:val="none"/>
              </w:rPr>
              <w:t>对所分配的工作处理不及时、不到位或置之不理者。</w:t>
            </w:r>
          </w:p>
        </w:tc>
        <w:tc>
          <w:tcPr>
            <w:tcW w:w="2970" w:type="dxa"/>
            <w:noWrap w:val="0"/>
            <w:vAlign w:val="center"/>
          </w:tcPr>
          <w:p w14:paraId="2EF263A7">
            <w:pPr>
              <w:spacing w:line="360" w:lineRule="auto"/>
              <w:jc w:val="left"/>
              <w:rPr>
                <w:rFonts w:ascii="宋体" w:hAnsi="宋体" w:cs="仿宋_GB2312"/>
                <w:snapToGrid w:val="0"/>
                <w:color w:val="auto"/>
                <w:kern w:val="0"/>
                <w:szCs w:val="21"/>
                <w:highlight w:val="none"/>
              </w:rPr>
            </w:pPr>
            <w:r>
              <w:rPr>
                <w:rFonts w:hint="eastAsia" w:ascii="宋体" w:hAnsi="宋体" w:cs="仿宋_GB2312"/>
                <w:snapToGrid w:val="0"/>
                <w:color w:val="auto"/>
                <w:kern w:val="0"/>
                <w:szCs w:val="21"/>
                <w:highlight w:val="none"/>
              </w:rPr>
              <w:t>每次扣款200元。</w:t>
            </w:r>
          </w:p>
        </w:tc>
        <w:tc>
          <w:tcPr>
            <w:tcW w:w="552" w:type="dxa"/>
            <w:noWrap w:val="0"/>
            <w:vAlign w:val="center"/>
          </w:tcPr>
          <w:p w14:paraId="55A7E3FC">
            <w:pPr>
              <w:spacing w:line="360" w:lineRule="auto"/>
              <w:rPr>
                <w:rFonts w:ascii="宋体" w:hAnsi="宋体" w:cs="仿宋_GB2312"/>
                <w:snapToGrid w:val="0"/>
                <w:color w:val="auto"/>
                <w:kern w:val="0"/>
                <w:szCs w:val="21"/>
                <w:highlight w:val="none"/>
              </w:rPr>
            </w:pPr>
          </w:p>
        </w:tc>
      </w:tr>
      <w:tr w14:paraId="7900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653" w:type="dxa"/>
            <w:noWrap w:val="0"/>
            <w:vAlign w:val="center"/>
          </w:tcPr>
          <w:p w14:paraId="5E945F98">
            <w:pPr>
              <w:pStyle w:val="2"/>
              <w:spacing w:line="360" w:lineRule="auto"/>
              <w:jc w:val="left"/>
              <w:rPr>
                <w:rFonts w:ascii="宋体" w:hAnsi="宋体" w:cs="仿宋_GB2312"/>
                <w:b w:val="0"/>
                <w:snapToGrid w:val="0"/>
                <w:color w:val="auto"/>
                <w:kern w:val="0"/>
                <w:szCs w:val="21"/>
                <w:highlight w:val="none"/>
              </w:rPr>
            </w:pPr>
            <w:r>
              <w:rPr>
                <w:rFonts w:hint="eastAsia" w:ascii="宋体" w:hAnsi="宋体" w:cs="仿宋_GB2312"/>
                <w:b w:val="0"/>
                <w:snapToGrid w:val="0"/>
                <w:color w:val="auto"/>
                <w:kern w:val="0"/>
                <w:szCs w:val="21"/>
                <w:highlight w:val="none"/>
              </w:rPr>
              <w:t>物业服务人数不足要求且10个工作日内不及时补充的</w:t>
            </w:r>
          </w:p>
        </w:tc>
        <w:tc>
          <w:tcPr>
            <w:tcW w:w="2970" w:type="dxa"/>
            <w:noWrap w:val="0"/>
            <w:vAlign w:val="center"/>
          </w:tcPr>
          <w:p w14:paraId="6CD5516D">
            <w:pPr>
              <w:spacing w:line="360" w:lineRule="auto"/>
              <w:jc w:val="left"/>
              <w:rPr>
                <w:rFonts w:ascii="宋体" w:hAnsi="宋体" w:cs="仿宋_GB2312"/>
                <w:snapToGrid w:val="0"/>
                <w:color w:val="auto"/>
                <w:kern w:val="0"/>
                <w:szCs w:val="21"/>
                <w:highlight w:val="none"/>
              </w:rPr>
            </w:pPr>
            <w:r>
              <w:rPr>
                <w:rFonts w:hint="eastAsia" w:ascii="宋体" w:hAnsi="宋体" w:cs="仿宋_GB2312"/>
                <w:snapToGrid w:val="0"/>
                <w:color w:val="auto"/>
                <w:kern w:val="0"/>
                <w:szCs w:val="21"/>
                <w:highlight w:val="none"/>
              </w:rPr>
              <w:t>每缺一人扣款5000元</w:t>
            </w:r>
          </w:p>
        </w:tc>
        <w:tc>
          <w:tcPr>
            <w:tcW w:w="552" w:type="dxa"/>
            <w:noWrap w:val="0"/>
            <w:vAlign w:val="center"/>
          </w:tcPr>
          <w:p w14:paraId="15F49086">
            <w:pPr>
              <w:spacing w:line="360" w:lineRule="auto"/>
              <w:rPr>
                <w:rFonts w:ascii="宋体" w:hAnsi="宋体" w:cs="仿宋_GB2312"/>
                <w:snapToGrid w:val="0"/>
                <w:color w:val="auto"/>
                <w:kern w:val="0"/>
                <w:szCs w:val="21"/>
                <w:highlight w:val="none"/>
              </w:rPr>
            </w:pPr>
          </w:p>
        </w:tc>
      </w:tr>
    </w:tbl>
    <w:p w14:paraId="22BA596C">
      <w:pPr>
        <w:spacing w:line="360" w:lineRule="auto"/>
        <w:rPr>
          <w:rFonts w:hint="eastAsia" w:ascii="宋体" w:hAnsi="宋体" w:cs="仿宋_GB2312"/>
          <w:color w:val="auto"/>
          <w:szCs w:val="21"/>
          <w:highlight w:val="none"/>
          <w:lang w:val="en-US" w:eastAsia="zh-CN"/>
        </w:rPr>
      </w:pPr>
    </w:p>
    <w:sectPr>
      <w:footerReference r:id="rId6" w:type="default"/>
      <w:pgSz w:w="11906" w:h="16838"/>
      <w:pgMar w:top="1417" w:right="1417" w:bottom="1417" w:left="1417"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BCBC74E-8042-4EC9-B305-DAEA0E060A34}"/>
  </w:font>
  <w:font w:name="黑体">
    <w:panose1 w:val="02010609060101010101"/>
    <w:charset w:val="86"/>
    <w:family w:val="auto"/>
    <w:pitch w:val="default"/>
    <w:sig w:usb0="800002BF" w:usb1="38CF7CFA" w:usb2="00000016" w:usb3="00000000" w:csb0="00040001" w:csb1="00000000"/>
    <w:embedRegular r:id="rId2" w:fontKey="{99C679F8-8F6C-4306-9555-2F3AA92AF459}"/>
  </w:font>
  <w:font w:name="Courier New">
    <w:panose1 w:val="02070309020205020404"/>
    <w:charset w:val="01"/>
    <w:family w:val="modern"/>
    <w:pitch w:val="default"/>
    <w:sig w:usb0="E0002EFF" w:usb1="C0007843" w:usb2="00000009" w:usb3="00000000" w:csb0="400001FF" w:csb1="FFFF0000"/>
    <w:embedRegular r:id="rId3" w:fontKey="{9EA79728-B40E-45F3-86FE-487FA280930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161286E6-1388-479C-B3E3-E87B88C5FEA9}"/>
  </w:font>
  <w:font w:name="仿宋_GB2312">
    <w:panose1 w:val="02010609030101010101"/>
    <w:charset w:val="86"/>
    <w:family w:val="modern"/>
    <w:pitch w:val="default"/>
    <w:sig w:usb0="00000001" w:usb1="080E0000" w:usb2="00000000" w:usb3="00000000" w:csb0="00040000" w:csb1="00000000"/>
    <w:embedRegular r:id="rId5" w:fontKey="{284E5E3C-2A3D-4A39-B91C-A08B3EE0DBBB}"/>
  </w:font>
  <w:font w:name="方正小标宋简体">
    <w:panose1 w:val="02000000000000000000"/>
    <w:charset w:val="86"/>
    <w:family w:val="auto"/>
    <w:pitch w:val="default"/>
    <w:sig w:usb0="00000001" w:usb1="08000000" w:usb2="00000000" w:usb3="00000000" w:csb0="00040000" w:csb1="00000000"/>
    <w:embedRegular r:id="rId6" w:fontKey="{70C3B1BB-371C-455E-8757-C43BF813ADA5}"/>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script"/>
    <w:pitch w:val="default"/>
    <w:sig w:usb0="A00002BF" w:usb1="184F6CFA" w:usb2="00000012" w:usb3="00000000" w:csb0="00040001" w:csb1="00000000"/>
    <w:embedRegular r:id="rId7" w:fontKey="{DBB436F4-BFA9-4D83-92BA-64A9522154E0}"/>
  </w:font>
  <w:font w:name="楷体_GB2312">
    <w:panose1 w:val="02010609030101010101"/>
    <w:charset w:val="86"/>
    <w:family w:val="modern"/>
    <w:pitch w:val="default"/>
    <w:sig w:usb0="00000001" w:usb1="080E0000" w:usb2="00000000" w:usb3="00000000" w:csb0="00040000" w:csb1="00000000"/>
    <w:embedRegular r:id="rId8" w:fontKey="{27903D7A-29D2-47CB-8662-253708573570}"/>
  </w:font>
  <w:font w:name="Wingdings 2">
    <w:panose1 w:val="05020102010507070707"/>
    <w:charset w:val="02"/>
    <w:family w:val="roman"/>
    <w:pitch w:val="default"/>
    <w:sig w:usb0="00000000" w:usb1="00000000" w:usb2="00000000" w:usb3="00000000" w:csb0="80000000" w:csb1="00000000"/>
    <w:embedRegular r:id="rId9" w:fontKey="{62435533-FEC9-4A8A-A9C2-815F0A12C969}"/>
  </w:font>
  <w:font w:name="WPSEMBED4">
    <w:panose1 w:val="02010609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00000001" w:usb1="08000000" w:usb2="00000000" w:usb3="00000000" w:csb0="00040000" w:csb1="00000000"/>
  </w:font>
  <w:font w:name="WPSEMBED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243C9">
    <w:pPr>
      <w:jc w:val="center"/>
      <w:rPr>
        <w:rFonts w:ascii="宋体" w:hAns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9B7D3">
    <w:pPr>
      <w:jc w:val="center"/>
      <w:rPr>
        <w:rFonts w:ascii="宋体" w:hAnsi="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FD5B9">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58FD5B9">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C44A8">
    <w:pPr>
      <w:jc w:val="center"/>
      <w:rPr>
        <w:rFonts w:ascii="宋体" w:hAnsi="宋体"/>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5E52">
    <w:pPr>
      <w:spacing w:line="169" w:lineRule="auto"/>
      <w:ind w:left="4447"/>
      <w:rPr>
        <w:rFonts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74D29">
                          <w:pPr>
                            <w:pStyle w:val="13"/>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8274D29">
                    <w:pPr>
                      <w:pStyle w:val="13"/>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B221FA"/>
    <w:multiLevelType w:val="singleLevel"/>
    <w:tmpl w:val="D5B221FA"/>
    <w:lvl w:ilvl="0" w:tentative="0">
      <w:start w:val="6"/>
      <w:numFmt w:val="chineseCounting"/>
      <w:suff w:val="nothing"/>
      <w:lvlText w:val="（%1）"/>
      <w:lvlJc w:val="left"/>
      <w:rPr>
        <w:rFonts w:hint="eastAsia"/>
      </w:rPr>
    </w:lvl>
  </w:abstractNum>
  <w:abstractNum w:abstractNumId="1">
    <w:nsid w:val="1F9D348C"/>
    <w:multiLevelType w:val="singleLevel"/>
    <w:tmpl w:val="1F9D348C"/>
    <w:lvl w:ilvl="0" w:tentative="0">
      <w:start w:val="1"/>
      <w:numFmt w:val="decimal"/>
      <w:pStyle w:val="8"/>
      <w:lvlText w:val="%1."/>
      <w:lvlJc w:val="left"/>
      <w:pPr>
        <w:tabs>
          <w:tab w:val="left" w:pos="780"/>
        </w:tabs>
        <w:ind w:left="780" w:hanging="360"/>
      </w:pPr>
    </w:lvl>
  </w:abstractNum>
  <w:abstractNum w:abstractNumId="2">
    <w:nsid w:val="31112BD7"/>
    <w:multiLevelType w:val="singleLevel"/>
    <w:tmpl w:val="31112BD7"/>
    <w:lvl w:ilvl="0" w:tentative="0">
      <w:start w:val="1"/>
      <w:numFmt w:val="decimal"/>
      <w:suff w:val="nothing"/>
      <w:lvlText w:val="%1、"/>
      <w:lvlJc w:val="left"/>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624D6055"/>
    <w:multiLevelType w:val="singleLevel"/>
    <w:tmpl w:val="624D6055"/>
    <w:lvl w:ilvl="0" w:tentative="0">
      <w:start w:val="6"/>
      <w:numFmt w:val="chineseCounting"/>
      <w:suff w:val="space"/>
      <w:lvlText w:val="第%1章"/>
      <w:lvlJc w:val="left"/>
      <w:rPr>
        <w:rFonts w:hint="eastAsia"/>
      </w:rPr>
    </w:lvl>
  </w:abstractNum>
  <w:abstractNum w:abstractNumId="5">
    <w:nsid w:val="6DF47F01"/>
    <w:multiLevelType w:val="multilevel"/>
    <w:tmpl w:val="6DF47F01"/>
    <w:lvl w:ilvl="0" w:tentative="0">
      <w:start w:val="1"/>
      <w:numFmt w:val="decimal"/>
      <w:lvlText w:val="%1"/>
      <w:lvlJc w:val="left"/>
      <w:pPr>
        <w:tabs>
          <w:tab w:val="left" w:pos="1537"/>
        </w:tabs>
        <w:ind w:left="1537" w:hanging="1432"/>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d210b2c2-1bbd-49e0-8223-3daefcd1a1aa"/>
  </w:docVars>
  <w:rsids>
    <w:rsidRoot w:val="1F532328"/>
    <w:rsid w:val="0018099E"/>
    <w:rsid w:val="0024479C"/>
    <w:rsid w:val="002D381B"/>
    <w:rsid w:val="004C472C"/>
    <w:rsid w:val="00920A7E"/>
    <w:rsid w:val="00A3470B"/>
    <w:rsid w:val="00A9636A"/>
    <w:rsid w:val="00BB56DC"/>
    <w:rsid w:val="00C3559B"/>
    <w:rsid w:val="00DB21E8"/>
    <w:rsid w:val="00E97F44"/>
    <w:rsid w:val="00EF56CA"/>
    <w:rsid w:val="01044F14"/>
    <w:rsid w:val="01217AA1"/>
    <w:rsid w:val="0139378E"/>
    <w:rsid w:val="01437C9C"/>
    <w:rsid w:val="0167398B"/>
    <w:rsid w:val="0168098E"/>
    <w:rsid w:val="016D4781"/>
    <w:rsid w:val="0183453D"/>
    <w:rsid w:val="019B2055"/>
    <w:rsid w:val="01C875E1"/>
    <w:rsid w:val="01ED71B9"/>
    <w:rsid w:val="02065212"/>
    <w:rsid w:val="020E0B8B"/>
    <w:rsid w:val="021B4775"/>
    <w:rsid w:val="022E26FA"/>
    <w:rsid w:val="02346EEF"/>
    <w:rsid w:val="023A241F"/>
    <w:rsid w:val="023C56D5"/>
    <w:rsid w:val="025C5667"/>
    <w:rsid w:val="02616C98"/>
    <w:rsid w:val="02627F17"/>
    <w:rsid w:val="026F607A"/>
    <w:rsid w:val="02704AC1"/>
    <w:rsid w:val="028A3742"/>
    <w:rsid w:val="028D5698"/>
    <w:rsid w:val="02901323"/>
    <w:rsid w:val="02943D73"/>
    <w:rsid w:val="02954528"/>
    <w:rsid w:val="02994018"/>
    <w:rsid w:val="02A739E9"/>
    <w:rsid w:val="02B50F20"/>
    <w:rsid w:val="02BE1E84"/>
    <w:rsid w:val="02E9145B"/>
    <w:rsid w:val="02F54CF3"/>
    <w:rsid w:val="03075042"/>
    <w:rsid w:val="03196E8C"/>
    <w:rsid w:val="03372D11"/>
    <w:rsid w:val="03443858"/>
    <w:rsid w:val="035C7E32"/>
    <w:rsid w:val="0365214C"/>
    <w:rsid w:val="037C3CB6"/>
    <w:rsid w:val="03C36E72"/>
    <w:rsid w:val="03C77E39"/>
    <w:rsid w:val="03CF75C5"/>
    <w:rsid w:val="03D77378"/>
    <w:rsid w:val="03DB177F"/>
    <w:rsid w:val="03F4621F"/>
    <w:rsid w:val="040A4C67"/>
    <w:rsid w:val="041279FB"/>
    <w:rsid w:val="04141C23"/>
    <w:rsid w:val="041D6793"/>
    <w:rsid w:val="04332F33"/>
    <w:rsid w:val="04351B1E"/>
    <w:rsid w:val="043B13EC"/>
    <w:rsid w:val="044E4C36"/>
    <w:rsid w:val="046C6B63"/>
    <w:rsid w:val="04AB2B7B"/>
    <w:rsid w:val="04C94B6F"/>
    <w:rsid w:val="04C94E54"/>
    <w:rsid w:val="04EB7D01"/>
    <w:rsid w:val="054B434A"/>
    <w:rsid w:val="054C0AC4"/>
    <w:rsid w:val="057A11EA"/>
    <w:rsid w:val="05906EEC"/>
    <w:rsid w:val="059A5C2E"/>
    <w:rsid w:val="05C649F8"/>
    <w:rsid w:val="05C7138E"/>
    <w:rsid w:val="05C94FB5"/>
    <w:rsid w:val="05D15C2C"/>
    <w:rsid w:val="05D3031C"/>
    <w:rsid w:val="05D67331"/>
    <w:rsid w:val="05F43A65"/>
    <w:rsid w:val="0616597F"/>
    <w:rsid w:val="061A0889"/>
    <w:rsid w:val="06206C00"/>
    <w:rsid w:val="062104AC"/>
    <w:rsid w:val="0627193B"/>
    <w:rsid w:val="062736E9"/>
    <w:rsid w:val="06304B2E"/>
    <w:rsid w:val="06390427"/>
    <w:rsid w:val="0640444A"/>
    <w:rsid w:val="065F2230"/>
    <w:rsid w:val="06683779"/>
    <w:rsid w:val="067B57E2"/>
    <w:rsid w:val="067D77AC"/>
    <w:rsid w:val="06980D7F"/>
    <w:rsid w:val="069B3A09"/>
    <w:rsid w:val="069D1BFD"/>
    <w:rsid w:val="06A77351"/>
    <w:rsid w:val="06B17456"/>
    <w:rsid w:val="06BC02D5"/>
    <w:rsid w:val="06BE2A9A"/>
    <w:rsid w:val="06D3561E"/>
    <w:rsid w:val="071A4C83"/>
    <w:rsid w:val="07283101"/>
    <w:rsid w:val="0767280D"/>
    <w:rsid w:val="07740940"/>
    <w:rsid w:val="077F23B0"/>
    <w:rsid w:val="078776C6"/>
    <w:rsid w:val="078A2181"/>
    <w:rsid w:val="08037EE2"/>
    <w:rsid w:val="081E028C"/>
    <w:rsid w:val="0828199A"/>
    <w:rsid w:val="082A74C0"/>
    <w:rsid w:val="08314CF2"/>
    <w:rsid w:val="08324B8B"/>
    <w:rsid w:val="08346591"/>
    <w:rsid w:val="0856183A"/>
    <w:rsid w:val="08564759"/>
    <w:rsid w:val="085D393F"/>
    <w:rsid w:val="086A6579"/>
    <w:rsid w:val="0873526C"/>
    <w:rsid w:val="088C0930"/>
    <w:rsid w:val="089F16D4"/>
    <w:rsid w:val="08AA23AF"/>
    <w:rsid w:val="08B6279A"/>
    <w:rsid w:val="08BC62DC"/>
    <w:rsid w:val="08BE2DBE"/>
    <w:rsid w:val="08C2594B"/>
    <w:rsid w:val="08C96150"/>
    <w:rsid w:val="08F16230"/>
    <w:rsid w:val="09064BCC"/>
    <w:rsid w:val="09297778"/>
    <w:rsid w:val="095962AF"/>
    <w:rsid w:val="095C12C6"/>
    <w:rsid w:val="09A9709D"/>
    <w:rsid w:val="09B07992"/>
    <w:rsid w:val="09E14548"/>
    <w:rsid w:val="0A3960E0"/>
    <w:rsid w:val="0A4C69F3"/>
    <w:rsid w:val="0A5F3566"/>
    <w:rsid w:val="0A664304"/>
    <w:rsid w:val="0A6A2DB6"/>
    <w:rsid w:val="0A7753E3"/>
    <w:rsid w:val="0A802B9F"/>
    <w:rsid w:val="0AAA183C"/>
    <w:rsid w:val="0AC05EBA"/>
    <w:rsid w:val="0AD74272"/>
    <w:rsid w:val="0AF16BAB"/>
    <w:rsid w:val="0AFB3396"/>
    <w:rsid w:val="0B04569E"/>
    <w:rsid w:val="0B196364"/>
    <w:rsid w:val="0B5A798D"/>
    <w:rsid w:val="0B6A0996"/>
    <w:rsid w:val="0BB57D82"/>
    <w:rsid w:val="0BB73761"/>
    <w:rsid w:val="0BBA6DAD"/>
    <w:rsid w:val="0BBF7555"/>
    <w:rsid w:val="0BC11EE9"/>
    <w:rsid w:val="0BC35C62"/>
    <w:rsid w:val="0BFF137E"/>
    <w:rsid w:val="0C0D783A"/>
    <w:rsid w:val="0C45142A"/>
    <w:rsid w:val="0C7D4CCB"/>
    <w:rsid w:val="0CE57E5A"/>
    <w:rsid w:val="0D187A62"/>
    <w:rsid w:val="0D1B1BBB"/>
    <w:rsid w:val="0D246BD4"/>
    <w:rsid w:val="0D340877"/>
    <w:rsid w:val="0D4B4231"/>
    <w:rsid w:val="0DA815B3"/>
    <w:rsid w:val="0DD00B0A"/>
    <w:rsid w:val="0DE35258"/>
    <w:rsid w:val="0DEE6EA9"/>
    <w:rsid w:val="0DF04BB6"/>
    <w:rsid w:val="0E1F1149"/>
    <w:rsid w:val="0E2D5552"/>
    <w:rsid w:val="0E386E38"/>
    <w:rsid w:val="0E3D7000"/>
    <w:rsid w:val="0E536E21"/>
    <w:rsid w:val="0E666D78"/>
    <w:rsid w:val="0E9E6512"/>
    <w:rsid w:val="0EA55AF2"/>
    <w:rsid w:val="0EB724DE"/>
    <w:rsid w:val="0ECC1DBC"/>
    <w:rsid w:val="0EDE00E9"/>
    <w:rsid w:val="0EE7337D"/>
    <w:rsid w:val="0F5C13BE"/>
    <w:rsid w:val="0F643111"/>
    <w:rsid w:val="0F6E6F8A"/>
    <w:rsid w:val="0F753717"/>
    <w:rsid w:val="0F9D4A1B"/>
    <w:rsid w:val="0FB06A66"/>
    <w:rsid w:val="0FB800CE"/>
    <w:rsid w:val="0FC219E2"/>
    <w:rsid w:val="0FD20EFA"/>
    <w:rsid w:val="0FDA6776"/>
    <w:rsid w:val="0FFE195E"/>
    <w:rsid w:val="100A02F0"/>
    <w:rsid w:val="102C37F0"/>
    <w:rsid w:val="1040234E"/>
    <w:rsid w:val="10505FAA"/>
    <w:rsid w:val="105703E4"/>
    <w:rsid w:val="10606175"/>
    <w:rsid w:val="107E4F25"/>
    <w:rsid w:val="10853E2D"/>
    <w:rsid w:val="110667CB"/>
    <w:rsid w:val="11243FFF"/>
    <w:rsid w:val="115B4B8E"/>
    <w:rsid w:val="1197695F"/>
    <w:rsid w:val="11991213"/>
    <w:rsid w:val="11EB4161"/>
    <w:rsid w:val="120006AF"/>
    <w:rsid w:val="12015736"/>
    <w:rsid w:val="12045226"/>
    <w:rsid w:val="12072620"/>
    <w:rsid w:val="120B2B83"/>
    <w:rsid w:val="12415B32"/>
    <w:rsid w:val="12455339"/>
    <w:rsid w:val="12502219"/>
    <w:rsid w:val="1272741D"/>
    <w:rsid w:val="12DA1AE3"/>
    <w:rsid w:val="12F72695"/>
    <w:rsid w:val="13047DE5"/>
    <w:rsid w:val="131B4645"/>
    <w:rsid w:val="13343592"/>
    <w:rsid w:val="134A310C"/>
    <w:rsid w:val="13645777"/>
    <w:rsid w:val="136F66CF"/>
    <w:rsid w:val="137D0DEC"/>
    <w:rsid w:val="13904FC3"/>
    <w:rsid w:val="13A747D8"/>
    <w:rsid w:val="13A931B7"/>
    <w:rsid w:val="13AE369B"/>
    <w:rsid w:val="13C07565"/>
    <w:rsid w:val="13CC1BBB"/>
    <w:rsid w:val="13D55C52"/>
    <w:rsid w:val="13D6674E"/>
    <w:rsid w:val="13EC5F71"/>
    <w:rsid w:val="13F60B9E"/>
    <w:rsid w:val="13F87E09"/>
    <w:rsid w:val="14125C6A"/>
    <w:rsid w:val="14213E6D"/>
    <w:rsid w:val="1436506F"/>
    <w:rsid w:val="1461385B"/>
    <w:rsid w:val="14626764"/>
    <w:rsid w:val="146B2D49"/>
    <w:rsid w:val="147F6DE6"/>
    <w:rsid w:val="148D32B1"/>
    <w:rsid w:val="14902DA1"/>
    <w:rsid w:val="149C72E3"/>
    <w:rsid w:val="149F13FB"/>
    <w:rsid w:val="14AD74AF"/>
    <w:rsid w:val="14C03686"/>
    <w:rsid w:val="15027E9E"/>
    <w:rsid w:val="15071B6F"/>
    <w:rsid w:val="150E204E"/>
    <w:rsid w:val="153B0CBB"/>
    <w:rsid w:val="15420686"/>
    <w:rsid w:val="154E396B"/>
    <w:rsid w:val="15716FCB"/>
    <w:rsid w:val="157200B9"/>
    <w:rsid w:val="15783F61"/>
    <w:rsid w:val="157D7D12"/>
    <w:rsid w:val="15B17473"/>
    <w:rsid w:val="15C2342E"/>
    <w:rsid w:val="15C639B1"/>
    <w:rsid w:val="15D53161"/>
    <w:rsid w:val="16045FC2"/>
    <w:rsid w:val="16210154"/>
    <w:rsid w:val="16334A9A"/>
    <w:rsid w:val="163D2AB4"/>
    <w:rsid w:val="16570198"/>
    <w:rsid w:val="165E3157"/>
    <w:rsid w:val="16714784"/>
    <w:rsid w:val="167E7B95"/>
    <w:rsid w:val="167F185F"/>
    <w:rsid w:val="16954C7E"/>
    <w:rsid w:val="16963E20"/>
    <w:rsid w:val="169965EC"/>
    <w:rsid w:val="16A13043"/>
    <w:rsid w:val="16B258F7"/>
    <w:rsid w:val="16DE7DF3"/>
    <w:rsid w:val="17082743"/>
    <w:rsid w:val="170B3EB2"/>
    <w:rsid w:val="171B4C60"/>
    <w:rsid w:val="17365554"/>
    <w:rsid w:val="17455C44"/>
    <w:rsid w:val="176A1902"/>
    <w:rsid w:val="177D7A23"/>
    <w:rsid w:val="1787146D"/>
    <w:rsid w:val="17894E51"/>
    <w:rsid w:val="17926803"/>
    <w:rsid w:val="17BC5436"/>
    <w:rsid w:val="17DA4A5F"/>
    <w:rsid w:val="17DD777F"/>
    <w:rsid w:val="17F35A52"/>
    <w:rsid w:val="17F717AB"/>
    <w:rsid w:val="182A2B82"/>
    <w:rsid w:val="18451679"/>
    <w:rsid w:val="184E713F"/>
    <w:rsid w:val="186A5FE2"/>
    <w:rsid w:val="187C6219"/>
    <w:rsid w:val="188E3A9B"/>
    <w:rsid w:val="189A3424"/>
    <w:rsid w:val="18A1732B"/>
    <w:rsid w:val="18D2614B"/>
    <w:rsid w:val="18D47700"/>
    <w:rsid w:val="18E23945"/>
    <w:rsid w:val="18EE62E8"/>
    <w:rsid w:val="190D755C"/>
    <w:rsid w:val="19191EA9"/>
    <w:rsid w:val="19314B52"/>
    <w:rsid w:val="193B3F5F"/>
    <w:rsid w:val="1957453F"/>
    <w:rsid w:val="19594B59"/>
    <w:rsid w:val="195E40D6"/>
    <w:rsid w:val="198033E4"/>
    <w:rsid w:val="19811766"/>
    <w:rsid w:val="198D5B01"/>
    <w:rsid w:val="19B60BB4"/>
    <w:rsid w:val="19BD63E6"/>
    <w:rsid w:val="19D8008E"/>
    <w:rsid w:val="19D83220"/>
    <w:rsid w:val="19DC1DC4"/>
    <w:rsid w:val="19FE6234"/>
    <w:rsid w:val="1A153507"/>
    <w:rsid w:val="1A1A235E"/>
    <w:rsid w:val="1A1C4ED2"/>
    <w:rsid w:val="1A23160D"/>
    <w:rsid w:val="1A497FE3"/>
    <w:rsid w:val="1A5F2FF9"/>
    <w:rsid w:val="1A843D72"/>
    <w:rsid w:val="1AA23CFC"/>
    <w:rsid w:val="1AB23A71"/>
    <w:rsid w:val="1AF37835"/>
    <w:rsid w:val="1AF61E20"/>
    <w:rsid w:val="1B003D36"/>
    <w:rsid w:val="1B0B4F2F"/>
    <w:rsid w:val="1B2865CE"/>
    <w:rsid w:val="1B317922"/>
    <w:rsid w:val="1B3E5305"/>
    <w:rsid w:val="1B46065D"/>
    <w:rsid w:val="1B4B2F13"/>
    <w:rsid w:val="1B510F70"/>
    <w:rsid w:val="1B5E017E"/>
    <w:rsid w:val="1B6F54BE"/>
    <w:rsid w:val="1B716E19"/>
    <w:rsid w:val="1B7D4586"/>
    <w:rsid w:val="1B860A5A"/>
    <w:rsid w:val="1B896970"/>
    <w:rsid w:val="1B97254D"/>
    <w:rsid w:val="1BA64C58"/>
    <w:rsid w:val="1BA775D9"/>
    <w:rsid w:val="1BA8168E"/>
    <w:rsid w:val="1BBD2F52"/>
    <w:rsid w:val="1BD25A4D"/>
    <w:rsid w:val="1C01231D"/>
    <w:rsid w:val="1C085D09"/>
    <w:rsid w:val="1C0D3B4C"/>
    <w:rsid w:val="1C132A18"/>
    <w:rsid w:val="1C347225"/>
    <w:rsid w:val="1C735482"/>
    <w:rsid w:val="1C7D3C04"/>
    <w:rsid w:val="1C8A0A1B"/>
    <w:rsid w:val="1CA078F9"/>
    <w:rsid w:val="1CA67605"/>
    <w:rsid w:val="1CBA250F"/>
    <w:rsid w:val="1CC25AC1"/>
    <w:rsid w:val="1CD13D2A"/>
    <w:rsid w:val="1D1722B1"/>
    <w:rsid w:val="1D1E53EE"/>
    <w:rsid w:val="1D2D73DF"/>
    <w:rsid w:val="1D4053A8"/>
    <w:rsid w:val="1D5523BA"/>
    <w:rsid w:val="1D5D270B"/>
    <w:rsid w:val="1D630170"/>
    <w:rsid w:val="1D9C4564"/>
    <w:rsid w:val="1D9E208B"/>
    <w:rsid w:val="1D9E71F2"/>
    <w:rsid w:val="1DA653E3"/>
    <w:rsid w:val="1DD51824"/>
    <w:rsid w:val="1DE678D0"/>
    <w:rsid w:val="1DE71C83"/>
    <w:rsid w:val="1E012473"/>
    <w:rsid w:val="1E350C2D"/>
    <w:rsid w:val="1E3D1FA5"/>
    <w:rsid w:val="1E4075E6"/>
    <w:rsid w:val="1E4550A8"/>
    <w:rsid w:val="1E58492F"/>
    <w:rsid w:val="1E5F4ADD"/>
    <w:rsid w:val="1E636E30"/>
    <w:rsid w:val="1E6A4318"/>
    <w:rsid w:val="1E733517"/>
    <w:rsid w:val="1E892D3B"/>
    <w:rsid w:val="1E8B1295"/>
    <w:rsid w:val="1E92221F"/>
    <w:rsid w:val="1EA625E8"/>
    <w:rsid w:val="1EF27DF0"/>
    <w:rsid w:val="1F1A7E37"/>
    <w:rsid w:val="1F3C5C4A"/>
    <w:rsid w:val="1F49079A"/>
    <w:rsid w:val="1F532328"/>
    <w:rsid w:val="1FC529A2"/>
    <w:rsid w:val="1FC748BA"/>
    <w:rsid w:val="1FE55012"/>
    <w:rsid w:val="1FED7932"/>
    <w:rsid w:val="1FF22B62"/>
    <w:rsid w:val="1FF40EAB"/>
    <w:rsid w:val="1FFA3BFD"/>
    <w:rsid w:val="1FFC12EA"/>
    <w:rsid w:val="20003BD0"/>
    <w:rsid w:val="200A0343"/>
    <w:rsid w:val="201C337E"/>
    <w:rsid w:val="20216FA3"/>
    <w:rsid w:val="20234AC9"/>
    <w:rsid w:val="20255F49"/>
    <w:rsid w:val="204372D7"/>
    <w:rsid w:val="206A6B9C"/>
    <w:rsid w:val="207143EA"/>
    <w:rsid w:val="208166F8"/>
    <w:rsid w:val="20920166"/>
    <w:rsid w:val="20AE1CF0"/>
    <w:rsid w:val="20B739D0"/>
    <w:rsid w:val="20D81D57"/>
    <w:rsid w:val="20FC0F28"/>
    <w:rsid w:val="21582E98"/>
    <w:rsid w:val="21631FEC"/>
    <w:rsid w:val="21685F6E"/>
    <w:rsid w:val="217224C0"/>
    <w:rsid w:val="217C0935"/>
    <w:rsid w:val="21983295"/>
    <w:rsid w:val="219D08AB"/>
    <w:rsid w:val="21B93937"/>
    <w:rsid w:val="21E309B4"/>
    <w:rsid w:val="22001928"/>
    <w:rsid w:val="220607B4"/>
    <w:rsid w:val="221B54DD"/>
    <w:rsid w:val="223733B8"/>
    <w:rsid w:val="22665DB9"/>
    <w:rsid w:val="22681DA8"/>
    <w:rsid w:val="227C2DBC"/>
    <w:rsid w:val="22C27D22"/>
    <w:rsid w:val="22F10EAE"/>
    <w:rsid w:val="22F15352"/>
    <w:rsid w:val="22FD22E5"/>
    <w:rsid w:val="23183EF8"/>
    <w:rsid w:val="232A2389"/>
    <w:rsid w:val="23367F2F"/>
    <w:rsid w:val="235A7101"/>
    <w:rsid w:val="235D4796"/>
    <w:rsid w:val="235F55D1"/>
    <w:rsid w:val="23671D53"/>
    <w:rsid w:val="236F6BEA"/>
    <w:rsid w:val="23897339"/>
    <w:rsid w:val="2393640A"/>
    <w:rsid w:val="23A1114A"/>
    <w:rsid w:val="23B27D99"/>
    <w:rsid w:val="24061B44"/>
    <w:rsid w:val="24213A15"/>
    <w:rsid w:val="243954FA"/>
    <w:rsid w:val="243E38B6"/>
    <w:rsid w:val="24403968"/>
    <w:rsid w:val="24547E1C"/>
    <w:rsid w:val="246E29D9"/>
    <w:rsid w:val="24913173"/>
    <w:rsid w:val="24AD730D"/>
    <w:rsid w:val="24B14B2F"/>
    <w:rsid w:val="250B3F54"/>
    <w:rsid w:val="250E5F3F"/>
    <w:rsid w:val="250F1AC0"/>
    <w:rsid w:val="25170115"/>
    <w:rsid w:val="25257535"/>
    <w:rsid w:val="253A7CD4"/>
    <w:rsid w:val="2547125A"/>
    <w:rsid w:val="254B0FE8"/>
    <w:rsid w:val="254B5296"/>
    <w:rsid w:val="256B41B6"/>
    <w:rsid w:val="25744EEE"/>
    <w:rsid w:val="257C5ABF"/>
    <w:rsid w:val="25963F81"/>
    <w:rsid w:val="25A76103"/>
    <w:rsid w:val="25AB3597"/>
    <w:rsid w:val="25B83F05"/>
    <w:rsid w:val="25C66BFA"/>
    <w:rsid w:val="25C74149"/>
    <w:rsid w:val="25DA3E7C"/>
    <w:rsid w:val="262C69C3"/>
    <w:rsid w:val="26367D15"/>
    <w:rsid w:val="263E2006"/>
    <w:rsid w:val="26542812"/>
    <w:rsid w:val="26614E49"/>
    <w:rsid w:val="26692C8F"/>
    <w:rsid w:val="2674607E"/>
    <w:rsid w:val="267939E9"/>
    <w:rsid w:val="26E52AD8"/>
    <w:rsid w:val="26E6071B"/>
    <w:rsid w:val="26FE46F6"/>
    <w:rsid w:val="26FF783E"/>
    <w:rsid w:val="27150274"/>
    <w:rsid w:val="271635D9"/>
    <w:rsid w:val="273339C7"/>
    <w:rsid w:val="275163C0"/>
    <w:rsid w:val="275E73AA"/>
    <w:rsid w:val="276B33D5"/>
    <w:rsid w:val="277255B9"/>
    <w:rsid w:val="279F0B00"/>
    <w:rsid w:val="27CC02C6"/>
    <w:rsid w:val="27EA5242"/>
    <w:rsid w:val="27EC60E8"/>
    <w:rsid w:val="28015D52"/>
    <w:rsid w:val="28245882"/>
    <w:rsid w:val="282F4953"/>
    <w:rsid w:val="283755B5"/>
    <w:rsid w:val="283E354B"/>
    <w:rsid w:val="28405674"/>
    <w:rsid w:val="284B2E0F"/>
    <w:rsid w:val="28695417"/>
    <w:rsid w:val="287F438E"/>
    <w:rsid w:val="28932EF8"/>
    <w:rsid w:val="28C22BF8"/>
    <w:rsid w:val="28CA642A"/>
    <w:rsid w:val="28EA7C93"/>
    <w:rsid w:val="28F510F0"/>
    <w:rsid w:val="290D4568"/>
    <w:rsid w:val="295D729E"/>
    <w:rsid w:val="295E3016"/>
    <w:rsid w:val="29693E94"/>
    <w:rsid w:val="29861207"/>
    <w:rsid w:val="29916F47"/>
    <w:rsid w:val="29B67D5B"/>
    <w:rsid w:val="29D543B0"/>
    <w:rsid w:val="29E066A4"/>
    <w:rsid w:val="29E160D0"/>
    <w:rsid w:val="29E5528F"/>
    <w:rsid w:val="2A012D96"/>
    <w:rsid w:val="2A283250"/>
    <w:rsid w:val="2A662182"/>
    <w:rsid w:val="2A9D5BF0"/>
    <w:rsid w:val="2AB729DE"/>
    <w:rsid w:val="2ACA5218"/>
    <w:rsid w:val="2AD92C0B"/>
    <w:rsid w:val="2B02634F"/>
    <w:rsid w:val="2B073965"/>
    <w:rsid w:val="2B096C05"/>
    <w:rsid w:val="2B2160A9"/>
    <w:rsid w:val="2B5F6D63"/>
    <w:rsid w:val="2B6B4498"/>
    <w:rsid w:val="2BB22233"/>
    <w:rsid w:val="2BB535F4"/>
    <w:rsid w:val="2BC26BB7"/>
    <w:rsid w:val="2BDE23BD"/>
    <w:rsid w:val="2BEB6CF1"/>
    <w:rsid w:val="2BEE3E3E"/>
    <w:rsid w:val="2C0E56CF"/>
    <w:rsid w:val="2C134F28"/>
    <w:rsid w:val="2C482B06"/>
    <w:rsid w:val="2C491207"/>
    <w:rsid w:val="2C6E3570"/>
    <w:rsid w:val="2C8E776E"/>
    <w:rsid w:val="2CED6B8B"/>
    <w:rsid w:val="2D236108"/>
    <w:rsid w:val="2D2D51D9"/>
    <w:rsid w:val="2D32459D"/>
    <w:rsid w:val="2D8F19F0"/>
    <w:rsid w:val="2DB43204"/>
    <w:rsid w:val="2DCC67A0"/>
    <w:rsid w:val="2DD16436"/>
    <w:rsid w:val="2DD24D42"/>
    <w:rsid w:val="2DD2533A"/>
    <w:rsid w:val="2DDD3C47"/>
    <w:rsid w:val="2DEF2D67"/>
    <w:rsid w:val="2E3D1458"/>
    <w:rsid w:val="2E5D3F8E"/>
    <w:rsid w:val="2E6D7F83"/>
    <w:rsid w:val="2E786928"/>
    <w:rsid w:val="2E953036"/>
    <w:rsid w:val="2E960B5C"/>
    <w:rsid w:val="2E983388"/>
    <w:rsid w:val="2EB11B64"/>
    <w:rsid w:val="2EC76F67"/>
    <w:rsid w:val="2EF7784D"/>
    <w:rsid w:val="2F081A5A"/>
    <w:rsid w:val="2F2C1457"/>
    <w:rsid w:val="2F2D0695"/>
    <w:rsid w:val="2F410DD9"/>
    <w:rsid w:val="2F4F0419"/>
    <w:rsid w:val="2F6057F9"/>
    <w:rsid w:val="2F98559B"/>
    <w:rsid w:val="2FC46791"/>
    <w:rsid w:val="2FE1197C"/>
    <w:rsid w:val="2FE4063D"/>
    <w:rsid w:val="2FE86D2A"/>
    <w:rsid w:val="2FF27FE5"/>
    <w:rsid w:val="2FFB4EEB"/>
    <w:rsid w:val="2FFC1A27"/>
    <w:rsid w:val="30185CCC"/>
    <w:rsid w:val="302D57E0"/>
    <w:rsid w:val="305A4537"/>
    <w:rsid w:val="3071441B"/>
    <w:rsid w:val="307355F9"/>
    <w:rsid w:val="30843362"/>
    <w:rsid w:val="30962938"/>
    <w:rsid w:val="30A575DE"/>
    <w:rsid w:val="30CC1ABC"/>
    <w:rsid w:val="30CF4367"/>
    <w:rsid w:val="30D81900"/>
    <w:rsid w:val="30F7043E"/>
    <w:rsid w:val="3105053C"/>
    <w:rsid w:val="31211F60"/>
    <w:rsid w:val="31216807"/>
    <w:rsid w:val="31592A40"/>
    <w:rsid w:val="3160503C"/>
    <w:rsid w:val="316E6CE8"/>
    <w:rsid w:val="31A37CDA"/>
    <w:rsid w:val="31AD3746"/>
    <w:rsid w:val="31C2278E"/>
    <w:rsid w:val="31D56A26"/>
    <w:rsid w:val="31DD0E88"/>
    <w:rsid w:val="32081D71"/>
    <w:rsid w:val="320973E2"/>
    <w:rsid w:val="320C77DA"/>
    <w:rsid w:val="32326DEE"/>
    <w:rsid w:val="324D417C"/>
    <w:rsid w:val="325D20BC"/>
    <w:rsid w:val="32661CEF"/>
    <w:rsid w:val="32B06D03"/>
    <w:rsid w:val="336F654B"/>
    <w:rsid w:val="3392223A"/>
    <w:rsid w:val="33CB3B50"/>
    <w:rsid w:val="33D36691"/>
    <w:rsid w:val="33F51616"/>
    <w:rsid w:val="33FB7DDF"/>
    <w:rsid w:val="341669C7"/>
    <w:rsid w:val="342033A2"/>
    <w:rsid w:val="342630B9"/>
    <w:rsid w:val="343541A1"/>
    <w:rsid w:val="3437693D"/>
    <w:rsid w:val="343D21A6"/>
    <w:rsid w:val="344418E2"/>
    <w:rsid w:val="344F012B"/>
    <w:rsid w:val="344F3C87"/>
    <w:rsid w:val="34533777"/>
    <w:rsid w:val="3474193F"/>
    <w:rsid w:val="347A51A8"/>
    <w:rsid w:val="34AE72C0"/>
    <w:rsid w:val="34B32C63"/>
    <w:rsid w:val="34BE6306"/>
    <w:rsid w:val="34D128EE"/>
    <w:rsid w:val="34F414AD"/>
    <w:rsid w:val="35076310"/>
    <w:rsid w:val="351D67A0"/>
    <w:rsid w:val="353A3563"/>
    <w:rsid w:val="353D7F83"/>
    <w:rsid w:val="35446E64"/>
    <w:rsid w:val="354A2EB8"/>
    <w:rsid w:val="35531DB4"/>
    <w:rsid w:val="3567045E"/>
    <w:rsid w:val="35731C01"/>
    <w:rsid w:val="357C7BE5"/>
    <w:rsid w:val="358154ED"/>
    <w:rsid w:val="35973639"/>
    <w:rsid w:val="359A7184"/>
    <w:rsid w:val="35BC17F0"/>
    <w:rsid w:val="35D24B6F"/>
    <w:rsid w:val="35DB6CDC"/>
    <w:rsid w:val="35E52AF5"/>
    <w:rsid w:val="35E71591"/>
    <w:rsid w:val="35EB3E83"/>
    <w:rsid w:val="360B4347"/>
    <w:rsid w:val="360B6F2A"/>
    <w:rsid w:val="36464E91"/>
    <w:rsid w:val="364B02AA"/>
    <w:rsid w:val="364F2869"/>
    <w:rsid w:val="36533F02"/>
    <w:rsid w:val="366D6646"/>
    <w:rsid w:val="3682021B"/>
    <w:rsid w:val="3686678E"/>
    <w:rsid w:val="36883A49"/>
    <w:rsid w:val="36AC4D4B"/>
    <w:rsid w:val="36B70D9A"/>
    <w:rsid w:val="36C76253"/>
    <w:rsid w:val="36EC7A7E"/>
    <w:rsid w:val="371C007F"/>
    <w:rsid w:val="373013DD"/>
    <w:rsid w:val="3748158D"/>
    <w:rsid w:val="375B7008"/>
    <w:rsid w:val="37691503"/>
    <w:rsid w:val="376D0FF4"/>
    <w:rsid w:val="377759CE"/>
    <w:rsid w:val="37861808"/>
    <w:rsid w:val="37930204"/>
    <w:rsid w:val="37F039D3"/>
    <w:rsid w:val="37F92887"/>
    <w:rsid w:val="380354B4"/>
    <w:rsid w:val="382F2B84"/>
    <w:rsid w:val="3842422E"/>
    <w:rsid w:val="3851515B"/>
    <w:rsid w:val="3864073E"/>
    <w:rsid w:val="38962086"/>
    <w:rsid w:val="38B36EDA"/>
    <w:rsid w:val="38C334FF"/>
    <w:rsid w:val="38D330D8"/>
    <w:rsid w:val="38EC7CF6"/>
    <w:rsid w:val="38FD1D48"/>
    <w:rsid w:val="390C2146"/>
    <w:rsid w:val="39205541"/>
    <w:rsid w:val="392C6D83"/>
    <w:rsid w:val="392E60D8"/>
    <w:rsid w:val="393578EF"/>
    <w:rsid w:val="394418E0"/>
    <w:rsid w:val="394E18B2"/>
    <w:rsid w:val="39521A13"/>
    <w:rsid w:val="395E28E9"/>
    <w:rsid w:val="39936792"/>
    <w:rsid w:val="39A90E92"/>
    <w:rsid w:val="39B403DE"/>
    <w:rsid w:val="39C54928"/>
    <w:rsid w:val="39CB1823"/>
    <w:rsid w:val="39D72754"/>
    <w:rsid w:val="39FB3C69"/>
    <w:rsid w:val="39FC033D"/>
    <w:rsid w:val="39FC665F"/>
    <w:rsid w:val="3A1B1E8B"/>
    <w:rsid w:val="3A2137DB"/>
    <w:rsid w:val="3A3B0ECC"/>
    <w:rsid w:val="3A5169AB"/>
    <w:rsid w:val="3A6C438A"/>
    <w:rsid w:val="3A731158"/>
    <w:rsid w:val="3A7D7C15"/>
    <w:rsid w:val="3A816B64"/>
    <w:rsid w:val="3A8D375B"/>
    <w:rsid w:val="3AA37D5C"/>
    <w:rsid w:val="3AA505DB"/>
    <w:rsid w:val="3ABB2387"/>
    <w:rsid w:val="3AC15705"/>
    <w:rsid w:val="3AE370BA"/>
    <w:rsid w:val="3AF542BD"/>
    <w:rsid w:val="3AFC2DCE"/>
    <w:rsid w:val="3B0221B1"/>
    <w:rsid w:val="3B1672AC"/>
    <w:rsid w:val="3B2201CC"/>
    <w:rsid w:val="3B22232D"/>
    <w:rsid w:val="3B2C48E4"/>
    <w:rsid w:val="3B3201FD"/>
    <w:rsid w:val="3B334302"/>
    <w:rsid w:val="3B3910EA"/>
    <w:rsid w:val="3B530501"/>
    <w:rsid w:val="3B650E8E"/>
    <w:rsid w:val="3B87597C"/>
    <w:rsid w:val="3B8C57C0"/>
    <w:rsid w:val="3BA415B3"/>
    <w:rsid w:val="3BA90725"/>
    <w:rsid w:val="3BAC2DD5"/>
    <w:rsid w:val="3BAC5E63"/>
    <w:rsid w:val="3BD50F16"/>
    <w:rsid w:val="3BD5722A"/>
    <w:rsid w:val="3BE61375"/>
    <w:rsid w:val="3C0B10D5"/>
    <w:rsid w:val="3C176EB8"/>
    <w:rsid w:val="3C35526E"/>
    <w:rsid w:val="3C460065"/>
    <w:rsid w:val="3C84129E"/>
    <w:rsid w:val="3C8A61A4"/>
    <w:rsid w:val="3C8B21EA"/>
    <w:rsid w:val="3C997F9C"/>
    <w:rsid w:val="3CB837A7"/>
    <w:rsid w:val="3CC52D38"/>
    <w:rsid w:val="3CD63197"/>
    <w:rsid w:val="3CE96CCC"/>
    <w:rsid w:val="3D0221DE"/>
    <w:rsid w:val="3D097220"/>
    <w:rsid w:val="3D3D5356"/>
    <w:rsid w:val="3D3E2AEA"/>
    <w:rsid w:val="3D596505"/>
    <w:rsid w:val="3D673064"/>
    <w:rsid w:val="3D6A1DD7"/>
    <w:rsid w:val="3D714641"/>
    <w:rsid w:val="3D8E0E1C"/>
    <w:rsid w:val="3D9F50BB"/>
    <w:rsid w:val="3DA45043"/>
    <w:rsid w:val="3DAC6228"/>
    <w:rsid w:val="3DDD0555"/>
    <w:rsid w:val="3E216694"/>
    <w:rsid w:val="3E241CE0"/>
    <w:rsid w:val="3E39234D"/>
    <w:rsid w:val="3E527E6A"/>
    <w:rsid w:val="3E570BFA"/>
    <w:rsid w:val="3E654F78"/>
    <w:rsid w:val="3E7D665B"/>
    <w:rsid w:val="3E8A248B"/>
    <w:rsid w:val="3E9B15A0"/>
    <w:rsid w:val="3EAC4750"/>
    <w:rsid w:val="3EDB3DF6"/>
    <w:rsid w:val="3EDD0BCD"/>
    <w:rsid w:val="3EF72DDD"/>
    <w:rsid w:val="3F0833B0"/>
    <w:rsid w:val="3F0F2990"/>
    <w:rsid w:val="3F2C3542"/>
    <w:rsid w:val="3F2D1069"/>
    <w:rsid w:val="3F477FF5"/>
    <w:rsid w:val="3F5059D8"/>
    <w:rsid w:val="3F5D36FC"/>
    <w:rsid w:val="3F74686A"/>
    <w:rsid w:val="3F814559"/>
    <w:rsid w:val="3F9011E5"/>
    <w:rsid w:val="3F9904AC"/>
    <w:rsid w:val="3FA23805"/>
    <w:rsid w:val="3FBC4F17"/>
    <w:rsid w:val="3FC01228"/>
    <w:rsid w:val="3FC21CF8"/>
    <w:rsid w:val="3FC763E7"/>
    <w:rsid w:val="3FC92B3F"/>
    <w:rsid w:val="3FD23E36"/>
    <w:rsid w:val="402E6E46"/>
    <w:rsid w:val="404440A5"/>
    <w:rsid w:val="40446696"/>
    <w:rsid w:val="40447564"/>
    <w:rsid w:val="4061721C"/>
    <w:rsid w:val="4066507C"/>
    <w:rsid w:val="40774A6A"/>
    <w:rsid w:val="408353E4"/>
    <w:rsid w:val="40DB1AE6"/>
    <w:rsid w:val="40F417C2"/>
    <w:rsid w:val="410F2CCB"/>
    <w:rsid w:val="41167912"/>
    <w:rsid w:val="411D701A"/>
    <w:rsid w:val="411F0A81"/>
    <w:rsid w:val="412A5860"/>
    <w:rsid w:val="41362456"/>
    <w:rsid w:val="41605725"/>
    <w:rsid w:val="41807B75"/>
    <w:rsid w:val="418F7DB9"/>
    <w:rsid w:val="41BD49DA"/>
    <w:rsid w:val="41DA7286"/>
    <w:rsid w:val="41EA4FEF"/>
    <w:rsid w:val="423339E6"/>
    <w:rsid w:val="4236595D"/>
    <w:rsid w:val="42383FAC"/>
    <w:rsid w:val="423D2800"/>
    <w:rsid w:val="42565A2C"/>
    <w:rsid w:val="42593669"/>
    <w:rsid w:val="42982C9D"/>
    <w:rsid w:val="42A17DA3"/>
    <w:rsid w:val="42B9333F"/>
    <w:rsid w:val="42DB0A37"/>
    <w:rsid w:val="42ED2FE9"/>
    <w:rsid w:val="431268CA"/>
    <w:rsid w:val="431B5C7B"/>
    <w:rsid w:val="431E7646"/>
    <w:rsid w:val="431F706B"/>
    <w:rsid w:val="432664FB"/>
    <w:rsid w:val="433C7ACC"/>
    <w:rsid w:val="434037DA"/>
    <w:rsid w:val="43456981"/>
    <w:rsid w:val="435B772B"/>
    <w:rsid w:val="435C6F85"/>
    <w:rsid w:val="43754D8C"/>
    <w:rsid w:val="438356FB"/>
    <w:rsid w:val="43894EAB"/>
    <w:rsid w:val="438A6A89"/>
    <w:rsid w:val="438D70F0"/>
    <w:rsid w:val="438F0833"/>
    <w:rsid w:val="4394121C"/>
    <w:rsid w:val="439714AA"/>
    <w:rsid w:val="43A81938"/>
    <w:rsid w:val="43F15C0E"/>
    <w:rsid w:val="43F657A7"/>
    <w:rsid w:val="441440F3"/>
    <w:rsid w:val="442C18EF"/>
    <w:rsid w:val="443A10F9"/>
    <w:rsid w:val="443A5C31"/>
    <w:rsid w:val="445A05B2"/>
    <w:rsid w:val="44632C65"/>
    <w:rsid w:val="446E1F07"/>
    <w:rsid w:val="44706678"/>
    <w:rsid w:val="44771EE5"/>
    <w:rsid w:val="448636F5"/>
    <w:rsid w:val="44931DE1"/>
    <w:rsid w:val="44C164DB"/>
    <w:rsid w:val="44C304A5"/>
    <w:rsid w:val="44CB1F04"/>
    <w:rsid w:val="44D02BC2"/>
    <w:rsid w:val="44E9255A"/>
    <w:rsid w:val="44EC107E"/>
    <w:rsid w:val="44F763A1"/>
    <w:rsid w:val="45390767"/>
    <w:rsid w:val="45414D79"/>
    <w:rsid w:val="4577303D"/>
    <w:rsid w:val="458A2D71"/>
    <w:rsid w:val="45BC281D"/>
    <w:rsid w:val="45EE1552"/>
    <w:rsid w:val="45F7323A"/>
    <w:rsid w:val="462406C2"/>
    <w:rsid w:val="466546ED"/>
    <w:rsid w:val="46774568"/>
    <w:rsid w:val="46794B93"/>
    <w:rsid w:val="46B96C2A"/>
    <w:rsid w:val="46E6317A"/>
    <w:rsid w:val="472100CB"/>
    <w:rsid w:val="472A6A12"/>
    <w:rsid w:val="47330D35"/>
    <w:rsid w:val="47384653"/>
    <w:rsid w:val="475B7D47"/>
    <w:rsid w:val="4774056A"/>
    <w:rsid w:val="4785375B"/>
    <w:rsid w:val="47905C32"/>
    <w:rsid w:val="47966597"/>
    <w:rsid w:val="47A143A2"/>
    <w:rsid w:val="47FD4C53"/>
    <w:rsid w:val="480F236C"/>
    <w:rsid w:val="481C24C0"/>
    <w:rsid w:val="4823029E"/>
    <w:rsid w:val="48592ECE"/>
    <w:rsid w:val="48892FA1"/>
    <w:rsid w:val="48A75435"/>
    <w:rsid w:val="48F575C3"/>
    <w:rsid w:val="48FD7CFE"/>
    <w:rsid w:val="491F48AE"/>
    <w:rsid w:val="492A1D06"/>
    <w:rsid w:val="494A5AEF"/>
    <w:rsid w:val="49523BA5"/>
    <w:rsid w:val="495D761D"/>
    <w:rsid w:val="496F0BFB"/>
    <w:rsid w:val="49D03B2F"/>
    <w:rsid w:val="49D31E51"/>
    <w:rsid w:val="4A203CA4"/>
    <w:rsid w:val="4A2A4B22"/>
    <w:rsid w:val="4A364378"/>
    <w:rsid w:val="4A3F3BEF"/>
    <w:rsid w:val="4A467657"/>
    <w:rsid w:val="4A742241"/>
    <w:rsid w:val="4AA11545"/>
    <w:rsid w:val="4AAA17BF"/>
    <w:rsid w:val="4ADB7BCB"/>
    <w:rsid w:val="4AE03433"/>
    <w:rsid w:val="4B3E2818"/>
    <w:rsid w:val="4B4C5E55"/>
    <w:rsid w:val="4B5959D2"/>
    <w:rsid w:val="4B596357"/>
    <w:rsid w:val="4B74006D"/>
    <w:rsid w:val="4B84756E"/>
    <w:rsid w:val="4BA40904"/>
    <w:rsid w:val="4BC46796"/>
    <w:rsid w:val="4C0D0258"/>
    <w:rsid w:val="4C317BC2"/>
    <w:rsid w:val="4C357994"/>
    <w:rsid w:val="4C3A1B74"/>
    <w:rsid w:val="4C442D3C"/>
    <w:rsid w:val="4C473B7E"/>
    <w:rsid w:val="4C554C45"/>
    <w:rsid w:val="4C602A7D"/>
    <w:rsid w:val="4C636A09"/>
    <w:rsid w:val="4C671E1D"/>
    <w:rsid w:val="4C7C718B"/>
    <w:rsid w:val="4C913C6A"/>
    <w:rsid w:val="4C942A54"/>
    <w:rsid w:val="4C982217"/>
    <w:rsid w:val="4CA34957"/>
    <w:rsid w:val="4CA566E2"/>
    <w:rsid w:val="4CB24DE4"/>
    <w:rsid w:val="4CB93F3C"/>
    <w:rsid w:val="4CBC7AF3"/>
    <w:rsid w:val="4CC528E0"/>
    <w:rsid w:val="4CF61047"/>
    <w:rsid w:val="4CF67957"/>
    <w:rsid w:val="4D075F85"/>
    <w:rsid w:val="4D0E538D"/>
    <w:rsid w:val="4D127C0C"/>
    <w:rsid w:val="4D2A088E"/>
    <w:rsid w:val="4D3F08E5"/>
    <w:rsid w:val="4D53613E"/>
    <w:rsid w:val="4D671295"/>
    <w:rsid w:val="4D9547ED"/>
    <w:rsid w:val="4D987FF5"/>
    <w:rsid w:val="4DA644C0"/>
    <w:rsid w:val="4DC10F6A"/>
    <w:rsid w:val="4DD35F4B"/>
    <w:rsid w:val="4DFF641F"/>
    <w:rsid w:val="4E1C22E0"/>
    <w:rsid w:val="4E2B1B11"/>
    <w:rsid w:val="4E3E30D0"/>
    <w:rsid w:val="4E6A1991"/>
    <w:rsid w:val="4E8C4336"/>
    <w:rsid w:val="4E915170"/>
    <w:rsid w:val="4E925632"/>
    <w:rsid w:val="4EB1136E"/>
    <w:rsid w:val="4EC76DE4"/>
    <w:rsid w:val="4EF31560"/>
    <w:rsid w:val="4F35645E"/>
    <w:rsid w:val="4F492391"/>
    <w:rsid w:val="4F5148FF"/>
    <w:rsid w:val="4F602D94"/>
    <w:rsid w:val="4F87001C"/>
    <w:rsid w:val="4F894099"/>
    <w:rsid w:val="4F8A7C69"/>
    <w:rsid w:val="4FB024B3"/>
    <w:rsid w:val="4FBB39D1"/>
    <w:rsid w:val="4FC03DE9"/>
    <w:rsid w:val="4FD3359A"/>
    <w:rsid w:val="4FDE0794"/>
    <w:rsid w:val="4FE45773"/>
    <w:rsid w:val="4FEC63D6"/>
    <w:rsid w:val="50131BB5"/>
    <w:rsid w:val="50351756"/>
    <w:rsid w:val="5052092F"/>
    <w:rsid w:val="505C4CBF"/>
    <w:rsid w:val="505D5440"/>
    <w:rsid w:val="505E1082"/>
    <w:rsid w:val="505F01E0"/>
    <w:rsid w:val="50642410"/>
    <w:rsid w:val="50AD3DB7"/>
    <w:rsid w:val="50CA2BBB"/>
    <w:rsid w:val="50DB0924"/>
    <w:rsid w:val="50DD28EE"/>
    <w:rsid w:val="50E023DF"/>
    <w:rsid w:val="50E57D05"/>
    <w:rsid w:val="50EC27DC"/>
    <w:rsid w:val="51072A5E"/>
    <w:rsid w:val="512F2307"/>
    <w:rsid w:val="515952C4"/>
    <w:rsid w:val="51A6769A"/>
    <w:rsid w:val="51C55D72"/>
    <w:rsid w:val="51CA5081"/>
    <w:rsid w:val="51D04201"/>
    <w:rsid w:val="51D21455"/>
    <w:rsid w:val="51F64B4D"/>
    <w:rsid w:val="520914C1"/>
    <w:rsid w:val="52612EE3"/>
    <w:rsid w:val="52666914"/>
    <w:rsid w:val="526D26FF"/>
    <w:rsid w:val="52824F3E"/>
    <w:rsid w:val="528B1ED6"/>
    <w:rsid w:val="533B38FC"/>
    <w:rsid w:val="533C16FA"/>
    <w:rsid w:val="53422EDD"/>
    <w:rsid w:val="53634C01"/>
    <w:rsid w:val="5366733E"/>
    <w:rsid w:val="53705369"/>
    <w:rsid w:val="53751171"/>
    <w:rsid w:val="53771717"/>
    <w:rsid w:val="539024C6"/>
    <w:rsid w:val="53A0797D"/>
    <w:rsid w:val="53BD6A07"/>
    <w:rsid w:val="53DF697E"/>
    <w:rsid w:val="53EA2CBA"/>
    <w:rsid w:val="53F60DA9"/>
    <w:rsid w:val="542B2594"/>
    <w:rsid w:val="542E6703"/>
    <w:rsid w:val="543B55F7"/>
    <w:rsid w:val="5449226A"/>
    <w:rsid w:val="54556C40"/>
    <w:rsid w:val="5458228C"/>
    <w:rsid w:val="545C3B2A"/>
    <w:rsid w:val="548020DF"/>
    <w:rsid w:val="54822AF9"/>
    <w:rsid w:val="54844A61"/>
    <w:rsid w:val="54876745"/>
    <w:rsid w:val="54A63070"/>
    <w:rsid w:val="54B0031A"/>
    <w:rsid w:val="54E26843"/>
    <w:rsid w:val="55425416"/>
    <w:rsid w:val="5559450E"/>
    <w:rsid w:val="556F5103"/>
    <w:rsid w:val="55741347"/>
    <w:rsid w:val="55845F69"/>
    <w:rsid w:val="558B15C3"/>
    <w:rsid w:val="55A27C63"/>
    <w:rsid w:val="55C71477"/>
    <w:rsid w:val="55D87B28"/>
    <w:rsid w:val="55DB13C7"/>
    <w:rsid w:val="55DF3826"/>
    <w:rsid w:val="55E22755"/>
    <w:rsid w:val="56075D18"/>
    <w:rsid w:val="5612303A"/>
    <w:rsid w:val="5616432E"/>
    <w:rsid w:val="561B1AB7"/>
    <w:rsid w:val="561E2467"/>
    <w:rsid w:val="562C67D8"/>
    <w:rsid w:val="563A1E5F"/>
    <w:rsid w:val="565A22EB"/>
    <w:rsid w:val="567A0BDF"/>
    <w:rsid w:val="568A2F88"/>
    <w:rsid w:val="569F286C"/>
    <w:rsid w:val="56AE2637"/>
    <w:rsid w:val="56D13864"/>
    <w:rsid w:val="56EE6DC3"/>
    <w:rsid w:val="56F20776"/>
    <w:rsid w:val="56FA6C42"/>
    <w:rsid w:val="570E2527"/>
    <w:rsid w:val="57203535"/>
    <w:rsid w:val="57233025"/>
    <w:rsid w:val="573568B4"/>
    <w:rsid w:val="57363B57"/>
    <w:rsid w:val="573C227B"/>
    <w:rsid w:val="577D5E0D"/>
    <w:rsid w:val="57BD7C43"/>
    <w:rsid w:val="57BF6032"/>
    <w:rsid w:val="57C2639A"/>
    <w:rsid w:val="57E427B4"/>
    <w:rsid w:val="57F16C7F"/>
    <w:rsid w:val="580601E4"/>
    <w:rsid w:val="580F034B"/>
    <w:rsid w:val="581862F5"/>
    <w:rsid w:val="581F37ED"/>
    <w:rsid w:val="582232DD"/>
    <w:rsid w:val="587D4566"/>
    <w:rsid w:val="587F24DD"/>
    <w:rsid w:val="58824B93"/>
    <w:rsid w:val="58836D63"/>
    <w:rsid w:val="589D2C7E"/>
    <w:rsid w:val="58C63C68"/>
    <w:rsid w:val="58CE0DD8"/>
    <w:rsid w:val="58EB36CF"/>
    <w:rsid w:val="593B4656"/>
    <w:rsid w:val="594F5910"/>
    <w:rsid w:val="596671F9"/>
    <w:rsid w:val="59914276"/>
    <w:rsid w:val="59A85A64"/>
    <w:rsid w:val="59AD307A"/>
    <w:rsid w:val="59D668DE"/>
    <w:rsid w:val="59E37255"/>
    <w:rsid w:val="59F960C7"/>
    <w:rsid w:val="59FD5DAF"/>
    <w:rsid w:val="5A004AC8"/>
    <w:rsid w:val="5A257EA1"/>
    <w:rsid w:val="5A296BA4"/>
    <w:rsid w:val="5A2A50B9"/>
    <w:rsid w:val="5A334F54"/>
    <w:rsid w:val="5A3A79AF"/>
    <w:rsid w:val="5A4A68EC"/>
    <w:rsid w:val="5A576F72"/>
    <w:rsid w:val="5A5E586D"/>
    <w:rsid w:val="5A6951F3"/>
    <w:rsid w:val="5A75462C"/>
    <w:rsid w:val="5A8964A9"/>
    <w:rsid w:val="5A9F0C15"/>
    <w:rsid w:val="5AA02A87"/>
    <w:rsid w:val="5AB62F4C"/>
    <w:rsid w:val="5AE623A0"/>
    <w:rsid w:val="5B314463"/>
    <w:rsid w:val="5B3C6463"/>
    <w:rsid w:val="5B476268"/>
    <w:rsid w:val="5B4F7D5C"/>
    <w:rsid w:val="5B743E4F"/>
    <w:rsid w:val="5B897944"/>
    <w:rsid w:val="5B8E37FB"/>
    <w:rsid w:val="5B9067AF"/>
    <w:rsid w:val="5B93074A"/>
    <w:rsid w:val="5B955B74"/>
    <w:rsid w:val="5BAF30D9"/>
    <w:rsid w:val="5BF907F8"/>
    <w:rsid w:val="5C057897"/>
    <w:rsid w:val="5C1D6295"/>
    <w:rsid w:val="5C367357"/>
    <w:rsid w:val="5C7C3FC4"/>
    <w:rsid w:val="5C990449"/>
    <w:rsid w:val="5CA65C42"/>
    <w:rsid w:val="5CA7535F"/>
    <w:rsid w:val="5CB6414A"/>
    <w:rsid w:val="5CBC5AAE"/>
    <w:rsid w:val="5D080A3C"/>
    <w:rsid w:val="5D246832"/>
    <w:rsid w:val="5D491CD1"/>
    <w:rsid w:val="5D537A94"/>
    <w:rsid w:val="5D7B7DAF"/>
    <w:rsid w:val="5D812584"/>
    <w:rsid w:val="5D9B7F3B"/>
    <w:rsid w:val="5DAD57FA"/>
    <w:rsid w:val="5DD37888"/>
    <w:rsid w:val="5DE051B3"/>
    <w:rsid w:val="5DEF3C61"/>
    <w:rsid w:val="5DF105F5"/>
    <w:rsid w:val="5DF7654D"/>
    <w:rsid w:val="5DFE3EA4"/>
    <w:rsid w:val="5E1C257C"/>
    <w:rsid w:val="5E374FFA"/>
    <w:rsid w:val="5E8A5738"/>
    <w:rsid w:val="5E9D546B"/>
    <w:rsid w:val="5EAF728C"/>
    <w:rsid w:val="5EB67403"/>
    <w:rsid w:val="5F0A4F62"/>
    <w:rsid w:val="5F0F181A"/>
    <w:rsid w:val="5F1119B5"/>
    <w:rsid w:val="5F444210"/>
    <w:rsid w:val="5F465B03"/>
    <w:rsid w:val="5F5875E4"/>
    <w:rsid w:val="5F8345FD"/>
    <w:rsid w:val="5F8F7324"/>
    <w:rsid w:val="5F954394"/>
    <w:rsid w:val="5F9A5E4E"/>
    <w:rsid w:val="5F9E6857"/>
    <w:rsid w:val="5FBE122D"/>
    <w:rsid w:val="5FF74A0F"/>
    <w:rsid w:val="600226C8"/>
    <w:rsid w:val="602348BE"/>
    <w:rsid w:val="60350178"/>
    <w:rsid w:val="60362D2C"/>
    <w:rsid w:val="60397E6C"/>
    <w:rsid w:val="60430294"/>
    <w:rsid w:val="60433DF0"/>
    <w:rsid w:val="605204D7"/>
    <w:rsid w:val="607B7A2E"/>
    <w:rsid w:val="60A4001D"/>
    <w:rsid w:val="60AA3A61"/>
    <w:rsid w:val="610B0DB2"/>
    <w:rsid w:val="611D2893"/>
    <w:rsid w:val="61450ABA"/>
    <w:rsid w:val="614A1947"/>
    <w:rsid w:val="614E6EF1"/>
    <w:rsid w:val="6151078F"/>
    <w:rsid w:val="61546E2A"/>
    <w:rsid w:val="6155662A"/>
    <w:rsid w:val="6166248C"/>
    <w:rsid w:val="618A277C"/>
    <w:rsid w:val="61C938C4"/>
    <w:rsid w:val="61CD6067"/>
    <w:rsid w:val="61CF1416"/>
    <w:rsid w:val="61D07906"/>
    <w:rsid w:val="61F061FA"/>
    <w:rsid w:val="620B18AC"/>
    <w:rsid w:val="6220088D"/>
    <w:rsid w:val="6236151B"/>
    <w:rsid w:val="623C143F"/>
    <w:rsid w:val="624F6ACD"/>
    <w:rsid w:val="626E6F1C"/>
    <w:rsid w:val="628A642F"/>
    <w:rsid w:val="628E4CEC"/>
    <w:rsid w:val="62AE273E"/>
    <w:rsid w:val="62BC62B9"/>
    <w:rsid w:val="62C52DD2"/>
    <w:rsid w:val="62D36707"/>
    <w:rsid w:val="62E55633"/>
    <w:rsid w:val="62EE44E7"/>
    <w:rsid w:val="62F36D82"/>
    <w:rsid w:val="631A16C3"/>
    <w:rsid w:val="633260A7"/>
    <w:rsid w:val="634939F9"/>
    <w:rsid w:val="63666773"/>
    <w:rsid w:val="63750765"/>
    <w:rsid w:val="63AD0236"/>
    <w:rsid w:val="63AE3173"/>
    <w:rsid w:val="63B53257"/>
    <w:rsid w:val="63DD327E"/>
    <w:rsid w:val="64030466"/>
    <w:rsid w:val="640900E7"/>
    <w:rsid w:val="64191A38"/>
    <w:rsid w:val="64234664"/>
    <w:rsid w:val="642D7291"/>
    <w:rsid w:val="64314924"/>
    <w:rsid w:val="64333820"/>
    <w:rsid w:val="644876A9"/>
    <w:rsid w:val="64756F15"/>
    <w:rsid w:val="647B624F"/>
    <w:rsid w:val="64A01811"/>
    <w:rsid w:val="64A327DD"/>
    <w:rsid w:val="64A623E4"/>
    <w:rsid w:val="64B82FFF"/>
    <w:rsid w:val="64BD1D9E"/>
    <w:rsid w:val="64D111CE"/>
    <w:rsid w:val="6518584B"/>
    <w:rsid w:val="652660BF"/>
    <w:rsid w:val="6537305A"/>
    <w:rsid w:val="65444E10"/>
    <w:rsid w:val="654D63FF"/>
    <w:rsid w:val="657054C6"/>
    <w:rsid w:val="658904F7"/>
    <w:rsid w:val="658C512E"/>
    <w:rsid w:val="65A532B3"/>
    <w:rsid w:val="65BB098D"/>
    <w:rsid w:val="65D2410F"/>
    <w:rsid w:val="65E47E23"/>
    <w:rsid w:val="65F072A9"/>
    <w:rsid w:val="660526A1"/>
    <w:rsid w:val="662E34E2"/>
    <w:rsid w:val="6632293D"/>
    <w:rsid w:val="666D15F4"/>
    <w:rsid w:val="666F593F"/>
    <w:rsid w:val="66882EA5"/>
    <w:rsid w:val="66A870A3"/>
    <w:rsid w:val="66BD5DF3"/>
    <w:rsid w:val="66D657D7"/>
    <w:rsid w:val="66D9725C"/>
    <w:rsid w:val="67073DC9"/>
    <w:rsid w:val="67102900"/>
    <w:rsid w:val="67535BB6"/>
    <w:rsid w:val="678371C8"/>
    <w:rsid w:val="678A0557"/>
    <w:rsid w:val="678E0047"/>
    <w:rsid w:val="679768AD"/>
    <w:rsid w:val="67A154A4"/>
    <w:rsid w:val="67B72CBC"/>
    <w:rsid w:val="67D363A2"/>
    <w:rsid w:val="67E01FDE"/>
    <w:rsid w:val="67F00D02"/>
    <w:rsid w:val="6816132D"/>
    <w:rsid w:val="6832131A"/>
    <w:rsid w:val="684051B6"/>
    <w:rsid w:val="68460921"/>
    <w:rsid w:val="68505CC4"/>
    <w:rsid w:val="6873723D"/>
    <w:rsid w:val="68865D4D"/>
    <w:rsid w:val="68866F70"/>
    <w:rsid w:val="68906041"/>
    <w:rsid w:val="689C49E5"/>
    <w:rsid w:val="68B1429A"/>
    <w:rsid w:val="68B2414C"/>
    <w:rsid w:val="68B735CD"/>
    <w:rsid w:val="68C15CC8"/>
    <w:rsid w:val="68C216E9"/>
    <w:rsid w:val="68CF43EA"/>
    <w:rsid w:val="69092CBD"/>
    <w:rsid w:val="692549DB"/>
    <w:rsid w:val="692A1FF1"/>
    <w:rsid w:val="69307669"/>
    <w:rsid w:val="69401260"/>
    <w:rsid w:val="694F3806"/>
    <w:rsid w:val="69592D47"/>
    <w:rsid w:val="696F3EA8"/>
    <w:rsid w:val="69786515"/>
    <w:rsid w:val="698915CE"/>
    <w:rsid w:val="699500E2"/>
    <w:rsid w:val="69C80273"/>
    <w:rsid w:val="69D81FA2"/>
    <w:rsid w:val="6A1F3F21"/>
    <w:rsid w:val="6A5C1A6C"/>
    <w:rsid w:val="6A736896"/>
    <w:rsid w:val="6A797ABF"/>
    <w:rsid w:val="6AC81AC2"/>
    <w:rsid w:val="6B033D0B"/>
    <w:rsid w:val="6B0D5D34"/>
    <w:rsid w:val="6B140CFE"/>
    <w:rsid w:val="6B251851"/>
    <w:rsid w:val="6B3123C1"/>
    <w:rsid w:val="6B4C44A1"/>
    <w:rsid w:val="6B4F5950"/>
    <w:rsid w:val="6B5E1ACD"/>
    <w:rsid w:val="6B6A4927"/>
    <w:rsid w:val="6B737C7F"/>
    <w:rsid w:val="6B95060B"/>
    <w:rsid w:val="6B96396E"/>
    <w:rsid w:val="6BB44FCE"/>
    <w:rsid w:val="6BE53E72"/>
    <w:rsid w:val="6C57134F"/>
    <w:rsid w:val="6C783074"/>
    <w:rsid w:val="6C8234BA"/>
    <w:rsid w:val="6C953C26"/>
    <w:rsid w:val="6CA90308"/>
    <w:rsid w:val="6CBE4D16"/>
    <w:rsid w:val="6CCD1611"/>
    <w:rsid w:val="6CE66F08"/>
    <w:rsid w:val="6CFF5543"/>
    <w:rsid w:val="6D1C60F5"/>
    <w:rsid w:val="6D276619"/>
    <w:rsid w:val="6D2C4421"/>
    <w:rsid w:val="6D5C2995"/>
    <w:rsid w:val="6D6616EC"/>
    <w:rsid w:val="6D664C9A"/>
    <w:rsid w:val="6D6655C2"/>
    <w:rsid w:val="6D67780D"/>
    <w:rsid w:val="6D6A39CF"/>
    <w:rsid w:val="6D8812C0"/>
    <w:rsid w:val="6D8D2B4F"/>
    <w:rsid w:val="6DA36008"/>
    <w:rsid w:val="6DB17E22"/>
    <w:rsid w:val="6DFD5F26"/>
    <w:rsid w:val="6E0B0643"/>
    <w:rsid w:val="6E0C6169"/>
    <w:rsid w:val="6E106E7B"/>
    <w:rsid w:val="6E1B015A"/>
    <w:rsid w:val="6E2039C3"/>
    <w:rsid w:val="6E3557E7"/>
    <w:rsid w:val="6E462541"/>
    <w:rsid w:val="6E46471F"/>
    <w:rsid w:val="6E471467"/>
    <w:rsid w:val="6E4C0396"/>
    <w:rsid w:val="6E4E22DE"/>
    <w:rsid w:val="6E5B49FB"/>
    <w:rsid w:val="6E682254"/>
    <w:rsid w:val="6EB05D06"/>
    <w:rsid w:val="6EC326A6"/>
    <w:rsid w:val="6ECF5DF9"/>
    <w:rsid w:val="6EED2725"/>
    <w:rsid w:val="6EED7D49"/>
    <w:rsid w:val="6F3C296A"/>
    <w:rsid w:val="6F4716F9"/>
    <w:rsid w:val="6F833207"/>
    <w:rsid w:val="6F8D6E36"/>
    <w:rsid w:val="6F935F07"/>
    <w:rsid w:val="6FB84429"/>
    <w:rsid w:val="6FC76BD2"/>
    <w:rsid w:val="6FC96082"/>
    <w:rsid w:val="6FDC0970"/>
    <w:rsid w:val="6FF3138F"/>
    <w:rsid w:val="6FFE6E86"/>
    <w:rsid w:val="7028380E"/>
    <w:rsid w:val="70453BB5"/>
    <w:rsid w:val="705C33D8"/>
    <w:rsid w:val="706A4EA7"/>
    <w:rsid w:val="70735C45"/>
    <w:rsid w:val="70781894"/>
    <w:rsid w:val="708B39C8"/>
    <w:rsid w:val="709F7679"/>
    <w:rsid w:val="70A52175"/>
    <w:rsid w:val="70AF2885"/>
    <w:rsid w:val="70BA7318"/>
    <w:rsid w:val="70C77C95"/>
    <w:rsid w:val="70E84D77"/>
    <w:rsid w:val="70E91461"/>
    <w:rsid w:val="711506CD"/>
    <w:rsid w:val="711A5093"/>
    <w:rsid w:val="713B4DF3"/>
    <w:rsid w:val="71775B85"/>
    <w:rsid w:val="719A1ED8"/>
    <w:rsid w:val="71D30F26"/>
    <w:rsid w:val="71DC5974"/>
    <w:rsid w:val="72021D5D"/>
    <w:rsid w:val="720A62E0"/>
    <w:rsid w:val="720B478A"/>
    <w:rsid w:val="72244EA1"/>
    <w:rsid w:val="722D66AE"/>
    <w:rsid w:val="72334B5B"/>
    <w:rsid w:val="72391A67"/>
    <w:rsid w:val="723F2EB6"/>
    <w:rsid w:val="724F4877"/>
    <w:rsid w:val="72541510"/>
    <w:rsid w:val="72865006"/>
    <w:rsid w:val="7291054E"/>
    <w:rsid w:val="72996CFD"/>
    <w:rsid w:val="72A7628F"/>
    <w:rsid w:val="72AC7F1B"/>
    <w:rsid w:val="72D21A4C"/>
    <w:rsid w:val="72D4471C"/>
    <w:rsid w:val="72D65495"/>
    <w:rsid w:val="72DC25AE"/>
    <w:rsid w:val="72EE5E3E"/>
    <w:rsid w:val="72F34ADB"/>
    <w:rsid w:val="72FA0C86"/>
    <w:rsid w:val="73102258"/>
    <w:rsid w:val="73272450"/>
    <w:rsid w:val="73281899"/>
    <w:rsid w:val="733D06EC"/>
    <w:rsid w:val="73596EAA"/>
    <w:rsid w:val="736305DA"/>
    <w:rsid w:val="73880040"/>
    <w:rsid w:val="73942446"/>
    <w:rsid w:val="73BC23E0"/>
    <w:rsid w:val="73CF2113"/>
    <w:rsid w:val="73DB0AB8"/>
    <w:rsid w:val="73DD4830"/>
    <w:rsid w:val="73EA2AA9"/>
    <w:rsid w:val="73FE47A6"/>
    <w:rsid w:val="74065409"/>
    <w:rsid w:val="740E252B"/>
    <w:rsid w:val="743432AF"/>
    <w:rsid w:val="743C0E2B"/>
    <w:rsid w:val="747A4E17"/>
    <w:rsid w:val="74A010F5"/>
    <w:rsid w:val="74A9347B"/>
    <w:rsid w:val="74AC74CE"/>
    <w:rsid w:val="74CB0B2C"/>
    <w:rsid w:val="74D06143"/>
    <w:rsid w:val="74D6127F"/>
    <w:rsid w:val="74EF0D88"/>
    <w:rsid w:val="74FC6453"/>
    <w:rsid w:val="750556C0"/>
    <w:rsid w:val="750664A3"/>
    <w:rsid w:val="75070BA0"/>
    <w:rsid w:val="75142984"/>
    <w:rsid w:val="75410DEE"/>
    <w:rsid w:val="75481873"/>
    <w:rsid w:val="7558206A"/>
    <w:rsid w:val="75680129"/>
    <w:rsid w:val="757F36C5"/>
    <w:rsid w:val="759727BC"/>
    <w:rsid w:val="75D21A46"/>
    <w:rsid w:val="75E04B1D"/>
    <w:rsid w:val="75E63744"/>
    <w:rsid w:val="75ED4AD2"/>
    <w:rsid w:val="75F220E9"/>
    <w:rsid w:val="75F44C98"/>
    <w:rsid w:val="76051E1C"/>
    <w:rsid w:val="76285972"/>
    <w:rsid w:val="76360272"/>
    <w:rsid w:val="764D4097"/>
    <w:rsid w:val="767339A0"/>
    <w:rsid w:val="767F4B72"/>
    <w:rsid w:val="769D0A9C"/>
    <w:rsid w:val="76C43A85"/>
    <w:rsid w:val="76DB492B"/>
    <w:rsid w:val="770A6FF0"/>
    <w:rsid w:val="773615C6"/>
    <w:rsid w:val="77364257"/>
    <w:rsid w:val="773C7ABF"/>
    <w:rsid w:val="774C501D"/>
    <w:rsid w:val="77732DB5"/>
    <w:rsid w:val="77762947"/>
    <w:rsid w:val="77784870"/>
    <w:rsid w:val="77942772"/>
    <w:rsid w:val="77B74966"/>
    <w:rsid w:val="77C22980"/>
    <w:rsid w:val="77FC247B"/>
    <w:rsid w:val="78341B8A"/>
    <w:rsid w:val="78395DAD"/>
    <w:rsid w:val="783B1B25"/>
    <w:rsid w:val="783C62F8"/>
    <w:rsid w:val="784C3E12"/>
    <w:rsid w:val="784E5D7C"/>
    <w:rsid w:val="7872306D"/>
    <w:rsid w:val="78B21C21"/>
    <w:rsid w:val="78BB0EB8"/>
    <w:rsid w:val="7903410B"/>
    <w:rsid w:val="79061118"/>
    <w:rsid w:val="79221A26"/>
    <w:rsid w:val="795001B5"/>
    <w:rsid w:val="796C3F60"/>
    <w:rsid w:val="7976107F"/>
    <w:rsid w:val="79770AC6"/>
    <w:rsid w:val="79A55EF9"/>
    <w:rsid w:val="79AD6A6C"/>
    <w:rsid w:val="79AF5F00"/>
    <w:rsid w:val="79DA6E2C"/>
    <w:rsid w:val="79DF1E9A"/>
    <w:rsid w:val="79F2768D"/>
    <w:rsid w:val="7A0F3269"/>
    <w:rsid w:val="7A0F500C"/>
    <w:rsid w:val="7A1678C1"/>
    <w:rsid w:val="7A3A405E"/>
    <w:rsid w:val="7A684CCF"/>
    <w:rsid w:val="7A6F0F07"/>
    <w:rsid w:val="7A727144"/>
    <w:rsid w:val="7A9460AD"/>
    <w:rsid w:val="7AB864FF"/>
    <w:rsid w:val="7AD81EB5"/>
    <w:rsid w:val="7B114DBF"/>
    <w:rsid w:val="7B3B62E0"/>
    <w:rsid w:val="7B4E03EF"/>
    <w:rsid w:val="7B705F89"/>
    <w:rsid w:val="7B7A6E08"/>
    <w:rsid w:val="7B7B66DC"/>
    <w:rsid w:val="7B8A691F"/>
    <w:rsid w:val="7BB340C8"/>
    <w:rsid w:val="7BCC5B86"/>
    <w:rsid w:val="7BDA0FD7"/>
    <w:rsid w:val="7C063E7E"/>
    <w:rsid w:val="7C165D70"/>
    <w:rsid w:val="7C6D4277"/>
    <w:rsid w:val="7C727ADF"/>
    <w:rsid w:val="7C8F5CB7"/>
    <w:rsid w:val="7C9D00CE"/>
    <w:rsid w:val="7C9E15DC"/>
    <w:rsid w:val="7CD82038"/>
    <w:rsid w:val="7CFE1373"/>
    <w:rsid w:val="7D063438"/>
    <w:rsid w:val="7D4607F4"/>
    <w:rsid w:val="7D657644"/>
    <w:rsid w:val="7DBB54B6"/>
    <w:rsid w:val="7DC731A9"/>
    <w:rsid w:val="7DCE51E9"/>
    <w:rsid w:val="7DD8131B"/>
    <w:rsid w:val="7DDA20C3"/>
    <w:rsid w:val="7DEC0AB8"/>
    <w:rsid w:val="7DF24F98"/>
    <w:rsid w:val="7E0429B9"/>
    <w:rsid w:val="7E0B3D48"/>
    <w:rsid w:val="7E156974"/>
    <w:rsid w:val="7E2D1F10"/>
    <w:rsid w:val="7E52662C"/>
    <w:rsid w:val="7E5B4754"/>
    <w:rsid w:val="7E5E7184"/>
    <w:rsid w:val="7E6A112B"/>
    <w:rsid w:val="7E786F03"/>
    <w:rsid w:val="7E8835EA"/>
    <w:rsid w:val="7EA30F65"/>
    <w:rsid w:val="7F1234F5"/>
    <w:rsid w:val="7F2B7E15"/>
    <w:rsid w:val="7F522891"/>
    <w:rsid w:val="7F6556D9"/>
    <w:rsid w:val="7FB64FF9"/>
    <w:rsid w:val="7FC248DA"/>
    <w:rsid w:val="7FC81C82"/>
    <w:rsid w:val="7FCD3471"/>
    <w:rsid w:val="7FD0167C"/>
    <w:rsid w:val="7FE40CF4"/>
    <w:rsid w:val="7FF64BC6"/>
    <w:rsid w:val="7FFA22C6"/>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6"/>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9"/>
    <w:pPr>
      <w:keepNext/>
      <w:keepLines/>
      <w:tabs>
        <w:tab w:val="left" w:pos="780"/>
      </w:tabs>
      <w:spacing w:before="280" w:after="290" w:line="377" w:lineRule="auto"/>
      <w:ind w:firstLine="200" w:firstLineChars="200"/>
      <w:outlineLvl w:val="4"/>
    </w:pPr>
    <w:rPr>
      <w:rFonts w:ascii="Times New Roman" w:hAnsi="Times New Roman" w:eastAsia="仿宋_GB2312"/>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b/>
      <w:szCs w:val="24"/>
    </w:rPr>
  </w:style>
  <w:style w:type="paragraph" w:styleId="8">
    <w:name w:val="List Number 2"/>
    <w:basedOn w:val="1"/>
    <w:qFormat/>
    <w:uiPriority w:val="0"/>
    <w:pPr>
      <w:numPr>
        <w:ilvl w:val="0"/>
        <w:numId w:val="1"/>
      </w:numPr>
    </w:pPr>
  </w:style>
  <w:style w:type="paragraph" w:styleId="9">
    <w:name w:val="toa heading"/>
    <w:basedOn w:val="1"/>
    <w:next w:val="1"/>
    <w:qFormat/>
    <w:uiPriority w:val="0"/>
    <w:pPr>
      <w:spacing w:before="120"/>
    </w:pPr>
    <w:rPr>
      <w:rFonts w:ascii="Arial" w:hAnsi="Arial"/>
      <w:sz w:val="24"/>
    </w:rPr>
  </w:style>
  <w:style w:type="paragraph" w:styleId="10">
    <w:name w:val="annotation text"/>
    <w:basedOn w:val="1"/>
    <w:qFormat/>
    <w:uiPriority w:val="0"/>
    <w:pPr>
      <w:jc w:val="left"/>
    </w:pPr>
  </w:style>
  <w:style w:type="paragraph" w:styleId="11">
    <w:name w:val="Plain Text"/>
    <w:basedOn w:val="1"/>
    <w:next w:val="1"/>
    <w:unhideWhenUsed/>
    <w:qFormat/>
    <w:uiPriority w:val="99"/>
    <w:rPr>
      <w:rFonts w:ascii="宋体" w:hAnsi="Courier New" w:cs="Courier New"/>
      <w:szCs w:val="21"/>
    </w:rPr>
  </w:style>
  <w:style w:type="paragraph" w:styleId="12">
    <w:name w:val="Balloon Text"/>
    <w:basedOn w:val="1"/>
    <w:link w:val="40"/>
    <w:qFormat/>
    <w:uiPriority w:val="0"/>
    <w:rPr>
      <w:sz w:val="18"/>
      <w:szCs w:val="18"/>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Title"/>
    <w:basedOn w:val="1"/>
    <w:next w:val="1"/>
    <w:qFormat/>
    <w:uiPriority w:val="0"/>
    <w:pPr>
      <w:spacing w:before="60" w:after="120" w:line="560" w:lineRule="exact"/>
      <w:jc w:val="center"/>
      <w:outlineLvl w:val="0"/>
    </w:pPr>
    <w:rPr>
      <w:rFonts w:eastAsia="方正小标宋简体"/>
      <w:sz w:val="44"/>
      <w:szCs w:val="44"/>
    </w:rPr>
  </w:style>
  <w:style w:type="paragraph" w:styleId="19">
    <w:name w:val="Body Text First Indent"/>
    <w:basedOn w:val="2"/>
    <w:next w:val="1"/>
    <w:qFormat/>
    <w:uiPriority w:val="99"/>
    <w:pPr>
      <w:ind w:firstLine="100" w:firstLineChars="100"/>
    </w:p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page number"/>
    <w:basedOn w:val="22"/>
    <w:qFormat/>
    <w:uiPriority w:val="99"/>
  </w:style>
  <w:style w:type="character" w:styleId="25">
    <w:name w:val="Emphasis"/>
    <w:basedOn w:val="22"/>
    <w:qFormat/>
    <w:uiPriority w:val="0"/>
    <w:rPr>
      <w:i/>
    </w:rPr>
  </w:style>
  <w:style w:type="character" w:styleId="26">
    <w:name w:val="Hyperlink"/>
    <w:unhideWhenUsed/>
    <w:qFormat/>
    <w:uiPriority w:val="99"/>
    <w:rPr>
      <w:color w:val="0000FF"/>
      <w:u w:val="single"/>
    </w:rPr>
  </w:style>
  <w:style w:type="character" w:styleId="27">
    <w:name w:val="annotation reference"/>
    <w:basedOn w:val="22"/>
    <w:qFormat/>
    <w:uiPriority w:val="0"/>
    <w:rPr>
      <w:sz w:val="21"/>
      <w:szCs w:val="21"/>
    </w:rPr>
  </w:style>
  <w:style w:type="paragraph" w:customStyle="1" w:styleId="28">
    <w:name w:val="标题 5（有编号）（绿盟科技）"/>
    <w:basedOn w:val="1"/>
    <w:next w:val="29"/>
    <w:qFormat/>
    <w:uiPriority w:val="0"/>
    <w:pPr>
      <w:keepNext/>
      <w:keepLines/>
      <w:numPr>
        <w:ilvl w:val="4"/>
        <w:numId w:val="2"/>
      </w:numPr>
      <w:spacing w:before="280" w:after="156" w:line="377" w:lineRule="auto"/>
      <w:jc w:val="left"/>
      <w:outlineLvl w:val="4"/>
    </w:pPr>
    <w:rPr>
      <w:rFonts w:ascii="Arial" w:hAnsi="Arial" w:eastAsia="黑体" w:cs="黑体"/>
      <w:b/>
      <w:kern w:val="0"/>
      <w:sz w:val="24"/>
      <w:szCs w:val="28"/>
    </w:rPr>
  </w:style>
  <w:style w:type="paragraph" w:customStyle="1" w:styleId="2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0">
    <w:name w:val="表格文字"/>
    <w:basedOn w:val="1"/>
    <w:qFormat/>
    <w:uiPriority w:val="0"/>
    <w:pPr>
      <w:adjustRightInd w:val="0"/>
      <w:snapToGrid w:val="0"/>
      <w:spacing w:line="240" w:lineRule="auto"/>
      <w:ind w:firstLine="0" w:firstLineChars="0"/>
      <w:jc w:val="center"/>
    </w:pPr>
    <w:rPr>
      <w:rFonts w:hint="eastAsia" w:ascii="仿宋" w:hAnsi="仿宋" w:cs="仿宋"/>
      <w:kern w:val="21"/>
      <w:szCs w:val="28"/>
    </w:rPr>
  </w:style>
  <w:style w:type="paragraph" w:customStyle="1" w:styleId="31">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2">
    <w:name w:val="null3"/>
    <w:qFormat/>
    <w:uiPriority w:val="0"/>
    <w:rPr>
      <w:rFonts w:hint="eastAsia" w:ascii="Calibri" w:hAnsi="Calibri" w:eastAsia="宋体" w:cs="Times New Roman"/>
      <w:lang w:val="en-US" w:eastAsia="zh-CN" w:bidi="ar-SA"/>
    </w:rPr>
  </w:style>
  <w:style w:type="paragraph" w:customStyle="1" w:styleId="33">
    <w:name w:val="样式1"/>
    <w:basedOn w:val="1"/>
    <w:qFormat/>
    <w:uiPriority w:val="0"/>
    <w:pPr>
      <w:jc w:val="center"/>
    </w:pPr>
    <w:rPr>
      <w:rFonts w:eastAsia="方正大标宋简体"/>
      <w:sz w:val="52"/>
    </w:rPr>
  </w:style>
  <w:style w:type="paragraph" w:customStyle="1" w:styleId="34">
    <w:name w:val="Normal Indent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35">
    <w:name w:val="Body text|1"/>
    <w:basedOn w:val="1"/>
    <w:qFormat/>
    <w:uiPriority w:val="0"/>
    <w:pPr>
      <w:spacing w:after="140" w:line="451" w:lineRule="auto"/>
    </w:pPr>
    <w:rPr>
      <w:rFonts w:ascii="宋体" w:hAnsi="宋体" w:cs="宋体"/>
      <w:sz w:val="17"/>
      <w:szCs w:val="17"/>
      <w:lang w:val="zh-TW" w:eastAsia="zh-TW" w:bidi="zh-TW"/>
    </w:rPr>
  </w:style>
  <w:style w:type="character" w:customStyle="1" w:styleId="36">
    <w:name w:val="标题 1 Char"/>
    <w:link w:val="3"/>
    <w:qFormat/>
    <w:uiPriority w:val="0"/>
    <w:rPr>
      <w:rFonts w:hint="eastAsia" w:ascii="宋体" w:hAnsi="宋体" w:eastAsia="宋体" w:cs="宋体"/>
      <w:b/>
      <w:bCs/>
      <w:kern w:val="44"/>
      <w:sz w:val="48"/>
      <w:szCs w:val="48"/>
      <w:lang w:val="en-US" w:eastAsia="zh-CN"/>
    </w:rPr>
  </w:style>
  <w:style w:type="paragraph" w:customStyle="1" w:styleId="37">
    <w:name w:val="Table Text"/>
    <w:basedOn w:val="1"/>
    <w:semiHidden/>
    <w:qFormat/>
    <w:uiPriority w:val="0"/>
    <w:rPr>
      <w:rFonts w:ascii="宋体" w:hAnsi="宋体" w:cs="宋体"/>
      <w:sz w:val="20"/>
      <w:szCs w:val="20"/>
      <w:lang w:eastAsia="en-US"/>
    </w:rPr>
  </w:style>
  <w:style w:type="table" w:customStyle="1" w:styleId="38">
    <w:name w:val="Table Normal"/>
    <w:unhideWhenUsed/>
    <w:qFormat/>
    <w:uiPriority w:val="0"/>
    <w:tblPr>
      <w:tblCellMar>
        <w:top w:w="0" w:type="dxa"/>
        <w:left w:w="0" w:type="dxa"/>
        <w:bottom w:w="0" w:type="dxa"/>
        <w:right w:w="0" w:type="dxa"/>
      </w:tblCellMar>
    </w:tblPr>
  </w:style>
  <w:style w:type="character" w:customStyle="1" w:styleId="39">
    <w:name w:val="font21"/>
    <w:basedOn w:val="22"/>
    <w:qFormat/>
    <w:uiPriority w:val="0"/>
    <w:rPr>
      <w:rFonts w:hint="eastAsia" w:ascii="宋体" w:hAnsi="宋体" w:eastAsia="宋体" w:cs="宋体"/>
      <w:b/>
      <w:bCs/>
      <w:color w:val="000000"/>
      <w:sz w:val="28"/>
      <w:szCs w:val="28"/>
      <w:u w:val="none"/>
    </w:rPr>
  </w:style>
  <w:style w:type="character" w:customStyle="1" w:styleId="40">
    <w:name w:val="批注框文本 Char"/>
    <w:basedOn w:val="22"/>
    <w:link w:val="12"/>
    <w:qFormat/>
    <w:uiPriority w:val="0"/>
    <w:rPr>
      <w:rFonts w:ascii="Calibri" w:hAnsi="Calibri"/>
      <w:kern w:val="2"/>
      <w:sz w:val="18"/>
      <w:szCs w:val="18"/>
    </w:rPr>
  </w:style>
  <w:style w:type="paragraph" w:customStyle="1" w:styleId="41">
    <w:name w:val="_正文"/>
    <w:basedOn w:val="1"/>
    <w:qFormat/>
    <w:uiPriority w:val="0"/>
    <w:pPr>
      <w:snapToGrid w:val="0"/>
      <w:spacing w:line="360" w:lineRule="auto"/>
      <w:ind w:firstLine="200" w:firstLineChars="200"/>
    </w:pPr>
    <w:rPr>
      <w:rFonts w:ascii="Times New Roman" w:hAnsi="Times New Roman"/>
      <w:sz w:val="24"/>
      <w:szCs w:val="24"/>
    </w:rPr>
  </w:style>
  <w:style w:type="paragraph" w:customStyle="1" w:styleId="42">
    <w:name w:val="列出段落1"/>
    <w:basedOn w:val="1"/>
    <w:qFormat/>
    <w:uiPriority w:val="0"/>
    <w:pPr>
      <w:ind w:firstLine="420" w:firstLineChars="200"/>
    </w:pPr>
    <w:rPr>
      <w:szCs w:val="21"/>
    </w:rPr>
  </w:style>
  <w:style w:type="paragraph" w:customStyle="1" w:styleId="43">
    <w:name w:val="(正文)"/>
    <w:basedOn w:val="1"/>
    <w:qFormat/>
    <w:uiPriority w:val="0"/>
    <w:pPr>
      <w:adjustRightInd w:val="0"/>
      <w:snapToGrid w:val="0"/>
      <w:spacing w:line="360" w:lineRule="auto"/>
      <w:ind w:firstLine="480" w:firstLineChars="200"/>
    </w:pPr>
    <w:rPr>
      <w:rFonts w:ascii="Calibri" w:hAnsi="Calibri" w:eastAsia="宋体" w:cs="Times New Roman"/>
      <w:kern w:val="0"/>
      <w:sz w:val="24"/>
    </w:rPr>
  </w:style>
  <w:style w:type="character" w:customStyle="1" w:styleId="44">
    <w:name w:val="font31"/>
    <w:qFormat/>
    <w:uiPriority w:val="0"/>
    <w:rPr>
      <w:rFonts w:hint="eastAsia" w:ascii="宋体" w:hAnsi="宋体" w:eastAsia="宋体" w:cs="宋体"/>
      <w:color w:val="FF0000"/>
      <w:sz w:val="22"/>
      <w:szCs w:val="22"/>
      <w:u w:val="none"/>
    </w:rPr>
  </w:style>
  <w:style w:type="character" w:customStyle="1" w:styleId="45">
    <w:name w:val="font51"/>
    <w:basedOn w:val="22"/>
    <w:qFormat/>
    <w:uiPriority w:val="0"/>
    <w:rPr>
      <w:rFonts w:hint="eastAsia" w:ascii="宋体" w:hAnsi="宋体" w:eastAsia="宋体" w:cs="宋体"/>
      <w:b/>
      <w:bCs/>
      <w:color w:val="000000"/>
      <w:sz w:val="21"/>
      <w:szCs w:val="21"/>
      <w:u w:val="none"/>
    </w:rPr>
  </w:style>
  <w:style w:type="character" w:customStyle="1" w:styleId="46">
    <w:name w:val="font01"/>
    <w:basedOn w:val="22"/>
    <w:qFormat/>
    <w:uiPriority w:val="0"/>
    <w:rPr>
      <w:rFonts w:hint="eastAsia" w:ascii="宋体" w:hAnsi="宋体" w:eastAsia="宋体" w:cs="宋体"/>
      <w:color w:val="000000"/>
      <w:sz w:val="24"/>
      <w:szCs w:val="24"/>
      <w:u w:val="none"/>
    </w:rPr>
  </w:style>
  <w:style w:type="character" w:customStyle="1" w:styleId="47">
    <w:name w:val="font11"/>
    <w:basedOn w:val="2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547ea63c-ce23-469d-97cf-810ee9ef1231</errorID>
      <errorWord>须</errorWord>
      <group>L1_Word</group>
      <groupName>字词问题</groupName>
      <ability>L2_Typo</ability>
      <abilityName>字词错误</abilityName>
      <candidateList>
        <item>需</item>
      </candidateList>
      <explain>存在发音相同字词的误用。</explain>
      <paraID>70DFC180</paraID>
      <start>15</start>
      <end>16</end>
      <status>unmodified</status>
      <modifiedWord/>
      <trackRevisions>false</trackRevisions>
    </reviewItem>
    <reviewItem>
      <errorID>bd6b06f1-b8a6-4d40-b401-10d15f92d6a3</errorID>
      <errorWord>下</errorWord>
      <group>L1_Word</group>
      <groupName>字词问题</groupName>
      <ability>L2_Typo</ability>
      <abilityName>字词错误</abilityName>
      <candidateList>
        <item>下简</item>
      </candidateList>
      <explain/>
      <paraID>4CE7FCD0</paraID>
      <start>161</start>
      <end>162</end>
      <status>unmodified</status>
      <modifiedWord/>
      <trackRevisions>false</trackRevisions>
    </reviewItem>
    <reviewItem>
      <errorID>b1460abe-fa4d-4f3b-b1e3-9b3743bc60f1</errorID>
      <errorWord>下</errorWord>
      <group>L1_Word</group>
      <groupName>字词问题</groupName>
      <ability>L2_Typo</ability>
      <abilityName>字词错误</abilityName>
      <candidateList>
        <item>下简</item>
      </candidateList>
      <explain/>
      <paraID>4CE7FCD0</paraID>
      <start>210</start>
      <end>211</end>
      <status>unmodified</status>
      <modifiedWord/>
      <trackRevisions>false</trackRevisions>
    </reviewItem>
    <reviewItem>
      <errorID>5abb7792-4618-4ec4-b394-c2e5769671bd</errorID>
      <errorWord>（</errorWord>
      <group>L1_Punc</group>
      <groupName>标点问题</groupName>
      <ability>L2_Punc_CN</ability>
      <abilityName/>
      <candidateList/>
      <explain>同一形式括号套用。</explain>
      <paraID>483CD60E</paraID>
      <start>42</start>
      <end>43</end>
      <status>unmodified</status>
      <modifiedWord/>
      <trackRevisions>false</trackRevisions>
    </reviewItem>
    <reviewItem>
      <errorID>c3d1a3e4-b5bc-4004-a216-4d15c04cf4ea</errorID>
      <errorWord>）</errorWord>
      <group>L1_Punc</group>
      <groupName>标点问题</groupName>
      <ability>L2_Punc_CN</ability>
      <abilityName/>
      <candidateList/>
      <explain>同一形式括号套用。</explain>
      <paraID>483CD60E</paraID>
      <start>57</start>
      <end>58</end>
      <status>unmodified</status>
      <modifiedWord/>
      <trackRevisions>false</trackRevisions>
    </reviewItem>
    <reviewItem>
      <errorID>ad34a874-a6db-4499-8217-82923fb017b4</errorID>
      <errorWord>（</errorWord>
      <group>L1_Punc</group>
      <groupName>标点问题</groupName>
      <ability>L2_Punc_CN</ability>
      <abilityName/>
      <candidateList/>
      <explain>同一形式括号套用。</explain>
      <paraID>483CD60E</paraID>
      <start>78</start>
      <end>79</end>
      <status>unmodified</status>
      <modifiedWord/>
      <trackRevisions>false</trackRevisions>
    </reviewItem>
    <reviewItem>
      <errorID>226e06b5-7528-43c8-9606-6deab7c06b62</errorID>
      <errorWord>）</errorWord>
      <group>L1_Punc</group>
      <groupName>标点问题</groupName>
      <ability>L2_Punc_CN</ability>
      <abilityName/>
      <candidateList/>
      <explain>同一形式括号套用。</explain>
      <paraID>483CD60E</paraID>
      <start>95</start>
      <end>96</end>
      <status>unmodified</status>
      <modifiedWord/>
      <trackRevisions>false</trackRevisions>
    </reviewItem>
    <reviewItem>
      <errorID>1adfc687-ebeb-4721-9067-da1e9f3cbde7</errorID>
      <errorWord>截止到</errorWord>
      <group>L1_Word</group>
      <groupName>字词问题</groupName>
      <ability>L2_Typo</ability>
      <abilityName>字词错误</abilityName>
      <candidateList>
        <item>截至</item>
      </candidateList>
      <explain>〈动〉截止到（某个时候）：报名日期～本月底。</explain>
      <paraID>55B0D1A1</paraID>
      <start>163</start>
      <end>166</end>
      <status>unmodified</status>
      <modifiedWord/>
      <trackRevisions>false</trackRevisions>
    </reviewItem>
    <reviewItem>
      <errorID>d3d4fbf3-a7a1-4753-afb3-84c553139c0c</errorID>
      <errorWord>&lt;</errorWord>
      <group>L1_Format</group>
      <groupName>格式问题</groupName>
      <ability>L2_HalfPunc_CN</ability>
      <abilityName/>
      <candidateList>
        <item>〈</item>
      </candidateList>
      <explain>文本全半角错误。</explain>
      <paraID>3162AC61</paraID>
      <start>60</start>
      <end>61</end>
      <status>unmodified</status>
      <modifiedWord/>
      <trackRevisions>false</trackRevisions>
    </reviewItem>
    <reviewItem>
      <errorID>dd35db7f-5c3a-4698-9f52-5ff199f08f57</errorID>
      <errorWord>&gt;</errorWord>
      <group>L1_Format</group>
      <groupName>格式问题</groupName>
      <ability>L2_HalfPunc_CN</ability>
      <abilityName/>
      <candidateList>
        <item>〉</item>
      </candidateList>
      <explain>文本全半角错误。</explain>
      <paraID>3162AC61</paraID>
      <start>78</start>
      <end>79</end>
      <status>unmodified</status>
      <modifiedWord/>
      <trackRevisions>false</trackRevisions>
    </reviewItem>
    <reviewItem>
      <errorID>ed6211b5-0ac9-44ca-8b5c-1c9cc68cc2c9</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3162AC61</paraID>
      <start>470</start>
      <end>472</end>
      <status>unmodified</status>
      <modifiedWord/>
      <trackRevisions>false</trackRevisions>
    </reviewItem>
    <reviewItem>
      <errorID>a417c10d-6d07-4f2c-92af-515a8461ffdc</errorID>
      <errorWord>：</errorWord>
      <group>L1_Word</group>
      <groupName>字词问题</groupName>
      <ability>L2_Typo</ability>
      <abilityName>字词错误</abilityName>
      <candidateList>
        <item>：以</item>
      </candidateList>
      <explain/>
      <paraID>37DA4B53</paraID>
      <start>11</start>
      <end>12</end>
      <status>unmodified</status>
      <modifiedWord/>
      <trackRevisions>false</trackRevisions>
    </reviewItem>
    <reviewItem>
      <errorID>1d33f296-5587-4dbb-993f-598651aedcec</errorID>
      <errorWord>国家发改委</errorWord>
      <group>L1_Knowledge</group>
      <groupName>知识性问题</groupName>
      <ability>L2_Knowledge</ability>
      <abilityName>其他知识</abilityName>
      <candidateList>
        <item>国家发展改革委</item>
      </candidateList>
      <explain/>
      <paraID>60BE4BC2</paraID>
      <start>43</start>
      <end>48</end>
      <status>unmodified</status>
      <modifiedWord/>
      <trackRevisions>false</trackRevisions>
    </reviewItem>
    <reviewItem>
      <errorID>d777244c-7b6c-4800-a218-4ed6041cf274</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279ADA8B</paraID>
      <start>0</start>
      <end>8</end>
      <status>unmodified</status>
      <modifiedWord/>
      <trackRevisions>false</trackRevisions>
    </reviewItem>
    <reviewItem>
      <errorID>b16348b6-3868-4c0a-9ec7-a4700412ec72</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EA1EC87</paraID>
      <start>0</start>
      <end>9</end>
      <status>unmodified</status>
      <modifiedWord/>
      <trackRevisions>false</trackRevisions>
    </reviewItem>
    <reviewItem>
      <errorID>6e76723f-0cd3-4f07-968a-94836e3b9abd</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3C02875B</paraID>
      <start>0</start>
      <end>10</end>
      <status>unmodified</status>
      <modifiedWord/>
      <trackRevisions>false</trackRevisions>
    </reviewItem>
    <reviewItem>
      <errorID>8a4782e2-ba81-4c6e-a92e-0ad2ab99b6d5</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493D98E3</paraID>
      <start>0</start>
      <end>4</end>
      <status>unmodified</status>
      <modifiedWord/>
      <trackRevisions>false</trackRevisions>
    </reviewItem>
    <reviewItem>
      <errorID>fb9e6e2b-1547-4f36-82ac-30c1a83c9e3b</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28473800</paraID>
      <start>0</start>
      <end>5</end>
      <status>unmodified</status>
      <modifiedWord/>
      <trackRevisions>false</trackRevisions>
    </reviewItem>
    <reviewItem>
      <errorID>36f2cee4-5ea5-43b7-a6c2-40d93ad4ab95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68D8C66B</paraID>
      <start>0</start>
      <end>2</end>
      <status>unmodified</status>
      <modifiedWord/>
      <trackRevisions>false</trackRevisions>
    </reviewItem>
    <reviewItem>
      <errorID>71df742b-67e6-4fdd-a20d-ef47ec8d0b33</errorID>
      <errorWord>&lt;</errorWord>
      <group>L1_Format</group>
      <groupName>格式问题</groupName>
      <ability>L2_HalfPunc_CN</ability>
      <abilityName/>
      <candidateList>
        <item>〈</item>
      </candidateList>
      <explain>文本全半角错误。</explain>
      <paraID> 403D6E5</paraID>
      <start>38</start>
      <end>39</end>
      <status>unmodified</status>
      <modifiedWord/>
      <trackRevisions>false</trackRevisions>
    </reviewItem>
    <reviewItem>
      <errorID>9daee550-a1d3-40e0-9437-28a8a2b75712</errorID>
      <errorWord>&lt;</errorWord>
      <group>L1_Format</group>
      <groupName>格式问题</groupName>
      <ability>L2_HalfPunc_CN</ability>
      <abilityName/>
      <candidateList>
        <item>〈</item>
      </candidateList>
      <explain>文本全半角错误。</explain>
      <paraID>1C732A01</paraID>
      <start>38</start>
      <end>39</end>
      <status>unmodified</status>
      <modifiedWord/>
      <trackRevisions>false</trackRevisions>
    </reviewItem>
    <reviewItem>
      <errorID>bca0789e-a34a-4492-89b5-68670ab82443</errorID>
      <errorWord>&lt;</errorWord>
      <group>L1_Format</group>
      <groupName>格式问题</groupName>
      <ability>L2_HalfPunc_CN</ability>
      <abilityName/>
      <candidateList>
        <item>〈</item>
      </candidateList>
      <explain>文本全半角错误。</explain>
      <paraID>76897ADA</paraID>
      <start>27</start>
      <end>28</end>
      <status>unmodified</status>
      <modifiedWord/>
      <trackRevisions>false</trackRevisions>
    </reviewItem>
    <reviewItem>
      <errorID>b3908345-7f2b-4b83-aa24-d25c05263a04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290EA479</paraID>
      <start>0</start>
      <end>3</end>
      <status>unmodified</status>
      <modifiedWord/>
      <trackRevisions>false</trackRevisions>
    </reviewItem>
    <reviewItem>
      <errorID>87e7f982-9f54-4dba-b373-2f78edf36c62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7B87AE30</paraID>
      <start>0</start>
      <end>3</end>
      <status>unmodified</status>
      <modifiedWord/>
      <trackRevisions>false</trackRevisions>
    </reviewItem>
    <reviewItem>
      <errorID>fa81b1a2-6472-4d09-a278-ee772597d4ed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35235CD2</paraID>
      <start>0</start>
      <end>3</end>
      <status>unmodified</status>
      <modifiedWord/>
      <trackRevisions>false</trackRevisions>
    </reviewItem>
    <reviewItem>
      <errorID>fa50d4cf-5b3b-4866-857b-fdf95d865bb6</errorID>
      <errorWord>间</errorWord>
      <group>L1_Word</group>
      <groupName>字词问题</groupName>
      <ability>L2_Typo</ability>
      <abilityName>字词错误</abilityName>
      <candidateList>
        <item>间之</item>
      </candidateList>
      <explain/>
      <paraID>748B839E</paraID>
      <start>17</start>
      <end>18</end>
      <status>unmodified</status>
      <modifiedWord/>
      <trackRevisions>false</trackRevisions>
    </reviewItem>
    <reviewItem>
      <errorID>4557f007-5969-4d02-93bd-a8d870c49ee7</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41CDCE45</paraID>
      <start>0</start>
      <end>3</end>
      <status>unmodified</status>
      <modifiedWord/>
      <trackRevisions>false</trackRevisions>
    </reviewItem>
    <reviewItem>
      <errorID>9434f13c-7634-4a32-8f18-5ebb4c2b3d3b</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57266E80</paraID>
      <start>0</start>
      <end>3</end>
      <status>unmodified</status>
      <modifiedWord/>
      <trackRevisions>false</trackRevisions>
    </reviewItem>
    <reviewItem>
      <errorID>cd7678e8-50d2-4b9b-8d5d-1b93f9a0cea8</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CB9D831</paraID>
      <start>0</start>
      <end>3</end>
      <status>unmodified</status>
      <modifiedWord/>
      <trackRevisions>false</trackRevisions>
    </reviewItem>
    <reviewItem>
      <errorID>0188b75c-148d-4945-9c45-e0903b878142</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13F3CB0A</paraID>
      <start>0</start>
      <end>3</end>
      <status>unmodified</status>
      <modifiedWord/>
      <trackRevisions>false</trackRevisions>
    </reviewItem>
    <reviewItem>
      <errorID>107190b2-8bc8-4c4f-b2a6-66012a03f3a9</errorID>
      <errorWord>,</errorWord>
      <group>L1_Format</group>
      <groupName>格式问题</groupName>
      <ability>L2_HalfPunc_CN</ability>
      <abilityName/>
      <candidateList>
        <item>，</item>
      </candidateList>
      <explain>文本全半角错误。</explain>
      <paraID>71AE70A3</paraID>
      <start>47</start>
      <end>48</end>
      <status>unmodified</status>
      <modifiedWord/>
      <trackRevisions>false</trackRevisions>
    </reviewItem>
    <reviewItem>
      <errorID>be1c6e40-872e-40d8-ac71-1e5ba4d8e5f4</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4C269A9C</paraID>
      <start>0</start>
      <end>3</end>
      <status>unmodified</status>
      <modifiedWord/>
      <trackRevisions>false</trackRevisions>
    </reviewItem>
    <reviewItem>
      <errorID>aa0d9cd3-9741-4d43-8472-9858f502ff1f</errorID>
      <errorWord>截止到</errorWord>
      <group>L1_Grammar</group>
      <groupName>语法问题</groupName>
      <ability>L2_Grammar</ability>
      <abilityName>语法错误</abilityName>
      <candidateList>
        <item>截止</item>
      </candidateList>
      <explain>〈动〉（到一定期限）停止：报名在昨天已经～。</explain>
      <paraID>37ADCBB4</paraID>
      <start>75</start>
      <end>78</end>
      <status>unmodified</status>
      <modifiedWord/>
      <trackRevisions>false</trackRevisions>
    </reviewItem>
    <reviewItem>
      <errorID>45cf4b2f-2e94-43c2-9f04-178d7071674d</errorID>
      <errorWord>应急物资配备</errorWord>
      <group>L1_Political</group>
      <groupName>政治性问题</groupName>
      <ability>L2_Keyword</ability>
      <abilityName>固定表述</abilityName>
      <candidateList>
        <item>应急物资储备</item>
      </candidateList>
      <explain>词汇“应急物资储备”在特定场景下为固定表述形式，请确认此处的“应急物资配备”是否存在不当。</explain>
      <paraID>5AC23355</paraID>
      <start>35</start>
      <end>41</end>
      <status>unmodified</status>
      <modifiedWord/>
      <trackRevisions>false</trackRevisions>
    </reviewItem>
    <reviewItem>
      <errorID>b340c4b2-d9d1-409b-92eb-498cbf47ab65</errorID>
      <errorWord>分</errorWord>
      <group>L1_Word</group>
      <groupName>字词问题</groupName>
      <ability>L2_Typo</ability>
      <abilityName>字词错误</abilityName>
      <candidateList>
        <item>分为</item>
      </candidateList>
      <explain/>
      <paraID>780F72BD</paraID>
      <start>34</start>
      <end>35</end>
      <status>unmodified</status>
      <modifiedWord/>
      <trackRevisions>false</trackRevisions>
    </reviewItem>
    <reviewItem>
      <errorID>c88ab808-abd1-4a28-a222-b972ee0248c0</errorID>
      <errorWord>分</errorWord>
      <group>L1_Word</group>
      <groupName>字词问题</groupName>
      <ability>L2_Typo</ability>
      <abilityName>字词错误</abilityName>
      <candidateList>
        <item>分为</item>
      </candidateList>
      <explain/>
      <paraID>77AA926E</paraID>
      <start>34</start>
      <end>35</end>
      <status>unmodified</status>
      <modifiedWord/>
      <trackRevisions>false</trackRevisions>
    </reviewItem>
    <reviewItem>
      <errorID>d594d6ef-d35d-4485-b138-19e72c7c2aa1</errorID>
      <errorWord>由</errorWord>
      <group>L1_Word</group>
      <groupName>字词问题</groupName>
      <ability>L2_Typo</ability>
      <abilityName>字词错误</abilityName>
      <candidateList>
        <item>与</item>
      </candidateList>
      <explain>（舆）yù参与：～会。</explain>
      <paraID>3A2A78C7</paraID>
      <start>112</start>
      <end>113</end>
      <status>unmodified</status>
      <modifiedWord/>
      <trackRevisions>false</trackRevisions>
    </reviewItem>
    <reviewItem>
      <errorID>950aab31-ec61-4167-8c89-e93205ed8597</errorID>
      <errorWord>接受</errorWord>
      <group>L1_Word</group>
      <groupName>字词问题</groupName>
      <ability>L2_Typo</ability>
      <abilityName>字词错误</abilityName>
      <candidateList>
        <item>接收</item>
      </candidateList>
      <explain>存在发音相同字词的误用。</explain>
      <paraID>5CD779C7</paraID>
      <start>31</start>
      <end>33</end>
      <status>unmodified</status>
      <modifiedWord/>
      <trackRevisions>false</trackRevisions>
    </reviewItem>
    <reviewItem>
      <errorID>d2f3aad6-c4db-4805-8b72-bebdd5107435</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 B40383A</paraID>
      <start>32</start>
      <end>33</end>
      <status>modified</status>
      <modifiedWord>但</modifiedWord>
      <trackRevisions>false</trackRevisions>
    </reviewItem>
    <reviewItem>
      <errorID>d18babaf-cf1f-4154-8d77-d8b8fcef5756</errorID>
      <errorWord>,</errorWord>
      <group>L1_Format</group>
      <groupName>格式问题</groupName>
      <ability>L2_HalfPunc_CN</ability>
      <abilityName/>
      <candidateList>
        <item>，</item>
      </candidateList>
      <explain>文本全半角错误。</explain>
      <paraID>5754C279</paraID>
      <start>28</start>
      <end>29</end>
      <status>modified</status>
      <modifiedWord>，</modifiedWord>
      <trackRevisions>false</trackRevisions>
    </reviewItem>
    <reviewItem>
      <errorID>9be37b69-dea7-40c6-b8a7-43ebac77b1f5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433FF03B</paraID>
      <start>0</start>
      <end>2</end>
      <status>modified</status>
      <modifiedWord>8.</modifiedWord>
      <trackRevisions>false</trackRevisions>
    </reviewItem>
    <reviewItem>
      <errorID>bc98d2fd-de79-4076-a9fb-28bccfb557be</errorID>
      <errorWord>款项目</errorWord>
      <group>L1_Word</group>
      <groupName>字词问题</groupName>
      <ability>L2_Typo</ability>
      <abilityName>字词错误</abilityName>
      <candidateList>
        <item>款项</item>
      </candidateList>
      <explain/>
      <paraID> 83EB105</paraID>
      <start>16</start>
      <end>18</end>
      <status>modified</status>
      <modifiedWord>款项</modifiedWord>
      <trackRevisions>false</trackRevisions>
    </reviewItem>
    <reviewItem>
      <errorID>01a04b18-01b1-458d-88ef-b96fe0eabfe2</errorID>
      <errorWord>的其它部分</errorWord>
      <group>L1_Word</group>
      <groupName>字词问题</groupName>
      <ability>L2_Alias</ability>
      <abilityName>也作/曾用词</abilityName>
      <candidateList>
        <item>的其他部分</item>
      </candidateList>
      <explain>词汇[的其它部分]为不规范表述或旧称，其规范书面表述为[的其他部分]。</explain>
      <paraID>37BFBFB9</paraID>
      <start>26</start>
      <end>31</end>
      <status>unmodified</status>
      <modifiedWord/>
      <trackRevisions>false</trackRevisions>
    </reviewItem>
    <reviewItem>
      <errorID>0fed57b3-a2e3-45f6-a4a1-7c086dc50e85</errorID>
      <errorWord>共同协商</errorWord>
      <group>L1_Grammar</group>
      <groupName>语法问题</groupName>
      <ability>L2_Grammar</ability>
      <abilityName>语法错误</abilityName>
      <candidateList>
        <item>协商</item>
      </candidateList>
      <explain/>
      <paraID>608D70DC</paraID>
      <start>20</start>
      <end>24</end>
      <status>unmodified</status>
      <modifiedWord/>
      <trackRevisions>false</trackRevisions>
    </reviewItem>
    <reviewItem>
      <errorID>d3a43fb8-295b-479c-975b-481af5a7dbb1</errorID>
      <errorWord>做出</errorWord>
      <group>L1_Word</group>
      <groupName>字词问题</groupName>
      <ability>L2_Typo</ability>
      <abilityName>字词错误</abilityName>
      <candidateList>
        <item>作出</item>
      </candidateList>
      <explain/>
      <paraID>608D70DC</paraID>
      <start>25</start>
      <end>27</end>
      <status>unmodified</status>
      <modifiedWord/>
      <trackRevisions>false</trackRevisions>
    </reviewItem>
    <reviewItem>
      <errorID>0aa7f4b5-7670-45a6-9272-610630025358</errorID>
      <errorWord>由</errorWord>
      <group>L1_Word</group>
      <groupName>字词问题</groupName>
      <ability>L2_Typo</ability>
      <abilityName>字词错误</abilityName>
      <candidateList>
        <item>与</item>
      </candidateList>
      <explain>（舆）yù参与：～会。</explain>
      <paraID>44824105</paraID>
      <start>117</start>
      <end>118</end>
      <status>unmodified</status>
      <modifiedWord/>
      <trackRevisions>false</trackRevisions>
    </reviewItem>
    <reviewItem>
      <errorID>3083d360-2ea6-4718-9df7-1c73166f29b5</errorID>
      <errorWord>混乱地</errorWord>
      <group>L1_Word</group>
      <groupName>字词问题</groupName>
      <ability>L2_Typo</ability>
      <abilityName>字词错误</abilityName>
      <candidateList>
        <item>混乱</item>
      </candidateList>
      <explain/>
      <paraID>597969A7</paraID>
      <start>34</start>
      <end>37</end>
      <status>unmodified</status>
      <modifiedWord/>
      <trackRevisions>false</trackRevisions>
    </reviewItem>
    <reviewItem>
      <errorID>2d5cecb0-9caa-4bb7-b6e1-cde43c4ccd97</errorID>
      <errorWord>股东大会</errorWord>
      <group>L1_Word</group>
      <groupName>字词问题</groupName>
      <ability>L2_Typo</ability>
      <abilityName>字词错误</abilityName>
      <candidateList>
        <item>股东会</item>
      </candidateList>
      <explain/>
      <paraID>6CD50B0E</paraID>
      <start>113</start>
      <end>117</end>
      <status>unmodified</status>
      <modifiedWord/>
      <trackRevisions>false</trackRevisions>
    </reviewItem>
    <reviewItem>
      <errorID>e0e9a15c-0af0-4d77-9f54-d2a0d2e2339d</errorID>
      <errorWord>予以考虑</errorWord>
      <group>L1_Word</group>
      <groupName>字词问题</groupName>
      <ability>L2_Typo</ability>
      <abilityName>字词错误</abilityName>
      <candidateList>
        <item>予考虑</item>
      </candidateList>
      <explain/>
      <paraID>48BB650F</paraID>
      <start>19</start>
      <end>23</end>
      <status>unmodified</status>
      <modifiedWord/>
      <trackRevisions>false</trackRevisions>
    </reviewItem>
    <reviewItem>
      <errorID>3175a8f2-fbeb-4daa-a1c9-e49b1aa49342</errorID>
      <errorWord>-</errorWord>
      <group>L1_Format</group>
      <groupName>格式问题</groupName>
      <ability>L2_HalfPunc_CN</ability>
      <abilityName/>
      <candidateList>
        <item>－</item>
      </candidateList>
      <explain>文本全半角错误。</explain>
      <paraID>142DD7F8</paraID>
      <start>13</start>
      <end>14</end>
      <status>unmodified</status>
      <modifiedWord/>
      <trackRevisions>false</trackRevisions>
    </reviewItem>
    <reviewItem>
      <errorID>bfe4d6f4-b59a-4dd4-a908-d24b9e24e950</errorID>
      <errorWord>晰</errorWord>
      <group>L1_Word</group>
      <groupName>字词问题</groupName>
      <ability>L2_Typo</ability>
      <abilityName>字词错误</abilityName>
      <candidateList>
        <item>晰地</item>
      </candidateList>
      <explain/>
      <paraID>3D9FCED6</paraID>
      <start>19</start>
      <end>20</end>
      <status>unmodified</status>
      <modifiedWord/>
      <trackRevisions>false</trackRevisions>
    </reviewItem>
    <reviewItem>
      <errorID>0bc94c4f-d5ca-4ff0-a46e-d80cb1d04e8a</errorID>
      <errorWord>个等</errorWord>
      <group>L1_Word</group>
      <groupName>字词问题</groupName>
      <ability>L2_Typo</ability>
      <abilityName>字词错误</abilityName>
      <candidateList>
        <item>个</item>
      </candidateList>
      <explain/>
      <paraID>19003281</paraID>
      <start>46</start>
      <end>48</end>
      <status>unmodified</status>
      <modifiedWord/>
      <trackRevisions>false</trackRevisions>
    </reviewItem>
    <reviewItem>
      <errorID>3861756e-2f90-42ed-9571-2cf376c4655b</errorID>
      <errorWord>表</errorWord>
      <group>L1_Word</group>
      <groupName>字词问题</groupName>
      <ability>L2_Typo</ability>
      <abilityName>字词错误</abilityName>
      <candidateList>
        <item>表和</item>
      </candidateList>
      <explain/>
      <paraID>2151E848</paraID>
      <start>86</start>
      <end>87</end>
      <status>unmodified</status>
      <modifiedWord/>
      <trackRevisions>false</trackRevisions>
    </reviewItem>
    <reviewItem>
      <errorID>92936b7c-7226-4108-88a0-542ea72c975a</errorID>
      <errorWord>办公室内</errorWord>
      <group>L1_Word</group>
      <groupName>字词问题</groupName>
      <ability>L2_Typo</ability>
      <abilityName>字词错误</abilityName>
      <candidateList>
        <item>办公室</item>
      </candidateList>
      <explain>〈名〉❶办公的屋子。❷机关、学校、企业等单位内办理行政性事务的部门。</explain>
      <paraID>3DD3F52D</paraID>
      <start>5</start>
      <end>9</end>
      <status>unmodified</status>
      <modifiedWord/>
      <trackRevisions>false</trackRevisions>
    </reviewItem>
    <reviewItem>
      <errorID>6ee9642c-f5b8-4c50-b37b-eb2523f017d5</errorID>
      <errorWord>晚上22点</errorWord>
      <group>L1_Knowledge</group>
      <groupName>知识性问题</groupName>
      <ability>L2_Time</ability>
      <abilityName>日期时间</abilityName>
      <candidateList>
        <item>22点</item>
      </candidateList>
      <explain>24小时制的时间，不需要强调“晚上”。</explain>
      <paraID>42C7926D</paraID>
      <start>39</start>
      <end>42</end>
      <status>modified</status>
      <modifiedWord>22点</modifiedWord>
      <trackRevisions>false</trackRevisions>
    </reviewItem>
    <reviewItem>
      <errorID>92f6c5dd-13a6-4c8f-b125-3e249d732426</errorID>
      <errorWord>季</errorWord>
      <group>L1_Word</group>
      <groupName>字词问题</groupName>
      <ability>L2_Typo</ability>
      <abilityName>字词错误</abilityName>
      <candidateList>
        <item>季度</item>
      </candidateList>
      <explain/>
      <paraID>29845998</paraID>
      <start>17</start>
      <end>18</end>
      <status>unmodified</status>
      <modifiedWord/>
      <trackRevisions>false</trackRevisions>
    </reviewItem>
    <reviewItem>
      <errorID>07c3f804-5ff1-4962-bc13-de1ac7cd0aa7</errorID>
      <errorWord>登记台帐</errorWord>
      <group>L1_Word</group>
      <groupName>字词问题</groupName>
      <ability>L2_Alias</ability>
      <abilityName>也作/曾用词</abilityName>
      <candidateList>
        <item>登记台账</item>
      </candidateList>
      <explain>词汇[登记台帐]为不规范表述或旧称，其规范书面表述为[登记台账]。</explain>
      <paraID>37642585</paraID>
      <start>123</start>
      <end>127</end>
      <status>modified</status>
      <modifiedWord>登记台账</modifiedWord>
      <trackRevisions>false</trackRevisions>
    </reviewItem>
    <reviewItem>
      <errorID>ba6ba4a5-f2b4-4e62-b3fb-2036a7150ab1</errorID>
      <errorWord>季</errorWord>
      <group>L1_Word</group>
      <groupName>字词问题</groupName>
      <ability>L2_Typo</ability>
      <abilityName>字词错误</abilityName>
      <candidateList>
        <item>季度</item>
      </candidateList>
      <explain/>
      <paraID>6DC7A1F9</paraID>
      <start>61</start>
      <end>62</end>
      <status>unmodified</status>
      <modifiedWord/>
      <trackRevisions>false</trackRevisions>
    </reviewItem>
    <reviewItem>
      <errorID>30a5b4be-9e7f-4a6c-adac-702cbefadf7d</errorID>
      <errorWord>季</errorWord>
      <group>L1_Word</group>
      <groupName>字词问题</groupName>
      <ability>L2_Typo</ability>
      <abilityName>字词错误</abilityName>
      <candidateList>
        <item>季度</item>
      </candidateList>
      <explain/>
      <paraID>2481D30E</paraID>
      <start>4</start>
      <end>5</end>
      <status>unmodified</status>
      <modifiedWord/>
      <trackRevisions>false</trackRevisions>
    </reviewItem>
    <reviewItem>
      <errorID>1380eaa8-df42-487d-9474-abbf83728ffe</errorID>
      <errorWord>，</errorWord>
      <group>L1_Word</group>
      <groupName>字词问题</groupName>
      <ability>L2_Typo</ability>
      <abilityName>字词错误</abilityName>
      <candidateList>
        <item>，具</item>
      </candidateList>
      <explain/>
      <paraID>61E3EC97</paraID>
      <start>42</start>
      <end>43</end>
      <status>unmodified</status>
      <modifiedWord/>
      <trackRevisions>false</trackRevisions>
    </reviewItem>
    <reviewItem>
      <errorID>3c3d9a88-db9f-427a-a5a6-710ab084149f</errorID>
      <errorWord>,</errorWord>
      <group>L1_Format</group>
      <groupName>格式问题</groupName>
      <ability>L2_HalfPunc_CN</ability>
      <abilityName/>
      <candidateList>
        <item>，</item>
      </candidateList>
      <explain>文本全半角错误。</explain>
      <paraID>3E5D11D5</paraID>
      <start>47</start>
      <end>48</end>
      <status>unmodified</status>
      <modifiedWord/>
      <trackRevisions>false</trackRevisions>
    </reviewItem>
    <reviewItem>
      <errorID>17767bf0-c17d-462b-a5a6-8efd4eefe587</errorID>
      <errorWord>（</errorWord>
      <group>L1_Format</group>
      <groupName>格式问题</groupName>
      <ability>L2_HalfPunc_CN</ability>
      <abilityName/>
      <candidateList>
        <item>(</item>
      </candidateList>
      <explain>文本全半角错误。</explain>
      <paraID>710AB161</paraID>
      <start>0</start>
      <end>1</end>
      <status>unmodified</status>
      <modifiedWord/>
      <trackRevisions>false</trackRevisions>
    </reviewItem>
    <reviewItem>
      <errorID>e513d895-9c19-455c-8c74-355bb5bd0e9f</errorID>
      <errorWord>分</errorWord>
      <group>L1_Word</group>
      <groupName>字词问题</groupName>
      <ability>L2_Typo</ability>
      <abilityName>字词错误</abilityName>
      <candidateList>
        <item>分为</item>
      </candidateList>
      <explain/>
      <paraID>42442221</paraID>
      <start>34</start>
      <end>35</end>
      <status>unmodified</status>
      <modifiedWord/>
      <trackRevisions>false</trackRevisions>
    </reviewItem>
    <reviewItem>
      <errorID>51b28832-f4d4-426b-a6a8-029f1e3f1099</errorID>
      <errorWord>分</errorWord>
      <group>L1_Word</group>
      <groupName>字词问题</groupName>
      <ability>L2_Typo</ability>
      <abilityName>字词错误</abilityName>
      <candidateList>
        <item>分为</item>
      </candidateList>
      <explain/>
      <paraID>33A3F7C8</paraID>
      <start>35</start>
      <end>36</end>
      <status>unmodified</status>
      <modifiedWord/>
      <trackRevisions>false</trackRevisions>
    </reviewItem>
    <reviewItem>
      <errorID>44fcfe7e-a7c0-4227-a427-3da8beebd4ce</errorID>
      <errorWord>噪音</errorWord>
      <group>L1_Word</group>
      <groupName>字词问题</groupName>
      <ability>L2_Alias</ability>
      <abilityName>也作/曾用词</abilityName>
      <candidateList>
        <item>噪声</item>
      </candidateList>
      <explain>词汇[噪音]为不规范表述或旧称，其规范书面表述为[噪声]。</explain>
      <paraID> BE51BF9</paraID>
      <start>13</start>
      <end>15</end>
      <status>unmodified</status>
      <modifiedWord/>
      <trackRevisions>false</trackRevisions>
    </reviewItem>
    <reviewItem>
      <errorID>5d8f4c20-aa1b-49e9-b9d1-0790a874720f</errorID>
      <errorWord>其它</errorWord>
      <group>L1_Word</group>
      <groupName>字词问题</groupName>
      <ability>L2_Alias</ability>
      <abilityName>也作/曾用词</abilityName>
      <candidateList>
        <item>其他</item>
      </candidateList>
      <explain>词汇[其它]为不规范表述或旧称，其规范书面表述为[其他]。</explain>
      <paraID>61359E8D</paraID>
      <start>10</start>
      <end>12</end>
      <status>unmodified</status>
      <modifiedWord/>
      <trackRevisions>false</trackRevisions>
    </reviewItem>
    <reviewItem>
      <errorID>24794c7f-e885-44fe-a127-74562a0076b7</errorID>
      <errorWord>季</errorWord>
      <group>L1_Word</group>
      <groupName>字词问题</groupName>
      <ability>L2_Typo</ability>
      <abilityName>字词错误</abilityName>
      <candidateList>
        <item>季度</item>
      </candidateList>
      <explain/>
      <paraID>31B53C0B</paraID>
      <start>3</start>
      <end>4</end>
      <status>unmodified</status>
      <modifiedWord/>
      <trackRevisions>false</trackRevisions>
    </reviewItem>
    <reviewItem>
      <errorID>c7a4f4fb-3eea-4f13-8523-a21e0aca826e</errorID>
      <errorWord>孳生</errorWord>
      <group>L1_Word</group>
      <groupName>字词问题</groupName>
      <ability>L2_Alias</ability>
      <abilityName>也作/曾用词</abilityName>
      <candidateList>
        <item>滋生</item>
      </candidateList>
      <explain>词汇[孳生]为不规范表述或旧称，其规范书面表述为[滋生]。</explain>
      <paraID>7C64F04A</paraID>
      <start>40</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e7ac20-a367-4c96-82f8-796c80540e72}">
  <ds:schemaRefs/>
</ds:datastoreItem>
</file>

<file path=docProps/app.xml><?xml version="1.0" encoding="utf-8"?>
<Properties xmlns="http://schemas.openxmlformats.org/officeDocument/2006/extended-properties" xmlns:vt="http://schemas.openxmlformats.org/officeDocument/2006/docPropsVTypes">
  <Template>Normal</Template>
  <Pages>87</Pages>
  <Words>19318</Words>
  <Characters>20922</Characters>
  <Lines>301</Lines>
  <Paragraphs>84</Paragraphs>
  <TotalTime>4</TotalTime>
  <ScaleCrop>false</ScaleCrop>
  <LinksUpToDate>false</LinksUpToDate>
  <CharactersWithSpaces>21232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2024-03-29T08:32:00Z</dcterms:created>
  <dc:creator>Administrator</dc:creator>
  <cp:lastModifiedBy>代理机构李柳婵</cp:lastModifiedBy>
  <cp:lastPrinted>2026-06-04T00:47:00Z</cp:lastPrinted>
  <dcterms:modified xsi:type="dcterms:W3CDTF">2026-06-22T07:17:13Z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4AE8C21863064BA99CED2B425CF6EEED_13</vt:lpwstr>
  </property>
  <property fmtid="{D5CDD505-2E9C-101B-9397-08002B2CF9AE}" pid="4" name="KSOTemplateDocerSaveRecord">
    <vt:lpwstr>eyJoZGlkIjoiNGFjMzJkOTMxZmNlOTM4ZjcyZWZlNDFhZjA3N2RlZWUiLCJ1c2VySWQiOiIxNTA1MDgzOTczIn0=</vt:lpwstr>
  </property>
</Properties>
</file>