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项目名称：来宾市税务局视频监控安防维保服务项目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金额单位：元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136"/>
        <w:gridCol w:w="1845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报价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（1）视频监控系统维保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（2）视频会议系统维保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60" w:hanging="56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（3）大数据可视化监控平台维保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报价合计</w:t>
            </w:r>
          </w:p>
        </w:tc>
        <w:tc>
          <w:tcPr>
            <w:tcW w:w="5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小写：¥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1.如本表格不适合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单位的实际情况，可根据本表格式自行制表填写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报价包含实施和完成本项目需求要求所有内容的全部费用。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法定代表人或其授权代表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02BCD"/>
    <w:rsid w:val="15D660B8"/>
    <w:rsid w:val="15E8032D"/>
    <w:rsid w:val="21F02BCD"/>
    <w:rsid w:val="2DE079F4"/>
    <w:rsid w:val="3BA32D9E"/>
    <w:rsid w:val="455D2457"/>
    <w:rsid w:val="5B851518"/>
    <w:rsid w:val="5CE45728"/>
    <w:rsid w:val="5F8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来宾市税务局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2025-06-13T01:10:00Z</dcterms:created>
  <dc:creator>黄讯</dc:creator>
  <cp:lastModifiedBy>周微</cp:lastModifiedBy>
  <dcterms:modified xsi:type="dcterms:W3CDTF">2025-06-13T01:45:10Z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