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技术和服务偏离表</w:t>
      </w:r>
    </w:p>
    <w:p>
      <w:pPr>
        <w:keepNext w:val="0"/>
        <w:keepLines w:val="0"/>
        <w:pageBreakBefore w:val="0"/>
        <w:widowControl/>
        <w:kinsoku/>
        <w:wordWrap/>
        <w:overflowPunct/>
        <w:topLinePunct w:val="0"/>
        <w:autoSpaceDE/>
        <w:autoSpaceDN/>
        <w:bidi w:val="0"/>
        <w:adjustRightInd/>
        <w:snapToGrid/>
        <w:spacing w:line="480" w:lineRule="exact"/>
        <w:ind w:right="277"/>
        <w:jc w:val="left"/>
        <w:textAlignment w:val="auto"/>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项目名称:国家税务总局来宾市税务局网络运维驻场服务项目</w:t>
      </w:r>
    </w:p>
    <w:tbl>
      <w:tblPr>
        <w:tblStyle w:val="9"/>
        <w:tblW w:w="14480" w:type="dxa"/>
        <w:tblInd w:w="0" w:type="dxa"/>
        <w:tblLayout w:type="fixed"/>
        <w:tblCellMar>
          <w:top w:w="0" w:type="dxa"/>
          <w:left w:w="108" w:type="dxa"/>
          <w:bottom w:w="0" w:type="dxa"/>
          <w:right w:w="108" w:type="dxa"/>
        </w:tblCellMar>
      </w:tblPr>
      <w:tblGrid>
        <w:gridCol w:w="502"/>
        <w:gridCol w:w="7678"/>
        <w:gridCol w:w="4425"/>
        <w:gridCol w:w="1140"/>
        <w:gridCol w:w="735"/>
      </w:tblGrid>
      <w:tr>
        <w:tblPrEx>
          <w:tblCellMar>
            <w:top w:w="0" w:type="dxa"/>
            <w:left w:w="108" w:type="dxa"/>
            <w:bottom w:w="0" w:type="dxa"/>
            <w:right w:w="108" w:type="dxa"/>
          </w:tblCellMar>
        </w:tblPrEx>
        <w:trPr>
          <w:cantSplit/>
          <w:trHeight w:val="1055" w:hRule="atLeast"/>
        </w:trPr>
        <w:tc>
          <w:tcPr>
            <w:tcW w:w="502"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center"/>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序号</w:t>
            </w:r>
          </w:p>
        </w:tc>
        <w:tc>
          <w:tcPr>
            <w:tcW w:w="767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center"/>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技术和服务</w:t>
            </w:r>
            <w:r>
              <w:rPr>
                <w:rFonts w:hint="eastAsia" w:ascii="仿宋_GB2312" w:hAnsi="仿宋_GB2312" w:eastAsia="仿宋_GB2312" w:cs="仿宋_GB2312"/>
                <w:sz w:val="21"/>
                <w:szCs w:val="21"/>
                <w:lang w:eastAsia="zh-CN"/>
              </w:rPr>
              <w:t>需</w:t>
            </w:r>
            <w:r>
              <w:rPr>
                <w:rFonts w:hint="eastAsia" w:ascii="仿宋_GB2312" w:hAnsi="仿宋_GB2312" w:eastAsia="仿宋_GB2312" w:cs="仿宋_GB2312"/>
                <w:sz w:val="21"/>
                <w:szCs w:val="21"/>
              </w:rPr>
              <w:t>求</w:t>
            </w:r>
          </w:p>
        </w:tc>
        <w:tc>
          <w:tcPr>
            <w:tcW w:w="44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center"/>
              <w:textAlignment w:val="auto"/>
              <w:outlineLvl w:val="0"/>
              <w:rPr>
                <w:rFonts w:hint="eastAsia" w:ascii="仿宋_GB2312" w:hAnsi="仿宋_GB2312" w:eastAsia="仿宋_GB2312" w:cs="仿宋_GB2312"/>
                <w:sz w:val="21"/>
                <w:szCs w:val="21"/>
                <w:lang w:eastAsia="zh-CN"/>
              </w:rPr>
            </w:pPr>
            <w:bookmarkStart w:id="0" w:name="_Toc173211902"/>
            <w:r>
              <w:rPr>
                <w:rFonts w:hint="eastAsia" w:ascii="仿宋_GB2312" w:hAnsi="仿宋_GB2312" w:eastAsia="仿宋_GB2312" w:cs="仿宋_GB2312"/>
                <w:sz w:val="21"/>
                <w:szCs w:val="21"/>
                <w:lang w:eastAsia="zh-CN"/>
              </w:rPr>
              <w:t>需求</w:t>
            </w:r>
            <w:r>
              <w:rPr>
                <w:rFonts w:hint="eastAsia" w:ascii="仿宋_GB2312" w:hAnsi="仿宋_GB2312" w:eastAsia="仿宋_GB2312" w:cs="仿宋_GB2312"/>
                <w:sz w:val="21"/>
                <w:szCs w:val="21"/>
              </w:rPr>
              <w:t>响应</w:t>
            </w:r>
            <w:bookmarkEnd w:id="0"/>
            <w:r>
              <w:rPr>
                <w:rFonts w:hint="eastAsia" w:ascii="仿宋_GB2312" w:hAnsi="仿宋_GB2312" w:eastAsia="仿宋_GB2312" w:cs="仿宋_GB2312"/>
                <w:sz w:val="21"/>
                <w:szCs w:val="21"/>
                <w:lang w:eastAsia="zh-CN"/>
              </w:rPr>
              <w:t>情况</w:t>
            </w:r>
          </w:p>
          <w:p>
            <w:pPr>
              <w:keepNext w:val="0"/>
              <w:keepLines w:val="0"/>
              <w:pageBreakBefore w:val="0"/>
              <w:suppressAutoHyphens/>
              <w:kinsoku/>
              <w:wordWrap/>
              <w:overflowPunct/>
              <w:topLinePunct w:val="0"/>
              <w:autoSpaceDE/>
              <w:autoSpaceDN/>
              <w:bidi w:val="0"/>
              <w:adjustRightInd/>
              <w:snapToGrid w:val="0"/>
              <w:spacing w:line="400" w:lineRule="exact"/>
              <w:jc w:val="center"/>
              <w:textAlignment w:val="auto"/>
              <w:outlineLvl w:val="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（完全响应</w:t>
            </w:r>
            <w:r>
              <w:rPr>
                <w:rFonts w:hint="eastAsia" w:ascii="仿宋_GB2312" w:hAnsi="仿宋_GB2312" w:eastAsia="仿宋_GB2312" w:cs="仿宋_GB2312"/>
                <w:sz w:val="21"/>
                <w:szCs w:val="21"/>
                <w:lang w:val="en-US" w:eastAsia="zh-CN"/>
              </w:rPr>
              <w:t>/部分响应/未响应</w:t>
            </w:r>
            <w:r>
              <w:rPr>
                <w:rFonts w:hint="eastAsia" w:ascii="仿宋_GB2312" w:hAnsi="仿宋_GB2312" w:eastAsia="仿宋_GB2312" w:cs="仿宋_GB2312"/>
                <w:sz w:val="21"/>
                <w:szCs w:val="21"/>
                <w:lang w:eastAsia="zh-CN"/>
              </w:rPr>
              <w:t>）</w:t>
            </w:r>
          </w:p>
        </w:tc>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center"/>
              <w:textAlignment w:val="auto"/>
              <w:outlineLv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正</w:t>
            </w:r>
            <w:r>
              <w:rPr>
                <w:rFonts w:hint="eastAsia" w:ascii="仿宋_GB2312" w:hAnsi="仿宋_GB2312" w:eastAsia="仿宋_GB2312" w:cs="仿宋_GB2312"/>
                <w:sz w:val="21"/>
                <w:szCs w:val="21"/>
              </w:rPr>
              <w:t>偏离</w:t>
            </w:r>
            <w:r>
              <w:rPr>
                <w:rFonts w:hint="eastAsia" w:ascii="仿宋_GB2312" w:hAnsi="仿宋_GB2312" w:eastAsia="仿宋_GB2312" w:cs="仿宋_GB2312"/>
                <w:sz w:val="21"/>
                <w:szCs w:val="21"/>
                <w:lang w:val="en-US" w:eastAsia="zh-CN"/>
              </w:rPr>
              <w:t>/负偏离/无偏离</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center"/>
              <w:textAlignment w:val="auto"/>
              <w:outlineLvl w:val="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备注</w:t>
            </w:r>
          </w:p>
        </w:tc>
      </w:tr>
      <w:tr>
        <w:tblPrEx>
          <w:tblCellMar>
            <w:top w:w="0" w:type="dxa"/>
            <w:left w:w="108" w:type="dxa"/>
            <w:bottom w:w="0" w:type="dxa"/>
            <w:right w:w="108" w:type="dxa"/>
          </w:tblCellMar>
        </w:tblPrEx>
        <w:trPr>
          <w:cantSplit/>
          <w:trHeight w:val="5075" w:hRule="atLeast"/>
        </w:trPr>
        <w:tc>
          <w:tcPr>
            <w:tcW w:w="50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center"/>
              <w:textAlignment w:val="auto"/>
              <w:outlineLvl w:val="0"/>
              <w:rPr>
                <w:rFonts w:hint="eastAsia" w:ascii="仿宋_GB2312" w:hAnsi="仿宋_GB2312" w:eastAsia="仿宋_GB2312" w:cs="仿宋_GB2312"/>
                <w:sz w:val="21"/>
                <w:szCs w:val="21"/>
              </w:rPr>
            </w:pPr>
            <w:bookmarkStart w:id="1" w:name="_Toc301781616"/>
            <w:r>
              <w:rPr>
                <w:rFonts w:hint="eastAsia" w:ascii="仿宋_GB2312" w:hAnsi="仿宋_GB2312" w:eastAsia="仿宋_GB2312" w:cs="仿宋_GB2312"/>
                <w:sz w:val="21"/>
                <w:szCs w:val="21"/>
              </w:rPr>
              <w:t>1</w:t>
            </w:r>
            <w:bookmarkEnd w:id="1"/>
          </w:p>
        </w:tc>
        <w:tc>
          <w:tcPr>
            <w:tcW w:w="767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（一）中标供应商在服务期内为采购人提供税费服务指挥中心提供维护保养服务，具体包含以下内容：</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标供应商为采购人及其位于兴宾区、武宣县、象州县、金秀县、合山市、忻城县的办税服务厅的相应税费服务指挥系统及设备提供排查、维修服务,每季度进行1次日常巡检工作,填写巡检记录表并由相关负责人签字。</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2.中标供应商负责每次排查维修或更换设备后填写记录，并由我局相关值班人员或指定人员签字。</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3.中标供应商为采购人提供上述维保产品设备、系统的检查和调试，对于设备和系统发生的故障做出反应并及时到达现场，24小时内解决问题。</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4.中标供应商应保证维修情况及设备状况的及时提供给采购人，并及时准确地排除系统和设备故障，确保相应系统及设备正常运行。</w:t>
            </w:r>
          </w:p>
        </w:tc>
        <w:tc>
          <w:tcPr>
            <w:tcW w:w="44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left"/>
              <w:textAlignment w:val="auto"/>
              <w:outlineLvl w:val="0"/>
              <w:rPr>
                <w:rFonts w:hint="eastAsia" w:ascii="仿宋_GB2312" w:hAnsi="仿宋_GB2312" w:eastAsia="仿宋_GB2312" w:cs="仿宋_GB2312"/>
                <w:sz w:val="21"/>
                <w:szCs w:val="21"/>
              </w:rPr>
            </w:pPr>
          </w:p>
        </w:tc>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left"/>
              <w:textAlignment w:val="auto"/>
              <w:outlineLvl w:val="0"/>
              <w:rPr>
                <w:rFonts w:hint="eastAsia" w:ascii="仿宋_GB2312" w:hAnsi="仿宋_GB2312" w:eastAsia="仿宋_GB2312" w:cs="仿宋_GB2312"/>
                <w:sz w:val="21"/>
                <w:szCs w:val="21"/>
              </w:rPr>
            </w:pP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center"/>
              <w:textAlignment w:val="auto"/>
              <w:outlineLvl w:val="0"/>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cantSplit/>
          <w:trHeight w:val="1419" w:hRule="atLeast"/>
        </w:trPr>
        <w:tc>
          <w:tcPr>
            <w:tcW w:w="50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center"/>
              <w:textAlignment w:val="auto"/>
              <w:outlineLv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767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（二）保密要求</w:t>
            </w:r>
            <w:r>
              <w:rPr>
                <w:rFonts w:hint="eastAsia" w:ascii="仿宋_GB2312" w:hAnsi="仿宋_GB2312" w:eastAsia="仿宋_GB2312" w:cs="仿宋_GB2312"/>
                <w:sz w:val="21"/>
                <w:szCs w:val="21"/>
                <w:lang w:val="en-US" w:eastAsia="zh-CN"/>
              </w:rPr>
              <w:t>:</w:t>
            </w:r>
          </w:p>
          <w:p>
            <w:pPr>
              <w:keepNext w:val="0"/>
              <w:keepLines w:val="0"/>
              <w:pageBreakBefore w:val="0"/>
              <w:suppressAutoHyphens/>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1.双方应对在本合同签订或履行过程中所接</w:t>
            </w:r>
            <w:bookmarkStart w:id="2" w:name="_GoBack"/>
            <w:bookmarkEnd w:id="2"/>
            <w:r>
              <w:rPr>
                <w:rFonts w:hint="eastAsia" w:ascii="仿宋_GB2312" w:hAnsi="仿宋_GB2312" w:eastAsia="仿宋_GB2312" w:cs="仿宋_GB2312"/>
                <w:sz w:val="21"/>
                <w:szCs w:val="21"/>
              </w:rPr>
              <w:t>触的对方信息，包括但不限于知识产权、技术资料、技术诀窍、税收数据、纳税人信息、内部管理、未公开政策及其他相关信息，负有保密义务。</w:t>
            </w:r>
          </w:p>
          <w:p>
            <w:pPr>
              <w:keepNext w:val="0"/>
              <w:keepLines w:val="0"/>
              <w:pageBreakBefore w:val="0"/>
              <w:suppressAutoHyphens/>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成交供应商及派驻人员在使用采购人为其提供的数据、程序、用户名、口令、资料及采购人相关的业务和技术文档，包括方案设计细节、程序文件、数据结构，以及相关业务系统的硬软件、文档、测试和测试产生的数据时，应遵循以下约定：（1）应以审慎态度避免泄露、公开或传播采购人的信息；（2）未经采购人书面许可，不得对有关信息进行修改、补充、复制；（3）未经采购人书面许可，不得将信息以任何方式(如E-mail)携带出采购人场所；（4）未经采购人书面许可，不得将信息透露给任何其他人；（5）采购人以书面形式提出的其他保密措施。</w:t>
            </w:r>
          </w:p>
          <w:p>
            <w:pPr>
              <w:keepNext w:val="0"/>
              <w:keepLines w:val="0"/>
              <w:pageBreakBefore w:val="0"/>
              <w:suppressAutoHyphens/>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3.保密期限不受合同有效期的限制，在合同有效期结束后，信息接受方仍应承担保密义务，直至该等信息成为公开信息。</w:t>
            </w:r>
          </w:p>
          <w:p>
            <w:pPr>
              <w:keepNext w:val="0"/>
              <w:keepLines w:val="0"/>
              <w:pageBreakBefore w:val="0"/>
              <w:suppressAutoHyphens/>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4.成交供应商如出现泄密行为，成交供应商应承担相关的法律责任并承担由此给对方造成的经济损失。</w:t>
            </w:r>
          </w:p>
          <w:p>
            <w:pPr>
              <w:keepNext w:val="0"/>
              <w:keepLines w:val="0"/>
              <w:pageBreakBefore w:val="0"/>
              <w:suppressAutoHyphens/>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5.派驻人员员需保证遵守国家有关版权和知识产权保护的政策、法律、法规和制度。</w:t>
            </w:r>
          </w:p>
          <w:p>
            <w:pPr>
              <w:keepNext w:val="0"/>
              <w:keepLines w:val="0"/>
              <w:pageBreakBefore w:val="0"/>
              <w:suppressAutoHyphens/>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6.成交供应商须与采购人签署合同项目实施期间的信息保密协议，并作为合同的组成部分，同时采取有力措施积极履行相关保密承诺。</w:t>
            </w:r>
          </w:p>
          <w:p>
            <w:pPr>
              <w:keepNext w:val="0"/>
              <w:keepLines w:val="0"/>
              <w:pageBreakBefore w:val="0"/>
              <w:suppressAutoHyphens/>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7.成交供应商提供的服务人员必须与采购人签署合同项目实施期间的信息保密承诺书。</w:t>
            </w:r>
          </w:p>
        </w:tc>
        <w:tc>
          <w:tcPr>
            <w:tcW w:w="44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left"/>
              <w:textAlignment w:val="auto"/>
              <w:outlineLvl w:val="0"/>
              <w:rPr>
                <w:rFonts w:hint="eastAsia" w:ascii="仿宋_GB2312" w:hAnsi="仿宋_GB2312" w:eastAsia="仿宋_GB2312" w:cs="仿宋_GB2312"/>
                <w:sz w:val="21"/>
                <w:szCs w:val="21"/>
              </w:rPr>
            </w:pPr>
          </w:p>
        </w:tc>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left"/>
              <w:textAlignment w:val="auto"/>
              <w:outlineLvl w:val="0"/>
              <w:rPr>
                <w:rFonts w:hint="eastAsia" w:ascii="仿宋_GB2312" w:hAnsi="仿宋_GB2312" w:eastAsia="仿宋_GB2312" w:cs="仿宋_GB2312"/>
                <w:sz w:val="21"/>
                <w:szCs w:val="21"/>
              </w:rPr>
            </w:pP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center"/>
              <w:textAlignment w:val="auto"/>
              <w:outlineLvl w:val="0"/>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cantSplit/>
          <w:trHeight w:val="1419" w:hRule="atLeast"/>
        </w:trPr>
        <w:tc>
          <w:tcPr>
            <w:tcW w:w="502" w:type="dxa"/>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center"/>
              <w:textAlignment w:val="auto"/>
              <w:outlineLv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767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（三）其他要求</w:t>
            </w:r>
          </w:p>
          <w:p>
            <w:pPr>
              <w:keepNext w:val="0"/>
              <w:keepLines w:val="0"/>
              <w:pageBreakBefore w:val="0"/>
              <w:suppressAutoHyphens/>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1.服务期内若成交供应商不能按规定执行合同，采购人有权终止合同，并要求成交供应商赔偿因不能正常履行合同给采购人造成的损失。 </w:t>
            </w:r>
          </w:p>
          <w:p>
            <w:pPr>
              <w:keepNext w:val="0"/>
              <w:keepLines w:val="0"/>
              <w:pageBreakBefore w:val="0"/>
              <w:suppressAutoHyphens/>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2.成交供应商不得以采购人的名义对外发生经济业务往来，并应对派驻工作人员进行严格管理，对于成交供应商派驻服务人员给采购人造成利益损害的，成交供应商应承担相关法律责任。</w:t>
            </w:r>
          </w:p>
          <w:p>
            <w:pPr>
              <w:keepNext w:val="0"/>
              <w:keepLines w:val="0"/>
              <w:pageBreakBefore w:val="0"/>
              <w:suppressAutoHyphens/>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3.派驻工作人员因不履行岗位工作职责或发生违法乱纪行为对采购人合法利益造成损害的，成交供应商应承担违约责任，并按所负责任进行相应赔偿。</w:t>
            </w:r>
          </w:p>
        </w:tc>
        <w:tc>
          <w:tcPr>
            <w:tcW w:w="442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left"/>
              <w:textAlignment w:val="auto"/>
              <w:outlineLvl w:val="0"/>
              <w:rPr>
                <w:rFonts w:hint="eastAsia" w:ascii="仿宋_GB2312" w:hAnsi="仿宋_GB2312" w:eastAsia="仿宋_GB2312" w:cs="仿宋_GB2312"/>
                <w:sz w:val="21"/>
                <w:szCs w:val="21"/>
              </w:rPr>
            </w:pPr>
          </w:p>
        </w:tc>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left"/>
              <w:textAlignment w:val="auto"/>
              <w:outlineLvl w:val="0"/>
              <w:rPr>
                <w:rFonts w:hint="eastAsia" w:ascii="仿宋_GB2312" w:hAnsi="仿宋_GB2312" w:eastAsia="仿宋_GB2312" w:cs="仿宋_GB2312"/>
                <w:sz w:val="21"/>
                <w:szCs w:val="21"/>
              </w:rPr>
            </w:pP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AutoHyphens/>
              <w:kinsoku/>
              <w:wordWrap/>
              <w:overflowPunct/>
              <w:topLinePunct w:val="0"/>
              <w:autoSpaceDE/>
              <w:autoSpaceDN/>
              <w:bidi w:val="0"/>
              <w:adjustRightInd/>
              <w:snapToGrid w:val="0"/>
              <w:spacing w:line="400" w:lineRule="exact"/>
              <w:jc w:val="center"/>
              <w:textAlignment w:val="auto"/>
              <w:outlineLvl w:val="0"/>
              <w:rPr>
                <w:rFonts w:hint="eastAsia" w:ascii="仿宋_GB2312" w:hAnsi="仿宋_GB2312" w:eastAsia="仿宋_GB2312" w:cs="仿宋_GB2312"/>
                <w:sz w:val="21"/>
                <w:szCs w:val="21"/>
              </w:rPr>
            </w:pPr>
          </w:p>
        </w:tc>
      </w:tr>
    </w:tbl>
    <w:p>
      <w:pPr>
        <w:pStyle w:val="1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sz w:val="21"/>
          <w:szCs w:val="21"/>
        </w:rPr>
        <w:t>供应商名称（公章）</w:t>
      </w:r>
      <w:r>
        <w:rPr>
          <w:rFonts w:hint="eastAsia" w:ascii="仿宋_GB2312" w:hAnsi="仿宋_GB2312" w:eastAsia="仿宋_GB2312" w:cs="仿宋_GB2312"/>
          <w:color w:val="000000"/>
          <w:sz w:val="21"/>
          <w:szCs w:val="21"/>
        </w:rPr>
        <w:t>：</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法定代表人或被授权人（签字）:      </w:t>
      </w:r>
    </w:p>
    <w:p>
      <w:pPr>
        <w:pStyle w:val="11"/>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color w:val="000000"/>
          <w:sz w:val="21"/>
          <w:szCs w:val="21"/>
        </w:rPr>
        <w:t>日期：</w:t>
      </w:r>
      <w:r>
        <w:rPr>
          <w:rFonts w:hint="eastAsia" w:ascii="仿宋_GB2312" w:hAnsi="仿宋_GB2312" w:eastAsia="仿宋_GB2312" w:cs="仿宋_GB2312"/>
          <w:color w:val="000000"/>
          <w:sz w:val="21"/>
          <w:szCs w:val="21"/>
          <w:u w:val="none"/>
          <w:lang w:val="en-US" w:eastAsia="zh-CN"/>
        </w:rPr>
        <w:t xml:space="preserve">        </w:t>
      </w:r>
      <w:r>
        <w:rPr>
          <w:rFonts w:hint="eastAsia" w:ascii="仿宋_GB2312" w:hAnsi="仿宋_GB2312" w:eastAsia="仿宋_GB2312" w:cs="仿宋_GB2312"/>
          <w:color w:val="000000"/>
          <w:sz w:val="21"/>
          <w:szCs w:val="21"/>
          <w:u w:val="none"/>
        </w:rPr>
        <w:t xml:space="preserve">年 </w:t>
      </w:r>
      <w:r>
        <w:rPr>
          <w:rFonts w:hint="eastAsia" w:ascii="仿宋_GB2312" w:hAnsi="仿宋_GB2312" w:eastAsia="仿宋_GB2312" w:cs="仿宋_GB2312"/>
          <w:color w:val="000000"/>
          <w:sz w:val="21"/>
          <w:szCs w:val="21"/>
          <w:u w:val="none"/>
          <w:lang w:val="en-US" w:eastAsia="zh-CN"/>
        </w:rPr>
        <w:t xml:space="preserve">  </w:t>
      </w:r>
      <w:r>
        <w:rPr>
          <w:rFonts w:hint="eastAsia" w:ascii="仿宋_GB2312" w:hAnsi="仿宋_GB2312" w:eastAsia="仿宋_GB2312" w:cs="仿宋_GB2312"/>
          <w:color w:val="000000"/>
          <w:sz w:val="21"/>
          <w:szCs w:val="21"/>
          <w:u w:val="none"/>
        </w:rPr>
        <w:t xml:space="preserve"> 月 </w:t>
      </w:r>
      <w:r>
        <w:rPr>
          <w:rFonts w:hint="eastAsia" w:ascii="仿宋_GB2312" w:hAnsi="仿宋_GB2312" w:eastAsia="仿宋_GB2312" w:cs="仿宋_GB2312"/>
          <w:color w:val="000000"/>
          <w:sz w:val="21"/>
          <w:szCs w:val="21"/>
          <w:u w:val="none"/>
          <w:lang w:val="en-US" w:eastAsia="zh-CN"/>
        </w:rPr>
        <w:t xml:space="preserve">    </w:t>
      </w:r>
      <w:r>
        <w:rPr>
          <w:rFonts w:hint="eastAsia" w:ascii="仿宋_GB2312" w:hAnsi="仿宋_GB2312" w:eastAsia="仿宋_GB2312" w:cs="仿宋_GB2312"/>
          <w:color w:val="000000"/>
          <w:sz w:val="21"/>
          <w:szCs w:val="21"/>
          <w:u w:val="none"/>
        </w:rPr>
        <w:t>日</w:t>
      </w:r>
    </w:p>
    <w:p>
      <w:pPr>
        <w:pStyle w:val="3"/>
        <w:keepNext w:val="0"/>
        <w:keepLines w:val="0"/>
        <w:pageBreakBefore w:val="0"/>
        <w:kinsoku/>
        <w:wordWrap/>
        <w:overflowPunct/>
        <w:topLinePunct w:val="0"/>
        <w:autoSpaceDE/>
        <w:autoSpaceDN/>
        <w:bidi w:val="0"/>
        <w:adjustRightInd/>
        <w:snapToGrid/>
        <w:spacing w:line="520" w:lineRule="exact"/>
        <w:textAlignment w:val="auto"/>
        <w:rPr>
          <w:rFonts w:hint="default"/>
          <w:sz w:val="21"/>
          <w:szCs w:val="21"/>
          <w:lang w:val="en-US" w:eastAsia="zh-CN"/>
        </w:rPr>
      </w:pPr>
    </w:p>
    <w:p>
      <w:pPr>
        <w:widowControl w:val="0"/>
        <w:snapToGrid w:val="0"/>
        <w:spacing w:before="50" w:after="165" w:afterLines="50"/>
        <w:jc w:val="left"/>
        <w:rPr>
          <w:rFonts w:hint="eastAsia" w:ascii="仿宋_GB2312" w:hAnsi="仿宋_GB2312" w:eastAsia="仿宋_GB2312" w:cs="仿宋_GB2312"/>
          <w:b w:val="0"/>
          <w:color w:val="auto"/>
          <w:kern w:val="2"/>
          <w:sz w:val="21"/>
          <w:szCs w:val="21"/>
          <w:highlight w:val="none"/>
          <w:lang w:val="en-US" w:eastAsia="zh-CN" w:bidi="ar-SA"/>
        </w:rPr>
      </w:pPr>
    </w:p>
    <w:p>
      <w:pPr>
        <w:rPr>
          <w:sz w:val="21"/>
          <w:szCs w:val="21"/>
        </w:rPr>
      </w:pPr>
    </w:p>
    <w:sectPr>
      <w:footerReference r:id="rId3" w:type="default"/>
      <w:pgSz w:w="16838" w:h="11906" w:orient="landscape"/>
      <w:pgMar w:top="1247" w:right="1191"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249E2"/>
    <w:rsid w:val="3AD249E2"/>
    <w:rsid w:val="3BA32D9E"/>
    <w:rsid w:val="455D2457"/>
    <w:rsid w:val="489147E6"/>
    <w:rsid w:val="5B851518"/>
    <w:rsid w:val="5CE45728"/>
    <w:rsid w:val="5F89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Body Text Indent"/>
    <w:basedOn w:val="1"/>
    <w:next w:val="1"/>
    <w:qFormat/>
    <w:uiPriority w:val="0"/>
    <w:pPr>
      <w:suppressAutoHyphens/>
      <w:ind w:firstLine="420"/>
    </w:pPr>
    <w:rPr>
      <w:rFonts w:ascii="宋体" w:hAnsi="宋体"/>
      <w:kern w:val="0"/>
      <w:sz w:val="20"/>
      <w:szCs w:val="20"/>
    </w:rPr>
  </w:style>
  <w:style w:type="paragraph" w:styleId="5">
    <w:name w:val="Plain Text"/>
    <w:basedOn w:val="1"/>
    <w:next w:val="1"/>
    <w:qFormat/>
    <w:uiPriority w:val="0"/>
    <w:rPr>
      <w:rFonts w:ascii="宋体" w:hAnsi="Courier New" w:eastAsia="宋体" w:cs="Times New Roman"/>
      <w:szCs w:val="2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11">
    <w:name w:val="纯文本1"/>
    <w:basedOn w:val="1"/>
    <w:next w:val="1"/>
    <w:qFormat/>
    <w:uiPriority w:val="0"/>
    <w:pPr>
      <w:suppressAutoHyphens/>
    </w:pPr>
    <w:rPr>
      <w:rFonts w:ascii="宋体" w:hAnsi="宋体" w:cs="宋体"/>
      <w:szCs w:val="21"/>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来宾市税务局</Company>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2025-06-13T01:10:00Z</dcterms:created>
  <dc:creator>黄讯</dc:creator>
  <cp:lastModifiedBy>黄讯</cp:lastModifiedBy>
  <dcterms:modified xsi:type="dcterms:W3CDTF">2025-06-13T01:34:11Z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