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黑体" w:hAnsi="Calibri" w:eastAsia="黑体" w:cs="Times New Roman"/>
          <w:b/>
          <w:color w:val="auto"/>
          <w:sz w:val="32"/>
          <w:szCs w:val="32"/>
          <w:highlight w:val="none"/>
        </w:rPr>
      </w:pPr>
      <w:r>
        <w:rPr>
          <w:rFonts w:hint="eastAsia" w:ascii="黑体" w:hAnsi="Calibri" w:eastAsia="黑体" w:cs="Times New Roman"/>
          <w:b/>
          <w:color w:val="auto"/>
          <w:sz w:val="32"/>
          <w:szCs w:val="32"/>
          <w:highlight w:val="none"/>
        </w:rPr>
        <w:t xml:space="preserve"> </w:t>
      </w:r>
    </w:p>
    <w:p>
      <w:pPr>
        <w:rPr>
          <w:rFonts w:ascii="黑体" w:hAnsi="Calibri" w:eastAsia="黑体" w:cs="Times New Roman"/>
          <w:b/>
          <w:color w:val="auto"/>
          <w:sz w:val="32"/>
          <w:szCs w:val="32"/>
          <w:highlight w:val="none"/>
        </w:rPr>
      </w:pPr>
    </w:p>
    <w:p>
      <w:pPr>
        <w:rPr>
          <w:rFonts w:ascii="Calibri" w:hAnsi="Calibri" w:eastAsia="宋体" w:cs="Times New Roman"/>
          <w:color w:val="auto"/>
          <w:highlight w:val="none"/>
        </w:rPr>
      </w:pPr>
    </w:p>
    <w:p>
      <w:pPr>
        <w:topLinePunct/>
        <w:autoSpaceDE w:val="0"/>
        <w:autoSpaceDN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招 标 文 件</w:t>
      </w:r>
    </w:p>
    <w:p>
      <w:pPr>
        <w:topLinePunct/>
        <w:autoSpaceDE w:val="0"/>
        <w:autoSpaceDN w:val="0"/>
        <w:spacing w:line="60" w:lineRule="exact"/>
        <w:jc w:val="center"/>
        <w:rPr>
          <w:rFonts w:hint="eastAsia" w:ascii="华文中宋" w:hAnsi="华文中宋" w:eastAsia="华文中宋" w:cs="华文中宋"/>
          <w:bCs/>
          <w:color w:val="auto"/>
          <w:sz w:val="32"/>
          <w:szCs w:val="32"/>
          <w:highlight w:val="none"/>
        </w:rPr>
      </w:pPr>
    </w:p>
    <w:p>
      <w:pPr>
        <w:topLinePunct/>
        <w:autoSpaceDE w:val="0"/>
        <w:autoSpaceDN w:val="0"/>
        <w:snapToGrid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（商务部分）</w:t>
      </w:r>
    </w:p>
    <w:p>
      <w:pPr>
        <w:topLinePunct/>
        <w:autoSpaceDE w:val="0"/>
        <w:autoSpaceDN w:val="0"/>
        <w:snapToGrid w:val="0"/>
        <w:rPr>
          <w:rFonts w:hint="eastAsia" w:ascii="华文中宋" w:hAnsi="华文中宋" w:eastAsia="华文中宋" w:cs="华文中宋"/>
          <w:bCs/>
          <w:color w:val="auto"/>
          <w:sz w:val="32"/>
          <w:szCs w:val="32"/>
          <w:highlight w:val="none"/>
        </w:rPr>
      </w:pPr>
    </w:p>
    <w:p>
      <w:pPr>
        <w:jc w:val="center"/>
        <w:rPr>
          <w:rFonts w:hint="eastAsia" w:ascii="方正小标宋简体" w:hAnsi="方正小标宋简体" w:eastAsia="方正小标宋简体" w:cs="方正小标宋简体"/>
          <w:color w:val="auto"/>
          <w:sz w:val="24"/>
          <w:szCs w:val="24"/>
          <w:highlight w:val="none"/>
        </w:rPr>
      </w:pPr>
    </w:p>
    <w:p>
      <w:pPr>
        <w:jc w:val="center"/>
        <w:rPr>
          <w:rFonts w:hint="eastAsia" w:ascii="方正小标宋简体" w:hAnsi="方正小标宋简体" w:eastAsia="方正小标宋简体" w:cs="方正小标宋简体"/>
          <w:color w:val="auto"/>
          <w:sz w:val="24"/>
          <w:szCs w:val="24"/>
          <w:highlight w:val="none"/>
        </w:rPr>
      </w:pPr>
    </w:p>
    <w:p>
      <w:pPr>
        <w:ind w:left="3300" w:leftChars="1000" w:hanging="1200" w:hangingChars="500"/>
        <w:jc w:val="left"/>
        <w:rPr>
          <w:rFonts w:hint="eastAsia" w:ascii="方正小标宋简体" w:hAnsi="方正小标宋简体" w:eastAsia="方正小标宋简体" w:cs="方正小标宋简体"/>
          <w:color w:val="auto"/>
          <w:sz w:val="24"/>
          <w:szCs w:val="24"/>
          <w:highlight w:val="none"/>
          <w:lang w:eastAsia="zh-CN"/>
        </w:rPr>
      </w:pPr>
      <w:r>
        <w:rPr>
          <w:rFonts w:hint="eastAsia" w:ascii="方正小标宋简体" w:hAnsi="方正小标宋简体" w:eastAsia="方正小标宋简体" w:cs="方正小标宋简体"/>
          <w:color w:val="auto"/>
          <w:sz w:val="24"/>
          <w:szCs w:val="24"/>
          <w:highlight w:val="none"/>
        </w:rPr>
        <w:t>项目名称：</w:t>
      </w:r>
      <w:r>
        <w:rPr>
          <w:rFonts w:hint="eastAsia" w:ascii="方正小标宋简体" w:hAnsi="方正小标宋简体" w:eastAsia="方正小标宋简体" w:cs="方正小标宋简体"/>
          <w:color w:val="auto"/>
          <w:sz w:val="24"/>
          <w:szCs w:val="24"/>
          <w:highlight w:val="none"/>
          <w:lang w:eastAsia="zh-CN"/>
        </w:rPr>
        <w:t>国家税务总局来宾市税务局2025年物业管理服务采购项目（重）</w:t>
      </w:r>
    </w:p>
    <w:p>
      <w:pPr>
        <w:ind w:firstLine="2160" w:firstLineChars="900"/>
        <w:jc w:val="left"/>
        <w:rPr>
          <w:rFonts w:hint="eastAsia" w:ascii="方正小标宋简体" w:hAnsi="方正小标宋简体" w:eastAsia="方正小标宋简体" w:cs="方正小标宋简体"/>
          <w:color w:val="auto"/>
          <w:sz w:val="24"/>
          <w:szCs w:val="24"/>
          <w:highlight w:val="none"/>
        </w:rPr>
      </w:pPr>
    </w:p>
    <w:p>
      <w:pPr>
        <w:ind w:firstLine="2160" w:firstLineChars="900"/>
        <w:jc w:val="left"/>
        <w:rPr>
          <w:rFonts w:hint="eastAsia" w:ascii="方正小标宋简体" w:hAnsi="方正小标宋简体" w:eastAsia="方正小标宋简体" w:cs="方正小标宋简体"/>
          <w:color w:val="auto"/>
          <w:sz w:val="24"/>
          <w:szCs w:val="24"/>
          <w:highlight w:val="none"/>
          <w:lang w:eastAsia="zh-CN"/>
        </w:rPr>
      </w:pPr>
      <w:r>
        <w:rPr>
          <w:rFonts w:hint="eastAsia" w:ascii="方正小标宋简体" w:hAnsi="方正小标宋简体" w:eastAsia="方正小标宋简体" w:cs="方正小标宋简体"/>
          <w:color w:val="auto"/>
          <w:sz w:val="24"/>
          <w:szCs w:val="24"/>
          <w:highlight w:val="none"/>
        </w:rPr>
        <w:t>项目编号：</w:t>
      </w:r>
      <w:r>
        <w:rPr>
          <w:rFonts w:hint="eastAsia" w:ascii="方正小标宋简体" w:hAnsi="方正小标宋简体" w:eastAsia="方正小标宋简体" w:cs="方正小标宋简体"/>
          <w:color w:val="auto"/>
          <w:sz w:val="24"/>
          <w:szCs w:val="24"/>
          <w:highlight w:val="none"/>
          <w:lang w:eastAsia="zh-CN"/>
        </w:rPr>
        <w:t>GX2025-DLGK-C0037-B00</w:t>
      </w:r>
    </w:p>
    <w:p>
      <w:pPr>
        <w:ind w:firstLine="2160" w:firstLineChars="900"/>
        <w:jc w:val="left"/>
        <w:rPr>
          <w:rFonts w:hint="eastAsia" w:ascii="方正小标宋简体" w:hAnsi="方正小标宋简体" w:eastAsia="方正小标宋简体" w:cs="方正小标宋简体"/>
          <w:color w:val="auto"/>
          <w:sz w:val="24"/>
          <w:szCs w:val="24"/>
          <w:highlight w:val="none"/>
        </w:rPr>
      </w:pPr>
    </w:p>
    <w:p>
      <w:pPr>
        <w:ind w:firstLine="2160" w:firstLineChars="900"/>
        <w:jc w:val="left"/>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 购 人：国家税务总局来宾市税务局</w:t>
      </w:r>
    </w:p>
    <w:p>
      <w:pPr>
        <w:ind w:firstLine="2160" w:firstLineChars="900"/>
        <w:jc w:val="left"/>
        <w:rPr>
          <w:rFonts w:hint="eastAsia" w:ascii="方正小标宋简体" w:hAnsi="方正小标宋简体" w:eastAsia="方正小标宋简体" w:cs="方正小标宋简体"/>
          <w:color w:val="auto"/>
          <w:sz w:val="24"/>
          <w:szCs w:val="24"/>
          <w:highlight w:val="none"/>
        </w:rPr>
      </w:pPr>
    </w:p>
    <w:p>
      <w:pPr>
        <w:ind w:firstLine="2160" w:firstLineChars="900"/>
        <w:jc w:val="left"/>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采购代理机构：云之龙咨询集团有限公司</w:t>
      </w:r>
    </w:p>
    <w:p>
      <w:pPr>
        <w:topLinePunct/>
        <w:autoSpaceDE w:val="0"/>
        <w:autoSpaceDN w:val="0"/>
        <w:spacing w:line="460" w:lineRule="exact"/>
        <w:rPr>
          <w:rFonts w:hint="eastAsia" w:ascii="方正小标宋简体" w:hAnsi="方正小标宋简体" w:eastAsia="方正小标宋简体" w:cs="方正小标宋简体"/>
          <w:color w:val="auto"/>
          <w:sz w:val="24"/>
          <w:szCs w:val="24"/>
          <w:highlight w:val="none"/>
        </w:rPr>
      </w:pPr>
    </w:p>
    <w:p>
      <w:pPr>
        <w:topLinePunct/>
        <w:autoSpaceDE w:val="0"/>
        <w:autoSpaceDN w:val="0"/>
        <w:spacing w:line="160" w:lineRule="exact"/>
        <w:jc w:val="center"/>
        <w:rPr>
          <w:rFonts w:hint="eastAsia" w:ascii="方正小标宋简体" w:hAnsi="方正小标宋简体" w:eastAsia="方正小标宋简体" w:cs="方正小标宋简体"/>
          <w:color w:val="auto"/>
          <w:sz w:val="24"/>
          <w:szCs w:val="24"/>
          <w:highlight w:val="none"/>
        </w:rPr>
      </w:pPr>
    </w:p>
    <w:p>
      <w:pPr>
        <w:jc w:val="center"/>
        <w:rPr>
          <w:rFonts w:hint="eastAsia" w:ascii="方正小标宋简体" w:hAnsi="方正小标宋简体" w:eastAsia="方正小标宋简体" w:cs="方正小标宋简体"/>
          <w:color w:val="auto"/>
          <w:sz w:val="24"/>
          <w:szCs w:val="24"/>
          <w:highlight w:val="none"/>
        </w:rPr>
      </w:pPr>
      <w:r>
        <w:rPr>
          <w:rFonts w:ascii="方正小标宋简体" w:hAnsi="方正小标宋简体" w:eastAsia="方正小标宋简体" w:cs="方正小标宋简体"/>
          <w:color w:val="auto"/>
          <w:sz w:val="24"/>
          <w:szCs w:val="24"/>
          <w:highlight w:val="none"/>
        </w:rPr>
        <w:t>202</w:t>
      </w:r>
      <w:r>
        <w:rPr>
          <w:rFonts w:hint="eastAsia" w:ascii="方正小标宋简体" w:hAnsi="方正小标宋简体" w:eastAsia="方正小标宋简体" w:cs="方正小标宋简体"/>
          <w:color w:val="auto"/>
          <w:sz w:val="24"/>
          <w:szCs w:val="24"/>
          <w:highlight w:val="none"/>
        </w:rPr>
        <w:t>5年</w:t>
      </w:r>
      <w:r>
        <w:rPr>
          <w:rFonts w:hint="eastAsia" w:ascii="方正小标宋简体" w:hAnsi="方正小标宋简体" w:eastAsia="方正小标宋简体" w:cs="方正小标宋简体"/>
          <w:color w:val="auto"/>
          <w:sz w:val="24"/>
          <w:szCs w:val="24"/>
          <w:highlight w:val="none"/>
          <w:lang w:val="en-US" w:eastAsia="zh-CN"/>
        </w:rPr>
        <w:t>6</w:t>
      </w:r>
      <w:r>
        <w:rPr>
          <w:rFonts w:hint="eastAsia" w:ascii="方正小标宋简体" w:hAnsi="方正小标宋简体" w:eastAsia="方正小标宋简体" w:cs="方正小标宋简体"/>
          <w:color w:val="auto"/>
          <w:sz w:val="24"/>
          <w:szCs w:val="24"/>
          <w:highlight w:val="none"/>
        </w:rPr>
        <w:t>月</w:t>
      </w:r>
      <w:r>
        <w:rPr>
          <w:rFonts w:hint="eastAsia" w:ascii="方正小标宋简体" w:hAnsi="方正小标宋简体" w:eastAsia="方正小标宋简体" w:cs="方正小标宋简体"/>
          <w:color w:val="auto"/>
          <w:sz w:val="24"/>
          <w:szCs w:val="24"/>
          <w:highlight w:val="none"/>
          <w:lang w:val="en-US" w:eastAsia="zh-CN"/>
        </w:rPr>
        <w:t>25</w:t>
      </w:r>
      <w:r>
        <w:rPr>
          <w:rFonts w:hint="eastAsia" w:ascii="方正小标宋简体" w:hAnsi="方正小标宋简体" w:eastAsia="方正小标宋简体" w:cs="方正小标宋简体"/>
          <w:color w:val="auto"/>
          <w:sz w:val="24"/>
          <w:szCs w:val="24"/>
          <w:highlight w:val="none"/>
        </w:rPr>
        <w:t>日</w:t>
      </w:r>
    </w:p>
    <w:p>
      <w:pPr>
        <w:rPr>
          <w:rFonts w:ascii="Calibri" w:hAnsi="Calibri" w:eastAsia="宋体" w:cs="Times New Roman"/>
          <w:color w:val="auto"/>
          <w:sz w:val="32"/>
          <w:szCs w:val="32"/>
          <w:highlight w:val="none"/>
        </w:rPr>
      </w:pPr>
    </w:p>
    <w:p>
      <w:pPr>
        <w:rPr>
          <w:rFonts w:ascii="Calibri" w:hAnsi="Calibri" w:eastAsia="宋体" w:cs="Times New Roman"/>
          <w:color w:val="auto"/>
          <w:sz w:val="32"/>
          <w:szCs w:val="32"/>
          <w:highlight w:val="none"/>
        </w:rPr>
      </w:pPr>
    </w:p>
    <w:p>
      <w:pPr>
        <w:widowControl/>
        <w:jc w:val="left"/>
        <w:rPr>
          <w:rFonts w:ascii="Calibri" w:hAnsi="Calibri" w:eastAsia="宋体" w:cs="Times New Roman"/>
          <w:color w:val="auto"/>
          <w:sz w:val="32"/>
          <w:szCs w:val="32"/>
          <w:highlight w:val="none"/>
        </w:rPr>
        <w:sectPr>
          <w:footerReference r:id="rId3" w:type="default"/>
          <w:pgSz w:w="11906" w:h="16838"/>
          <w:pgMar w:top="1440" w:right="1752" w:bottom="1440" w:left="1752" w:header="851" w:footer="992" w:gutter="0"/>
          <w:cols w:space="720" w:num="1"/>
          <w:docGrid w:type="lines" w:linePitch="312" w:charSpace="0"/>
        </w:sectPr>
      </w:pPr>
    </w:p>
    <w:p>
      <w:pPr>
        <w:jc w:val="center"/>
        <w:rPr>
          <w:color w:val="auto"/>
          <w:highlight w:val="none"/>
        </w:rPr>
      </w:pPr>
      <w:r>
        <w:rPr>
          <w:rFonts w:hint="eastAsia" w:ascii="华文中宋" w:hAnsi="华文中宋" w:eastAsia="华文中宋" w:cs="华文中宋"/>
          <w:color w:val="auto"/>
          <w:sz w:val="48"/>
          <w:szCs w:val="28"/>
          <w:highlight w:val="none"/>
          <w:lang w:val="zh-CN"/>
        </w:rPr>
        <w:t>目  录</w:t>
      </w:r>
    </w:p>
    <w:p>
      <w:pPr>
        <w:pStyle w:val="35"/>
        <w:tabs>
          <w:tab w:val="right" w:leader="dot" w:pos="8402"/>
        </w:tabs>
        <w:spacing w:line="360" w:lineRule="auto"/>
        <w:rPr>
          <w:rFonts w:hint="eastAsia" w:ascii="宋体" w:hAnsi="宋体" w:cs="宋体"/>
          <w:color w:val="auto"/>
          <w:highlight w:val="none"/>
        </w:rPr>
      </w:pPr>
      <w:r>
        <w:rPr>
          <w:rFonts w:hint="eastAsia" w:ascii="宋体" w:hAnsi="宋体" w:cs="宋体"/>
          <w:color w:val="auto"/>
          <w:highlight w:val="none"/>
        </w:rPr>
        <w:t>第一部分　商务部分</w:t>
      </w:r>
      <w:r>
        <w:rPr>
          <w:rFonts w:hint="eastAsia" w:ascii="宋体" w:hAnsi="宋体" w:cs="宋体"/>
          <w:color w:val="auto"/>
          <w:highlight w:val="none"/>
        </w:rPr>
        <w:tab/>
      </w:r>
      <w:r>
        <w:rPr>
          <w:rFonts w:hint="eastAsia" w:ascii="宋体" w:hAnsi="宋体" w:cs="宋体"/>
          <w:color w:val="auto"/>
          <w:highlight w:val="none"/>
        </w:rPr>
        <w:t>3</w:t>
      </w:r>
    </w:p>
    <w:p>
      <w:pPr>
        <w:pStyle w:val="35"/>
        <w:tabs>
          <w:tab w:val="right" w:leader="dot" w:pos="8402"/>
        </w:tabs>
        <w:spacing w:line="36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hint="eastAsia" w:ascii="宋体" w:hAnsi="宋体" w:cs="宋体"/>
          <w:color w:val="auto"/>
          <w:highlight w:val="none"/>
        </w:rPr>
        <w:t>第一章  投标邀请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_Toc21477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"_Toc2825" </w:instrText>
      </w:r>
      <w:r>
        <w:rPr>
          <w:color w:val="auto"/>
          <w:highlight w:val="none"/>
        </w:rPr>
        <w:fldChar w:fldCharType="separate"/>
      </w:r>
      <w:r>
        <w:rPr>
          <w:rFonts w:hint="eastAsia" w:ascii="宋体" w:hAnsi="宋体" w:cs="宋体"/>
          <w:color w:val="auto"/>
          <w:highlight w:val="none"/>
        </w:rPr>
        <w:t>第二章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_Toc2825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"_Toc12759" </w:instrText>
      </w:r>
      <w:r>
        <w:rPr>
          <w:color w:val="auto"/>
          <w:highlight w:val="none"/>
        </w:rPr>
        <w:fldChar w:fldCharType="separate"/>
      </w:r>
      <w:r>
        <w:rPr>
          <w:rFonts w:hint="eastAsia" w:ascii="宋体" w:hAnsi="宋体" w:cs="宋体"/>
          <w:color w:val="auto"/>
          <w:highlight w:val="none"/>
        </w:rPr>
        <w:t>第三章  评标方法及标准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_Toc12759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"_Toc25264" </w:instrText>
      </w:r>
      <w:r>
        <w:rPr>
          <w:color w:val="auto"/>
          <w:highlight w:val="none"/>
        </w:rPr>
        <w:fldChar w:fldCharType="separate"/>
      </w:r>
      <w:r>
        <w:rPr>
          <w:rFonts w:hint="eastAsia" w:ascii="宋体" w:hAnsi="宋体" w:cs="宋体"/>
          <w:color w:val="auto"/>
          <w:highlight w:val="none"/>
        </w:rPr>
        <w:t>第四章  政府采购合同文本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_Toc25264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"_Toc653" </w:instrText>
      </w:r>
      <w:r>
        <w:rPr>
          <w:color w:val="auto"/>
          <w:highlight w:val="none"/>
        </w:rPr>
        <w:fldChar w:fldCharType="separate"/>
      </w:r>
      <w:r>
        <w:rPr>
          <w:rFonts w:hint="eastAsia" w:ascii="宋体" w:hAnsi="宋体" w:cs="宋体"/>
          <w:color w:val="auto"/>
          <w:highlight w:val="none"/>
        </w:rPr>
        <w:t>第五章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_Toc653 \h </w:instrText>
      </w:r>
      <w:r>
        <w:rPr>
          <w:rFonts w:hint="eastAsia" w:ascii="宋体" w:hAnsi="宋体" w:cs="宋体"/>
          <w:color w:val="auto"/>
          <w:highlight w:val="none"/>
        </w:rPr>
        <w:fldChar w:fldCharType="separate"/>
      </w:r>
      <w:r>
        <w:rPr>
          <w:rFonts w:hint="eastAsia" w:ascii="宋体" w:hAnsi="宋体" w:cs="宋体"/>
          <w:color w:val="auto"/>
          <w:highlight w:val="none"/>
        </w:rPr>
        <w:t>52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第二部分　技术部分</w:t>
      </w:r>
      <w:r>
        <w:rPr>
          <w:rFonts w:hint="eastAsia" w:ascii="宋体" w:hAnsi="宋体" w:cs="宋体"/>
          <w:color w:val="auto"/>
          <w:highlight w:val="none"/>
        </w:rPr>
        <w:tab/>
      </w:r>
      <w:r>
        <w:rPr>
          <w:rFonts w:hint="eastAsia" w:ascii="宋体" w:hAnsi="宋体" w:cs="宋体"/>
          <w:color w:val="auto"/>
          <w:highlight w:val="none"/>
          <w:lang w:val="en-US" w:eastAsia="zh-CN"/>
        </w:rPr>
        <w:t>81</w:t>
      </w:r>
    </w:p>
    <w:p>
      <w:pPr>
        <w:pStyle w:val="35"/>
        <w:tabs>
          <w:tab w:val="right" w:leader="dot" w:pos="8402"/>
        </w:tabs>
        <w:spacing w:line="36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"_Toc25903" </w:instrText>
      </w:r>
      <w:r>
        <w:rPr>
          <w:color w:val="auto"/>
          <w:highlight w:val="none"/>
        </w:rPr>
        <w:fldChar w:fldCharType="separate"/>
      </w:r>
      <w:r>
        <w:rPr>
          <w:rFonts w:hint="eastAsia" w:ascii="宋体" w:hAnsi="宋体" w:cs="宋体"/>
          <w:color w:val="auto"/>
          <w:highlight w:val="none"/>
        </w:rPr>
        <w:t>第六章  项目采购需求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_Toc25903 \h </w:instrText>
      </w:r>
      <w:r>
        <w:rPr>
          <w:rFonts w:hint="eastAsia" w:ascii="宋体" w:hAnsi="宋体" w:cs="宋体"/>
          <w:color w:val="auto"/>
          <w:highlight w:val="none"/>
        </w:rPr>
        <w:fldChar w:fldCharType="separate"/>
      </w:r>
      <w:r>
        <w:rPr>
          <w:rFonts w:hint="eastAsia" w:ascii="宋体" w:hAnsi="宋体" w:cs="宋体"/>
          <w:color w:val="auto"/>
          <w:highlight w:val="none"/>
        </w:rPr>
        <w:t>82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5"/>
        <w:tabs>
          <w:tab w:val="right" w:leader="dot" w:pos="8402"/>
        </w:tabs>
        <w:spacing w:line="360" w:lineRule="auto"/>
        <w:rPr>
          <w:color w:val="auto"/>
          <w:highlight w:val="none"/>
        </w:rPr>
      </w:pPr>
      <w:r>
        <w:rPr>
          <w:rFonts w:hint="eastAsia" w:ascii="宋体" w:hAnsi="宋体" w:cs="宋体"/>
          <w:color w:val="auto"/>
          <w:highlight w:val="none"/>
        </w:rPr>
        <w:fldChar w:fldCharType="end"/>
      </w:r>
    </w:p>
    <w:p>
      <w:pPr>
        <w:rPr>
          <w:rFonts w:ascii="Calibri" w:hAnsi="Calibri" w:eastAsia="宋体" w:cs="Times New Roman"/>
          <w:b/>
          <w:color w:val="auto"/>
          <w:sz w:val="44"/>
          <w:szCs w:val="44"/>
          <w:highlight w:val="none"/>
        </w:rPr>
      </w:pPr>
    </w:p>
    <w:p>
      <w:pPr>
        <w:rPr>
          <w:rFonts w:ascii="Calibri" w:hAnsi="Calibri" w:eastAsia="宋体" w:cs="Times New Roman"/>
          <w:color w:val="auto"/>
          <w:highlight w:val="none"/>
        </w:rPr>
      </w:pPr>
    </w:p>
    <w:p>
      <w:pPr>
        <w:widowControl/>
        <w:spacing w:beforeAutospacing="1" w:afterAutospacing="1"/>
        <w:jc w:val="left"/>
        <w:rPr>
          <w:rFonts w:ascii="Calibri" w:hAnsi="Calibri" w:eastAsia="宋体" w:cs="Times New Roman"/>
          <w:color w:val="auto"/>
          <w:highlight w:val="none"/>
        </w:rPr>
        <w:sectPr>
          <w:pgSz w:w="11906" w:h="16838"/>
          <w:pgMar w:top="1440" w:right="1752" w:bottom="1440" w:left="1752" w:header="851" w:footer="992" w:gutter="0"/>
          <w:cols w:space="720" w:num="1"/>
          <w:docGrid w:type="lines" w:linePitch="312" w:charSpace="0"/>
        </w:sectPr>
      </w:pPr>
    </w:p>
    <w:p>
      <w:pPr>
        <w:pStyle w:val="3"/>
        <w:jc w:val="center"/>
        <w:rPr>
          <w:color w:val="auto"/>
          <w:highlight w:val="none"/>
        </w:rPr>
      </w:pPr>
      <w:bookmarkStart w:id="0" w:name="_Toc21477"/>
      <w:r>
        <w:rPr>
          <w:rFonts w:hint="eastAsia"/>
          <w:color w:val="auto"/>
          <w:highlight w:val="none"/>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eastAsia="zh-CN"/>
        </w:rPr>
        <w:t>国家税务总局来宾市税务局2025年物业管理服务采购项目（重）</w:t>
      </w:r>
      <w:r>
        <w:rPr>
          <w:rFonts w:hint="eastAsia" w:ascii="宋体" w:hAnsi="宋体" w:eastAsia="宋体" w:cs="Times New Roman"/>
          <w:color w:val="auto"/>
          <w:szCs w:val="21"/>
          <w:highlight w:val="none"/>
        </w:rPr>
        <w:t>的潜在投标人应在</w:t>
      </w:r>
      <w:r>
        <w:rPr>
          <w:rFonts w:hint="eastAsia" w:ascii="宋体" w:hAnsi="宋体" w:eastAsia="宋体" w:cs="Times New Roman"/>
          <w:color w:val="auto"/>
          <w:szCs w:val="21"/>
          <w:highlight w:val="none"/>
          <w:u w:val="single"/>
        </w:rPr>
        <w:t>云之龙咨询集团有限公司（广西来宾市兴宾区古三路丽景苑商业城北门2-1号）</w:t>
      </w:r>
      <w:r>
        <w:rPr>
          <w:rFonts w:hint="eastAsia" w:ascii="宋体" w:hAnsi="宋体" w:eastAsia="宋体" w:cs="Times New Roman"/>
          <w:color w:val="auto"/>
          <w:szCs w:val="21"/>
          <w:highlight w:val="none"/>
        </w:rPr>
        <w:t>获取招标文件，并于</w:t>
      </w:r>
      <w:r>
        <w:rPr>
          <w:rFonts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rPr>
        <w:t>5</w:t>
      </w:r>
      <w:r>
        <w:rPr>
          <w:rFonts w:hint="eastAsia" w:ascii="宋体" w:hAnsi="宋体" w:eastAsia="宋体" w:cs="Times New Roman"/>
          <w:bCs/>
          <w:color w:val="auto"/>
          <w:szCs w:val="21"/>
          <w:highlight w:val="none"/>
          <w:u w:val="single"/>
        </w:rPr>
        <w:t>年</w:t>
      </w:r>
      <w:r>
        <w:rPr>
          <w:rFonts w:hint="eastAsia" w:ascii="宋体" w:hAnsi="宋体" w:eastAsia="宋体" w:cs="Times New Roman"/>
          <w:bCs/>
          <w:color w:val="auto"/>
          <w:szCs w:val="21"/>
          <w:highlight w:val="none"/>
          <w:u w:val="single"/>
          <w:lang w:val="en-US" w:eastAsia="zh-CN"/>
        </w:rPr>
        <w:t>7</w:t>
      </w:r>
      <w:r>
        <w:rPr>
          <w:rFonts w:hint="eastAsia" w:ascii="宋体" w:hAnsi="宋体" w:eastAsia="宋体" w:cs="Times New Roman"/>
          <w:bCs/>
          <w:color w:val="auto"/>
          <w:szCs w:val="21"/>
          <w:highlight w:val="none"/>
          <w:u w:val="single"/>
        </w:rPr>
        <w:t>月</w:t>
      </w:r>
      <w:r>
        <w:rPr>
          <w:rFonts w:hint="eastAsia" w:ascii="宋体" w:hAnsi="宋体" w:eastAsia="宋体" w:cs="Times New Roman"/>
          <w:bCs/>
          <w:color w:val="auto"/>
          <w:szCs w:val="21"/>
          <w:highlight w:val="none"/>
          <w:u w:val="single"/>
          <w:lang w:val="en-US" w:eastAsia="zh-CN"/>
        </w:rPr>
        <w:t>16</w:t>
      </w:r>
      <w:r>
        <w:rPr>
          <w:rFonts w:hint="eastAsia" w:ascii="宋体" w:hAnsi="宋体" w:eastAsia="宋体" w:cs="Times New Roman"/>
          <w:bCs/>
          <w:color w:val="auto"/>
          <w:szCs w:val="21"/>
          <w:highlight w:val="none"/>
          <w:u w:val="single"/>
        </w:rPr>
        <w:t>日</w:t>
      </w:r>
      <w:r>
        <w:rPr>
          <w:rFonts w:ascii="宋体" w:hAnsi="宋体" w:eastAsia="宋体" w:cs="Times New Roman"/>
          <w:bCs/>
          <w:color w:val="auto"/>
          <w:szCs w:val="21"/>
          <w:highlight w:val="none"/>
          <w:u w:val="single"/>
        </w:rPr>
        <w:t>9</w:t>
      </w:r>
      <w:r>
        <w:rPr>
          <w:rFonts w:hint="eastAsia" w:ascii="宋体" w:hAnsi="宋体" w:eastAsia="宋体" w:cs="Times New Roman"/>
          <w:bCs/>
          <w:color w:val="auto"/>
          <w:szCs w:val="21"/>
          <w:highlight w:val="none"/>
          <w:u w:val="single"/>
        </w:rPr>
        <w:t>点</w:t>
      </w:r>
      <w:r>
        <w:rPr>
          <w:rFonts w:ascii="宋体" w:hAnsi="宋体" w:eastAsia="宋体" w:cs="Times New Roman"/>
          <w:bCs/>
          <w:color w:val="auto"/>
          <w:szCs w:val="21"/>
          <w:highlight w:val="none"/>
          <w:u w:val="single"/>
        </w:rPr>
        <w:t>30</w:t>
      </w:r>
      <w:r>
        <w:rPr>
          <w:rFonts w:hint="eastAsia" w:ascii="宋体" w:hAnsi="宋体" w:eastAsia="宋体" w:cs="Times New Roman"/>
          <w:bCs/>
          <w:color w:val="auto"/>
          <w:szCs w:val="21"/>
          <w:highlight w:val="none"/>
          <w:u w:val="single"/>
        </w:rPr>
        <w:t>分（</w:t>
      </w:r>
      <w:r>
        <w:rPr>
          <w:rFonts w:hint="eastAsia" w:ascii="宋体" w:hAnsi="宋体" w:eastAsia="宋体" w:cs="Times New Roman"/>
          <w:bCs/>
          <w:color w:val="auto"/>
          <w:szCs w:val="21"/>
          <w:highlight w:val="none"/>
        </w:rPr>
        <w:t>北京时间）前递交投标文件</w:t>
      </w:r>
      <w:r>
        <w:rPr>
          <w:rFonts w:hint="eastAsia" w:ascii="宋体" w:hAnsi="宋体" w:eastAsia="宋体" w:cs="Times New Roman"/>
          <w:color w:val="auto"/>
          <w:szCs w:val="21"/>
          <w:highlight w:val="none"/>
        </w:rPr>
        <w:t>。</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一、项目基本情况</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GX2025-DLGK-C0037-B00</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国家税务总局来宾市税务局2025年物业管理服务采购项目（重）</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预算金额：人民币（大写）壹佰零捌万元整/年，服务期2年（¥1080000.00元/年，服务期2年）；预算总金额为人民币（大写）贰佰壹拾陆万元整（¥2160000.00）。</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最高限价：人民币（大写）壹佰零捌万元整/年，服务期2年（¥1080000.00元/年，服务期2年）；预算总金额为人民币（大写）贰佰壹拾陆万元整（¥2160000.00）。</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tbl>
      <w:tblPr>
        <w:tblStyle w:val="52"/>
        <w:tblW w:w="9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345"/>
        <w:gridCol w:w="1045"/>
        <w:gridCol w:w="59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序号</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标的名称</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数量及</w:t>
            </w:r>
          </w:p>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单位</w:t>
            </w:r>
          </w:p>
        </w:tc>
        <w:tc>
          <w:tcPr>
            <w:tcW w:w="599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714"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345"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国家税务总局来宾市税务局2025年物业管理服务采购项目（重）</w:t>
            </w:r>
          </w:p>
        </w:tc>
        <w:tc>
          <w:tcPr>
            <w:tcW w:w="1045" w:type="dxa"/>
            <w:tcBorders>
              <w:top w:val="single" w:color="auto" w:sz="4" w:space="0"/>
              <w:left w:val="single" w:color="auto" w:sz="4" w:space="0"/>
              <w:right w:val="single" w:color="auto" w:sz="4" w:space="0"/>
            </w:tcBorders>
            <w:vAlign w:val="center"/>
          </w:tcPr>
          <w:p>
            <w:pPr>
              <w:widowControl/>
              <w:snapToGrid w:val="0"/>
              <w:spacing w:line="480" w:lineRule="exact"/>
              <w:jc w:val="center"/>
              <w:rPr>
                <w:rFonts w:hint="eastAsia" w:ascii="宋体" w:hAnsi="宋体" w:eastAsia="宋体" w:cs="Times New Roman"/>
                <w:color w:val="auto"/>
                <w:kern w:val="0"/>
                <w:szCs w:val="21"/>
                <w:highlight w:val="none"/>
              </w:rPr>
            </w:pPr>
            <w:r>
              <w:rPr>
                <w:rFonts w:hint="eastAsia" w:ascii="宋体" w:hAnsi="宋体" w:cs="宋体"/>
                <w:color w:val="auto"/>
                <w:szCs w:val="21"/>
                <w:highlight w:val="none"/>
              </w:rPr>
              <w:t>1项</w:t>
            </w:r>
          </w:p>
        </w:tc>
        <w:tc>
          <w:tcPr>
            <w:tcW w:w="599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ind w:firstLine="48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本项目为国家税务总局来宾市税务局（</w:t>
            </w:r>
            <w:r>
              <w:rPr>
                <w:rFonts w:hint="eastAsia" w:ascii="宋体" w:hAnsi="宋体" w:cs="宋体"/>
                <w:snapToGrid w:val="0"/>
                <w:color w:val="auto"/>
                <w:spacing w:val="7"/>
                <w:kern w:val="0"/>
                <w:szCs w:val="21"/>
                <w:highlight w:val="none"/>
              </w:rPr>
              <w:t>国家税务总局来宾市</w:t>
            </w:r>
            <w:r>
              <w:rPr>
                <w:rFonts w:hint="eastAsia" w:ascii="宋体" w:hAnsi="宋体" w:cs="宋体"/>
                <w:snapToGrid w:val="0"/>
                <w:color w:val="auto"/>
                <w:spacing w:val="5"/>
                <w:kern w:val="0"/>
                <w:szCs w:val="21"/>
                <w:highlight w:val="none"/>
              </w:rPr>
              <w:t>税务局主办公区和</w:t>
            </w:r>
            <w:r>
              <w:rPr>
                <w:rFonts w:hint="eastAsia" w:ascii="宋体" w:hAnsi="宋体" w:cs="宋体"/>
                <w:snapToGrid w:val="0"/>
                <w:color w:val="auto"/>
                <w:spacing w:val="7"/>
                <w:kern w:val="0"/>
                <w:szCs w:val="21"/>
                <w:highlight w:val="none"/>
              </w:rPr>
              <w:t>国家税务总局</w:t>
            </w:r>
            <w:r>
              <w:rPr>
                <w:rFonts w:hint="eastAsia" w:ascii="宋体" w:hAnsi="宋体" w:cs="宋体"/>
                <w:snapToGrid w:val="0"/>
                <w:color w:val="auto"/>
                <w:spacing w:val="11"/>
                <w:kern w:val="0"/>
                <w:szCs w:val="21"/>
                <w:highlight w:val="none"/>
              </w:rPr>
              <w:t>来宾市税务局大桥路办公区</w:t>
            </w:r>
            <w:r>
              <w:rPr>
                <w:rFonts w:hint="eastAsia" w:ascii="宋体" w:hAnsi="宋体" w:eastAsia="宋体" w:cs="Times New Roman"/>
                <w:color w:val="auto"/>
                <w:kern w:val="0"/>
                <w:szCs w:val="21"/>
                <w:highlight w:val="none"/>
              </w:rPr>
              <w:t>）提供物业管理综合服务、公共设施设备日常管理养护、公共秩序维护服务、环境卫生与保洁服务、庭院绿化养护服务、与本物业管理服务相关的其他要求，如需进一步了解详细内容，详见本项目招标文件。</w:t>
            </w:r>
          </w:p>
        </w:tc>
      </w:tr>
    </w:tbl>
    <w:p>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合同履行期限：2年。</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本项目不接受联合体投标。</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二、申请人的资格要求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1.符合国家有关法律规定，在中国境内（指关境内）注册。</w:t>
      </w:r>
    </w:p>
    <w:p>
      <w:pPr>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.满足《中华人民共和国政府采购法》第二十二条规定。</w:t>
      </w:r>
    </w:p>
    <w:p>
      <w:pPr>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.落实政府采购政策需满足的资格要求：</w:t>
      </w:r>
      <w:r>
        <w:rPr>
          <w:rFonts w:hint="eastAsia" w:ascii="宋体" w:hAnsi="宋体" w:eastAsia="宋体" w:cs="Times New Roman"/>
          <w:b/>
          <w:bCs/>
          <w:color w:val="auto"/>
          <w:szCs w:val="21"/>
          <w:highlight w:val="none"/>
        </w:rPr>
        <w:t>本项目属于专门面向</w:t>
      </w:r>
      <w:r>
        <w:rPr>
          <w:rFonts w:hint="eastAsia" w:ascii="宋体" w:hAnsi="宋体" w:eastAsia="宋体" w:cs="Times New Roman"/>
          <w:b/>
          <w:bCs/>
          <w:color w:val="auto"/>
          <w:sz w:val="24"/>
          <w:szCs w:val="24"/>
          <w:highlight w:val="none"/>
          <w:u w:val="single"/>
        </w:rPr>
        <w:t>小微企业</w:t>
      </w:r>
      <w:r>
        <w:rPr>
          <w:rFonts w:hint="eastAsia" w:ascii="宋体" w:hAnsi="宋体" w:eastAsia="宋体" w:cs="Times New Roman"/>
          <w:b/>
          <w:bCs/>
          <w:color w:val="auto"/>
          <w:szCs w:val="21"/>
          <w:highlight w:val="none"/>
        </w:rPr>
        <w:t>采购的项目 ,供应商应为小型或微型企业或监狱企业或残疾人福利性单位。</w:t>
      </w:r>
    </w:p>
    <w:p>
      <w:pPr>
        <w:spacing w:line="360"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.本项目的特定资格要求：</w:t>
      </w:r>
      <w:r>
        <w:rPr>
          <w:rFonts w:hint="eastAsia" w:ascii="宋体" w:hAnsi="宋体" w:eastAsia="宋体" w:cs="Times New Roman"/>
          <w:color w:val="auto"/>
          <w:szCs w:val="21"/>
          <w:highlight w:val="none"/>
          <w:u w:val="single"/>
        </w:rPr>
        <w:t>无。</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Times New Roman"/>
          <w:i/>
          <w:iCs/>
          <w:color w:val="auto"/>
          <w:szCs w:val="21"/>
          <w:highlight w:val="none"/>
          <w:u w:val="single"/>
        </w:rPr>
      </w:pPr>
      <w:r>
        <w:rPr>
          <w:rFonts w:hint="eastAsia" w:ascii="宋体" w:hAnsi="宋体" w:eastAsia="宋体" w:cs="宋体"/>
          <w:color w:val="auto"/>
          <w:szCs w:val="21"/>
          <w:highlight w:val="none"/>
        </w:rPr>
        <w:t>7.为本项目提供整体设计、规范编制或者项目管理、监理、检测等服务的供应商，不得再参加本次政府采购活动。</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三、获取招标文件</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w:t>
      </w:r>
      <w:r>
        <w:rPr>
          <w:rFonts w:ascii="宋体" w:hAnsi="宋体" w:eastAsia="宋体" w:cs="宋体"/>
          <w:color w:val="auto"/>
          <w:szCs w:val="21"/>
          <w:highlight w:val="none"/>
        </w:rPr>
        <w:t>02</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ascii="宋体" w:hAnsi="宋体" w:eastAsia="宋体" w:cs="宋体"/>
          <w:color w:val="auto"/>
          <w:szCs w:val="21"/>
          <w:highlight w:val="none"/>
          <w:u w:val="single"/>
        </w:rPr>
        <w:t>202</w:t>
      </w:r>
      <w:r>
        <w:rPr>
          <w:rFonts w:hint="eastAsia" w:ascii="宋体" w:hAnsi="宋体" w:eastAsia="宋体" w:cs="宋体"/>
          <w:color w:val="auto"/>
          <w:szCs w:val="21"/>
          <w:highlight w:val="none"/>
          <w:u w:val="single"/>
        </w:rPr>
        <w:t>5年</w:t>
      </w:r>
      <w:r>
        <w:rPr>
          <w:rFonts w:hint="eastAsia" w:ascii="宋体" w:hAnsi="宋体" w:eastAsia="宋体" w:cs="宋体"/>
          <w:color w:val="auto"/>
          <w:szCs w:val="21"/>
          <w:highlight w:val="none"/>
          <w:u w:val="single"/>
          <w:lang w:val="en-US" w:eastAsia="zh-CN"/>
        </w:rPr>
        <w:t>7月4日</w:t>
      </w:r>
      <w:r>
        <w:rPr>
          <w:rFonts w:hint="eastAsia" w:ascii="宋体" w:hAnsi="宋体" w:eastAsia="宋体" w:cs="宋体"/>
          <w:color w:val="auto"/>
          <w:szCs w:val="21"/>
          <w:highlight w:val="none"/>
        </w:rPr>
        <w:t>，每天上午8时00分至12时00分，下午3时00分至6时00分（北京时间，法定节假日除外）</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地点：云之龙咨询集团有限公司（广西来宾市兴宾区古三路丽景苑商业城北门2-1号）</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方式：招标文件在云之龙咨询集团有限公司（广西来宾市兴宾区古三路丽景苑商业城北门2-1号）进行售卖，售后不退。</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售价：招标文件每本售价300元，售后不退。</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采购文件价款交纳银行账户：</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开户名称：云之龙咨询集团有限公司来宾分公司</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开户银行：中信银行南宁东葛支行</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银行账号：8113001014500158111</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四、提交投标文件截止时间、开标时间和地点</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1.投标文件递交截止时间及开标时间：2025年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16</w:t>
      </w:r>
      <w:r>
        <w:rPr>
          <w:rFonts w:hint="eastAsia" w:ascii="宋体" w:hAnsi="宋体" w:eastAsia="宋体" w:cs="Times New Roman"/>
          <w:bCs/>
          <w:color w:val="auto"/>
          <w:szCs w:val="21"/>
          <w:highlight w:val="none"/>
        </w:rPr>
        <w:t>日9时30分00秒（北京时间）。（注：投标文件递交起止时间：2025年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16</w:t>
      </w:r>
      <w:r>
        <w:rPr>
          <w:rFonts w:hint="eastAsia" w:ascii="宋体" w:hAnsi="宋体" w:eastAsia="宋体" w:cs="Times New Roman"/>
          <w:bCs/>
          <w:color w:val="auto"/>
          <w:szCs w:val="21"/>
          <w:highlight w:val="none"/>
        </w:rPr>
        <w:t>日8时30分00秒至9时30分00秒）</w:t>
      </w:r>
    </w:p>
    <w:p>
      <w:pPr>
        <w:spacing w:line="360"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.地点：云之龙咨询集团有限公司（</w:t>
      </w:r>
      <w:r>
        <w:rPr>
          <w:rFonts w:hint="eastAsia" w:ascii="宋体" w:hAnsi="宋体" w:eastAsia="宋体" w:cs="宋体"/>
          <w:color w:val="auto"/>
          <w:szCs w:val="21"/>
          <w:highlight w:val="none"/>
        </w:rPr>
        <w:t>广西来宾市兴宾区古三路丽景苑商业城北门2-1号2楼开标大厅</w:t>
      </w:r>
      <w:r>
        <w:rPr>
          <w:rFonts w:hint="eastAsia" w:ascii="宋体" w:hAnsi="宋体" w:eastAsia="宋体" w:cs="Times New Roman"/>
          <w:bCs/>
          <w:color w:val="auto"/>
          <w:szCs w:val="21"/>
          <w:highlight w:val="none"/>
        </w:rPr>
        <w:t>）；投标人应在投标文件递交截止时间前，将投标文件密封送达投标地点，未在规定时间内送达投标地点或未按照招标文件要求密封的投标文件，将予以拒收。</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五、公告期限</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六、其他补充事宜</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1.公告媒体：本招标公告在中国政府采购网（http://www.ccgp.gov.cn）、国家税务总局广西壮族自治区税务局来宾频道（http://guangxi.chinatax.gov.cn/laibin/)、云之龙集团网（www.yzljt.cn）上发布。</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2.本项目需要落实的政府采购支持节能环保、</w:t>
      </w:r>
      <w:r>
        <w:rPr>
          <w:rFonts w:hint="eastAsia" w:ascii="宋体" w:hAnsi="宋体" w:eastAsia="宋体" w:cs="Times New Roman"/>
          <w:color w:val="auto"/>
          <w:szCs w:val="21"/>
          <w:highlight w:val="none"/>
          <w:lang w:val="en-US" w:eastAsia="zh-CN"/>
        </w:rPr>
        <w:t>小微</w:t>
      </w:r>
      <w:r>
        <w:rPr>
          <w:rFonts w:hint="eastAsia" w:ascii="宋体" w:hAnsi="宋体" w:eastAsia="宋体" w:cs="Times New Roman"/>
          <w:color w:val="auto"/>
          <w:szCs w:val="21"/>
          <w:highlight w:val="none"/>
        </w:rPr>
        <w:t>企业、监狱企业、残疾人福利性单位等政策：（1）政府采购促进中小企业发展。（2）政府采购促进残疾人就业政策。（3）政府采购支持监狱企业发展。</w:t>
      </w:r>
    </w:p>
    <w:p>
      <w:pPr>
        <w:spacing w:before="156" w:beforeLines="50" w:after="156" w:afterLines="50" w:line="360" w:lineRule="auto"/>
        <w:rPr>
          <w:rFonts w:hint="eastAsia" w:ascii="黑体" w:hAnsi="黑体" w:eastAsia="黑体" w:cs="Times New Roman"/>
          <w:color w:val="auto"/>
          <w:szCs w:val="21"/>
          <w:highlight w:val="none"/>
        </w:rPr>
      </w:pPr>
      <w:r>
        <w:rPr>
          <w:rFonts w:hint="eastAsia" w:ascii="黑体" w:hAnsi="黑体" w:eastAsia="黑体" w:cs="Times New Roman"/>
          <w:color w:val="auto"/>
          <w:szCs w:val="21"/>
          <w:highlight w:val="none"/>
        </w:rPr>
        <w:t>七、对本次招标提出询问，请按以下方式联系。</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称：国家税务总局来宾市税务局</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地址：广西来宾市兴宾区人民路西309号</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联系方式：黄讯</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0772—4263248</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称：云之龙咨询集团有限公司</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址：广西来宾市兴宾区古三路丽景苑商业城北门2-1号</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张惠洁、冯涌</w:t>
      </w:r>
      <w:r>
        <w:rPr>
          <w:rFonts w:hint="eastAsia" w:ascii="宋体" w:hAnsi="宋体" w:eastAsia="宋体" w:cs="宋体"/>
          <w:color w:val="auto"/>
          <w:szCs w:val="21"/>
          <w:highlight w:val="none"/>
        </w:rPr>
        <w:t xml:space="preserve"> 0772-4299199、4298488</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张惠洁、冯涌</w:t>
      </w:r>
    </w:p>
    <w:p>
      <w:pPr>
        <w:widowControl/>
        <w:spacing w:line="360" w:lineRule="auto"/>
        <w:ind w:firstLine="420" w:firstLineChars="200"/>
        <w:jc w:val="left"/>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rPr>
        <w:t>电　话：0772-4299199、4298488</w:t>
      </w:r>
    </w:p>
    <w:p>
      <w:pPr>
        <w:spacing w:line="360" w:lineRule="auto"/>
        <w:rPr>
          <w:rFonts w:ascii="Calibri" w:hAnsi="Calibri" w:eastAsia="宋体" w:cs="Times New Roman"/>
          <w:color w:val="auto"/>
          <w:highlight w:val="none"/>
        </w:rPr>
      </w:pPr>
    </w:p>
    <w:p>
      <w:pPr>
        <w:widowControl/>
        <w:spacing w:line="360" w:lineRule="auto"/>
        <w:jc w:val="left"/>
        <w:rPr>
          <w:rFonts w:ascii="Calibri" w:hAnsi="Calibri" w:eastAsia="宋体" w:cs="Times New Roman"/>
          <w:color w:val="auto"/>
          <w:highlight w:val="none"/>
        </w:rPr>
        <w:sectPr>
          <w:pgSz w:w="11906" w:h="16838"/>
          <w:pgMar w:top="1440" w:right="1752" w:bottom="1440" w:left="1752" w:header="851" w:footer="992" w:gutter="0"/>
          <w:cols w:space="720" w:num="1"/>
          <w:docGrid w:type="lines" w:linePitch="312" w:charSpace="0"/>
        </w:sectPr>
      </w:pPr>
    </w:p>
    <w:p>
      <w:pPr>
        <w:pStyle w:val="3"/>
        <w:jc w:val="center"/>
        <w:rPr>
          <w:color w:val="auto"/>
          <w:highlight w:val="none"/>
        </w:rPr>
      </w:pPr>
      <w:bookmarkStart w:id="1" w:name="_Toc2825"/>
      <w:r>
        <w:rPr>
          <w:rFonts w:hint="eastAsia"/>
          <w:color w:val="auto"/>
          <w:highlight w:val="none"/>
        </w:rPr>
        <w:t>第二章　投标人须知</w:t>
      </w:r>
      <w:bookmarkEnd w:id="1"/>
    </w:p>
    <w:p>
      <w:pPr>
        <w:jc w:val="center"/>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投标人须知前附表</w:t>
      </w:r>
    </w:p>
    <w:tbl>
      <w:tblPr>
        <w:tblStyle w:val="5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328"/>
        <w:gridCol w:w="851"/>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序</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号</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类</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别</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内</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项目名称、编号、预算及最高限价</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b/>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u w:val="none"/>
                <w:lang w:eastAsia="zh-CN"/>
              </w:rPr>
              <w:t>国家税务总局来宾市税务局2025年物业管理服务采购项目（重）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GX2025-DLGK-C0037-B00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项目预算：人民币（大写）壹佰零捌万元整/年，服务期2年（¥1080000.00元/年，服务期2年）；预算总金额为人民币（大写）贰佰壹拾陆万元整（¥2160000.00）。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最高限价：人民币（大写）壹佰零捌万元整/年，服务期2年（¥1080000.00元/年，服务期2年）；总金额为人民币（大写）贰佰壹拾陆万元整（¥2160000.00））。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olor w:val="auto"/>
                <w:szCs w:val="21"/>
                <w:highlight w:val="none"/>
              </w:rPr>
              <w:t>项目属性</w:t>
            </w:r>
            <w:r>
              <w:rPr>
                <w:rFonts w:hint="eastAsia" w:ascii="宋体" w:hAnsi="宋体" w:eastAsia="宋体"/>
                <w:color w:val="auto"/>
                <w:szCs w:val="21"/>
                <w:highlight w:val="none"/>
              </w:rPr>
              <w:t>、</w:t>
            </w:r>
            <w:r>
              <w:rPr>
                <w:rFonts w:ascii="宋体" w:hAnsi="宋体" w:eastAsia="宋体"/>
                <w:color w:val="auto"/>
                <w:szCs w:val="21"/>
                <w:highlight w:val="none"/>
              </w:rPr>
              <w:t>类别</w:t>
            </w:r>
            <w:r>
              <w:rPr>
                <w:rFonts w:hint="eastAsia" w:ascii="宋体" w:hAnsi="宋体" w:eastAsia="宋体"/>
                <w:color w:val="auto"/>
                <w:szCs w:val="21"/>
                <w:highlight w:val="none"/>
              </w:rPr>
              <w:t xml:space="preserve">等 </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olor w:val="auto"/>
                <w:highlight w:val="none"/>
              </w:rPr>
            </w:pPr>
            <w:r>
              <w:rPr>
                <w:rFonts w:ascii="宋体" w:hAnsi="宋体" w:eastAsia="宋体"/>
                <w:color w:val="auto"/>
                <w:highlight w:val="none"/>
              </w:rPr>
              <w:t>项目属性：</w:t>
            </w:r>
            <w:r>
              <w:rPr>
                <w:rFonts w:ascii="Wingdings" w:hAnsi="Wingdings" w:eastAsia="宋体" w:cs="Wingdings"/>
                <w:color w:val="auto"/>
                <w:highlight w:val="none"/>
              </w:rPr>
              <w:sym w:font="Wingdings" w:char="00A8"/>
            </w:r>
            <w:r>
              <w:rPr>
                <w:rFonts w:ascii="宋体" w:hAnsi="宋体" w:eastAsia="宋体"/>
                <w:color w:val="auto"/>
                <w:highlight w:val="none"/>
              </w:rPr>
              <w:t xml:space="preserve">货物           </w:t>
            </w:r>
            <w:r>
              <w:rPr>
                <w:rFonts w:ascii="Wingdings" w:hAnsi="Wingdings" w:eastAsia="宋体" w:cs="Wingdings"/>
                <w:color w:val="auto"/>
                <w:highlight w:val="none"/>
              </w:rPr>
              <w:sym w:font="Wingdings" w:char="00FE"/>
            </w:r>
            <w:r>
              <w:rPr>
                <w:rFonts w:ascii="宋体" w:hAnsi="宋体" w:eastAsia="宋体"/>
                <w:color w:val="auto"/>
                <w:highlight w:val="none"/>
              </w:rPr>
              <w:t>服务</w:t>
            </w:r>
          </w:p>
          <w:p>
            <w:pPr>
              <w:adjustRightInd w:val="0"/>
              <w:snapToGrid w:val="0"/>
              <w:spacing w:line="360" w:lineRule="auto"/>
              <w:jc w:val="left"/>
              <w:rPr>
                <w:rFonts w:hint="eastAsia" w:ascii="宋体" w:hAnsi="宋体" w:eastAsia="宋体"/>
                <w:color w:val="auto"/>
                <w:highlight w:val="none"/>
              </w:rPr>
            </w:pPr>
            <w:r>
              <w:rPr>
                <w:rFonts w:ascii="宋体" w:hAnsi="宋体" w:eastAsia="宋体"/>
                <w:color w:val="auto"/>
                <w:highlight w:val="none"/>
              </w:rPr>
              <w:t>项目类别：</w:t>
            </w:r>
            <w:r>
              <w:rPr>
                <w:rFonts w:ascii="Wingdings" w:hAnsi="Wingdings" w:eastAsia="宋体" w:cs="Wingdings"/>
                <w:color w:val="auto"/>
                <w:highlight w:val="none"/>
              </w:rPr>
              <w:sym w:font="Wingdings" w:char="00A8"/>
            </w:r>
            <w:r>
              <w:rPr>
                <w:rFonts w:ascii="宋体" w:hAnsi="宋体" w:eastAsia="宋体"/>
                <w:color w:val="auto"/>
                <w:highlight w:val="none"/>
              </w:rPr>
              <w:t xml:space="preserve">信息化项目     </w:t>
            </w:r>
            <w:r>
              <w:rPr>
                <w:rFonts w:ascii="Wingdings" w:hAnsi="Wingdings" w:eastAsia="宋体" w:cs="Wingdings"/>
                <w:color w:val="auto"/>
                <w:highlight w:val="none"/>
              </w:rPr>
              <w:sym w:font="Wingdings" w:char="00FE"/>
            </w:r>
            <w:r>
              <w:rPr>
                <w:rFonts w:ascii="宋体" w:hAnsi="宋体" w:eastAsia="宋体"/>
                <w:color w:val="auto"/>
                <w:highlight w:val="none"/>
              </w:rPr>
              <w:t>非信息化项目</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olor w:val="auto"/>
                <w:szCs w:val="21"/>
                <w:highlight w:val="none"/>
              </w:rPr>
              <w:t>线上采购项目</w:t>
            </w:r>
            <w:r>
              <w:rPr>
                <w:rFonts w:hint="eastAsia" w:ascii="宋体" w:hAnsi="宋体" w:eastAsia="宋体"/>
                <w:color w:val="auto"/>
                <w:szCs w:val="21"/>
                <w:highlight w:val="none"/>
              </w:rPr>
              <w:t>：</w:t>
            </w:r>
            <w:r>
              <w:rPr>
                <w:rFonts w:ascii="Wingdings" w:hAnsi="Wingdings" w:eastAsia="宋体" w:cs="Wingdings"/>
                <w:color w:val="auto"/>
                <w:szCs w:val="21"/>
                <w:highlight w:val="none"/>
              </w:rPr>
              <w:sym w:font="Wingdings" w:char="00A8"/>
            </w:r>
            <w:r>
              <w:rPr>
                <w:rFonts w:hint="eastAsia" w:ascii="宋体" w:hAnsi="宋体" w:eastAsia="宋体"/>
                <w:color w:val="auto"/>
                <w:highlight w:val="none"/>
              </w:rPr>
              <w:t>是</w:t>
            </w:r>
            <w:r>
              <w:rPr>
                <w:rFonts w:ascii="宋体" w:hAnsi="宋体" w:eastAsia="宋体"/>
                <w:color w:val="auto"/>
                <w:highlight w:val="none"/>
              </w:rPr>
              <w:t xml:space="preserve">    </w:t>
            </w: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ascii="Wingdings" w:hAnsi="Wingdings" w:eastAsia="宋体" w:cs="Wingdings"/>
                <w:color w:val="auto"/>
                <w:highlight w:val="none"/>
              </w:rPr>
              <w:sym w:font="Wingdings" w:char="00FE"/>
            </w:r>
            <w:r>
              <w:rPr>
                <w:rFonts w:hint="eastAsia" w:ascii="宋体" w:hAnsi="宋体" w:eastAsia="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b w:val="0"/>
                <w:bCs w:val="0"/>
                <w:color w:val="auto"/>
                <w:szCs w:val="21"/>
                <w:highlight w:val="none"/>
              </w:rPr>
            </w:pPr>
            <w:r>
              <w:rPr>
                <w:rFonts w:ascii="宋体" w:hAnsi="宋体" w:eastAsia="宋体" w:cs="Times New Roman"/>
                <w:b w:val="0"/>
                <w:bCs w:val="0"/>
                <w:color w:val="auto"/>
                <w:szCs w:val="21"/>
                <w:highlight w:val="none"/>
              </w:rPr>
              <w:t>4</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采购人</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名称：</w:t>
            </w:r>
            <w:r>
              <w:rPr>
                <w:rFonts w:hint="eastAsia" w:ascii="宋体" w:hAnsi="宋体" w:eastAsia="宋体" w:cs="Times New Roman"/>
                <w:b w:val="0"/>
                <w:bCs w:val="0"/>
                <w:color w:val="auto"/>
                <w:szCs w:val="21"/>
                <w:highlight w:val="none"/>
                <w:u w:val="single"/>
              </w:rPr>
              <w:t>国家税务总局来宾市税务局</w:t>
            </w:r>
          </w:p>
          <w:p>
            <w:pPr>
              <w:adjustRightInd w:val="0"/>
              <w:snapToGrid w:val="0"/>
              <w:spacing w:line="360" w:lineRule="auto"/>
              <w:jc w:val="lef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地址：</w:t>
            </w:r>
            <w:r>
              <w:rPr>
                <w:rFonts w:hint="eastAsia" w:ascii="宋体" w:hAnsi="宋体" w:eastAsia="宋体" w:cs="Times New Roman"/>
                <w:b w:val="0"/>
                <w:bCs w:val="0"/>
                <w:color w:val="auto"/>
                <w:szCs w:val="21"/>
                <w:highlight w:val="none"/>
                <w:u w:val="single"/>
              </w:rPr>
              <w:t>广西来宾市兴宾区人民路西309号</w:t>
            </w:r>
          </w:p>
          <w:p>
            <w:pPr>
              <w:adjustRightInd w:val="0"/>
              <w:snapToGrid w:val="0"/>
              <w:spacing w:line="360" w:lineRule="auto"/>
              <w:jc w:val="left"/>
              <w:rPr>
                <w:rFonts w:hint="eastAsia" w:ascii="宋体" w:hAnsi="宋体" w:eastAsia="宋体" w:cs="Times New Roman"/>
                <w:b w:val="0"/>
                <w:bCs w:val="0"/>
                <w:color w:val="auto"/>
                <w:szCs w:val="21"/>
                <w:highlight w:val="none"/>
                <w:u w:val="single"/>
              </w:rPr>
            </w:pPr>
            <w:r>
              <w:rPr>
                <w:rFonts w:hint="eastAsia" w:ascii="宋体" w:hAnsi="宋体" w:eastAsia="宋体" w:cs="Times New Roman"/>
                <w:b w:val="0"/>
                <w:bCs w:val="0"/>
                <w:color w:val="auto"/>
                <w:szCs w:val="21"/>
                <w:highlight w:val="none"/>
              </w:rPr>
              <w:t>联系电话：</w:t>
            </w:r>
            <w:r>
              <w:rPr>
                <w:rFonts w:hint="eastAsia" w:ascii="宋体" w:hAnsi="宋体" w:eastAsia="宋体" w:cs="Times New Roman"/>
                <w:b w:val="0"/>
                <w:bCs w:val="0"/>
                <w:color w:val="auto"/>
                <w:szCs w:val="21"/>
                <w:highlight w:val="none"/>
                <w:u w:val="single"/>
              </w:rPr>
              <w:t xml:space="preserve"> 0772—4263248  </w:t>
            </w:r>
          </w:p>
          <w:p>
            <w:pPr>
              <w:adjustRightInd w:val="0"/>
              <w:snapToGrid w:val="0"/>
              <w:spacing w:line="360" w:lineRule="auto"/>
              <w:jc w:val="left"/>
              <w:rPr>
                <w:rFonts w:hint="eastAsia" w:ascii="宋体" w:hAnsi="宋体" w:eastAsia="宋体" w:cs="Times New Roman"/>
                <w:b/>
                <w:bCs/>
                <w:color w:val="auto"/>
                <w:szCs w:val="21"/>
                <w:highlight w:val="none"/>
              </w:rPr>
            </w:pPr>
            <w:r>
              <w:rPr>
                <w:rFonts w:hint="eastAsia" w:ascii="宋体" w:hAnsi="宋体" w:eastAsia="宋体" w:cs="Times New Roman"/>
                <w:b w:val="0"/>
                <w:bCs w:val="0"/>
                <w:color w:val="auto"/>
                <w:szCs w:val="21"/>
                <w:highlight w:val="none"/>
              </w:rPr>
              <w:t>联系方式：</w:t>
            </w:r>
            <w:r>
              <w:rPr>
                <w:rFonts w:hint="eastAsia" w:ascii="宋体" w:hAnsi="宋体" w:eastAsia="宋体" w:cs="Times New Roman"/>
                <w:b w:val="0"/>
                <w:bCs w:val="0"/>
                <w:color w:val="auto"/>
                <w:szCs w:val="21"/>
                <w:highlight w:val="none"/>
                <w:u w:val="single"/>
              </w:rPr>
              <w:t xml:space="preserve">  黄讯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5</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采购代理机构</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云之龙咨询集团有限公司</w:t>
            </w:r>
          </w:p>
          <w:p>
            <w:pPr>
              <w:adjustRightInd w:val="0"/>
              <w:snapToGrid w:val="0"/>
              <w:spacing w:line="360" w:lineRule="auto"/>
              <w:jc w:val="left"/>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广西来宾市兴宾区古三路丽景苑商业城北门2-1号</w:t>
            </w:r>
          </w:p>
          <w:p>
            <w:pPr>
              <w:adjustRightInd w:val="0"/>
              <w:snapToGrid w:val="0"/>
              <w:spacing w:line="360" w:lineRule="auto"/>
              <w:jc w:val="left"/>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联系</w:t>
            </w:r>
            <w:r>
              <w:rPr>
                <w:rFonts w:hint="eastAsia" w:ascii="宋体" w:hAnsi="宋体" w:eastAsia="宋体" w:cs="Times New Roman"/>
                <w:bCs/>
                <w:color w:val="auto"/>
                <w:szCs w:val="21"/>
                <w:highlight w:val="none"/>
              </w:rPr>
              <w:t>电话：</w:t>
            </w:r>
            <w:r>
              <w:rPr>
                <w:rFonts w:hint="eastAsia" w:ascii="宋体" w:hAnsi="宋体" w:eastAsia="宋体" w:cs="Times New Roman"/>
                <w:bCs/>
                <w:color w:val="auto"/>
                <w:szCs w:val="21"/>
                <w:highlight w:val="none"/>
                <w:u w:val="single"/>
              </w:rPr>
              <w:t>0772-4299199、4298488</w:t>
            </w:r>
            <w:r>
              <w:rPr>
                <w:rFonts w:ascii="宋体" w:hAnsi="宋体" w:eastAsia="宋体" w:cs="Times New Roman"/>
                <w:color w:val="auto"/>
                <w:szCs w:val="21"/>
                <w:highlight w:val="none"/>
                <w:u w:val="single"/>
              </w:rPr>
              <w:t xml:space="preserve"> </w:t>
            </w:r>
          </w:p>
          <w:p>
            <w:pPr>
              <w:adjustRightInd w:val="0"/>
              <w:snapToGrid w:val="0"/>
              <w:spacing w:line="360" w:lineRule="auto"/>
              <w:jc w:val="left"/>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联系方式：</w:t>
            </w:r>
            <w:r>
              <w:rPr>
                <w:rFonts w:hint="eastAsia" w:ascii="宋体" w:hAnsi="宋体" w:eastAsia="宋体" w:cs="Times New Roman"/>
                <w:color w:val="auto"/>
                <w:szCs w:val="21"/>
                <w:highlight w:val="none"/>
                <w:u w:val="single"/>
                <w:lang w:eastAsia="zh-CN"/>
              </w:rPr>
              <w:t>张惠洁、冯涌</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邮箱：</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无</w:t>
            </w:r>
            <w:r>
              <w:rPr>
                <w:rFonts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6</w:t>
            </w:r>
          </w:p>
        </w:tc>
        <w:tc>
          <w:tcPr>
            <w:tcW w:w="1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投标人资格要求</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1.符合国家有关法律规定，在中国境内（指关境内）注册。</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2.满足《中华人民共和国政府采购法》第二十二条规定。</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3.落实政府采购政策需满足的资格要求：</w:t>
            </w:r>
            <w:r>
              <w:rPr>
                <w:rFonts w:hint="eastAsia" w:ascii="宋体" w:hAnsi="宋体" w:eastAsia="宋体" w:cs="Times New Roman"/>
                <w:b/>
                <w:bCs/>
                <w:color w:val="auto"/>
                <w:szCs w:val="21"/>
                <w:highlight w:val="none"/>
              </w:rPr>
              <w:t>本项目属于专门面向</w:t>
            </w:r>
            <w:r>
              <w:rPr>
                <w:rFonts w:hint="eastAsia" w:ascii="宋体" w:hAnsi="宋体" w:eastAsia="宋体" w:cs="Times New Roman"/>
                <w:b/>
                <w:bCs/>
                <w:color w:val="auto"/>
                <w:sz w:val="24"/>
                <w:szCs w:val="24"/>
                <w:highlight w:val="none"/>
                <w:u w:val="single"/>
              </w:rPr>
              <w:t>小微企业</w:t>
            </w:r>
            <w:r>
              <w:rPr>
                <w:rFonts w:hint="eastAsia" w:ascii="宋体" w:hAnsi="宋体" w:eastAsia="宋体" w:cs="Times New Roman"/>
                <w:b/>
                <w:bCs/>
                <w:color w:val="auto"/>
                <w:szCs w:val="21"/>
                <w:highlight w:val="none"/>
              </w:rPr>
              <w:t>采购的项目 ,供应商应为小型或微型企业或监狱企业或残疾人福利性单位。</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4.本项目的特定资格要求：无。</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6.单位负责人为同一人或者存在直接控股、管理关系的不同供应商，不得参加同一合同项下的政府采购活动。</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p>
        </w:tc>
        <w:tc>
          <w:tcPr>
            <w:tcW w:w="1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是否接受联合体投标</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FE"/>
            </w:r>
            <w:r>
              <w:rPr>
                <w:rFonts w:hint="eastAsia" w:ascii="宋体" w:hAnsi="宋体" w:eastAsia="宋体" w:cs="Times New Roman"/>
                <w:color w:val="auto"/>
                <w:szCs w:val="21"/>
                <w:highlight w:val="none"/>
              </w:rPr>
              <w:t>不接受</w:t>
            </w:r>
          </w:p>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8</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采购标的对应的中小企业划分标准所属行业</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物业管理【具体详见《招标文件（技术部分）》】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9</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非主体、非关键性工作分包</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是否允许中标人将本项目的非主体、非关键性工作进行分包：</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采购包</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p>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不允许</w:t>
            </w:r>
          </w:p>
          <w:p>
            <w:pPr>
              <w:adjustRightInd w:val="0"/>
              <w:snapToGrid w:val="0"/>
              <w:spacing w:line="360" w:lineRule="auto"/>
              <w:jc w:val="left"/>
              <w:rPr>
                <w:rFonts w:hint="eastAsia" w:ascii="宋体" w:hAnsi="宋体" w:eastAsia="宋体" w:cs="Times New Roman"/>
                <w:iCs/>
                <w:color w:val="auto"/>
                <w:szCs w:val="21"/>
                <w:highlight w:val="none"/>
                <w:u w:val="single"/>
                <w:lang w:val="en-US" w:eastAsia="zh-CN"/>
              </w:rPr>
            </w:pPr>
            <w:r>
              <w:rPr>
                <w:rFonts w:hint="eastAsia" w:ascii="宋体" w:hAnsi="宋体" w:eastAsia="宋体" w:cs="Times New Roman"/>
                <w:color w:val="auto"/>
                <w:szCs w:val="21"/>
                <w:highlight w:val="none"/>
              </w:rPr>
              <w:t>☑允许，</w:t>
            </w:r>
            <w:r>
              <w:rPr>
                <w:rFonts w:hint="eastAsia" w:ascii="宋体" w:hAnsi="宋体" w:eastAsia="宋体" w:cs="Times New Roman"/>
                <w:iCs/>
                <w:color w:val="auto"/>
                <w:szCs w:val="21"/>
                <w:highlight w:val="none"/>
                <w:u w:val="single"/>
              </w:rPr>
              <w:t>（允许第六章《项目采购需求》中服务进行分包，具体分包要求详见第六章《项目采购需求》</w:t>
            </w:r>
            <w:r>
              <w:rPr>
                <w:rFonts w:hint="eastAsia" w:ascii="宋体" w:hAnsi="宋体" w:eastAsia="宋体" w:cs="Times New Roman"/>
                <w:iCs/>
                <w:color w:val="auto"/>
                <w:szCs w:val="21"/>
                <w:highlight w:val="none"/>
                <w:u w:val="single"/>
                <w:lang w:val="en-US" w:eastAsia="zh-CN"/>
              </w:rPr>
              <w:t>三、</w:t>
            </w:r>
            <w:r>
              <w:rPr>
                <w:rFonts w:hint="eastAsia" w:ascii="宋体" w:hAnsi="宋体" w:eastAsia="宋体" w:cs="Times New Roman"/>
                <w:iCs/>
                <w:color w:val="auto"/>
                <w:szCs w:val="21"/>
                <w:highlight w:val="none"/>
                <w:u w:val="single"/>
              </w:rPr>
              <w:t>其他要求</w:t>
            </w:r>
            <w:r>
              <w:rPr>
                <w:rFonts w:hint="eastAsia" w:ascii="宋体" w:hAnsi="宋体" w:eastAsia="宋体" w:cs="Times New Roman"/>
                <w:iCs/>
                <w:color w:val="auto"/>
                <w:szCs w:val="21"/>
                <w:highlight w:val="none"/>
                <w:u w:val="single"/>
                <w:lang w:val="en-US" w:eastAsia="zh-CN"/>
              </w:rPr>
              <w:t>2.★分包要求</w:t>
            </w:r>
            <w:r>
              <w:rPr>
                <w:rFonts w:hint="eastAsia" w:ascii="宋体" w:hAnsi="宋体" w:eastAsia="宋体" w:cs="Times New Roman"/>
                <w:iCs/>
                <w:color w:val="auto"/>
                <w:szCs w:val="21"/>
                <w:highlight w:val="none"/>
                <w:u w:val="single"/>
              </w:rPr>
              <w:t>列明的要求。</w:t>
            </w:r>
            <w:r>
              <w:rPr>
                <w:rFonts w:hint="eastAsia" w:ascii="宋体" w:hAnsi="宋体" w:eastAsia="宋体" w:cs="Times New Roman"/>
                <w:iCs/>
                <w:color w:val="auto"/>
                <w:szCs w:val="21"/>
                <w:highlight w:val="none"/>
                <w:u w:val="single"/>
                <w:lang w:val="en-US" w:eastAsia="zh-CN"/>
              </w:rPr>
              <w:t xml:space="preserve"> </w:t>
            </w:r>
            <w:r>
              <w:rPr>
                <w:rFonts w:hint="eastAsia" w:ascii="宋体" w:hAnsi="宋体" w:eastAsia="宋体" w:cs="Times New Roman"/>
                <w:iCs/>
                <w:color w:val="auto"/>
                <w:szCs w:val="21"/>
                <w:highlight w:val="none"/>
                <w:u w:val="single"/>
              </w:rPr>
              <w:t>该部分分包金额为7.5万元/年，两年共计15万元</w:t>
            </w:r>
            <w:r>
              <w:rPr>
                <w:rFonts w:hint="eastAsia" w:ascii="宋体" w:hAnsi="宋体" w:eastAsia="宋体" w:cs="Times New Roman"/>
                <w:iCs/>
                <w:color w:val="auto"/>
                <w:szCs w:val="21"/>
                <w:highlight w:val="none"/>
                <w:u w:val="single"/>
                <w:lang w:eastAsia="zh-CN"/>
              </w:rPr>
              <w:t>，</w:t>
            </w:r>
            <w:r>
              <w:rPr>
                <w:rFonts w:hint="eastAsia" w:ascii="宋体" w:hAnsi="宋体" w:eastAsia="宋体" w:cs="Times New Roman"/>
                <w:iCs/>
                <w:color w:val="auto"/>
                <w:szCs w:val="21"/>
                <w:highlight w:val="none"/>
                <w:u w:val="single"/>
                <w:lang w:val="en-US" w:eastAsia="zh-CN"/>
              </w:rPr>
              <w:t>具体要求详见第六章《项目采购需求》★二、商务要求3报价要求（二）其他报价说明</w:t>
            </w:r>
          </w:p>
          <w:p>
            <w:pPr>
              <w:adjustRightInd w:val="0"/>
              <w:snapToGrid w:val="0"/>
              <w:spacing w:line="360" w:lineRule="auto"/>
              <w:jc w:val="left"/>
              <w:rPr>
                <w:rFonts w:hint="eastAsia" w:ascii="宋体" w:hAnsi="宋体" w:eastAsia="宋体" w:cs="Times New Roman"/>
                <w:i/>
                <w:color w:val="auto"/>
                <w:szCs w:val="21"/>
                <w:highlight w:val="none"/>
                <w:u w:val="single"/>
              </w:rPr>
            </w:pPr>
            <w:r>
              <w:rPr>
                <w:rFonts w:hint="eastAsia" w:ascii="宋体" w:hAnsi="宋体" w:eastAsia="宋体" w:cs="Times New Roman"/>
                <w:iCs/>
                <w:color w:val="auto"/>
                <w:szCs w:val="21"/>
                <w:highlight w:val="none"/>
                <w:u w:val="single"/>
                <w:lang w:val="en-US" w:eastAsia="zh-CN"/>
              </w:rPr>
              <w:t>电梯运行维护费补充说明</w:t>
            </w:r>
            <w:r>
              <w:rPr>
                <w:rFonts w:hint="eastAsia" w:ascii="宋体" w:hAnsi="宋体" w:eastAsia="宋体" w:cs="Times New Roman"/>
                <w:iCs/>
                <w:color w:val="auto"/>
                <w:szCs w:val="21"/>
                <w:highlight w:val="none"/>
                <w:u w:val="single"/>
              </w:rPr>
              <w:t>）</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采购包</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无</w:t>
            </w:r>
            <w:r>
              <w:rPr>
                <w:rFonts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10</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核心产品</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货物类项目填写此栏</w:t>
            </w:r>
          </w:p>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FE"/>
            </w:r>
            <w:r>
              <w:rPr>
                <w:rFonts w:hint="eastAsia" w:ascii="宋体" w:hAnsi="宋体" w:eastAsia="宋体" w:cs="Times New Roman"/>
                <w:color w:val="auto"/>
                <w:szCs w:val="21"/>
                <w:highlight w:val="none"/>
              </w:rPr>
              <w:t>无</w:t>
            </w:r>
          </w:p>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有</w:t>
            </w:r>
          </w:p>
          <w:p>
            <w:pPr>
              <w:adjustRightInd w:val="0"/>
              <w:snapToGrid w:val="0"/>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产品名称：</w:t>
            </w:r>
            <w:r>
              <w:rPr>
                <w:rFonts w:hint="eastAsia" w:ascii="宋体" w:hAnsi="宋体" w:eastAsia="宋体" w:cs="Times New Roman"/>
                <w:color w:val="auto"/>
                <w:szCs w:val="21"/>
                <w:highlight w:val="none"/>
                <w:u w:val="single"/>
              </w:rPr>
              <w:t xml:space="preserve">      </w:t>
            </w:r>
          </w:p>
          <w:p>
            <w:pPr>
              <w:adjustRightInd w:val="0"/>
              <w:snapToGrid w:val="0"/>
              <w:spacing w:line="360" w:lineRule="auto"/>
              <w:jc w:val="left"/>
              <w:rPr>
                <w:rFonts w:hint="eastAsia"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eastAsia="宋体" w:cs="Times New Roman"/>
                <w:b/>
                <w:bCs/>
                <w:color w:val="auto"/>
                <w:szCs w:val="21"/>
                <w:highlight w:val="none"/>
                <w:u w:val="single"/>
                <w:lang w:val="zh-CN"/>
              </w:rPr>
              <w:t xml:space="preserve">         </w:t>
            </w:r>
            <w:r>
              <w:rPr>
                <w:rFonts w:hint="eastAsia" w:ascii="宋体" w:hAnsi="宋体" w:eastAsia="宋体" w:cs="Times New Roman"/>
                <w:b/>
                <w:bCs/>
                <w:color w:val="auto"/>
                <w:szCs w:val="21"/>
                <w:highlight w:val="none"/>
                <w:lang w:val="zh-CN"/>
              </w:rPr>
              <w:t>的方式确定一个参加评标的投标人，招标文件未规定的采取随机抽取方式确定，其他投标无效。</w:t>
            </w:r>
          </w:p>
          <w:p>
            <w:pPr>
              <w:adjustRightInd w:val="0"/>
              <w:snapToGrid w:val="0"/>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Times New Roman"/>
                <w:b/>
                <w:color w:val="auto"/>
                <w:szCs w:val="21"/>
                <w:highlight w:val="none"/>
              </w:rPr>
              <w:t>评审得分相同的，由评标委员会按照“</w:t>
            </w:r>
            <w:r>
              <w:rPr>
                <w:rFonts w:hint="eastAsia" w:ascii="宋体" w:hAnsi="宋体" w:eastAsia="宋体" w:cs="Times New Roman"/>
                <w:b/>
                <w:color w:val="auto"/>
                <w:szCs w:val="21"/>
                <w:highlight w:val="none"/>
                <w:u w:val="single"/>
              </w:rPr>
              <w:t>以投标报价由低到高顺序排列；得分相同且投标报价相同的，按技术指标优劣顺序排列</w:t>
            </w:r>
            <w:r>
              <w:rPr>
                <w:rFonts w:hint="eastAsia" w:ascii="宋体" w:hAnsi="宋体" w:eastAsia="宋体" w:cs="Times New Roman"/>
                <w:b/>
                <w:color w:val="auto"/>
                <w:szCs w:val="21"/>
                <w:highlight w:val="none"/>
              </w:rPr>
              <w:t>”的方式确定一个投标人获得中标人推荐资格</w:t>
            </w:r>
            <w:r>
              <w:rPr>
                <w:rFonts w:hint="eastAsia" w:ascii="宋体" w:hAnsi="宋体" w:eastAsia="宋体" w:cs="Times New Roman"/>
                <w:b/>
                <w:bCs/>
                <w:color w:val="auto"/>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11</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采购进口产品</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本采购项目拒绝进口产品参加投标</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□本采购项目已经财政部审核同意购买进口产品</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r>
              <w:rPr>
                <w:rFonts w:ascii="宋体" w:hAnsi="宋体" w:eastAsia="宋体" w:cs="Times New Roman"/>
                <w:color w:val="auto"/>
                <w:szCs w:val="21"/>
                <w:highlight w:val="none"/>
                <w:u w:val="single"/>
              </w:rPr>
              <w:t>_</w:t>
            </w:r>
            <w:r>
              <w:rPr>
                <w:rFonts w:hint="eastAsia" w:ascii="宋体" w:hAnsi="宋体" w:eastAsia="宋体" w:cs="Times New Roman"/>
                <w:color w:val="auto"/>
                <w:szCs w:val="21"/>
                <w:highlight w:val="none"/>
                <w:u w:val="single"/>
              </w:rPr>
              <w:t>本项目为服务项目，不存在进口产品。</w:t>
            </w:r>
            <w:r>
              <w:rPr>
                <w:rFonts w:ascii="宋体" w:hAnsi="宋体" w:eastAsia="宋体" w:cs="Times New Roman"/>
                <w:color w:val="auto"/>
                <w:szCs w:val="21"/>
                <w:highlight w:val="none"/>
                <w:u w:val="single"/>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12</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信息发布媒体</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（1）中国政府采购网（http://www.ccgp.gov.cn）</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国家税务总局广西壮族自治区税务局来宾频道（http://guangxi.chinatax.gov.cn/laibin/)</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（3）云之龙集团网（www.yzljt.cn）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获取招标文件时间、地点和方式等</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时间：2025年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25</w:t>
            </w:r>
            <w:r>
              <w:rPr>
                <w:rFonts w:hint="eastAsia" w:ascii="宋体" w:hAnsi="宋体" w:eastAsia="宋体" w:cs="Times New Roman"/>
                <w:color w:val="auto"/>
                <w:szCs w:val="21"/>
                <w:highlight w:val="none"/>
              </w:rPr>
              <w:t>日至2025年</w:t>
            </w:r>
            <w:r>
              <w:rPr>
                <w:rFonts w:hint="eastAsia" w:ascii="宋体" w:hAnsi="宋体" w:eastAsia="宋体" w:cs="Times New Roman"/>
                <w:color w:val="auto"/>
                <w:szCs w:val="21"/>
                <w:highlight w:val="none"/>
                <w:lang w:val="en-US" w:eastAsia="zh-CN"/>
              </w:rPr>
              <w:t>7月4日</w:t>
            </w:r>
            <w:r>
              <w:rPr>
                <w:rFonts w:hint="eastAsia" w:ascii="宋体" w:hAnsi="宋体" w:eastAsia="宋体" w:cs="Times New Roman"/>
                <w:color w:val="auto"/>
                <w:szCs w:val="21"/>
                <w:highlight w:val="none"/>
              </w:rPr>
              <w:t>，每天上午8时00分至12时00分，下午3时00分至6时00分（北京时间，法定节假日除外）</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地点：云之龙咨询集团有限公司（广西来宾市兴宾区古三路丽景苑商业城北门2-1号）</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方式：招标文件在云之龙咨询集团有限公司（广西来宾市兴宾区古三路丽景苑商业城北门2-1号）进行售卖，售后不退。</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售价：招标文件每本售价300元，售后不退。</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采购文件价款交纳银行账户：</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开户名称：云之龙咨询集团有限公司来宾分公司</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开户银行：中信银行南宁东葛支行</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银行账号：8113001014500158111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14</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现场考察</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420"/>
              </w:tabs>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FE"/>
            </w:r>
            <w:r>
              <w:rPr>
                <w:rFonts w:hint="eastAsia" w:ascii="宋体" w:hAnsi="宋体" w:eastAsia="宋体" w:cs="Times New Roman"/>
                <w:color w:val="auto"/>
                <w:szCs w:val="21"/>
                <w:highlight w:val="none"/>
              </w:rPr>
              <w:t>不组织现场考察</w:t>
            </w:r>
          </w:p>
          <w:p>
            <w:pPr>
              <w:tabs>
                <w:tab w:val="left" w:pos="0"/>
                <w:tab w:val="left" w:pos="420"/>
              </w:tabs>
              <w:adjustRightInd w:val="0"/>
              <w:snapToGrid w:val="0"/>
              <w:spacing w:line="360" w:lineRule="auto"/>
              <w:rPr>
                <w:rFonts w:hint="eastAsia" w:ascii="宋体" w:hAnsi="宋体" w:eastAsia="宋体" w:cs="Times New Roman"/>
                <w:bCs/>
                <w:color w:val="auto"/>
                <w:szCs w:val="21"/>
                <w:highlight w:val="none"/>
              </w:rPr>
            </w:pPr>
            <w:r>
              <w:rPr>
                <w:rFonts w:ascii="Wingdings" w:hAnsi="Wingdings" w:eastAsia="宋体" w:cs="Wingdings"/>
                <w:bCs/>
                <w:color w:val="auto"/>
                <w:szCs w:val="21"/>
                <w:highlight w:val="none"/>
              </w:rPr>
              <w:sym w:font="Wingdings" w:char="00A8"/>
            </w:r>
            <w:r>
              <w:rPr>
                <w:rFonts w:hint="eastAsia" w:ascii="宋体" w:hAnsi="宋体" w:eastAsia="宋体" w:cs="Times New Roman"/>
                <w:bCs/>
                <w:color w:val="auto"/>
                <w:szCs w:val="21"/>
                <w:highlight w:val="none"/>
              </w:rPr>
              <w:t>组织现场考察：</w:t>
            </w:r>
          </w:p>
          <w:p>
            <w:pPr>
              <w:tabs>
                <w:tab w:val="left" w:pos="0"/>
                <w:tab w:val="left" w:pos="420"/>
              </w:tabs>
              <w:adjustRightInd w:val="0"/>
              <w:snapToGrid w:val="0"/>
              <w:spacing w:line="360" w:lineRule="auto"/>
              <w:rPr>
                <w:rFonts w:hint="eastAsia" w:ascii="宋体" w:hAnsi="宋体" w:eastAsia="宋体" w:cs="Times New Roman"/>
                <w:bCs/>
                <w:color w:val="auto"/>
                <w:szCs w:val="21"/>
                <w:highlight w:val="none"/>
              </w:rPr>
            </w:pPr>
            <w:r>
              <w:rPr>
                <w:rFonts w:hint="eastAsia" w:ascii="宋体" w:hAnsi="宋体" w:eastAsia="宋体" w:cs="Times New Roman"/>
                <w:b/>
                <w:color w:val="auto"/>
                <w:szCs w:val="21"/>
                <w:highlight w:val="none"/>
              </w:rPr>
              <w:t>时间：</w:t>
            </w:r>
            <w:r>
              <w:rPr>
                <w:rFonts w:ascii="宋体" w:hAnsi="宋体" w:eastAsia="宋体" w:cs="Times New Roman"/>
                <w:color w:val="auto"/>
                <w:szCs w:val="21"/>
                <w:highlight w:val="none"/>
                <w:u w:val="single"/>
              </w:rPr>
              <w:t xml:space="preserve">   </w:t>
            </w:r>
            <w:r>
              <w:rPr>
                <w:rFonts w:hint="eastAsia" w:ascii="宋体" w:hAnsi="宋体" w:eastAsia="宋体" w:cs="Times New Roman"/>
                <w:bCs/>
                <w:color w:val="auto"/>
                <w:szCs w:val="21"/>
                <w:highlight w:val="none"/>
              </w:rPr>
              <w:t>年</w:t>
            </w:r>
            <w:r>
              <w:rPr>
                <w:rFonts w:ascii="宋体" w:hAnsi="宋体" w:eastAsia="宋体" w:cs="Times New Roman"/>
                <w:color w:val="auto"/>
                <w:szCs w:val="21"/>
                <w:highlight w:val="none"/>
                <w:u w:val="single"/>
              </w:rPr>
              <w:t xml:space="preserve">   </w:t>
            </w:r>
            <w:r>
              <w:rPr>
                <w:rFonts w:hint="eastAsia" w:ascii="宋体" w:hAnsi="宋体" w:eastAsia="宋体" w:cs="Times New Roman"/>
                <w:bCs/>
                <w:color w:val="auto"/>
                <w:szCs w:val="21"/>
                <w:highlight w:val="none"/>
              </w:rPr>
              <w:t>月</w:t>
            </w:r>
            <w:r>
              <w:rPr>
                <w:rFonts w:ascii="宋体" w:hAnsi="宋体" w:eastAsia="宋体" w:cs="Times New Roman"/>
                <w:color w:val="auto"/>
                <w:szCs w:val="21"/>
                <w:highlight w:val="none"/>
                <w:u w:val="single"/>
              </w:rPr>
              <w:t xml:space="preserve">   </w:t>
            </w:r>
            <w:r>
              <w:rPr>
                <w:rFonts w:hint="eastAsia" w:ascii="宋体" w:hAnsi="宋体" w:eastAsia="宋体" w:cs="Times New Roman"/>
                <w:bCs/>
                <w:color w:val="auto"/>
                <w:szCs w:val="21"/>
                <w:highlight w:val="none"/>
              </w:rPr>
              <w:t>日</w:t>
            </w:r>
            <w:r>
              <w:rPr>
                <w:rFonts w:ascii="宋体" w:hAnsi="宋体" w:eastAsia="宋体" w:cs="Times New Roman"/>
                <w:color w:val="auto"/>
                <w:szCs w:val="21"/>
                <w:highlight w:val="none"/>
                <w:u w:val="single"/>
              </w:rPr>
              <w:t xml:space="preserve">   </w:t>
            </w:r>
            <w:r>
              <w:rPr>
                <w:rFonts w:hint="eastAsia" w:ascii="宋体" w:hAnsi="宋体" w:eastAsia="宋体" w:cs="Times New Roman"/>
                <w:bCs/>
                <w:color w:val="auto"/>
                <w:szCs w:val="21"/>
                <w:highlight w:val="none"/>
              </w:rPr>
              <w:t>午</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（北京时间）</w:t>
            </w:r>
          </w:p>
          <w:p>
            <w:pPr>
              <w:tabs>
                <w:tab w:val="left" w:pos="0"/>
                <w:tab w:val="left" w:pos="420"/>
              </w:tabs>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地点：</w:t>
            </w:r>
            <w:r>
              <w:rPr>
                <w:rFonts w:ascii="宋体" w:hAnsi="宋体" w:eastAsia="宋体" w:cs="Times New Roman"/>
                <w:b/>
                <w:color w:val="auto"/>
                <w:szCs w:val="21"/>
                <w:highlight w:val="none"/>
                <w:u w:val="single"/>
              </w:rPr>
              <w:t xml:space="preserve">                 </w:t>
            </w:r>
          </w:p>
          <w:p>
            <w:pPr>
              <w:tabs>
                <w:tab w:val="left" w:pos="0"/>
                <w:tab w:val="left" w:pos="420"/>
              </w:tabs>
              <w:adjustRightInd w:val="0"/>
              <w:snapToGrid w:val="0"/>
              <w:spacing w:line="360" w:lineRule="auto"/>
              <w:rPr>
                <w:rFonts w:hint="eastAsia" w:ascii="宋体" w:hAnsi="宋体" w:eastAsia="宋体" w:cs="Times New Roman"/>
                <w:b/>
                <w:bCs/>
                <w:color w:val="auto"/>
                <w:szCs w:val="21"/>
                <w:highlight w:val="none"/>
              </w:rPr>
            </w:pPr>
            <w:r>
              <w:rPr>
                <w:rFonts w:hint="eastAsia" w:ascii="宋体" w:hAnsi="宋体" w:eastAsia="宋体" w:cs="Times New Roman"/>
                <w:b/>
                <w:color w:val="auto"/>
                <w:szCs w:val="21"/>
                <w:highlight w:val="none"/>
              </w:rPr>
              <w:t>联系人：</w:t>
            </w:r>
            <w:r>
              <w:rPr>
                <w:rFonts w:ascii="宋体" w:hAnsi="宋体" w:eastAsia="宋体" w:cs="Times New Roman"/>
                <w:b/>
                <w:color w:val="auto"/>
                <w:szCs w:val="21"/>
                <w:highlight w:val="none"/>
                <w:u w:val="single"/>
              </w:rPr>
              <w:t xml:space="preserve">               </w:t>
            </w:r>
          </w:p>
          <w:p>
            <w:pPr>
              <w:tabs>
                <w:tab w:val="left" w:pos="0"/>
                <w:tab w:val="left" w:pos="420"/>
              </w:tabs>
              <w:adjustRightInd w:val="0"/>
              <w:snapToGrid w:val="0"/>
              <w:spacing w:line="360" w:lineRule="auto"/>
              <w:rPr>
                <w:rFonts w:hint="eastAsia" w:ascii="宋体" w:hAnsi="宋体" w:eastAsia="宋体" w:cs="Times New Roman"/>
                <w:bCs/>
                <w:color w:val="auto"/>
                <w:szCs w:val="21"/>
                <w:highlight w:val="none"/>
                <w:u w:val="single"/>
              </w:rPr>
            </w:pPr>
            <w:r>
              <w:rPr>
                <w:rFonts w:hint="eastAsia" w:ascii="宋体" w:hAnsi="宋体" w:eastAsia="宋体" w:cs="Times New Roman"/>
                <w:b/>
                <w:color w:val="auto"/>
                <w:szCs w:val="21"/>
                <w:highlight w:val="none"/>
              </w:rPr>
              <w:t>联系电话：</w:t>
            </w:r>
            <w:r>
              <w:rPr>
                <w:rFonts w:ascii="宋体" w:hAnsi="宋体" w:eastAsia="宋体" w:cs="Times New Roman"/>
                <w:color w:val="auto"/>
                <w:szCs w:val="21"/>
                <w:highlight w:val="none"/>
                <w:u w:val="single"/>
              </w:rPr>
              <w:t xml:space="preserve">             </w:t>
            </w:r>
          </w:p>
          <w:p>
            <w:pPr>
              <w:tabs>
                <w:tab w:val="left" w:pos="0"/>
                <w:tab w:val="left" w:pos="420"/>
              </w:tabs>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要求：</w:t>
            </w:r>
            <w:r>
              <w:rPr>
                <w:rFonts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15</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样品</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FE"/>
            </w:r>
            <w:r>
              <w:rPr>
                <w:rFonts w:hint="eastAsia" w:ascii="宋体" w:hAnsi="宋体" w:eastAsia="宋体" w:cs="Times New Roman"/>
                <w:color w:val="auto"/>
                <w:szCs w:val="21"/>
                <w:highlight w:val="none"/>
              </w:rPr>
              <w:t>不要求提供</w:t>
            </w:r>
          </w:p>
          <w:p>
            <w:pPr>
              <w:adjustRightInd w:val="0"/>
              <w:snapToGrid w:val="0"/>
              <w:spacing w:line="360" w:lineRule="auto"/>
              <w:jc w:val="left"/>
              <w:rPr>
                <w:rFonts w:hint="eastAsia" w:ascii="宋体" w:hAnsi="宋体" w:eastAsia="宋体" w:cs="Times New Roman"/>
                <w:bCs/>
                <w:color w:val="auto"/>
                <w:szCs w:val="21"/>
                <w:highlight w:val="none"/>
              </w:rPr>
            </w:pPr>
            <w:r>
              <w:rPr>
                <w:rFonts w:ascii="Wingdings" w:hAnsi="Wingdings" w:eastAsia="宋体" w:cs="Wingdings"/>
                <w:bCs/>
                <w:color w:val="auto"/>
                <w:szCs w:val="21"/>
                <w:highlight w:val="none"/>
              </w:rPr>
              <w:sym w:font="Wingdings" w:char="00A8"/>
            </w:r>
            <w:r>
              <w:rPr>
                <w:rFonts w:hint="eastAsia" w:ascii="宋体" w:hAnsi="宋体" w:eastAsia="宋体" w:cs="Times New Roman"/>
                <w:bCs/>
                <w:color w:val="auto"/>
                <w:szCs w:val="21"/>
                <w:highlight w:val="none"/>
              </w:rPr>
              <w:t>要求提供：</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样品制作的标准和要求：</w:t>
            </w:r>
            <w:r>
              <w:rPr>
                <w:rFonts w:ascii="宋体" w:hAnsi="宋体" w:eastAsia="宋体" w:cs="Times New Roman"/>
                <w:color w:val="auto"/>
                <w:szCs w:val="21"/>
                <w:highlight w:val="none"/>
              </w:rPr>
              <w:t>____________________</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样品检测报告：</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□否；□是，检测机构的要求、检测内容详见第六章项目采购需求</w:t>
            </w:r>
            <w:r>
              <w:rPr>
                <w:rFonts w:ascii="宋体" w:hAnsi="宋体" w:eastAsia="宋体" w:cs="Times New Roman"/>
                <w:color w:val="auto"/>
                <w:szCs w:val="21"/>
                <w:highlight w:val="none"/>
              </w:rPr>
              <w:t>)</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16</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投标文件组成</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商务部</w:t>
            </w:r>
            <w:r>
              <w:rPr>
                <w:rFonts w:hint="eastAsia" w:ascii="宋体" w:hAnsi="宋体" w:eastAsia="宋体" w:cs="Times New Roman"/>
                <w:bCs/>
                <w:color w:val="auto"/>
                <w:szCs w:val="21"/>
                <w:highlight w:val="none"/>
              </w:rPr>
              <w:t>分</w:t>
            </w:r>
          </w:p>
        </w:tc>
        <w:tc>
          <w:tcPr>
            <w:tcW w:w="5862"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420"/>
              </w:tabs>
              <w:adjustRightInd w:val="0"/>
              <w:snapToGrid w:val="0"/>
              <w:spacing w:line="360" w:lineRule="auto"/>
              <w:jc w:val="left"/>
              <w:rPr>
                <w:rFonts w:ascii="Times New Roman" w:hAnsi="Times New Roman"/>
                <w:color w:val="auto"/>
                <w:szCs w:val="21"/>
                <w:highlight w:val="none"/>
              </w:rPr>
            </w:pPr>
            <w:r>
              <w:rPr>
                <w:rFonts w:ascii="Times New Roman" w:hAnsi="Times New Roman"/>
                <w:b/>
                <w:color w:val="auto"/>
                <w:szCs w:val="21"/>
                <w:highlight w:val="none"/>
              </w:rPr>
              <w:t>一、资格证明文件：</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w:t>
            </w:r>
            <w:r>
              <w:rPr>
                <w:rFonts w:hint="eastAsia" w:ascii="Times New Roman" w:hAnsi="Times New Roman" w:cs="Times New Roman"/>
                <w:color w:val="auto"/>
                <w:szCs w:val="21"/>
                <w:highlight w:val="none"/>
              </w:rPr>
              <w:t>投标人基本情况（附</w:t>
            </w:r>
            <w:r>
              <w:rPr>
                <w:rFonts w:ascii="Times New Roman" w:hAnsi="Times New Roman" w:eastAsia="宋体" w:cs="Times New Roman"/>
                <w:color w:val="auto"/>
                <w:szCs w:val="21"/>
                <w:highlight w:val="none"/>
              </w:rPr>
              <w:t>法人或者其他组织的营业执照等证明文件复印件</w:t>
            </w:r>
            <w:r>
              <w:rPr>
                <w:rFonts w:hint="eastAsia" w:ascii="Times New Roman" w:hAnsi="Times New Roman" w:cs="Times New Roman"/>
                <w:color w:val="auto"/>
                <w:szCs w:val="21"/>
                <w:highlight w:val="none"/>
              </w:rPr>
              <w:t>；投标人如为</w:t>
            </w:r>
            <w:r>
              <w:rPr>
                <w:rFonts w:ascii="Times New Roman" w:hAnsi="Times New Roman" w:eastAsia="宋体" w:cs="Times New Roman"/>
                <w:color w:val="auto"/>
                <w:szCs w:val="21"/>
                <w:highlight w:val="none"/>
              </w:rPr>
              <w:t>自然人</w:t>
            </w:r>
            <w:r>
              <w:rPr>
                <w:rFonts w:hint="eastAsia" w:ascii="Times New Roman" w:hAnsi="Times New Roman" w:cs="Times New Roman"/>
                <w:color w:val="auto"/>
                <w:szCs w:val="21"/>
                <w:highlight w:val="none"/>
              </w:rPr>
              <w:t>，提供自然人</w:t>
            </w:r>
            <w:r>
              <w:rPr>
                <w:rFonts w:ascii="Times New Roman" w:hAnsi="Times New Roman" w:eastAsia="宋体" w:cs="Times New Roman"/>
                <w:color w:val="auto"/>
                <w:szCs w:val="21"/>
                <w:highlight w:val="none"/>
              </w:rPr>
              <w:t>的身份证明复印件</w:t>
            </w:r>
            <w:r>
              <w:rPr>
                <w:rFonts w:hint="eastAsia" w:ascii="Times New Roman" w:hAnsi="Times New Roman" w:cs="Times New Roman"/>
                <w:color w:val="auto"/>
                <w:szCs w:val="21"/>
                <w:highlight w:val="none"/>
              </w:rPr>
              <w:t>）</w:t>
            </w:r>
            <w:r>
              <w:rPr>
                <w:rFonts w:ascii="Times New Roman" w:hAnsi="Times New Roman"/>
                <w:color w:val="auto"/>
                <w:szCs w:val="21"/>
                <w:highlight w:val="none"/>
              </w:rPr>
              <w:t>。</w:t>
            </w:r>
          </w:p>
          <w:p>
            <w:pPr>
              <w:adjustRightInd w:val="0"/>
              <w:snapToGrid w:val="0"/>
              <w:spacing w:line="440" w:lineRule="exact"/>
              <w:jc w:val="left"/>
              <w:rPr>
                <w:rFonts w:hint="eastAsia" w:eastAsia="宋体"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2.★财务状况报告：2023年度的经会计师事务所审计的财务报告（须提供加盖会计师事务所公章及注册会计师签章的复印件）；没有经审计的财务报告的，可以提供基本开户银行出具的资信证明复印件；</w:t>
            </w:r>
            <w:r>
              <w:rPr>
                <w:rFonts w:hint="eastAsia" w:ascii="宋体" w:hAnsi="宋体" w:cs="宋体"/>
                <w:color w:val="auto"/>
                <w:szCs w:val="21"/>
                <w:highlight w:val="none"/>
              </w:rPr>
              <w:t>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27"/>
              <w:spacing w:line="440" w:lineRule="exact"/>
              <w:rPr>
                <w:rFonts w:ascii="Times New Roman" w:hAnsi="Times New Roman"/>
                <w:color w:val="auto"/>
                <w:highlight w:val="none"/>
              </w:rPr>
            </w:pPr>
            <w:r>
              <w:rPr>
                <w:rFonts w:hint="eastAsia" w:ascii="Times New Roman" w:hAnsi="Times New Roman"/>
                <w:color w:val="auto"/>
                <w:highlight w:val="none"/>
              </w:rPr>
              <w:t>3.★依法缴纳税收：投标截止之日前半年内投标人连续三个月的依法缴纳税收（不包括个人所得税）的相关材料，如依法免税或不需要纳税的，应提供相应证明材料复印件。</w:t>
            </w:r>
          </w:p>
          <w:p>
            <w:pPr>
              <w:pStyle w:val="27"/>
              <w:spacing w:line="440" w:lineRule="exact"/>
              <w:rPr>
                <w:rFonts w:ascii="Times New Roman" w:hAnsi="Times New Roman"/>
                <w:color w:val="auto"/>
                <w:highlight w:val="none"/>
              </w:rPr>
            </w:pPr>
            <w:r>
              <w:rPr>
                <w:rFonts w:hint="eastAsia" w:ascii="Times New Roman" w:hAnsi="Times New Roman"/>
                <w:color w:val="auto"/>
                <w:highlight w:val="none"/>
              </w:rPr>
              <w:t>4.★社会保障资金：投标截止之日前半年内投标人连续三个月的依法缴纳社会保障资金的相关材料，如依法不需要缴纳社会保障资金的，则应提供相应证明材料复印件。</w:t>
            </w:r>
          </w:p>
          <w:p>
            <w:pPr>
              <w:pStyle w:val="27"/>
              <w:spacing w:line="440" w:lineRule="exact"/>
              <w:rPr>
                <w:rFonts w:ascii="Times New Roman" w:hAnsi="Times New Roman"/>
                <w:color w:val="auto"/>
                <w:highlight w:val="none"/>
              </w:rPr>
            </w:pPr>
            <w:r>
              <w:rPr>
                <w:rFonts w:hint="eastAsia" w:ascii="Times New Roman" w:hAnsi="Times New Roman"/>
                <w:color w:val="auto"/>
                <w:highlight w:val="none"/>
              </w:rPr>
              <w:t>5.具备履行合同所必需的设备和专业技术能力的证明材料。</w:t>
            </w:r>
          </w:p>
          <w:p>
            <w:pPr>
              <w:pStyle w:val="27"/>
              <w:spacing w:line="440" w:lineRule="exact"/>
              <w:rPr>
                <w:rFonts w:ascii="Times New Roman" w:hAnsi="Times New Roman"/>
                <w:color w:val="auto"/>
                <w:highlight w:val="none"/>
              </w:rPr>
            </w:pPr>
            <w:r>
              <w:rPr>
                <w:rFonts w:hint="eastAsia" w:ascii="Times New Roman" w:hAnsi="Times New Roman"/>
                <w:color w:val="auto"/>
                <w:highlight w:val="none"/>
              </w:rPr>
              <w:t>6.★参加政府采购活动前3年内在经营活动中没有重大违法记录的书面声明。</w:t>
            </w:r>
          </w:p>
          <w:p>
            <w:pPr>
              <w:pStyle w:val="27"/>
              <w:spacing w:line="440" w:lineRule="exact"/>
              <w:rPr>
                <w:rFonts w:ascii="Times New Roman" w:hAnsi="Times New Roman"/>
                <w:color w:val="auto"/>
                <w:highlight w:val="none"/>
              </w:rPr>
            </w:pPr>
            <w:r>
              <w:rPr>
                <w:rFonts w:hint="eastAsia" w:ascii="Times New Roman" w:hAnsi="Times New Roman"/>
                <w:color w:val="auto"/>
                <w:highlight w:val="none"/>
              </w:rPr>
              <w:t>7.★</w:t>
            </w:r>
            <w:r>
              <w:rPr>
                <w:rFonts w:hint="eastAsia" w:hAnsi="宋体" w:cs="Times New Roman"/>
                <w:b/>
                <w:bCs/>
                <w:color w:val="auto"/>
                <w:highlight w:val="none"/>
              </w:rPr>
              <w:t>本项目属于专门面向</w:t>
            </w:r>
            <w:r>
              <w:rPr>
                <w:rFonts w:hint="eastAsia" w:hAnsi="宋体" w:cs="Times New Roman"/>
                <w:b/>
                <w:bCs/>
                <w:color w:val="auto"/>
                <w:sz w:val="24"/>
                <w:szCs w:val="24"/>
                <w:highlight w:val="none"/>
                <w:u w:val="single"/>
              </w:rPr>
              <w:t>小微企业</w:t>
            </w:r>
            <w:r>
              <w:rPr>
                <w:rFonts w:hint="eastAsia" w:hAnsi="宋体" w:cs="Times New Roman"/>
                <w:b/>
                <w:bCs/>
                <w:color w:val="auto"/>
                <w:highlight w:val="none"/>
              </w:rPr>
              <w:t>采购的项目 ,供应商应为小型或微型企业或监狱企业或残疾人福利性单位</w:t>
            </w:r>
            <w:r>
              <w:rPr>
                <w:rFonts w:hint="eastAsia" w:hAnsi="宋体" w:cs="Times New Roman"/>
                <w:color w:val="auto"/>
                <w:highlight w:val="none"/>
              </w:rPr>
              <w:t>；小型或微型企业提供</w:t>
            </w:r>
            <w:r>
              <w:rPr>
                <w:rFonts w:hint="eastAsia" w:ascii="Times New Roman" w:hAnsi="Times New Roman"/>
                <w:color w:val="auto"/>
                <w:highlight w:val="none"/>
              </w:rPr>
              <w:t>《中小企业声明函》</w:t>
            </w:r>
            <w:r>
              <w:rPr>
                <w:rFonts w:ascii="Times New Roman" w:hAnsi="Times New Roman"/>
                <w:color w:val="auto"/>
                <w:highlight w:val="none"/>
              </w:rPr>
              <w:t>（应按照《政府采购促进中小企业发展管理办法》（财库﹝2020﹞46 号印发）《关于印发中小企业划型标准规定的通知》 （工信部联企业〔2011〕300号）如实填写并提交此函）</w:t>
            </w:r>
            <w:r>
              <w:rPr>
                <w:rFonts w:hint="eastAsia" w:ascii="Times New Roman" w:hAnsi="Times New Roman"/>
                <w:color w:val="auto"/>
                <w:highlight w:val="none"/>
              </w:rPr>
              <w:t>；</w:t>
            </w:r>
            <w:r>
              <w:rPr>
                <w:rFonts w:ascii="Times New Roman" w:hAnsi="Times New Roman"/>
                <w:color w:val="auto"/>
                <w:highlight w:val="none"/>
              </w:rPr>
              <w:t>监狱企业证明文件[监狱企业投标的，应提交省级以上监狱管理局、戒毒管理局（含新疆生产建设兵团）出具的证明文件]</w:t>
            </w:r>
            <w:r>
              <w:rPr>
                <w:rFonts w:hint="eastAsia" w:ascii="Times New Roman" w:hAnsi="Times New Roman"/>
                <w:color w:val="auto"/>
                <w:highlight w:val="none"/>
              </w:rPr>
              <w:t>；</w:t>
            </w:r>
            <w:r>
              <w:rPr>
                <w:rFonts w:ascii="Times New Roman" w:hAnsi="Times New Roman"/>
                <w:color w:val="auto"/>
                <w:highlight w:val="none"/>
              </w:rPr>
              <w:t>残疾人福利性单位声明函（残疾人福利性单位投标的，应提交此函）</w:t>
            </w:r>
            <w:r>
              <w:rPr>
                <w:rFonts w:hint="eastAsia" w:ascii="Times New Roman" w:hAnsi="Times New Roman"/>
                <w:color w:val="auto"/>
                <w:highlight w:val="none"/>
              </w:rPr>
              <w:t>。</w:t>
            </w:r>
          </w:p>
          <w:p>
            <w:pPr>
              <w:pStyle w:val="27"/>
              <w:spacing w:line="440" w:lineRule="exact"/>
              <w:rPr>
                <w:rFonts w:hint="eastAsia" w:hAnsi="宋体" w:cs="Times New Roman"/>
                <w:color w:val="auto"/>
                <w:highlight w:val="none"/>
              </w:rPr>
            </w:pPr>
            <w:r>
              <w:rPr>
                <w:rFonts w:hint="eastAsia" w:ascii="Times New Roman" w:hAnsi="Times New Roman"/>
                <w:color w:val="auto"/>
                <w:highlight w:val="none"/>
              </w:rPr>
              <w:t>8.具备法律、行政法规规定的其他条件的证明材料（如有）。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二、</w:t>
            </w:r>
            <w:r>
              <w:rPr>
                <w:rFonts w:hint="eastAsia" w:ascii="宋体" w:hAnsi="宋体" w:eastAsia="宋体" w:cs="Times New Roman"/>
                <w:b/>
                <w:color w:val="auto"/>
                <w:szCs w:val="21"/>
                <w:highlight w:val="none"/>
              </w:rPr>
              <w:t>开标一览表</w:t>
            </w:r>
            <w:r>
              <w:rPr>
                <w:rFonts w:hint="eastAsia" w:ascii="宋体" w:hAnsi="宋体" w:eastAsia="宋体" w:cs="Times New Roman"/>
                <w:b/>
                <w:bCs/>
                <w:color w:val="auto"/>
                <w:szCs w:val="21"/>
                <w:highlight w:val="none"/>
              </w:rPr>
              <w:t>：</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ascii="宋体" w:hAnsi="宋体" w:eastAsia="宋体" w:cs="Segoe UI Symbol"/>
                <w:color w:val="auto"/>
                <w:szCs w:val="21"/>
                <w:highlight w:val="none"/>
              </w:rPr>
              <w:t>★</w:t>
            </w:r>
            <w:r>
              <w:rPr>
                <w:rFonts w:hint="eastAsia" w:ascii="宋体" w:hAnsi="宋体" w:eastAsia="宋体" w:cs="Times New Roman"/>
                <w:color w:val="auto"/>
                <w:szCs w:val="21"/>
                <w:highlight w:val="none"/>
              </w:rPr>
              <w:t>投标报价表。</w:t>
            </w:r>
          </w:p>
          <w:p>
            <w:pPr>
              <w:adjustRightInd w:val="0"/>
              <w:snapToGrid w:val="0"/>
              <w:spacing w:line="360" w:lineRule="auto"/>
              <w:jc w:val="left"/>
              <w:rPr>
                <w:color w:val="auto"/>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ascii="宋体" w:hAnsi="宋体" w:eastAsia="宋体" w:cs="Segoe UI Symbol"/>
                <w:color w:val="auto"/>
                <w:szCs w:val="21"/>
                <w:highlight w:val="none"/>
              </w:rPr>
              <w:t>★</w:t>
            </w:r>
            <w:r>
              <w:rPr>
                <w:rFonts w:hint="eastAsia" w:ascii="宋体" w:hAnsi="宋体" w:eastAsia="宋体" w:cs="Times New Roman"/>
                <w:color w:val="auto"/>
                <w:szCs w:val="21"/>
                <w:highlight w:val="none"/>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Cs/>
                <w:color w:val="auto"/>
                <w:szCs w:val="21"/>
                <w:highlight w:val="none"/>
              </w:rPr>
            </w:pPr>
          </w:p>
        </w:tc>
        <w:tc>
          <w:tcPr>
            <w:tcW w:w="586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75"/>
                <w:tab w:val="left" w:pos="617"/>
              </w:tabs>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三、其他文件及资料：</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ascii="宋体" w:hAnsi="宋体" w:eastAsia="宋体" w:cs="Segoe UI Symbol"/>
                <w:color w:val="auto"/>
                <w:szCs w:val="21"/>
                <w:highlight w:val="none"/>
              </w:rPr>
              <w:t>★</w:t>
            </w:r>
            <w:r>
              <w:rPr>
                <w:rFonts w:hint="eastAsia" w:ascii="宋体" w:hAnsi="宋体" w:eastAsia="宋体" w:cs="Times New Roman"/>
                <w:color w:val="auto"/>
                <w:szCs w:val="21"/>
                <w:highlight w:val="none"/>
              </w:rPr>
              <w:t>授权委托书。</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ascii="宋体" w:hAnsi="宋体" w:eastAsia="宋体" w:cs="Segoe UI Symbol"/>
                <w:color w:val="auto"/>
                <w:szCs w:val="21"/>
                <w:highlight w:val="none"/>
              </w:rPr>
              <w:t>★</w:t>
            </w:r>
            <w:r>
              <w:rPr>
                <w:rFonts w:hint="eastAsia" w:ascii="宋体" w:hAnsi="宋体" w:eastAsia="宋体" w:cs="Times New Roman"/>
                <w:color w:val="auto"/>
                <w:szCs w:val="21"/>
                <w:highlight w:val="none"/>
              </w:rPr>
              <w:t>投标函。</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★商务条款偏离表。</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投标人认为需要提供的其它说明和资料。</w:t>
            </w:r>
          </w:p>
          <w:p>
            <w:pPr>
              <w:widowControl/>
              <w:tabs>
                <w:tab w:val="left" w:pos="0"/>
                <w:tab w:val="left" w:pos="220"/>
              </w:tabs>
              <w:adjustRightInd w:val="0"/>
              <w:snapToGrid w:val="0"/>
              <w:spacing w:line="360" w:lineRule="auto"/>
              <w:jc w:val="left"/>
              <w:rPr>
                <w:rFonts w:hint="eastAsia" w:ascii="宋体" w:hAnsi="宋体" w:eastAsia="宋体" w:cs="Times New Roman"/>
                <w:bCs/>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.★投标保证金提交凭证（如要求提交投标保证金的则必须提供，否则按无效投标处理）。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技术部分</w:t>
            </w:r>
          </w:p>
        </w:tc>
        <w:tc>
          <w:tcPr>
            <w:tcW w:w="5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1.★技术条款偏离表。</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2.服务方案【服务方案包括但不限于：（1）综合服务方案；</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（2）房屋的日常养护及公共设施设备日常清洁养护管理方案；（3）保洁绿化服务方案；（4）秩序维护服务方案；（5）</w:t>
            </w:r>
            <w:r>
              <w:rPr>
                <w:rFonts w:hint="eastAsia" w:ascii="宋体" w:hAnsi="宋体" w:eastAsia="宋体" w:cs="Times New Roman"/>
                <w:color w:val="auto"/>
                <w:szCs w:val="21"/>
                <w:highlight w:val="none"/>
                <w:lang w:val="zh-CN"/>
              </w:rPr>
              <w:t>突发事件应急预案；（</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合理化建议；（</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）其他】。</w:t>
            </w:r>
          </w:p>
          <w:p>
            <w:pPr>
              <w:keepNext w:val="0"/>
              <w:keepLines w:val="0"/>
              <w:pageBreakBefore w:val="0"/>
              <w:kinsoku/>
              <w:wordWrap/>
              <w:overflowPunct/>
              <w:bidi w:val="0"/>
              <w:adjustRightInd w:val="0"/>
              <w:snapToGrid w:val="0"/>
              <w:spacing w:line="440" w:lineRule="exact"/>
              <w:ind w:lef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★投标人承诺</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投标人认为需要提供的其它说明和资料。</w:t>
            </w:r>
          </w:p>
          <w:p>
            <w:pPr>
              <w:widowControl/>
              <w:tabs>
                <w:tab w:val="left" w:pos="0"/>
                <w:tab w:val="left" w:pos="220"/>
              </w:tabs>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以上带</w:t>
            </w:r>
            <w:r>
              <w:rPr>
                <w:rFonts w:hint="eastAsia" w:ascii="宋体" w:hAnsi="宋体" w:eastAsia="宋体" w:cs="Segoe UI Symbol"/>
                <w:b/>
                <w:color w:val="auto"/>
                <w:szCs w:val="21"/>
                <w:highlight w:val="none"/>
              </w:rPr>
              <w:t>★</w:t>
            </w:r>
            <w:r>
              <w:rPr>
                <w:rFonts w:hint="eastAsia" w:ascii="宋体" w:hAnsi="宋体" w:eastAsia="宋体" w:cs="Times New Roman"/>
                <w:b/>
                <w:color w:val="auto"/>
                <w:szCs w:val="21"/>
                <w:highlight w:val="none"/>
              </w:rPr>
              <w:t>的文件及资料未提供或提供的无效，则投标无效。</w:t>
            </w:r>
          </w:p>
          <w:p>
            <w:pPr>
              <w:adjustRightInd w:val="0"/>
              <w:snapToGrid w:val="0"/>
              <w:spacing w:line="360" w:lineRule="auto"/>
              <w:jc w:val="left"/>
              <w:rPr>
                <w:rFonts w:hint="eastAsia" w:ascii="宋体" w:hAnsi="宋体" w:eastAsia="宋体" w:cs="Times New Roman"/>
                <w:color w:val="auto"/>
                <w:szCs w:val="21"/>
                <w:highlight w:val="none"/>
              </w:rPr>
            </w:pPr>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以上带★的文件及资料，</w:t>
            </w:r>
            <w:r>
              <w:rPr>
                <w:rFonts w:hint="eastAsia" w:ascii="宋体" w:hAnsi="宋体" w:eastAsia="宋体" w:cs="Segoe UI Symbol"/>
                <w:b/>
                <w:color w:val="auto"/>
                <w:szCs w:val="21"/>
                <w:highlight w:val="none"/>
              </w:rPr>
              <w:t>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17</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从提交投标文件的截止之日起计算</w:t>
            </w:r>
            <w:r>
              <w:rPr>
                <w:rFonts w:ascii="宋体" w:hAnsi="宋体" w:eastAsia="宋体" w:cs="Times New Roman"/>
                <w:color w:val="auto"/>
                <w:szCs w:val="21"/>
                <w:highlight w:val="none"/>
                <w:u w:val="single"/>
              </w:rPr>
              <w:t xml:space="preserve"> 90 </w:t>
            </w:r>
            <w:r>
              <w:rPr>
                <w:rFonts w:hint="eastAsia" w:ascii="宋体" w:hAnsi="宋体" w:eastAsia="宋体" w:cs="Times New Roman"/>
                <w:color w:val="auto"/>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18</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提交投标文件方式、截止时间、开标时间、地点</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提交方式：</w:t>
            </w:r>
            <w:r>
              <w:rPr>
                <w:rFonts w:hint="eastAsia" w:ascii="宋体" w:hAnsi="宋体" w:eastAsia="宋体" w:cs="Times New Roman"/>
                <w:color w:val="auto"/>
                <w:szCs w:val="21"/>
                <w:highlight w:val="none"/>
                <w:u w:val="single"/>
              </w:rPr>
              <w:t>纸质文件提交。</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投标截止时间和开标时间：</w:t>
            </w:r>
            <w:r>
              <w:rPr>
                <w:rFonts w:hint="eastAsia" w:ascii="宋体" w:hAnsi="宋体" w:eastAsia="宋体" w:cs="Times New Roman"/>
                <w:color w:val="auto"/>
                <w:szCs w:val="21"/>
                <w:highlight w:val="none"/>
                <w:u w:val="single"/>
              </w:rPr>
              <w:t>2025年</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lang w:val="en-US" w:eastAsia="zh-CN"/>
              </w:rPr>
              <w:t>16</w:t>
            </w:r>
            <w:r>
              <w:rPr>
                <w:rFonts w:hint="eastAsia" w:ascii="宋体" w:hAnsi="宋体" w:eastAsia="宋体" w:cs="Times New Roman"/>
                <w:color w:val="auto"/>
                <w:szCs w:val="21"/>
                <w:highlight w:val="none"/>
                <w:u w:val="single"/>
              </w:rPr>
              <w:t>日9时30分00秒</w:t>
            </w:r>
            <w:r>
              <w:rPr>
                <w:rFonts w:hint="eastAsia" w:ascii="宋体" w:hAnsi="宋体" w:eastAsia="宋体" w:cs="Times New Roman"/>
                <w:color w:val="auto"/>
                <w:szCs w:val="21"/>
                <w:highlight w:val="none"/>
              </w:rPr>
              <w:t>（北京时间）。</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开标方式：</w:t>
            </w:r>
            <w:r>
              <w:rPr>
                <w:rFonts w:hint="eastAsia" w:ascii="宋体" w:hAnsi="宋体" w:eastAsia="宋体" w:cs="Times New Roman"/>
                <w:color w:val="auto"/>
                <w:szCs w:val="21"/>
                <w:highlight w:val="none"/>
                <w:u w:val="single"/>
              </w:rPr>
              <w:t>线下开标。</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提交投标文件地点：</w:t>
            </w:r>
            <w:r>
              <w:rPr>
                <w:rFonts w:hint="eastAsia" w:ascii="宋体" w:hAnsi="宋体" w:eastAsia="宋体" w:cs="Times New Roman"/>
                <w:b/>
                <w:color w:val="auto"/>
                <w:szCs w:val="21"/>
                <w:highlight w:val="none"/>
                <w:u w:val="single"/>
              </w:rPr>
              <w:t>云之龙咨询集团有限公司（广西来宾市兴宾区古三路丽景苑商业城北门2-1号2楼开标大厅）。（投标人应在投标文件递交截止时间前，将投标文件密封送达投标地点，未在规定时间内送达投标地点或未按照招标文件要求密封的投标文件，将予以拒收）。</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开标地点：</w:t>
            </w:r>
            <w:r>
              <w:rPr>
                <w:rFonts w:hint="eastAsia" w:ascii="宋体" w:hAnsi="宋体" w:eastAsia="宋体" w:cs="Times New Roman"/>
                <w:b/>
                <w:color w:val="auto"/>
                <w:szCs w:val="21"/>
                <w:highlight w:val="none"/>
                <w:u w:val="single"/>
              </w:rPr>
              <w:t>云之龙咨询集团有限公司（广西来宾市兴宾区古三路丽景苑商业城北门2-1号2楼开标大厅）。</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联系电话：</w:t>
            </w:r>
            <w:r>
              <w:rPr>
                <w:rFonts w:hint="eastAsia" w:ascii="宋体" w:hAnsi="宋体" w:eastAsia="宋体" w:cs="Times New Roman"/>
                <w:b/>
                <w:color w:val="auto"/>
                <w:szCs w:val="21"/>
                <w:highlight w:val="none"/>
                <w:u w:val="single"/>
                <w:lang w:eastAsia="zh-CN"/>
              </w:rPr>
              <w:t>张惠洁、冯涌</w:t>
            </w:r>
            <w:r>
              <w:rPr>
                <w:rFonts w:hint="eastAsia" w:ascii="宋体" w:hAnsi="宋体" w:eastAsia="宋体" w:cs="Times New Roman"/>
                <w:b/>
                <w:color w:val="auto"/>
                <w:szCs w:val="21"/>
                <w:highlight w:val="none"/>
                <w:u w:val="single"/>
              </w:rPr>
              <w:t xml:space="preserve"> 0772-4299199、4298488。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19</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投标保证金</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hint="eastAsia" w:ascii="宋体" w:hAnsi="宋体" w:eastAsia="宋体" w:cs="Times New Roman"/>
                <w:snapToGrid w:val="0"/>
                <w:color w:val="auto"/>
                <w:szCs w:val="21"/>
                <w:highlight w:val="none"/>
                <w:lang w:val="zh-CN"/>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不要求提供</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FE"/>
            </w:r>
            <w:r>
              <w:rPr>
                <w:rFonts w:hint="eastAsia" w:ascii="宋体" w:hAnsi="宋体" w:eastAsia="宋体" w:cs="Times New Roman"/>
                <w:color w:val="auto"/>
                <w:szCs w:val="21"/>
                <w:highlight w:val="none"/>
              </w:rPr>
              <w:t>要求提供：</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）金额：人民币（大写）贰万元整(¥20000.00)。</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）提交方式：</w:t>
            </w:r>
            <w:r>
              <w:rPr>
                <w:rFonts w:hint="eastAsia" w:ascii="宋体" w:hAnsi="宋体" w:eastAsia="宋体" w:cs="Times New Roman"/>
                <w:color w:val="auto"/>
                <w:szCs w:val="21"/>
                <w:highlight w:val="none"/>
                <w:u w:val="single"/>
              </w:rPr>
              <w:t>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w:t>
            </w:r>
            <w:r>
              <w:rPr>
                <w:rFonts w:hint="eastAsia" w:ascii="宋体" w:hAnsi="宋体" w:eastAsia="宋体" w:cs="Times New Roman"/>
                <w:b/>
                <w:color w:val="auto"/>
                <w:szCs w:val="21"/>
                <w:highlight w:val="none"/>
                <w:u w:val="single"/>
              </w:rPr>
              <w:t>。否则视为无效投标保证金。</w:t>
            </w:r>
          </w:p>
          <w:p>
            <w:pPr>
              <w:topLinePunct/>
              <w:autoSpaceDE w:val="0"/>
              <w:autoSpaceDN w:val="0"/>
              <w:adjustRightInd w:val="0"/>
              <w:snapToGrid w:val="0"/>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收款人户名：云之龙咨询集团有限公司来宾分公司</w:t>
            </w:r>
          </w:p>
          <w:p>
            <w:pPr>
              <w:topLinePunct/>
              <w:autoSpaceDE w:val="0"/>
              <w:autoSpaceDN w:val="0"/>
              <w:adjustRightInd w:val="0"/>
              <w:snapToGrid w:val="0"/>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开户银行：中信银行南宁东葛支行</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u w:val="single"/>
              </w:rPr>
              <w:t>银行账号：8113001014700074527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Times New Roman" w:hAnsi="Times New Roman"/>
                <w:color w:val="auto"/>
                <w:szCs w:val="21"/>
                <w:highlight w:val="none"/>
              </w:rPr>
              <w:t>20</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hint="eastAsia" w:ascii="宋体" w:hAnsi="宋体" w:eastAsia="宋体" w:cs="Times New Roman"/>
                <w:color w:val="auto"/>
                <w:szCs w:val="21"/>
                <w:highlight w:val="none"/>
              </w:rPr>
            </w:pPr>
            <w:r>
              <w:rPr>
                <w:rFonts w:ascii="Times New Roman" w:hAnsi="Times New Roman"/>
                <w:color w:val="auto"/>
                <w:szCs w:val="21"/>
                <w:highlight w:val="none"/>
              </w:rPr>
              <w:t>投标保证金</w:t>
            </w:r>
            <w:r>
              <w:rPr>
                <w:rFonts w:hint="eastAsia" w:ascii="Times New Roman" w:hAnsi="Times New Roman"/>
                <w:color w:val="auto"/>
                <w:szCs w:val="21"/>
                <w:highlight w:val="none"/>
              </w:rPr>
              <w:t>退还方式以及</w:t>
            </w:r>
            <w:r>
              <w:rPr>
                <w:rFonts w:ascii="Times New Roman" w:hAnsi="Times New Roman"/>
                <w:color w:val="auto"/>
                <w:szCs w:val="21"/>
                <w:highlight w:val="none"/>
              </w:rPr>
              <w:t>不予退还的情形</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topLinePunct/>
              <w:autoSpaceDE w:val="0"/>
              <w:autoSpaceDN w:val="0"/>
              <w:adjustRightInd w:val="0"/>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未中标的投标人的投标保证金，将在中标通知书发出后</w:t>
            </w: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个工作日内退还，但因投标人自身原因导致无法及时退还的除外。</w:t>
            </w:r>
          </w:p>
          <w:p>
            <w:pPr>
              <w:topLinePunct/>
              <w:autoSpaceDE w:val="0"/>
              <w:autoSpaceDN w:val="0"/>
              <w:adjustRightInd w:val="0"/>
              <w:snapToGrid w:val="0"/>
              <w:spacing w:line="360" w:lineRule="auto"/>
              <w:rPr>
                <w:rFonts w:ascii="Times New Roman" w:hAnsi="Times New Roman"/>
                <w:color w:val="auto"/>
                <w:szCs w:val="21"/>
                <w:highlight w:val="none"/>
              </w:rPr>
            </w:pPr>
            <w:r>
              <w:rPr>
                <w:rFonts w:hint="eastAsia" w:ascii="Times New Roman" w:hAnsi="Times New Roman" w:cs="Times New Roman"/>
                <w:color w:val="auto"/>
                <w:szCs w:val="21"/>
                <w:highlight w:val="none"/>
              </w:rPr>
              <w:t>中标的投标人的投标保证金，将在政府采购合同签订后</w:t>
            </w: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个工作日内退还。</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有下列情形之一的，投标保证金将不予退还：</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（1）投标人串通投标或有视为串通投标情形之一的；</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（2）投标人提供虚假材料；</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（3）投标人采取不正当手段诋毁、排挤其他投标人；</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（4）投标截止时间后，投标人在投标有效期内撤销投标文件；</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（5）中标人有下列情形之一的：</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a.除不可抗力外，因中标人自身原因未在中标通知书要求的期限内与采购人签订政府采购合同；</w:t>
            </w:r>
          </w:p>
          <w:p>
            <w:pPr>
              <w:topLinePunct/>
              <w:autoSpaceDE w:val="0"/>
              <w:autoSpaceDN w:val="0"/>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b.未按照招标文件、投标文件的约定签订政府采购合同或提交履约保证金。</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ascii="Times New Roman" w:hAnsi="Times New Roman"/>
                <w:color w:val="auto"/>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60" w:lineRule="auto"/>
              <w:rPr>
                <w:rFonts w:hint="eastAsia" w:ascii="宋体" w:hAnsi="宋体" w:eastAsia="宋体" w:cs="Times New Roman"/>
                <w:color w:val="auto"/>
                <w:szCs w:val="21"/>
                <w:highlight w:val="none"/>
              </w:rPr>
            </w:pPr>
            <w:r>
              <w:rPr>
                <w:rFonts w:ascii="Times New Roman" w:hAnsi="Times New Roman"/>
                <w:color w:val="auto"/>
                <w:szCs w:val="21"/>
                <w:highlight w:val="none"/>
              </w:rPr>
              <w:t>其他不予退还投标保证金的情形：</w:t>
            </w:r>
            <w:r>
              <w:rPr>
                <w:rFonts w:ascii="Times New Roman" w:hAnsi="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21</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信用记录审查</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pacing w:line="360" w:lineRule="auto"/>
              <w:rPr>
                <w:rFonts w:hint="eastAsia" w:ascii="宋体" w:hAnsi="宋体" w:eastAsia="宋体" w:cs="Times New Roman"/>
                <w:snapToGrid w:val="0"/>
                <w:color w:val="auto"/>
                <w:szCs w:val="21"/>
                <w:highlight w:val="none"/>
              </w:rPr>
            </w:pPr>
            <w:r>
              <w:rPr>
                <w:rFonts w:hint="eastAsia" w:ascii="宋体" w:hAnsi="宋体" w:eastAsia="宋体" w:cs="Times New Roman"/>
                <w:color w:val="auto"/>
                <w:szCs w:val="21"/>
                <w:highlight w:val="none"/>
              </w:rPr>
              <w:t>根据《财政部关于在政府采购活动中查询及使用信用记录有关问题的通知》（财库〔</w:t>
            </w:r>
            <w:r>
              <w:rPr>
                <w:rFonts w:ascii="宋体" w:hAnsi="宋体" w:eastAsia="宋体" w:cs="Times New Roman"/>
                <w:color w:val="auto"/>
                <w:szCs w:val="21"/>
                <w:highlight w:val="none"/>
              </w:rPr>
              <w:t>2016</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125</w:t>
            </w:r>
            <w:r>
              <w:rPr>
                <w:rFonts w:hint="eastAsia" w:ascii="宋体" w:hAnsi="宋体" w:eastAsia="宋体" w:cs="Times New Roman"/>
                <w:color w:val="auto"/>
                <w:szCs w:val="21"/>
                <w:highlight w:val="none"/>
              </w:rPr>
              <w:t>号）规定，开标结束后，采购人、采购代理机构将通过</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信用中国</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网站（</w:t>
            </w:r>
            <w:r>
              <w:rPr>
                <w:rFonts w:ascii="宋体" w:hAnsi="宋体" w:eastAsia="宋体" w:cs="Times New Roman"/>
                <w:color w:val="auto"/>
                <w:szCs w:val="21"/>
                <w:highlight w:val="none"/>
              </w:rPr>
              <w:t>www.creditchina.gov.cn</w:t>
            </w:r>
            <w:r>
              <w:rPr>
                <w:rFonts w:hint="eastAsia" w:ascii="宋体" w:hAnsi="宋体" w:eastAsia="宋体" w:cs="Times New Roman"/>
                <w:color w:val="auto"/>
                <w:szCs w:val="21"/>
                <w:highlight w:val="none"/>
              </w:rPr>
              <w:t>）、中国政府采购网（</w:t>
            </w:r>
            <w:r>
              <w:rPr>
                <w:rFonts w:ascii="宋体" w:hAnsi="宋体" w:eastAsia="宋体" w:cs="Times New Roman"/>
                <w:color w:val="auto"/>
                <w:szCs w:val="21"/>
                <w:highlight w:val="none"/>
              </w:rPr>
              <w:t>www.ccgp.gov.cn</w:t>
            </w:r>
            <w:r>
              <w:rPr>
                <w:rFonts w:hint="eastAsia" w:ascii="宋体" w:hAnsi="宋体" w:eastAsia="宋体" w:cs="Times New Roman"/>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w:t>
            </w:r>
            <w:r>
              <w:rPr>
                <w:rFonts w:hint="eastAsia" w:ascii="宋体" w:hAnsi="宋体" w:eastAsia="宋体" w:cs="Times New Roman"/>
                <w:b/>
                <w:color w:val="auto"/>
                <w:szCs w:val="21"/>
                <w:highlight w:val="none"/>
              </w:rPr>
              <w:t>其投标将被拒绝</w:t>
            </w:r>
            <w:r>
              <w:rPr>
                <w:rFonts w:hint="eastAsia" w:ascii="宋体" w:hAnsi="宋体" w:eastAsia="宋体" w:cs="Times New Roman"/>
                <w:color w:val="auto"/>
                <w:szCs w:val="21"/>
                <w:highlight w:val="none"/>
              </w:rPr>
              <w:t>。</w:t>
            </w:r>
          </w:p>
          <w:p>
            <w:pPr>
              <w:wordWrap w:val="0"/>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本次查询的信用记录仅限于本项目使用，查询结果将留存在采购档案中。</w:t>
            </w:r>
          </w:p>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22</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支持中小型</w:t>
            </w:r>
          </w:p>
          <w:p>
            <w:pPr>
              <w:topLinePunct/>
              <w:autoSpaceDE w:val="0"/>
              <w:autoSpaceDN w:val="0"/>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企业发展</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根据《政府采购促进中小企业发展管理办法》（财库〔</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w:t>
            </w:r>
            <w:r>
              <w:rPr>
                <w:rFonts w:hint="eastAsia" w:ascii="宋体" w:hAnsi="宋体" w:eastAsia="宋体" w:cs="Times New Roman"/>
                <w:color w:val="auto"/>
                <w:szCs w:val="21"/>
                <w:highlight w:val="none"/>
              </w:rPr>
              <w:t>号），鼓励中小企业参加本项目采购活动。</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w:t>
            </w:r>
          </w:p>
          <w:p>
            <w:pPr>
              <w:adjustRightInd w:val="0"/>
              <w:snapToGrid w:val="0"/>
              <w:spacing w:line="360" w:lineRule="auto"/>
              <w:rPr>
                <w:rFonts w:hint="eastAsia" w:ascii="宋体" w:hAnsi="宋体" w:eastAsia="宋体" w:cs="Times New Roman"/>
                <w:color w:val="auto"/>
                <w:szCs w:val="21"/>
                <w:highlight w:val="none"/>
              </w:rPr>
            </w:pPr>
            <w:r>
              <w:rPr>
                <w:rFonts w:ascii="Wingdings" w:hAnsi="Wingdings" w:eastAsia="宋体" w:cs="Wingdings"/>
                <w:b/>
                <w:bCs/>
                <w:color w:val="auto"/>
                <w:kern w:val="0"/>
                <w:sz w:val="24"/>
                <w:szCs w:val="24"/>
                <w:highlight w:val="none"/>
              </w:rPr>
              <w:sym w:font="Wingdings" w:char="00FE"/>
            </w:r>
            <w:r>
              <w:rPr>
                <w:rFonts w:hint="eastAsia" w:ascii="宋体" w:hAnsi="宋体" w:eastAsia="宋体" w:cs="Times New Roman"/>
                <w:b/>
                <w:bCs/>
                <w:color w:val="auto"/>
                <w:sz w:val="24"/>
                <w:szCs w:val="24"/>
                <w:highlight w:val="none"/>
              </w:rPr>
              <w:t>专门面向</w:t>
            </w:r>
            <w:r>
              <w:rPr>
                <w:rFonts w:hint="eastAsia" w:ascii="宋体" w:hAnsi="宋体" w:eastAsia="宋体" w:cs="Times New Roman"/>
                <w:b/>
                <w:bCs/>
                <w:color w:val="auto"/>
                <w:sz w:val="24"/>
                <w:szCs w:val="24"/>
                <w:highlight w:val="none"/>
                <w:u w:val="single"/>
              </w:rPr>
              <w:t>小微企业</w:t>
            </w:r>
            <w:r>
              <w:rPr>
                <w:rFonts w:hint="eastAsia" w:ascii="宋体" w:hAnsi="宋体" w:eastAsia="宋体" w:cs="Times New Roman"/>
                <w:b/>
                <w:bCs/>
                <w:color w:val="auto"/>
                <w:sz w:val="24"/>
                <w:szCs w:val="24"/>
                <w:highlight w:val="none"/>
              </w:rPr>
              <w:t>采购项目</w:t>
            </w:r>
            <w:r>
              <w:rPr>
                <w:rFonts w:hint="eastAsia" w:ascii="宋体" w:hAnsi="宋体" w:eastAsia="宋体" w:cs="Times New Roman"/>
                <w:color w:val="auto"/>
                <w:szCs w:val="21"/>
                <w:highlight w:val="none"/>
              </w:rPr>
              <w:t>。</w:t>
            </w:r>
          </w:p>
          <w:p>
            <w:pPr>
              <w:adjustRightInd w:val="0"/>
              <w:snapToGrid w:val="0"/>
              <w:spacing w:line="360" w:lineRule="auto"/>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预留份额面向中小企业采购项目（说明：</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djustRightInd w:val="0"/>
              <w:snapToGrid w:val="0"/>
              <w:spacing w:line="360" w:lineRule="auto"/>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非专门面向中小企业采购项目。对小型和微型企业的投标价格给予</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23</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支持监狱企业发展</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根据《关于政府采购支持监狱企业发展有关问题的通知》（财库〔</w:t>
            </w:r>
            <w:r>
              <w:rPr>
                <w:rFonts w:ascii="宋体" w:hAnsi="宋体" w:eastAsia="宋体" w:cs="Times New Roman"/>
                <w:color w:val="auto"/>
                <w:szCs w:val="21"/>
                <w:highlight w:val="none"/>
              </w:rPr>
              <w:t>2014</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68</w:t>
            </w:r>
            <w:r>
              <w:rPr>
                <w:rFonts w:hint="eastAsia" w:ascii="宋体" w:hAnsi="宋体" w:eastAsia="宋体" w:cs="Times New Roman"/>
                <w:color w:val="auto"/>
                <w:szCs w:val="21"/>
                <w:highlight w:val="none"/>
              </w:rPr>
              <w:t>号），监狱企业视同小型、微型企业，按照</w:t>
            </w:r>
            <w:r>
              <w:rPr>
                <w:rFonts w:hint="eastAsia" w:ascii="宋体" w:hAnsi="宋体" w:eastAsia="宋体" w:cs="Times New Roman"/>
                <w:b/>
                <w:bCs/>
                <w:color w:val="auto"/>
                <w:szCs w:val="21"/>
                <w:highlight w:val="none"/>
              </w:rPr>
              <w:t>投标人须知前附表第</w:t>
            </w:r>
            <w:r>
              <w:rPr>
                <w:rFonts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rPr>
              <w:t>项</w:t>
            </w:r>
            <w:r>
              <w:rPr>
                <w:rFonts w:hint="eastAsia" w:ascii="宋体" w:hAnsi="宋体" w:eastAsia="宋体" w:cs="Times New Roman"/>
                <w:color w:val="auto"/>
                <w:szCs w:val="21"/>
                <w:highlight w:val="none"/>
              </w:rPr>
              <w:t>享受中小企业扶持政策。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24</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促进残疾人</w:t>
            </w:r>
          </w:p>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就业</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根据《关于促进残疾人就业政府采购政策的通知》（财库〔</w:t>
            </w:r>
            <w:r>
              <w:rPr>
                <w:rFonts w:ascii="宋体" w:hAnsi="宋体" w:eastAsia="宋体" w:cs="Times New Roman"/>
                <w:color w:val="auto"/>
                <w:szCs w:val="21"/>
                <w:highlight w:val="none"/>
              </w:rPr>
              <w:t>2017</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141</w:t>
            </w:r>
            <w:r>
              <w:rPr>
                <w:rFonts w:hint="eastAsia" w:ascii="宋体" w:hAnsi="宋体" w:eastAsia="宋体" w:cs="Times New Roman"/>
                <w:color w:val="auto"/>
                <w:szCs w:val="21"/>
                <w:highlight w:val="none"/>
              </w:rPr>
              <w:t>号），残疾人福利性单位视同小型、微型企业，按照</w:t>
            </w:r>
            <w:r>
              <w:rPr>
                <w:rFonts w:hint="eastAsia" w:ascii="宋体" w:hAnsi="宋体" w:eastAsia="宋体" w:cs="Times New Roman"/>
                <w:b/>
                <w:bCs/>
                <w:color w:val="auto"/>
                <w:szCs w:val="21"/>
                <w:highlight w:val="none"/>
              </w:rPr>
              <w:t>投标人须知前附表第</w:t>
            </w:r>
            <w:r>
              <w:rPr>
                <w:rFonts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rPr>
              <w:t>项</w:t>
            </w:r>
            <w:r>
              <w:rPr>
                <w:rFonts w:hint="eastAsia" w:ascii="宋体" w:hAnsi="宋体" w:eastAsia="宋体" w:cs="Times New Roman"/>
                <w:color w:val="auto"/>
                <w:szCs w:val="21"/>
                <w:highlight w:val="none"/>
              </w:rPr>
              <w:t>享受中小企业扶持政策。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25</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其他法律法规强制性规定或扶持政策</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本项目中强制采购节能产品的货物名称：无。</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采购包</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注：</w:t>
            </w:r>
            <w:r>
              <w:rPr>
                <w:rFonts w:hint="eastAsia" w:ascii="宋体" w:hAnsi="宋体" w:eastAsia="宋体" w:cs="Times New Roman"/>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本项目中采购信息安全产品的货物名称：无。</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采购包</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w:t>
            </w:r>
          </w:p>
          <w:p>
            <w:pPr>
              <w:topLinePunct/>
              <w:autoSpaceDE w:val="0"/>
              <w:autoSpaceDN w:val="0"/>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szCs w:val="21"/>
                <w:highlight w:val="none"/>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b/>
                <w:color w:val="auto"/>
                <w:szCs w:val="21"/>
                <w:highlight w:val="none"/>
              </w:rPr>
            </w:pPr>
          </w:p>
        </w:tc>
        <w:tc>
          <w:tcPr>
            <w:tcW w:w="6713"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其他法律法规强制性规定或扶持政策：无。</w:t>
            </w:r>
          </w:p>
          <w:p>
            <w:pPr>
              <w:topLinePunct/>
              <w:autoSpaceDE w:val="0"/>
              <w:autoSpaceDN w:val="0"/>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采购包</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26</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1875"/>
              </w:tabs>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评标方法</w:t>
            </w:r>
          </w:p>
          <w:p>
            <w:pPr>
              <w:tabs>
                <w:tab w:val="left" w:pos="1875"/>
              </w:tabs>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及分值</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szCs w:val="21"/>
                <w:highlight w:val="none"/>
              </w:rPr>
              <w:sym w:font="Wingdings" w:char="00A8"/>
            </w:r>
            <w:r>
              <w:rPr>
                <w:rFonts w:hint="eastAsia" w:ascii="宋体" w:hAnsi="宋体" w:eastAsia="宋体" w:cs="Times New Roman"/>
                <w:color w:val="auto"/>
                <w:szCs w:val="21"/>
                <w:highlight w:val="none"/>
              </w:rPr>
              <w:t>本项目采用最低评标价法，详见招标文件商务部分第三章。</w:t>
            </w:r>
          </w:p>
          <w:p>
            <w:pPr>
              <w:adjustRightInd w:val="0"/>
              <w:snapToGrid w:val="0"/>
              <w:spacing w:line="360" w:lineRule="auto"/>
              <w:jc w:val="left"/>
              <w:rPr>
                <w:rFonts w:hint="eastAsia" w:ascii="宋体" w:hAnsi="宋体" w:eastAsia="宋体" w:cs="Times New Roman"/>
                <w:color w:val="auto"/>
                <w:szCs w:val="21"/>
                <w:highlight w:val="none"/>
              </w:rPr>
            </w:pPr>
            <w:r>
              <w:rPr>
                <w:rFonts w:ascii="Wingdings" w:hAnsi="Wingdings" w:eastAsia="宋体" w:cs="Wingdings"/>
                <w:color w:val="auto"/>
                <w:kern w:val="0"/>
                <w:szCs w:val="21"/>
                <w:highlight w:val="none"/>
              </w:rPr>
              <w:sym w:font="Wingdings" w:char="00FE"/>
            </w:r>
            <w:r>
              <w:rPr>
                <w:rFonts w:hint="eastAsia" w:ascii="宋体" w:hAnsi="宋体" w:eastAsia="宋体" w:cs="Times New Roman"/>
                <w:color w:val="auto"/>
                <w:szCs w:val="21"/>
                <w:highlight w:val="none"/>
              </w:rPr>
              <w:t>本项目采用综合评分法，其中价格分值为</w:t>
            </w:r>
            <w:r>
              <w:rPr>
                <w:rFonts w:hint="eastAsia" w:ascii="宋体" w:hAnsi="宋体" w:eastAsia="宋体" w:cs="Times New Roman"/>
                <w:color w:val="auto"/>
                <w:szCs w:val="21"/>
                <w:highlight w:val="none"/>
                <w:u w:val="single"/>
                <w:lang w:val="en-US" w:eastAsia="zh-CN"/>
              </w:rPr>
              <w:t>20</w:t>
            </w:r>
            <w:r>
              <w:rPr>
                <w:rFonts w:hint="eastAsia" w:ascii="宋体" w:hAnsi="宋体" w:eastAsia="宋体" w:cs="Times New Roman"/>
                <w:color w:val="auto"/>
                <w:szCs w:val="21"/>
                <w:highlight w:val="none"/>
              </w:rPr>
              <w:t>分，其他因素分值为</w:t>
            </w:r>
            <w:r>
              <w:rPr>
                <w:rFonts w:hint="eastAsia" w:ascii="宋体" w:hAnsi="宋体" w:eastAsia="宋体" w:cs="Times New Roman"/>
                <w:color w:val="auto"/>
                <w:szCs w:val="21"/>
                <w:highlight w:val="none"/>
                <w:u w:val="single"/>
                <w:lang w:val="en-US" w:eastAsia="zh-CN"/>
              </w:rPr>
              <w:t>80</w:t>
            </w:r>
            <w:r>
              <w:rPr>
                <w:rFonts w:hint="eastAsia" w:ascii="宋体" w:hAnsi="宋体" w:eastAsia="宋体" w:cs="Times New Roman"/>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27</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履约保证金</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color w:val="auto"/>
                <w:highlight w:val="none"/>
              </w:rPr>
              <w:t>☑</w:t>
            </w:r>
            <w:r>
              <w:rPr>
                <w:rFonts w:hint="eastAsia" w:ascii="宋体" w:hAnsi="宋体" w:eastAsia="宋体" w:cs="Times New Roman"/>
                <w:color w:val="auto"/>
                <w:szCs w:val="21"/>
                <w:highlight w:val="none"/>
              </w:rPr>
              <w:t>不要求提供</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sym w:font="Wingdings 2" w:char="00A3"/>
            </w:r>
            <w:r>
              <w:rPr>
                <w:rFonts w:hint="eastAsia" w:ascii="宋体" w:hAnsi="宋体" w:eastAsia="宋体" w:cs="Times New Roman"/>
                <w:color w:val="auto"/>
                <w:szCs w:val="21"/>
                <w:highlight w:val="none"/>
              </w:rPr>
              <w:t>要求提供，履约保证金的数额不得超过采购合同总金额的10%，本项目履约保证金为合同总金额的</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满足履约保证金返还条件且双方对核实结果无异议的，自完成核实之日起30日内，采购人根据项目验收意见扣除应扣除的款项（如有）后，原路无息返还履约保证金。</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采购人账户： </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p>
            <w:pPr>
              <w:adjustRightInd w:val="0"/>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银行账号：</w:t>
            </w:r>
          </w:p>
          <w:p>
            <w:pPr>
              <w:adjustRightInd w:val="0"/>
              <w:snapToGrid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注：以电汇方式递交履约保证金须在电汇凭据附言栏中写明采购编号、包号及用途(履约保证金)</w:t>
            </w:r>
            <w:r>
              <w:rPr>
                <w:rFonts w:hint="eastAsia"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28</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接收质疑的方式、部门、电话和通讯地址</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p>
          <w:p>
            <w:pPr>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）接收质疑函的方式：</w:t>
            </w:r>
            <w:r>
              <w:rPr>
                <w:rFonts w:hint="eastAsia" w:ascii="宋体" w:hAnsi="宋体" w:eastAsia="宋体" w:cs="Times New Roman"/>
                <w:color w:val="auto"/>
                <w:szCs w:val="21"/>
                <w:highlight w:val="none"/>
                <w:u w:val="single"/>
              </w:rPr>
              <w:t>书面形式</w:t>
            </w:r>
            <w:r>
              <w:rPr>
                <w:rFonts w:ascii="宋体" w:hAnsi="宋体" w:eastAsia="宋体" w:cs="Times New Roman"/>
                <w:color w:val="auto"/>
                <w:szCs w:val="21"/>
                <w:highlight w:val="none"/>
                <w:u w:val="single"/>
              </w:rPr>
              <w:t>。</w:t>
            </w:r>
          </w:p>
          <w:p>
            <w:pPr>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）联系部门：</w:t>
            </w:r>
            <w:r>
              <w:rPr>
                <w:rFonts w:hint="eastAsia" w:ascii="宋体" w:hAnsi="宋体" w:eastAsia="宋体" w:cs="Times New Roman"/>
                <w:color w:val="auto"/>
                <w:szCs w:val="21"/>
                <w:highlight w:val="none"/>
                <w:u w:val="single"/>
              </w:rPr>
              <w:t>云之龙咨询集团有限公司</w:t>
            </w:r>
          </w:p>
          <w:p>
            <w:pPr>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）联系电话：</w:t>
            </w:r>
            <w:r>
              <w:rPr>
                <w:rFonts w:hint="eastAsia" w:ascii="宋体" w:hAnsi="宋体" w:eastAsia="宋体" w:cs="Times New Roman"/>
                <w:color w:val="auto"/>
                <w:szCs w:val="21"/>
                <w:highlight w:val="none"/>
                <w:u w:val="single"/>
                <w:lang w:eastAsia="zh-CN"/>
              </w:rPr>
              <w:t>张惠洁、冯涌</w:t>
            </w:r>
            <w:r>
              <w:rPr>
                <w:rFonts w:hint="eastAsia" w:ascii="宋体" w:hAnsi="宋体" w:eastAsia="宋体" w:cs="Times New Roman"/>
                <w:color w:val="auto"/>
                <w:szCs w:val="21"/>
                <w:highlight w:val="none"/>
                <w:u w:val="single"/>
              </w:rPr>
              <w:t xml:space="preserve"> 0772-4299199、4298488</w:t>
            </w:r>
          </w:p>
          <w:p>
            <w:pPr>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）通讯地址：</w:t>
            </w:r>
            <w:r>
              <w:rPr>
                <w:rFonts w:hint="eastAsia" w:ascii="宋体" w:hAnsi="宋体" w:eastAsia="宋体" w:cs="Times New Roman"/>
                <w:color w:val="auto"/>
                <w:szCs w:val="21"/>
                <w:highlight w:val="none"/>
                <w:u w:val="single"/>
              </w:rPr>
              <w:t>广西来宾市兴宾区古三路丽景苑商业城北门2-1号</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）电子邮箱：</w:t>
            </w:r>
            <w:r>
              <w:rPr>
                <w:rFonts w:ascii="宋体" w:hAnsi="宋体" w:eastAsia="宋体" w:cs="Times New Roman"/>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29</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需提交的投标文件份数</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需提交的投标文件份数：</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）正本</w:t>
            </w: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rPr>
              <w:t>份、副本</w:t>
            </w:r>
            <w:r>
              <w:rPr>
                <w:rFonts w:hint="eastAsia" w:ascii="宋体" w:hAnsi="宋体" w:eastAsia="宋体" w:cs="Times New Roman"/>
                <w:color w:val="auto"/>
                <w:szCs w:val="21"/>
                <w:highlight w:val="none"/>
                <w:u w:val="single"/>
              </w:rPr>
              <w:t>4</w:t>
            </w:r>
            <w:r>
              <w:rPr>
                <w:rFonts w:hint="eastAsia" w:ascii="宋体" w:hAnsi="宋体" w:eastAsia="宋体" w:cs="Times New Roman"/>
                <w:color w:val="auto"/>
                <w:szCs w:val="21"/>
                <w:highlight w:val="none"/>
              </w:rPr>
              <w:t>份。</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）电子文件</w:t>
            </w: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rPr>
              <w:t>份（扫描件及</w:t>
            </w:r>
            <w:r>
              <w:rPr>
                <w:rFonts w:ascii="宋体" w:hAnsi="宋体" w:eastAsia="宋体" w:cs="Times New Roman"/>
                <w:color w:val="auto"/>
                <w:szCs w:val="21"/>
                <w:highlight w:val="none"/>
              </w:rPr>
              <w:t>Word各一份</w:t>
            </w:r>
            <w:r>
              <w:rPr>
                <w:rFonts w:hint="eastAsia" w:ascii="宋体" w:hAnsi="宋体" w:eastAsia="宋体" w:cs="Times New Roman"/>
                <w:color w:val="auto"/>
                <w:szCs w:val="21"/>
                <w:highlight w:val="none"/>
              </w:rPr>
              <w:t>）。</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采用光盘或</w:t>
            </w:r>
            <w:r>
              <w:rPr>
                <w:rFonts w:ascii="宋体" w:hAnsi="宋体" w:eastAsia="宋体" w:cs="Times New Roman"/>
                <w:color w:val="auto"/>
                <w:szCs w:val="21"/>
                <w:highlight w:val="none"/>
              </w:rPr>
              <w:t>U</w:t>
            </w:r>
            <w:r>
              <w:rPr>
                <w:rFonts w:hint="eastAsia" w:ascii="宋体" w:hAnsi="宋体" w:eastAsia="宋体" w:cs="Times New Roman"/>
                <w:color w:val="auto"/>
                <w:szCs w:val="21"/>
                <w:highlight w:val="none"/>
              </w:rPr>
              <w:t>盘刻录提交。</w:t>
            </w:r>
          </w:p>
          <w:p>
            <w:pPr>
              <w:spacing w:line="420" w:lineRule="exac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注：为了方便后期档案装订，投标人可以将投标文件分册装订，</w:t>
            </w:r>
            <w:r>
              <w:rPr>
                <w:rFonts w:hint="eastAsia" w:ascii="宋体" w:hAnsi="宋体" w:eastAsia="宋体" w:cs="Times New Roman"/>
                <w:b/>
                <w:color w:val="auto"/>
                <w:szCs w:val="21"/>
                <w:highlight w:val="none"/>
              </w:rPr>
              <w:t>每</w:t>
            </w:r>
            <w:r>
              <w:rPr>
                <w:rFonts w:ascii="宋体" w:hAnsi="宋体" w:eastAsia="宋体" w:cs="Times New Roman"/>
                <w:b/>
                <w:color w:val="auto"/>
                <w:szCs w:val="21"/>
                <w:highlight w:val="none"/>
              </w:rPr>
              <w:t>册厚度不大于</w:t>
            </w:r>
            <w:r>
              <w:rPr>
                <w:rFonts w:hint="eastAsia" w:ascii="宋体" w:hAnsi="宋体" w:eastAsia="宋体" w:cs="Times New Roman"/>
                <w:b/>
                <w:color w:val="auto"/>
                <w:szCs w:val="21"/>
                <w:highlight w:val="none"/>
              </w:rPr>
              <w:t>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30</w:t>
            </w:r>
          </w:p>
        </w:tc>
        <w:tc>
          <w:tcPr>
            <w:tcW w:w="132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代理费用</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代理费用：</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）本项目代理费用由</w:t>
            </w:r>
            <w:r>
              <w:rPr>
                <w:rFonts w:hint="eastAsia" w:ascii="宋体" w:hAnsi="宋体" w:eastAsia="宋体" w:cs="Times New Roman"/>
                <w:color w:val="auto"/>
                <w:szCs w:val="21"/>
                <w:highlight w:val="none"/>
                <w:u w:val="single"/>
              </w:rPr>
              <w:t>中标人</w:t>
            </w:r>
            <w:r>
              <w:rPr>
                <w:rFonts w:hint="eastAsia" w:ascii="宋体" w:hAnsi="宋体" w:eastAsia="宋体" w:cs="Times New Roman"/>
                <w:color w:val="auto"/>
                <w:szCs w:val="21"/>
                <w:highlight w:val="none"/>
              </w:rPr>
              <w:t>支付。</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）代理费用收取方式及标准：</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在国家发展计划委员会《招标代理服务费管理暂行办法》（计价格〔2002〕</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1980号）、《国家发改委关于降低部分建设项目收费标准规范收费行为等有关问题的通知》（发改价格〔2011〕534号）规定的采购代理服务费标准执行。</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采购代理服务费标准费率：</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spacing w:line="420" w:lineRule="exact"/>
                    <w:ind w:left="1365" w:hanging="1365" w:hangingChars="65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费率</w:t>
                  </w:r>
                </w:p>
                <w:p>
                  <w:pPr>
                    <w:spacing w:line="420" w:lineRule="exact"/>
                    <w:rPr>
                      <w:rFonts w:hint="eastAsia" w:ascii="宋体" w:hAnsi="宋体" w:eastAsia="宋体" w:cs="Times New Roman"/>
                      <w:color w:val="auto"/>
                      <w:highlight w:val="none"/>
                    </w:rPr>
                  </w:pPr>
                  <w:r>
                    <w:rPr>
                      <w:rFonts w:hint="eastAsia" w:ascii="宋体" w:hAnsi="宋体" w:eastAsia="宋体" w:cs="Times New Roman"/>
                      <w:color w:val="auto"/>
                      <w:highlight w:val="none"/>
                    </w:rPr>
                    <w:t>中标金额</w:t>
                  </w:r>
                </w:p>
              </w:tc>
              <w:tc>
                <w:tcPr>
                  <w:tcW w:w="915" w:type="dxa"/>
                  <w:vAlign w:val="center"/>
                </w:tcPr>
                <w:p>
                  <w:pPr>
                    <w:spacing w:line="420" w:lineRule="exact"/>
                    <w:ind w:firstLine="105" w:firstLineChars="50"/>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货物招标</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服务招标</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100万元以下</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1.5%</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1.5%</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100～500万元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1.1%</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0.8%</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500～1000万元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0.8%</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0.45%</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1000～5000万元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0.5%</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0.25%</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5000万元～1亿元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0.25%</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0.1%</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1～5亿元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0.05%</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0.05%</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5～10亿元</w:t>
                  </w:r>
                </w:p>
              </w:tc>
              <w:tc>
                <w:tcPr>
                  <w:tcW w:w="91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0.035%</w:t>
                  </w:r>
                </w:p>
              </w:tc>
              <w:tc>
                <w:tcPr>
                  <w:tcW w:w="975"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0.035%</w:t>
                  </w:r>
                </w:p>
              </w:tc>
              <w:tc>
                <w:tcPr>
                  <w:tcW w:w="878" w:type="dxa"/>
                  <w:vAlign w:val="center"/>
                </w:tcPr>
                <w:p>
                  <w:pPr>
                    <w:spacing w:line="420" w:lineRule="exact"/>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0.035%</w:t>
                  </w:r>
                </w:p>
              </w:tc>
            </w:tr>
          </w:tbl>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注：采购代理服务收费按差额定率累进法计算。</w:t>
            </w:r>
          </w:p>
          <w:p>
            <w:pPr>
              <w:widowControl/>
              <w:spacing w:line="420" w:lineRule="exact"/>
              <w:jc w:val="left"/>
              <w:rPr>
                <w:rFonts w:hint="eastAsia" w:ascii="宋体" w:hAnsi="宋体" w:eastAsia="宋体" w:cs="宋体"/>
                <w:color w:val="auto"/>
                <w:kern w:val="0"/>
                <w:szCs w:val="21"/>
                <w:highlight w:val="none"/>
              </w:rPr>
            </w:pP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例如：广西税务系统某工程招标代理业务中标金额为6000万元，计算招标代理服务收费额如下：</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100万元×1.0%=1万元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（500-100）万元×0.7%=2.8万元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（1000-500）万元×0.55%=2.75万元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（5000-1000）万元×0.35%=14万元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（6000-5000）万元×0.2%=2万元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合计收费（标准费率）=1+2.8+2.75+14+2=22.55（万元）</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）招标代理服务费由中标人汇到如下指定账户：</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开户名称：云之龙咨询集团有限公司来宾分公司</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开户银行：中信银行南宁东葛支行</w:t>
            </w:r>
          </w:p>
          <w:p>
            <w:pPr>
              <w:spacing w:line="4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银行账号：8113001014500158111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42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31</w:t>
            </w:r>
          </w:p>
        </w:tc>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宋体" w:hAnsi="宋体" w:eastAsia="宋体" w:cs="Times New Roman"/>
                <w:color w:val="auto"/>
                <w:szCs w:val="21"/>
                <w:highlight w:val="none"/>
              </w:rPr>
            </w:pPr>
            <w:r>
              <w:rPr>
                <w:rFonts w:ascii="宋体" w:hAnsi="宋体" w:eastAsia="宋体"/>
                <w:color w:val="auto"/>
                <w:szCs w:val="21"/>
                <w:highlight w:val="none"/>
              </w:rPr>
              <w:t>其他补充事项</w:t>
            </w:r>
          </w:p>
        </w:tc>
        <w:tc>
          <w:tcPr>
            <w:tcW w:w="6713"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（3）中标人享受中小企业扶持政策的，采购人、采购代理机构应当随中标结果公开中标人商的《中小企业声明函》。</w:t>
            </w:r>
          </w:p>
          <w:p>
            <w:pPr>
              <w:widowControl/>
              <w:spacing w:line="420" w:lineRule="exact"/>
              <w:jc w:val="left"/>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（4）中标人为残疾人福利性单位的，采购人或者其委托的采购代理机构应当随中标结果同时公告其《残疾人福利性单位声明函》，接受社会监督。</w:t>
            </w:r>
          </w:p>
        </w:tc>
      </w:tr>
    </w:tbl>
    <w:p>
      <w:pPr>
        <w:widowControl/>
        <w:jc w:val="left"/>
        <w:rPr>
          <w:rFonts w:ascii="Calibri" w:hAnsi="Calibri" w:eastAsia="宋体" w:cs="Times New Roman"/>
          <w:color w:val="auto"/>
          <w:highlight w:val="none"/>
        </w:rPr>
      </w:pPr>
      <w:r>
        <w:rPr>
          <w:rFonts w:ascii="Calibri" w:hAnsi="Calibri" w:eastAsia="宋体" w:cs="Times New Roman"/>
          <w:color w:val="auto"/>
          <w:highlight w:val="none"/>
        </w:rPr>
        <w:br w:type="page"/>
      </w:r>
    </w:p>
    <w:p>
      <w:pPr>
        <w:spacing w:line="360" w:lineRule="auto"/>
        <w:ind w:firstLine="420" w:firstLineChars="200"/>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一、总则</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预算资金及来源</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1.1 </w:t>
      </w:r>
      <w:r>
        <w:rPr>
          <w:rFonts w:hint="eastAsia" w:ascii="Times New Roman" w:hAnsi="Times New Roman" w:eastAsia="宋体" w:cs="Times New Roman"/>
          <w:color w:val="auto"/>
          <w:szCs w:val="21"/>
          <w:highlight w:val="none"/>
        </w:rPr>
        <w:t>本项目已经</w:t>
      </w:r>
      <w:r>
        <w:rPr>
          <w:rFonts w:hint="eastAsia" w:ascii="Times New Roman" w:hAnsi="Times New Roman" w:eastAsia="宋体" w:cs="Times New Roman"/>
          <w:b/>
          <w:color w:val="auto"/>
          <w:szCs w:val="21"/>
          <w:highlight w:val="none"/>
          <w:u w:val="single"/>
        </w:rPr>
        <w:t>国家税务总局来宾市税务局</w:t>
      </w:r>
      <w:r>
        <w:rPr>
          <w:rFonts w:hint="eastAsia" w:ascii="Times New Roman" w:hAnsi="Times New Roman" w:eastAsia="宋体" w:cs="Times New Roman"/>
          <w:color w:val="auto"/>
          <w:szCs w:val="21"/>
          <w:highlight w:val="none"/>
        </w:rPr>
        <w:t>批准立项。</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1.2 </w:t>
      </w:r>
      <w:r>
        <w:rPr>
          <w:rFonts w:hint="eastAsia" w:ascii="Times New Roman" w:hAnsi="Times New Roman" w:eastAsia="宋体" w:cs="Times New Roman"/>
          <w:color w:val="auto"/>
          <w:szCs w:val="21"/>
          <w:highlight w:val="none"/>
        </w:rPr>
        <w:t>本项目预算资金见</w:t>
      </w:r>
      <w:r>
        <w:rPr>
          <w:rFonts w:hint="eastAsia" w:ascii="Times New Roman" w:hAnsi="Times New Roman" w:eastAsia="宋体" w:cs="Times New Roman"/>
          <w:b/>
          <w:bCs/>
          <w:color w:val="auto"/>
          <w:szCs w:val="21"/>
          <w:highlight w:val="none"/>
        </w:rPr>
        <w:t>投标人须知前附表</w:t>
      </w:r>
      <w:r>
        <w:rPr>
          <w:rFonts w:hint="eastAsia" w:ascii="Times New Roman" w:hAnsi="Times New Roman" w:eastAsia="宋体" w:cs="Times New Roman"/>
          <w:color w:val="auto"/>
          <w:szCs w:val="21"/>
          <w:highlight w:val="none"/>
        </w:rPr>
        <w:t>，已列入国家税务总局来宾市税务局预算。</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w:t>
      </w:r>
      <w:r>
        <w:rPr>
          <w:rFonts w:hint="eastAsia" w:ascii="Times New Roman" w:hAnsi="Times New Roman" w:eastAsia="宋体" w:cs="Times New Roman"/>
          <w:b/>
          <w:color w:val="auto"/>
          <w:szCs w:val="21"/>
          <w:highlight w:val="none"/>
        </w:rPr>
        <w:t>合格的产品和服务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 </w:t>
      </w:r>
      <w:r>
        <w:rPr>
          <w:rFonts w:hint="eastAsia" w:ascii="Times New Roman" w:hAnsi="Times New Roman" w:eastAsia="宋体" w:cs="Times New Roman"/>
          <w:color w:val="auto"/>
          <w:szCs w:val="21"/>
          <w:highlight w:val="none"/>
        </w:rPr>
        <w:t>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2.2 </w:t>
      </w:r>
      <w:r>
        <w:rPr>
          <w:rFonts w:hint="eastAsia" w:ascii="Times New Roman" w:hAnsi="Times New Roman" w:eastAsia="宋体" w:cs="Times New Roman"/>
          <w:color w:val="auto"/>
          <w:szCs w:val="21"/>
          <w:highlight w:val="none"/>
        </w:rPr>
        <w:t>合格的产品和服务即</w:t>
      </w:r>
      <w:r>
        <w:rPr>
          <w:rFonts w:hint="eastAsia" w:ascii="Times New Roman" w:hAnsi="Times New Roman" w:eastAsia="宋体" w:cs="Times New Roman"/>
          <w:b/>
          <w:bCs/>
          <w:color w:val="auto"/>
          <w:szCs w:val="21"/>
          <w:highlight w:val="none"/>
        </w:rPr>
        <w:t>采购需求</w:t>
      </w:r>
      <w:r>
        <w:rPr>
          <w:rFonts w:hint="eastAsia" w:ascii="Times New Roman" w:hAnsi="Times New Roman" w:eastAsia="宋体" w:cs="Times New Roman"/>
          <w:color w:val="auto"/>
          <w:szCs w:val="21"/>
          <w:highlight w:val="none"/>
        </w:rPr>
        <w:t>见</w:t>
      </w:r>
      <w:r>
        <w:rPr>
          <w:rFonts w:hint="eastAsia" w:ascii="Times New Roman" w:hAnsi="Times New Roman" w:eastAsia="宋体" w:cs="Times New Roman"/>
          <w:b/>
          <w:color w:val="auto"/>
          <w:szCs w:val="21"/>
          <w:highlight w:val="none"/>
        </w:rPr>
        <w:t>招标文件（技术部分）。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2.3 </w:t>
      </w:r>
      <w:r>
        <w:rPr>
          <w:rFonts w:hint="eastAsia" w:ascii="Times New Roman" w:hAnsi="Times New Roman" w:eastAsia="宋体" w:cs="Times New Roman"/>
          <w:color w:val="auto"/>
          <w:szCs w:val="21"/>
          <w:highlight w:val="none"/>
        </w:rPr>
        <w:t>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w:t>
      </w:r>
      <w:r>
        <w:rPr>
          <w:rFonts w:hint="eastAsia" w:ascii="Times New Roman" w:hAnsi="Times New Roman" w:eastAsia="宋体" w:cs="Times New Roman"/>
          <w:b/>
          <w:color w:val="auto"/>
          <w:szCs w:val="21"/>
          <w:highlight w:val="none"/>
        </w:rPr>
        <w:t>合格的投标人</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3.1</w:t>
      </w:r>
      <w:r>
        <w:rPr>
          <w:rFonts w:hint="eastAsia" w:ascii="Times New Roman" w:hAnsi="Times New Roman" w:eastAsia="宋体" w:cs="Times New Roman"/>
          <w:color w:val="auto"/>
          <w:kern w:val="0"/>
          <w:szCs w:val="21"/>
          <w:highlight w:val="none"/>
        </w:rPr>
        <w:t>一般规定</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3.1.1</w:t>
      </w:r>
      <w:r>
        <w:rPr>
          <w:rFonts w:hint="eastAsia" w:ascii="Times New Roman" w:hAnsi="Times New Roman" w:eastAsia="宋体" w:cs="Times New Roman"/>
          <w:color w:val="auto"/>
          <w:kern w:val="0"/>
          <w:szCs w:val="21"/>
          <w:highlight w:val="none"/>
        </w:rPr>
        <w:t>投标人应遵守《政府采购法》及其实施条例、《政府采购货物和服务招标投标管理办法》、《政府采购质疑和投诉办法》及有关政府采购的规定，同时还应遵守有关法律、法规和规章的强制性规定。</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3.1.2</w:t>
      </w:r>
      <w:r>
        <w:rPr>
          <w:rFonts w:hint="eastAsia" w:ascii="Times New Roman" w:hAnsi="Times New Roman" w:eastAsia="宋体" w:cs="Times New Roman"/>
          <w:color w:val="auto"/>
          <w:kern w:val="0"/>
          <w:szCs w:val="21"/>
          <w:highlight w:val="none"/>
        </w:rPr>
        <w:t>投标人的资格要求及本项目的特定资格要求见</w:t>
      </w:r>
      <w:r>
        <w:rPr>
          <w:rFonts w:hint="eastAsia" w:ascii="Times New Roman" w:hAnsi="Times New Roman" w:eastAsia="宋体" w:cs="Times New Roman"/>
          <w:b/>
          <w:color w:val="auto"/>
          <w:kern w:val="0"/>
          <w:szCs w:val="21"/>
          <w:highlight w:val="none"/>
        </w:rPr>
        <w:t>投标人须知前附表</w:t>
      </w:r>
      <w:r>
        <w:rPr>
          <w:rFonts w:hint="eastAsia" w:ascii="Times New Roman" w:hAnsi="Times New Roman" w:eastAsia="宋体" w:cs="Times New Roman"/>
          <w:color w:val="auto"/>
          <w:kern w:val="0"/>
          <w:szCs w:val="21"/>
          <w:highlight w:val="none"/>
        </w:rPr>
        <w:t>。</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3.1.3</w:t>
      </w:r>
      <w:r>
        <w:rPr>
          <w:rFonts w:hint="eastAsia" w:ascii="Times New Roman" w:hAnsi="Times New Roman" w:eastAsia="宋体" w:cs="Times New Roman"/>
          <w:color w:val="auto"/>
          <w:kern w:val="0"/>
          <w:szCs w:val="21"/>
          <w:highlight w:val="none"/>
        </w:rPr>
        <w:t>资格条件中所称</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重大违法记录</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，是指投标人因违法经营受到刑事处罚或者责令停产停业、吊销许可证或者执照、较大数额罚款等行政处罚。</w:t>
      </w:r>
    </w:p>
    <w:p>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投标人在参加政府采购活动前</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年内因违法经营被禁止在一定期限内参加政府采购活动，期限届满的，可以参加政府采购活动。</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较大数额罚款</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认定为</w:t>
      </w:r>
      <w:r>
        <w:rPr>
          <w:rFonts w:ascii="Times New Roman" w:hAnsi="Times New Roman" w:eastAsia="宋体" w:cs="Times New Roman"/>
          <w:color w:val="auto"/>
          <w:kern w:val="0"/>
          <w:szCs w:val="21"/>
          <w:highlight w:val="none"/>
        </w:rPr>
        <w:t>200</w:t>
      </w:r>
      <w:r>
        <w:rPr>
          <w:rFonts w:hint="eastAsia" w:ascii="Times New Roman" w:hAnsi="Times New Roman" w:eastAsia="宋体" w:cs="Times New Roman"/>
          <w:color w:val="auto"/>
          <w:kern w:val="0"/>
          <w:szCs w:val="21"/>
          <w:highlight w:val="none"/>
        </w:rPr>
        <w:t>万元以上的罚款，法律、行政法规以及国务院有关部门明确规定相关领域</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较大数额罚款</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标准高于</w:t>
      </w:r>
      <w:r>
        <w:rPr>
          <w:rFonts w:ascii="Times New Roman" w:hAnsi="Times New Roman" w:eastAsia="宋体" w:cs="Times New Roman"/>
          <w:color w:val="auto"/>
          <w:kern w:val="0"/>
          <w:szCs w:val="21"/>
          <w:highlight w:val="none"/>
        </w:rPr>
        <w:t>200</w:t>
      </w:r>
      <w:r>
        <w:rPr>
          <w:rFonts w:hint="eastAsia" w:ascii="Times New Roman" w:hAnsi="Times New Roman" w:eastAsia="宋体" w:cs="Times New Roman"/>
          <w:color w:val="auto"/>
          <w:kern w:val="0"/>
          <w:szCs w:val="21"/>
          <w:highlight w:val="none"/>
        </w:rPr>
        <w:t>万元的，从其规定。</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3.1.4</w:t>
      </w:r>
      <w:r>
        <w:rPr>
          <w:rFonts w:hint="eastAsia" w:ascii="Times New Roman" w:hAnsi="Times New Roman" w:eastAsia="宋体" w:cs="Times New Roman"/>
          <w:color w:val="auto"/>
          <w:kern w:val="0"/>
          <w:szCs w:val="21"/>
          <w:highlight w:val="none"/>
        </w:rPr>
        <w:t>信用记录要求</w:t>
      </w:r>
    </w:p>
    <w:p>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采购人、采购代理机构应当通过</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信用中国</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网站（</w:t>
      </w:r>
      <w:r>
        <w:rPr>
          <w:rFonts w:ascii="Times New Roman" w:hAnsi="Times New Roman" w:eastAsia="宋体" w:cs="Times New Roman"/>
          <w:color w:val="auto"/>
          <w:kern w:val="0"/>
          <w:szCs w:val="21"/>
          <w:highlight w:val="none"/>
        </w:rPr>
        <w:t>www.creditchina.gov.cn</w:t>
      </w:r>
      <w:r>
        <w:rPr>
          <w:rFonts w:hint="eastAsia" w:ascii="Times New Roman" w:hAnsi="Times New Roman" w:eastAsia="宋体" w:cs="Times New Roman"/>
          <w:color w:val="auto"/>
          <w:kern w:val="0"/>
          <w:szCs w:val="21"/>
          <w:highlight w:val="none"/>
        </w:rPr>
        <w:t>）、中国政府采购网（</w:t>
      </w:r>
      <w:r>
        <w:rPr>
          <w:rFonts w:ascii="Times New Roman" w:hAnsi="Times New Roman" w:eastAsia="宋体" w:cs="Times New Roman"/>
          <w:color w:val="auto"/>
          <w:kern w:val="0"/>
          <w:szCs w:val="21"/>
          <w:highlight w:val="none"/>
        </w:rPr>
        <w:t>www.ccgp.gov.cn</w:t>
      </w:r>
      <w:r>
        <w:rPr>
          <w:rFonts w:hint="eastAsia" w:ascii="Times New Roman" w:hAnsi="Times New Roman" w:eastAsia="宋体" w:cs="Times New Roman"/>
          <w:color w:val="auto"/>
          <w:kern w:val="0"/>
          <w:szCs w:val="21"/>
          <w:highlight w:val="none"/>
        </w:rPr>
        <w:t>）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3.2</w:t>
      </w:r>
      <w:r>
        <w:rPr>
          <w:rFonts w:hint="eastAsia" w:ascii="Times New Roman" w:hAnsi="Times New Roman" w:eastAsia="宋体" w:cs="Times New Roman"/>
          <w:color w:val="auto"/>
          <w:kern w:val="0"/>
          <w:szCs w:val="21"/>
          <w:highlight w:val="none"/>
        </w:rPr>
        <w:t>联合体</w:t>
      </w:r>
    </w:p>
    <w:p>
      <w:pPr>
        <w:spacing w:line="360" w:lineRule="auto"/>
        <w:ind w:firstLine="422" w:firstLineChars="200"/>
        <w:jc w:val="left"/>
        <w:rPr>
          <w:rFonts w:ascii="Times New Roman" w:hAnsi="Times New Roman" w:eastAsia="宋体" w:cs="Times New Roman"/>
          <w:b/>
          <w:color w:val="auto"/>
          <w:kern w:val="0"/>
          <w:szCs w:val="21"/>
          <w:highlight w:val="none"/>
        </w:rPr>
      </w:pPr>
      <w:r>
        <w:rPr>
          <w:rFonts w:ascii="Times New Roman" w:hAnsi="Times New Roman" w:eastAsia="宋体" w:cs="Times New Roman"/>
          <w:b/>
          <w:color w:val="auto"/>
          <w:kern w:val="0"/>
          <w:szCs w:val="21"/>
          <w:highlight w:val="none"/>
        </w:rPr>
        <w:t>3.2.1</w:t>
      </w:r>
      <w:r>
        <w:rPr>
          <w:rFonts w:hint="eastAsia" w:ascii="Times New Roman" w:hAnsi="Times New Roman" w:eastAsia="宋体" w:cs="Times New Roman"/>
          <w:b/>
          <w:color w:val="auto"/>
          <w:kern w:val="0"/>
          <w:szCs w:val="21"/>
          <w:highlight w:val="none"/>
        </w:rPr>
        <w:t>若本项目接受联合体投标，则两个以上的自然人、法人或者其他组织可以组成一个联合体，以一个投标人的身份共同参加政府采购。</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3.2.2</w:t>
      </w:r>
      <w:r>
        <w:rPr>
          <w:rFonts w:hint="eastAsia" w:ascii="Times New Roman" w:hAnsi="Times New Roman" w:eastAsia="宋体" w:cs="Times New Roman"/>
          <w:color w:val="auto"/>
          <w:kern w:val="0"/>
          <w:szCs w:val="21"/>
          <w:highlight w:val="none"/>
        </w:rPr>
        <w:t>以联合体形式参加投标的，联合体各方应按第二章要求提供资格条件材料。</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3.2.3</w:t>
      </w:r>
      <w:r>
        <w:rPr>
          <w:rFonts w:hint="eastAsia" w:ascii="Times New Roman" w:hAnsi="Times New Roman" w:eastAsia="宋体" w:cs="Times New Roman"/>
          <w:color w:val="auto"/>
          <w:kern w:val="0"/>
          <w:szCs w:val="21"/>
          <w:highlight w:val="none"/>
        </w:rPr>
        <w:t>联合体中有同类资质的投标人按照联合体分工承担相同工作的，应当按照资质等级较低的投标人确定资质等级。</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3.2.4</w:t>
      </w:r>
      <w:r>
        <w:rPr>
          <w:rFonts w:hint="eastAsia" w:ascii="Times New Roman" w:hAnsi="Times New Roman" w:eastAsia="宋体" w:cs="Times New Roman"/>
          <w:color w:val="auto"/>
          <w:kern w:val="0"/>
          <w:szCs w:val="21"/>
          <w:highlight w:val="none"/>
        </w:rPr>
        <w:t>联合体应当提交联合协议，载明联合体各方承担的工作和义务。</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3.2.5</w:t>
      </w:r>
      <w:r>
        <w:rPr>
          <w:rFonts w:hint="eastAsia" w:ascii="Times New Roman" w:hAnsi="Times New Roman" w:eastAsia="宋体" w:cs="Times New Roman"/>
          <w:color w:val="auto"/>
          <w:kern w:val="0"/>
          <w:szCs w:val="21"/>
          <w:highlight w:val="none"/>
        </w:rPr>
        <w:t>联合体各方应当共同与采购人签订采购合同，就采购合同约定的事项对采购人承担连带责任。</w:t>
      </w:r>
    </w:p>
    <w:p>
      <w:pPr>
        <w:spacing w:line="360" w:lineRule="auto"/>
        <w:ind w:firstLine="422" w:firstLineChars="200"/>
        <w:rPr>
          <w:rFonts w:ascii="Times New Roman" w:hAnsi="Times New Roman" w:eastAsia="宋体" w:cs="Times New Roman"/>
          <w:b/>
          <w:color w:val="auto"/>
          <w:kern w:val="0"/>
          <w:szCs w:val="21"/>
          <w:highlight w:val="none"/>
        </w:rPr>
      </w:pPr>
      <w:r>
        <w:rPr>
          <w:rFonts w:ascii="Times New Roman" w:hAnsi="Times New Roman" w:eastAsia="宋体" w:cs="Times New Roman"/>
          <w:b/>
          <w:color w:val="auto"/>
          <w:kern w:val="0"/>
          <w:szCs w:val="21"/>
          <w:highlight w:val="none"/>
        </w:rPr>
        <w:t>3.2.6</w:t>
      </w:r>
      <w:r>
        <w:rPr>
          <w:rFonts w:hint="eastAsia" w:ascii="Times New Roman" w:hAnsi="Times New Roman" w:eastAsia="宋体" w:cs="Times New Roman"/>
          <w:b/>
          <w:color w:val="auto"/>
          <w:kern w:val="0"/>
          <w:szCs w:val="21"/>
          <w:highlight w:val="none"/>
        </w:rPr>
        <w:t>以联合体形式参加政府采购活动的，联合体各方不得再单独参加或者与其他投标人另外组成联合体参加同一合同项下的政府采购活动。否则投标均无效。</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3.3</w:t>
      </w:r>
      <w:r>
        <w:rPr>
          <w:rFonts w:hint="eastAsia" w:ascii="Times New Roman" w:hAnsi="Times New Roman" w:eastAsia="宋体" w:cs="Times New Roman"/>
          <w:color w:val="auto"/>
          <w:kern w:val="0"/>
          <w:szCs w:val="21"/>
          <w:highlight w:val="none"/>
        </w:rPr>
        <w:t>禁止规定</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3.3.1</w:t>
      </w:r>
      <w:r>
        <w:rPr>
          <w:rFonts w:hint="eastAsia" w:ascii="Times New Roman" w:hAnsi="Times New Roman" w:eastAsia="宋体" w:cs="Times New Roman"/>
          <w:color w:val="auto"/>
          <w:kern w:val="0"/>
          <w:szCs w:val="21"/>
          <w:highlight w:val="none"/>
        </w:rPr>
        <w:t>单位负责人为同一人或者存在直接控股、管理关系的不同投标人，不得参加同一采购包的政府采购活动。</w:t>
      </w:r>
      <w:r>
        <w:rPr>
          <w:rFonts w:hint="eastAsia" w:ascii="Times New Roman" w:hAnsi="Times New Roman"/>
          <w:b/>
          <w:bCs/>
          <w:color w:val="auto"/>
          <w:szCs w:val="21"/>
          <w:highlight w:val="none"/>
        </w:rPr>
        <w:t>否则投标均无效。</w:t>
      </w:r>
    </w:p>
    <w:p>
      <w:pPr>
        <w:spacing w:line="360" w:lineRule="auto"/>
        <w:ind w:firstLine="422" w:firstLineChars="200"/>
        <w:rPr>
          <w:rFonts w:ascii="Times New Roman" w:hAnsi="Times New Roman" w:eastAsia="宋体" w:cs="Times New Roman"/>
          <w:color w:val="auto"/>
          <w:kern w:val="0"/>
          <w:szCs w:val="21"/>
          <w:highlight w:val="none"/>
        </w:rPr>
      </w:pPr>
      <w:r>
        <w:rPr>
          <w:rFonts w:ascii="Times New Roman" w:hAnsi="Times New Roman"/>
          <w:b/>
          <w:bCs/>
          <w:color w:val="auto"/>
          <w:szCs w:val="21"/>
          <w:highlight w:val="none"/>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w:t>
      </w:r>
      <w:r>
        <w:rPr>
          <w:rFonts w:hint="eastAsia" w:ascii="Times New Roman" w:hAnsi="Times New Roman" w:eastAsia="宋体" w:cs="Times New Roman"/>
          <w:b/>
          <w:color w:val="auto"/>
          <w:szCs w:val="21"/>
          <w:highlight w:val="none"/>
        </w:rPr>
        <w:t>投标费用</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4.1 </w:t>
      </w:r>
      <w:r>
        <w:rPr>
          <w:rFonts w:hint="eastAsia" w:ascii="Times New Roman" w:hAnsi="Times New Roman" w:eastAsia="宋体" w:cs="Times New Roman"/>
          <w:color w:val="auto"/>
          <w:szCs w:val="21"/>
          <w:highlight w:val="none"/>
        </w:rPr>
        <w:t>投标人应承担所有与编写、提交投标文件有关的费用，不论招标的结果如何，采购人在任何情况下均无义务和责任承担这些费用。</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二、招标文件</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w:t>
      </w:r>
      <w:r>
        <w:rPr>
          <w:rFonts w:hint="eastAsia" w:ascii="Times New Roman" w:hAnsi="Times New Roman" w:eastAsia="宋体" w:cs="Times New Roman"/>
          <w:b/>
          <w:color w:val="auto"/>
          <w:szCs w:val="21"/>
          <w:highlight w:val="none"/>
        </w:rPr>
        <w:t>招标文件构成</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第一部分</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商务部分</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w:t>
      </w:r>
      <w:r>
        <w:rPr>
          <w:rFonts w:hint="eastAsia" w:ascii="Times New Roman" w:hAnsi="Times New Roman"/>
          <w:color w:val="auto"/>
          <w:szCs w:val="21"/>
          <w:highlight w:val="none"/>
        </w:rPr>
        <w:t>投标邀请</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）投标人须知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）评标方法及标准</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）政府采购合同文本</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）投标文件格式</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第二部分</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技术部分</w:t>
      </w:r>
    </w:p>
    <w:p>
      <w:pPr>
        <w:topLinePunct/>
        <w:autoSpaceDE w:val="0"/>
        <w:autoSpaceDN w:val="0"/>
        <w:adjustRightInd w:val="0"/>
        <w:snapToGrid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）项目采购需求</w:t>
      </w:r>
    </w:p>
    <w:p>
      <w:pPr>
        <w:topLinePunct/>
        <w:autoSpaceDE w:val="0"/>
        <w:autoSpaceDN w:val="0"/>
        <w:adjustRightInd w:val="0"/>
        <w:snapToGrid w:val="0"/>
        <w:spacing w:line="360" w:lineRule="auto"/>
        <w:ind w:firstLine="413" w:firstLineChars="196"/>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6.</w:t>
      </w:r>
      <w:r>
        <w:rPr>
          <w:rFonts w:hint="eastAsia" w:ascii="Times New Roman" w:hAnsi="Times New Roman" w:eastAsia="宋体" w:cs="Times New Roman"/>
          <w:b/>
          <w:color w:val="auto"/>
          <w:szCs w:val="21"/>
          <w:highlight w:val="none"/>
        </w:rPr>
        <w:t>招标文件询问、澄清或修改</w:t>
      </w:r>
    </w:p>
    <w:p>
      <w:pPr>
        <w:widowControl/>
        <w:topLinePunct/>
        <w:autoSpaceDE w:val="0"/>
        <w:autoSpaceDN w:val="0"/>
        <w:adjustRightInd w:val="0"/>
        <w:snapToGrid w:val="0"/>
        <w:spacing w:line="360" w:lineRule="auto"/>
        <w:ind w:firstLine="420" w:firstLineChars="200"/>
        <w:jc w:val="left"/>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 xml:space="preserve">6.1 </w:t>
      </w:r>
      <w:r>
        <w:rPr>
          <w:rFonts w:hint="eastAsia" w:ascii="Times New Roman" w:hAnsi="Times New Roman" w:eastAsia="宋体" w:cs="Times New Roman"/>
          <w:color w:val="auto"/>
          <w:szCs w:val="21"/>
          <w:highlight w:val="none"/>
        </w:rPr>
        <w:t>投标人对招标文件如有疑问的，可以向采购人或者采购代理机构提出询问，采购人或者采购代理机构应当在</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个工作日内作出答复</w:t>
      </w:r>
      <w:r>
        <w:rPr>
          <w:rFonts w:hint="eastAsia" w:ascii="Times New Roman" w:hAnsi="Times New Roman" w:eastAsia="宋体" w:cs="Times New Roman"/>
          <w:bCs/>
          <w:color w:val="auto"/>
          <w:szCs w:val="21"/>
          <w:highlight w:val="none"/>
        </w:rPr>
        <w:t>，但答复的内容不得涉及商业秘密。</w:t>
      </w:r>
      <w:r>
        <w:rPr>
          <w:rFonts w:hint="eastAsia" w:ascii="Times New Roman" w:hAnsi="Times New Roman" w:eastAsia="宋体" w:cs="Times New Roman"/>
          <w:color w:val="auto"/>
          <w:szCs w:val="21"/>
          <w:highlight w:val="none"/>
        </w:rPr>
        <w:t>如有必要，采购人或者采购代理机构可对招标文件进行澄清或者修改。</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6.2 </w:t>
      </w:r>
      <w:r>
        <w:rPr>
          <w:rFonts w:hint="eastAsia" w:ascii="Times New Roman" w:hAnsi="Times New Roman" w:eastAsia="宋体" w:cs="Times New Roman"/>
          <w:color w:val="auto"/>
          <w:szCs w:val="21"/>
          <w:highlight w:val="none"/>
        </w:rPr>
        <w:t>采购人或者采购代理机构可主动对招标文件进行必要的澄清或者修改，但不得改变采购标的和资格条件。</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6.3 </w:t>
      </w:r>
      <w:r>
        <w:rPr>
          <w:rFonts w:hint="eastAsia" w:ascii="Times New Roman" w:hAnsi="Times New Roman" w:eastAsia="宋体" w:cs="Times New Roman"/>
          <w:color w:val="auto"/>
          <w:szCs w:val="21"/>
          <w:highlight w:val="none"/>
        </w:rPr>
        <w:t>澄清或者修改应当在原公告发布媒体上发布澄清公告，线上采购项目还应通过国家税务总局政府采购评审管理系统（以下简称</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评审管理系统</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）通知所有获取招标文件的潜在投标人。</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6.4 </w:t>
      </w:r>
      <w:r>
        <w:rPr>
          <w:rFonts w:hint="eastAsia" w:ascii="Times New Roman" w:hAnsi="Times New Roman" w:eastAsia="宋体" w:cs="Times New Roman"/>
          <w:color w:val="auto"/>
          <w:szCs w:val="21"/>
          <w:highlight w:val="none"/>
        </w:rPr>
        <w:t>澄清或者修改的内容可能影响投标文件编制的，采购人或者采购代理机构应当在投标截止时间至少</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日前，以书面形式或通过评审管理系统（适用于线上采购，下同）通知所有获取招标文件的潜在投标人；不足</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日的，采购人或者采购代理机构应当顺延提交投标文件的截止时间。</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6.5 </w:t>
      </w:r>
      <w:r>
        <w:rPr>
          <w:rFonts w:hint="eastAsia" w:ascii="Times New Roman" w:hAnsi="Times New Roman" w:eastAsia="宋体" w:cs="Times New Roman"/>
          <w:color w:val="auto"/>
          <w:szCs w:val="21"/>
          <w:highlight w:val="none"/>
        </w:rPr>
        <w:t>澄清或者修改的内容为招标文件的组成部分。</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三、投标文件</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7</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投标文件编制</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7.1</w:t>
      </w:r>
      <w:r>
        <w:rPr>
          <w:rFonts w:hint="eastAsia" w:ascii="Times New Roman" w:hAnsi="Times New Roman" w:eastAsia="宋体" w:cs="Times New Roman"/>
          <w:color w:val="auto"/>
          <w:kern w:val="0"/>
          <w:szCs w:val="21"/>
          <w:highlight w:val="none"/>
        </w:rPr>
        <w:t>投标文件的编制</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7.1.1</w:t>
      </w:r>
      <w:r>
        <w:rPr>
          <w:rFonts w:hint="eastAsia" w:ascii="Times New Roman" w:hAnsi="Times New Roman" w:eastAsia="宋体" w:cs="Times New Roman"/>
          <w:color w:val="auto"/>
          <w:kern w:val="0"/>
          <w:szCs w:val="21"/>
          <w:highlight w:val="none"/>
        </w:rPr>
        <w:t>投标人应先仔细阅读招标文件的全部内容后，再进行投标文件的编制。</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7.1.2</w:t>
      </w:r>
      <w:r>
        <w:rPr>
          <w:rFonts w:hint="eastAsia" w:ascii="Times New Roman" w:hAnsi="Times New Roman" w:eastAsia="宋体" w:cs="Times New Roman"/>
          <w:color w:val="auto"/>
          <w:kern w:val="0"/>
          <w:szCs w:val="21"/>
          <w:highlight w:val="none"/>
        </w:rPr>
        <w:t>投标文件应满足招标文件提出的实质性要求和条件，并保证其所提交的全部资料是不可割离且真实、有效、准确、完整和不具有任何误导性的，否则造成不利后果由投标人承担责任。</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7.2</w:t>
      </w:r>
      <w:r>
        <w:rPr>
          <w:rFonts w:hint="eastAsia" w:ascii="Times New Roman" w:hAnsi="Times New Roman" w:eastAsia="宋体" w:cs="Times New Roman"/>
          <w:color w:val="auto"/>
          <w:kern w:val="0"/>
          <w:szCs w:val="21"/>
          <w:highlight w:val="none"/>
        </w:rPr>
        <w:t>投标文件的语言</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7.2.1</w:t>
      </w:r>
      <w:r>
        <w:rPr>
          <w:rFonts w:hint="eastAsia" w:ascii="Times New Roman" w:hAnsi="Times New Roman" w:eastAsia="宋体" w:cs="Times New Roman"/>
          <w:color w:val="auto"/>
          <w:kern w:val="0"/>
          <w:szCs w:val="21"/>
          <w:highlight w:val="none"/>
        </w:rPr>
        <w:t>除招标文件另有规定外，投标文件应使用中文文本并使用中文简化字，若有不同文本，以中文简化字文本为准。</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7.2.2</w:t>
      </w:r>
      <w:r>
        <w:rPr>
          <w:rFonts w:hint="eastAsia" w:ascii="Times New Roman" w:hAnsi="Times New Roman" w:eastAsia="宋体" w:cs="Times New Roman"/>
          <w:color w:val="auto"/>
          <w:kern w:val="0"/>
          <w:szCs w:val="21"/>
          <w:highlight w:val="none"/>
        </w:rPr>
        <w:t>投标文件提供的全部资料中，若属于非中文描述的，应同时提供中文简化字译本。</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7.2.3</w:t>
      </w:r>
      <w:r>
        <w:rPr>
          <w:rFonts w:hint="eastAsia" w:ascii="Times New Roman" w:hAnsi="Times New Roman" w:eastAsia="宋体" w:cs="Times New Roman"/>
          <w:color w:val="auto"/>
          <w:szCs w:val="21"/>
          <w:highlight w:val="none"/>
        </w:rPr>
        <w:t>除在招标文件的要求中另有规定外，投标文件计量单位应使用中华人民共和国法定计量单位。</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7.3</w:t>
      </w:r>
      <w:r>
        <w:rPr>
          <w:rFonts w:hint="eastAsia" w:ascii="Times New Roman" w:hAnsi="Times New Roman" w:eastAsia="宋体" w:cs="Times New Roman"/>
          <w:color w:val="auto"/>
          <w:szCs w:val="21"/>
          <w:highlight w:val="none"/>
        </w:rPr>
        <w:t>投标人制作投标文件前须提前办理数字证书和电子签章，办理方式和注意事项详见网站《供应商操作手册》。供应商在国家税务总局集中采购中心网站（</w:t>
      </w:r>
      <w:r>
        <w:rPr>
          <w:rFonts w:ascii="Times New Roman" w:hAnsi="Times New Roman" w:eastAsia="宋体" w:cs="Times New Roman"/>
          <w:color w:val="auto"/>
          <w:szCs w:val="21"/>
          <w:highlight w:val="none"/>
        </w:rPr>
        <w:t>https://swcg.chinatax.gov.cn</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下载中心</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下载并安装</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供应商投标工具</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，使用投标工具编制投标文件。（线上采购项目适用）</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8.</w:t>
      </w:r>
      <w:r>
        <w:rPr>
          <w:rFonts w:hint="eastAsia" w:ascii="Times New Roman" w:hAnsi="Times New Roman" w:eastAsia="宋体" w:cs="Times New Roman"/>
          <w:b/>
          <w:color w:val="auto"/>
          <w:szCs w:val="21"/>
          <w:highlight w:val="none"/>
        </w:rPr>
        <w:t>投标文件的组成</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8.1 </w:t>
      </w:r>
      <w:r>
        <w:rPr>
          <w:rFonts w:hint="eastAsia" w:ascii="Times New Roman" w:hAnsi="Times New Roman" w:eastAsia="宋体" w:cs="Times New Roman"/>
          <w:color w:val="auto"/>
          <w:szCs w:val="21"/>
          <w:highlight w:val="none"/>
        </w:rPr>
        <w:t>投标文件包括商务部分和技术部分。</w:t>
      </w:r>
    </w:p>
    <w:p>
      <w:pPr>
        <w:topLinePunct/>
        <w:autoSpaceDE w:val="0"/>
        <w:autoSpaceDN w:val="0"/>
        <w:adjustRightInd w:val="0"/>
        <w:snapToGrid w:val="0"/>
        <w:spacing w:line="360" w:lineRule="auto"/>
        <w:ind w:firstLine="428" w:firstLineChars="204"/>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8.2 </w:t>
      </w:r>
      <w:r>
        <w:rPr>
          <w:rFonts w:hint="eastAsia" w:ascii="Times New Roman" w:hAnsi="Times New Roman" w:eastAsia="宋体" w:cs="Times New Roman"/>
          <w:color w:val="auto"/>
          <w:szCs w:val="21"/>
          <w:highlight w:val="none"/>
        </w:rPr>
        <w:t>投标文件</w:t>
      </w:r>
      <w:r>
        <w:rPr>
          <w:rFonts w:hint="eastAsia" w:ascii="Times New Roman" w:hAnsi="Times New Roman" w:eastAsia="宋体" w:cs="Times New Roman"/>
          <w:b/>
          <w:bCs/>
          <w:color w:val="auto"/>
          <w:szCs w:val="21"/>
          <w:highlight w:val="none"/>
        </w:rPr>
        <w:t>商务部分</w:t>
      </w:r>
      <w:r>
        <w:rPr>
          <w:rFonts w:hint="eastAsia" w:ascii="Times New Roman" w:hAnsi="Times New Roman" w:eastAsia="宋体" w:cs="Times New Roman"/>
          <w:color w:val="auto"/>
          <w:szCs w:val="21"/>
          <w:highlight w:val="none"/>
        </w:rPr>
        <w:t>主要包括的文件和资料：</w:t>
      </w:r>
    </w:p>
    <w:p>
      <w:pPr>
        <w:topLinePunct/>
        <w:autoSpaceDE w:val="0"/>
        <w:autoSpaceDN w:val="0"/>
        <w:adjustRightInd w:val="0"/>
        <w:snapToGrid w:val="0"/>
        <w:spacing w:line="360" w:lineRule="auto"/>
        <w:ind w:firstLine="428" w:firstLineChars="204"/>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8.2.1 </w:t>
      </w:r>
      <w:r>
        <w:rPr>
          <w:rFonts w:hint="eastAsia" w:ascii="Times New Roman" w:hAnsi="Times New Roman" w:eastAsia="宋体" w:cs="Times New Roman"/>
          <w:color w:val="auto"/>
          <w:szCs w:val="21"/>
          <w:highlight w:val="none"/>
        </w:rPr>
        <w:t>资格证明文件，见</w:t>
      </w:r>
      <w:r>
        <w:rPr>
          <w:rFonts w:hint="eastAsia" w:ascii="Times New Roman" w:hAnsi="Times New Roman" w:eastAsia="宋体" w:cs="Times New Roman"/>
          <w:b/>
          <w:color w:val="auto"/>
          <w:szCs w:val="21"/>
          <w:highlight w:val="none"/>
        </w:rPr>
        <w:t>投标人须知前附表。</w:t>
      </w:r>
    </w:p>
    <w:p>
      <w:pPr>
        <w:overflowPunct w:val="0"/>
        <w:autoSpaceDE w:val="0"/>
        <w:autoSpaceDN w:val="0"/>
        <w:adjustRightInd w:val="0"/>
        <w:snapToGrid w:val="0"/>
        <w:spacing w:line="360" w:lineRule="auto"/>
        <w:ind w:firstLine="426" w:firstLineChars="203"/>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8.2.2 </w:t>
      </w:r>
      <w:r>
        <w:rPr>
          <w:rFonts w:hint="eastAsia" w:ascii="Times New Roman" w:hAnsi="Times New Roman" w:eastAsia="宋体" w:cs="Times New Roman"/>
          <w:color w:val="auto"/>
          <w:szCs w:val="21"/>
          <w:highlight w:val="none"/>
        </w:rPr>
        <w:t>其他文件及资料，见</w:t>
      </w:r>
      <w:r>
        <w:rPr>
          <w:rFonts w:hint="eastAsia" w:ascii="Times New Roman" w:hAnsi="Times New Roman" w:eastAsia="宋体" w:cs="Times New Roman"/>
          <w:b/>
          <w:color w:val="auto"/>
          <w:szCs w:val="21"/>
          <w:highlight w:val="none"/>
        </w:rPr>
        <w:t>投标人须知前附表。</w:t>
      </w:r>
    </w:p>
    <w:p>
      <w:pPr>
        <w:overflowPunct w:val="0"/>
        <w:autoSpaceDE w:val="0"/>
        <w:autoSpaceDN w:val="0"/>
        <w:adjustRightInd w:val="0"/>
        <w:snapToGrid w:val="0"/>
        <w:spacing w:line="360" w:lineRule="auto"/>
        <w:ind w:firstLine="426" w:firstLineChars="203"/>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8.3 </w:t>
      </w:r>
      <w:r>
        <w:rPr>
          <w:rFonts w:hint="eastAsia" w:ascii="Times New Roman" w:hAnsi="Times New Roman" w:eastAsia="宋体" w:cs="Times New Roman"/>
          <w:color w:val="auto"/>
          <w:szCs w:val="21"/>
          <w:highlight w:val="none"/>
        </w:rPr>
        <w:t>投标文件</w:t>
      </w:r>
      <w:r>
        <w:rPr>
          <w:rFonts w:hint="eastAsia" w:ascii="Times New Roman" w:hAnsi="Times New Roman" w:eastAsia="宋体" w:cs="Times New Roman"/>
          <w:b/>
          <w:bCs/>
          <w:color w:val="auto"/>
          <w:szCs w:val="21"/>
          <w:highlight w:val="none"/>
        </w:rPr>
        <w:t>技术部分</w:t>
      </w:r>
      <w:r>
        <w:rPr>
          <w:rFonts w:hint="eastAsia" w:ascii="Times New Roman" w:hAnsi="Times New Roman" w:eastAsia="宋体" w:cs="Times New Roman"/>
          <w:color w:val="auto"/>
          <w:szCs w:val="21"/>
          <w:highlight w:val="none"/>
        </w:rPr>
        <w:t>主要包括的文件及资料，见</w:t>
      </w:r>
      <w:r>
        <w:rPr>
          <w:rFonts w:hint="eastAsia" w:ascii="Times New Roman" w:hAnsi="Times New Roman" w:eastAsia="宋体" w:cs="Times New Roman"/>
          <w:b/>
          <w:color w:val="auto"/>
          <w:szCs w:val="21"/>
          <w:highlight w:val="none"/>
        </w:rPr>
        <w:t>投标人须知前附表。</w:t>
      </w:r>
    </w:p>
    <w:p>
      <w:pPr>
        <w:overflowPunct w:val="0"/>
        <w:autoSpaceDE w:val="0"/>
        <w:autoSpaceDN w:val="0"/>
        <w:adjustRightInd w:val="0"/>
        <w:snapToGrid w:val="0"/>
        <w:spacing w:line="360" w:lineRule="auto"/>
        <w:ind w:firstLine="426" w:firstLineChars="203"/>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8.4 </w:t>
      </w:r>
      <w:r>
        <w:rPr>
          <w:rFonts w:hint="eastAsia" w:ascii="Times New Roman" w:hAnsi="Times New Roman" w:eastAsia="宋体" w:cs="Times New Roman"/>
          <w:color w:val="auto"/>
          <w:szCs w:val="21"/>
          <w:highlight w:val="none"/>
        </w:rPr>
        <w:t>证明资料如标明有效期的，必须在有效期内。</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9.</w:t>
      </w:r>
      <w:r>
        <w:rPr>
          <w:rFonts w:hint="eastAsia" w:ascii="Times New Roman" w:hAnsi="Times New Roman" w:eastAsia="宋体" w:cs="Times New Roman"/>
          <w:b/>
          <w:color w:val="auto"/>
          <w:szCs w:val="21"/>
          <w:highlight w:val="none"/>
        </w:rPr>
        <w:t>报价要求</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9.1 </w:t>
      </w:r>
      <w:r>
        <w:rPr>
          <w:rFonts w:hint="eastAsia" w:ascii="Times New Roman" w:hAnsi="Times New Roman" w:eastAsia="宋体" w:cs="Times New Roman"/>
          <w:color w:val="auto"/>
          <w:szCs w:val="21"/>
          <w:highlight w:val="none"/>
        </w:rPr>
        <w:t>除招标文件另有规定外，投标应以人民币报价，线上采购项目还须按照投标工具的流程和提示编制并上传投标报价表。</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9.2 </w:t>
      </w:r>
      <w:r>
        <w:rPr>
          <w:rFonts w:hint="eastAsia" w:ascii="Times New Roman" w:hAnsi="Times New Roman" w:eastAsia="宋体" w:cs="Times New Roman"/>
          <w:color w:val="auto"/>
          <w:szCs w:val="21"/>
          <w:highlight w:val="none"/>
        </w:rPr>
        <w:t>本项目不接受任何形式的赠送、</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零</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报价和折扣报价。</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9.3 </w:t>
      </w:r>
      <w:r>
        <w:rPr>
          <w:rFonts w:hint="eastAsia" w:ascii="Times New Roman" w:hAnsi="Times New Roman" w:eastAsia="宋体" w:cs="Times New Roman"/>
          <w:color w:val="auto"/>
          <w:szCs w:val="21"/>
          <w:highlight w:val="none"/>
        </w:rPr>
        <w:t>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9.4 </w:t>
      </w:r>
      <w:r>
        <w:rPr>
          <w:rFonts w:hint="eastAsia" w:ascii="Times New Roman" w:hAnsi="Times New Roman" w:eastAsia="宋体" w:cs="Times New Roman"/>
          <w:b/>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9.5 </w:t>
      </w:r>
      <w:r>
        <w:rPr>
          <w:rFonts w:hint="eastAsia" w:ascii="Times New Roman" w:hAnsi="Times New Roman" w:eastAsia="宋体" w:cs="Times New Roman"/>
          <w:color w:val="auto"/>
          <w:szCs w:val="21"/>
          <w:highlight w:val="none"/>
        </w:rPr>
        <w:t>最低报价不能作为中标的保证。</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10.</w:t>
      </w:r>
      <w:r>
        <w:rPr>
          <w:rFonts w:hint="eastAsia" w:ascii="Times New Roman" w:hAnsi="Times New Roman" w:eastAsia="宋体" w:cs="Times New Roman"/>
          <w:b/>
          <w:color w:val="auto"/>
          <w:szCs w:val="21"/>
          <w:highlight w:val="none"/>
        </w:rPr>
        <w:t>投标文件的书写、密封、签署、盖章</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10.1</w:t>
      </w:r>
      <w:r>
        <w:rPr>
          <w:rFonts w:hint="eastAsia" w:ascii="Times New Roman" w:hAnsi="Times New Roman" w:eastAsia="宋体" w:cs="Times New Roman"/>
          <w:color w:val="auto"/>
          <w:kern w:val="0"/>
          <w:szCs w:val="21"/>
          <w:highlight w:val="none"/>
        </w:rPr>
        <w:t>书写</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10.1.1</w:t>
      </w:r>
      <w:r>
        <w:rPr>
          <w:rFonts w:hint="eastAsia" w:ascii="Times New Roman" w:hAnsi="Times New Roman" w:eastAsia="宋体" w:cs="Times New Roman"/>
          <w:color w:val="auto"/>
          <w:kern w:val="0"/>
          <w:szCs w:val="21"/>
          <w:highlight w:val="none"/>
        </w:rPr>
        <w:t>投标文件应使用不能擦去的墨料或墨水打印、书写。</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10.1.2</w:t>
      </w:r>
      <w:r>
        <w:rPr>
          <w:rFonts w:hint="eastAsia" w:ascii="Times New Roman" w:hAnsi="Times New Roman" w:eastAsia="宋体" w:cs="Times New Roman"/>
          <w:color w:val="auto"/>
          <w:kern w:val="0"/>
          <w:szCs w:val="21"/>
          <w:highlight w:val="none"/>
        </w:rPr>
        <w:t>投标文件内容应没有涂改或行间插字。若有前述改动，在改动处应由单位负责人（投标人代表）签字确认或加盖投标人的单位公章。</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10.2</w:t>
      </w:r>
      <w:r>
        <w:rPr>
          <w:rFonts w:hint="eastAsia" w:ascii="Times New Roman" w:hAnsi="Times New Roman" w:eastAsia="宋体" w:cs="Times New Roman"/>
          <w:color w:val="auto"/>
          <w:kern w:val="0"/>
          <w:szCs w:val="21"/>
          <w:highlight w:val="none"/>
        </w:rPr>
        <w:t>密封</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10.2.1</w:t>
      </w:r>
      <w:r>
        <w:rPr>
          <w:rFonts w:hint="eastAsia" w:ascii="Times New Roman" w:hAnsi="Times New Roman" w:eastAsia="宋体" w:cs="Times New Roman"/>
          <w:color w:val="auto"/>
          <w:kern w:val="0"/>
          <w:szCs w:val="21"/>
          <w:highlight w:val="none"/>
        </w:rPr>
        <w:t>投标文件应胶装或装订成册，避免材料散装、脱落。</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10.2.2</w:t>
      </w:r>
      <w:r>
        <w:rPr>
          <w:rFonts w:hint="eastAsia" w:ascii="Times New Roman" w:hAnsi="Times New Roman" w:eastAsia="宋体" w:cs="Times New Roman"/>
          <w:color w:val="auto"/>
          <w:kern w:val="0"/>
          <w:szCs w:val="21"/>
          <w:highlight w:val="none"/>
        </w:rPr>
        <w:t>投标文件应使用不透明的牛皮纸或档案袋等材料密封包装，并在外包装封面注明</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正本</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或</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副本</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以及项目编号、项目名称、开标时间等信息，避免投标文件被误拆或提前拆封。投标文件正本应按上述要求制作。副本可按上述要求制作，也可用正本的完整复印件，并与正本保持一致（若不一致，以正本为准）</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10.3</w:t>
      </w:r>
      <w:r>
        <w:rPr>
          <w:rFonts w:hint="eastAsia" w:ascii="Times New Roman" w:hAnsi="Times New Roman" w:eastAsia="宋体" w:cs="Times New Roman"/>
          <w:color w:val="auto"/>
          <w:kern w:val="0"/>
          <w:szCs w:val="21"/>
          <w:highlight w:val="none"/>
        </w:rPr>
        <w:t>签署、盖章</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10.3.1</w:t>
      </w:r>
      <w:r>
        <w:rPr>
          <w:rFonts w:ascii="Times New Roman" w:hAnsi="Times New Roman"/>
          <w:color w:val="auto"/>
          <w:szCs w:val="21"/>
          <w:highlight w:val="none"/>
        </w:rPr>
        <w:t>投标文件中要求签字处应由投标人的单位负责人（投标人代表）签字。</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10.3.2</w:t>
      </w:r>
      <w:r>
        <w:rPr>
          <w:rFonts w:hint="eastAsia" w:ascii="Times New Roman" w:hAnsi="Times New Roman" w:eastAsia="宋体" w:cs="Times New Roman"/>
          <w:color w:val="auto"/>
          <w:kern w:val="0"/>
          <w:szCs w:val="21"/>
          <w:highlight w:val="none"/>
        </w:rPr>
        <w:t>投标文件必须按照招标文件给出文件格式的签署要求进行签署。</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10.3.3</w:t>
      </w:r>
      <w:r>
        <w:rPr>
          <w:rFonts w:hint="eastAsia" w:ascii="Times New Roman" w:hAnsi="Times New Roman" w:eastAsia="宋体" w:cs="Times New Roman"/>
          <w:color w:val="auto"/>
          <w:szCs w:val="21"/>
          <w:highlight w:val="none"/>
        </w:rPr>
        <w:t>投标人在</w:t>
      </w:r>
      <w:r>
        <w:rPr>
          <w:rFonts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rPr>
        <w:t>投标函</w:t>
      </w:r>
      <w:r>
        <w:rPr>
          <w:rFonts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rPr>
        <w:t>法定代表人授权委托书</w:t>
      </w:r>
      <w:r>
        <w:rPr>
          <w:rFonts w:ascii="Times New Roman" w:hAnsi="Times New Roman" w:eastAsia="宋体" w:cs="Times New Roman"/>
          <w:b/>
          <w:bCs/>
          <w:color w:val="auto"/>
          <w:szCs w:val="21"/>
          <w:highlight w:val="none"/>
        </w:rPr>
        <w:t>”</w:t>
      </w:r>
      <w:r>
        <w:rPr>
          <w:rFonts w:hint="eastAsia" w:ascii="Times New Roman" w:hAnsi="Times New Roman" w:eastAsia="宋体" w:cs="Times New Roman"/>
          <w:color w:val="auto"/>
          <w:szCs w:val="21"/>
          <w:highlight w:val="none"/>
        </w:rPr>
        <w:t>上应当按格式要求加盖与投标人名称全称一致的标准公章，</w:t>
      </w:r>
      <w:r>
        <w:rPr>
          <w:rFonts w:ascii="Times New Roman" w:hAnsi="Times New Roman"/>
          <w:color w:val="auto"/>
          <w:szCs w:val="21"/>
          <w:highlight w:val="none"/>
        </w:rPr>
        <w:t>并按照招标文件第五章投标文件格式中的相应格式文件要求签署全名。</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10.3.4</w:t>
      </w:r>
      <w:r>
        <w:rPr>
          <w:rFonts w:hint="eastAsia" w:ascii="Times New Roman" w:hAnsi="Times New Roman" w:eastAsia="宋体" w:cs="Times New Roman"/>
          <w:color w:val="auto"/>
          <w:szCs w:val="21"/>
          <w:highlight w:val="none"/>
        </w:rPr>
        <w:t>投标文件中的</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盖章</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指加盖投标人的</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公章</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，而非</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合同专用章</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投标专用章</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等其他非公章。</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10.3.5</w:t>
      </w:r>
      <w:r>
        <w:rPr>
          <w:rFonts w:hint="eastAsia" w:ascii="Times New Roman" w:hAnsi="Times New Roman" w:eastAsia="宋体" w:cs="Times New Roman"/>
          <w:color w:val="auto"/>
          <w:szCs w:val="21"/>
          <w:highlight w:val="none"/>
        </w:rPr>
        <w:t>线上采购项目可以使用电子签章。</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11</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投标有效期</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11.1 </w:t>
      </w:r>
      <w:r>
        <w:rPr>
          <w:rFonts w:hint="eastAsia" w:ascii="Times New Roman" w:hAnsi="Times New Roman" w:eastAsia="宋体" w:cs="Times New Roman"/>
          <w:color w:val="auto"/>
          <w:szCs w:val="21"/>
          <w:highlight w:val="none"/>
        </w:rPr>
        <w:t>投标有效期见</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w:t>
      </w:r>
      <w:r>
        <w:rPr>
          <w:rFonts w:hint="eastAsia" w:ascii="Times New Roman" w:hAnsi="Times New Roman" w:eastAsia="宋体" w:cs="Times New Roman"/>
          <w:b/>
          <w:color w:val="auto"/>
          <w:szCs w:val="21"/>
          <w:highlight w:val="none"/>
        </w:rPr>
        <w:t>否则作为无效投标处理</w:t>
      </w:r>
      <w:r>
        <w:rPr>
          <w:rFonts w:hint="eastAsia" w:ascii="Times New Roman" w:hAnsi="Times New Roman" w:eastAsia="宋体" w:cs="Times New Roman"/>
          <w:color w:val="auto"/>
          <w:szCs w:val="21"/>
          <w:highlight w:val="none"/>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11.2 </w:t>
      </w:r>
      <w:r>
        <w:rPr>
          <w:rFonts w:hint="eastAsia" w:ascii="Times New Roman" w:hAnsi="Times New Roman" w:eastAsia="宋体" w:cs="Times New Roman"/>
          <w:color w:val="auto"/>
          <w:szCs w:val="21"/>
          <w:highlight w:val="none"/>
        </w:rPr>
        <w:t>特殊情况下，在原投标有效期期满之前，采购人或者采购代理机构可征得投标人同意延长投标有效期。</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四、投标文件递交</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12</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投标文件递交</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12.1 </w:t>
      </w:r>
      <w:r>
        <w:rPr>
          <w:rFonts w:hint="eastAsia" w:ascii="Times New Roman" w:hAnsi="Times New Roman" w:eastAsia="宋体" w:cs="Times New Roman"/>
          <w:color w:val="auto"/>
          <w:szCs w:val="21"/>
          <w:highlight w:val="none"/>
        </w:rPr>
        <w:t>投标人应当在</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要求提交投标文件截止时间前，根据《投标人须知前附表》载明方式提交投标文件。</w:t>
      </w:r>
      <w:r>
        <w:rPr>
          <w:rFonts w:hint="eastAsia" w:ascii="Times New Roman" w:hAnsi="Times New Roman"/>
          <w:color w:val="auto"/>
          <w:szCs w:val="21"/>
          <w:highlight w:val="none"/>
        </w:rPr>
        <w:t>逾期送达或者未按照招标文件要求密封的投标文件</w:t>
      </w:r>
      <w:r>
        <w:rPr>
          <w:rFonts w:ascii="Times New Roman" w:hAnsi="Times New Roman"/>
          <w:color w:val="auto"/>
          <w:szCs w:val="21"/>
          <w:highlight w:val="none"/>
        </w:rPr>
        <w:t>将被拒绝。</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12.2 </w:t>
      </w:r>
      <w:r>
        <w:rPr>
          <w:rFonts w:hint="eastAsia" w:ascii="Times New Roman" w:hAnsi="Times New Roman" w:eastAsia="宋体" w:cs="Times New Roman"/>
          <w:color w:val="auto"/>
          <w:szCs w:val="21"/>
          <w:highlight w:val="none"/>
        </w:rPr>
        <w:t>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13</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投标文件补充、修改或撤回</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13.1 </w:t>
      </w:r>
      <w:r>
        <w:rPr>
          <w:rFonts w:hint="eastAsia" w:ascii="Times New Roman" w:hAnsi="Times New Roman" w:eastAsia="宋体" w:cs="Times New Roman"/>
          <w:color w:val="auto"/>
          <w:szCs w:val="21"/>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13.2 </w:t>
      </w:r>
      <w:r>
        <w:rPr>
          <w:rFonts w:hint="eastAsia" w:ascii="Times New Roman" w:hAnsi="Times New Roman" w:eastAsia="宋体" w:cs="Times New Roman"/>
          <w:color w:val="auto"/>
          <w:szCs w:val="21"/>
          <w:highlight w:val="none"/>
        </w:rPr>
        <w:t>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13.3 </w:t>
      </w:r>
      <w:r>
        <w:rPr>
          <w:rFonts w:hint="eastAsia" w:ascii="Times New Roman" w:hAnsi="Times New Roman" w:eastAsia="宋体" w:cs="Times New Roman"/>
          <w:color w:val="auto"/>
          <w:szCs w:val="21"/>
          <w:highlight w:val="none"/>
        </w:rPr>
        <w:t>提交投标文件截止时间后，不得对已提交的投标文件作任何补充、修改或者撤回。</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五、开标与评标</w:t>
      </w:r>
    </w:p>
    <w:p>
      <w:pPr>
        <w:topLinePunct/>
        <w:autoSpaceDE w:val="0"/>
        <w:autoSpaceDN w:val="0"/>
        <w:adjustRightInd w:val="0"/>
        <w:snapToGrid w:val="0"/>
        <w:spacing w:line="360" w:lineRule="auto"/>
        <w:ind w:firstLine="422" w:firstLineChars="200"/>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14</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开标</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14.1 </w:t>
      </w:r>
      <w:r>
        <w:rPr>
          <w:rFonts w:hint="eastAsia" w:ascii="Times New Roman" w:hAnsi="Times New Roman" w:eastAsia="宋体" w:cs="Times New Roman"/>
          <w:color w:val="auto"/>
          <w:szCs w:val="21"/>
          <w:highlight w:val="none"/>
        </w:rPr>
        <w:t>开标在招标文件确定的提交投标文件截止时间的同一时间进行。开标地点详见</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14.2 </w:t>
      </w:r>
      <w:r>
        <w:rPr>
          <w:rFonts w:hint="eastAsia" w:ascii="Times New Roman" w:hAnsi="Times New Roman" w:eastAsia="宋体" w:cs="Times New Roman"/>
          <w:color w:val="auto"/>
          <w:kern w:val="0"/>
          <w:szCs w:val="21"/>
          <w:highlight w:val="none"/>
        </w:rPr>
        <w:t>开标由采购人或者采购代理机构主持，邀请投标人参加。评标委员会成员不得参加开标活动。</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14.3 </w:t>
      </w:r>
      <w:r>
        <w:rPr>
          <w:rFonts w:hint="eastAsia" w:ascii="Times New Roman" w:hAnsi="Times New Roman" w:eastAsia="宋体" w:cs="Times New Roman"/>
          <w:color w:val="auto"/>
          <w:kern w:val="0"/>
          <w:szCs w:val="21"/>
          <w:highlight w:val="none"/>
        </w:rPr>
        <w:t>投标人不足3家的，不得开标。</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14.4开标时，由投标人或者其推选的代表检查投标文件的密封情况；经确认无误后，由采购人或者采购代理机构工作人员当众拆封，宣布投标人名称、投标价格和招标文件规定的需要宣布的其他内容。</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14.</w:t>
      </w:r>
      <w:r>
        <w:rPr>
          <w:rFonts w:hint="eastAsia" w:ascii="Times New Roman" w:hAnsi="Times New Roman" w:eastAsia="宋体" w:cs="Times New Roman"/>
          <w:color w:val="auto"/>
          <w:kern w:val="0"/>
          <w:szCs w:val="21"/>
          <w:highlight w:val="none"/>
        </w:rPr>
        <w:t>5开标过程由采购人或者采购代理机构负责记录，由参加开标的各投标人代表和相关工作人员签字确认后随采购文件一并存档。投标人未参加开标的，视同认可开标结果。</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14.</w:t>
      </w:r>
      <w:r>
        <w:rPr>
          <w:rFonts w:hint="eastAsia" w:ascii="Times New Roman" w:hAnsi="Times New Roman" w:eastAsia="宋体" w:cs="Times New Roman"/>
          <w:color w:val="auto"/>
          <w:kern w:val="0"/>
          <w:szCs w:val="21"/>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14.</w:t>
      </w:r>
      <w:r>
        <w:rPr>
          <w:rFonts w:hint="eastAsia" w:ascii="Times New Roman" w:hAnsi="Times New Roman" w:eastAsia="宋体" w:cs="Times New Roman"/>
          <w:color w:val="auto"/>
          <w:kern w:val="0"/>
          <w:szCs w:val="21"/>
          <w:highlight w:val="none"/>
        </w:rPr>
        <w:t>7</w:t>
      </w:r>
      <w:r>
        <w:rPr>
          <w:rFonts w:ascii="Times New Roman" w:hAnsi="Times New Roman" w:eastAsia="宋体" w:cs="Times New Roman"/>
          <w:color w:val="auto"/>
          <w:kern w:val="0"/>
          <w:szCs w:val="21"/>
          <w:highlight w:val="none"/>
        </w:rPr>
        <w:t xml:space="preserve"> </w:t>
      </w:r>
      <w:r>
        <w:rPr>
          <w:rFonts w:hint="eastAsia" w:ascii="Times New Roman" w:hAnsi="Times New Roman" w:eastAsia="宋体" w:cs="Times New Roman"/>
          <w:color w:val="auto"/>
          <w:kern w:val="0"/>
          <w:szCs w:val="21"/>
          <w:highlight w:val="none"/>
        </w:rPr>
        <w:t>在政府采购活动中，采购人员及相关人员与投标人有下列利害关系之一的，应当回避：</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）参加采购活动前</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年内与投标人存在劳动关系；</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）参加采购活动前</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年内担任投标人的董事、监事；</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）参加采购活动前</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年内是投标人的控股股东或者实际控制人；</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）与投标人的法定代表人或者负责人有夫妻、直系血亲、三代以内旁系血亲或者近姻亲关系；</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）与投标人有其他可能影响政府采购活动公平、公正进行的关系。</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w:t>
      </w:r>
      <w:r>
        <w:rPr>
          <w:rFonts w:hint="eastAsia" w:ascii="Times New Roman" w:hAnsi="Times New Roman" w:eastAsia="宋体" w:cs="Times New Roman"/>
          <w:color w:val="auto"/>
          <w:szCs w:val="21"/>
          <w:highlight w:val="none"/>
        </w:rPr>
        <w:t>8对线上采购项目，采购人或者采购代理机构将在</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15</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投标资格审查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15.1 </w:t>
      </w:r>
      <w:r>
        <w:rPr>
          <w:rFonts w:hint="eastAsia" w:ascii="Times New Roman" w:hAnsi="Times New Roman" w:eastAsia="宋体" w:cs="Times New Roman"/>
          <w:color w:val="auto"/>
          <w:szCs w:val="21"/>
          <w:highlight w:val="none"/>
        </w:rPr>
        <w:t>公开招标采购项目开标结束后，由采购人或者采购代理机构依法对投标人的资格进行审查，以确定投标人是否具备投标资格。</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15.1.1 </w:t>
      </w:r>
      <w:r>
        <w:rPr>
          <w:rFonts w:hint="eastAsia" w:ascii="Times New Roman" w:hAnsi="Times New Roman" w:eastAsia="宋体" w:cs="Times New Roman"/>
          <w:color w:val="auto"/>
          <w:szCs w:val="21"/>
          <w:highlight w:val="none"/>
        </w:rPr>
        <w:t>审查投标人按照</w:t>
      </w:r>
      <w:r>
        <w:rPr>
          <w:rFonts w:ascii="Times New Roman" w:hAnsi="Times New Roman" w:eastAsia="宋体" w:cs="Times New Roman"/>
          <w:color w:val="auto"/>
          <w:szCs w:val="21"/>
          <w:highlight w:val="none"/>
        </w:rPr>
        <w:t>8.2.1</w:t>
      </w:r>
      <w:r>
        <w:rPr>
          <w:rFonts w:hint="eastAsia" w:ascii="Times New Roman" w:hAnsi="Times New Roman" w:eastAsia="宋体" w:cs="Times New Roman"/>
          <w:color w:val="auto"/>
          <w:szCs w:val="21"/>
          <w:highlight w:val="none"/>
        </w:rPr>
        <w:t>提交的</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资格证明文件</w:t>
      </w:r>
      <w:r>
        <w:rPr>
          <w:rFonts w:ascii="Times New Roman" w:hAnsi="Times New Roman" w:eastAsia="宋体" w:cs="Times New Roman"/>
          <w:b/>
          <w:color w:val="auto"/>
          <w:szCs w:val="21"/>
          <w:highlight w:val="none"/>
        </w:rPr>
        <w:t>”</w:t>
      </w:r>
      <w:r>
        <w:rPr>
          <w:rFonts w:hint="eastAsia" w:ascii="Times New Roman" w:hAnsi="Times New Roman" w:eastAsia="宋体" w:cs="Times New Roman"/>
          <w:color w:val="auto"/>
          <w:szCs w:val="21"/>
          <w:highlight w:val="none"/>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b/>
          <w:bCs/>
          <w:color w:val="auto"/>
          <w:szCs w:val="21"/>
          <w:highlight w:val="none"/>
        </w:rPr>
      </w:pPr>
      <w:r>
        <w:rPr>
          <w:rFonts w:ascii="Times New Roman" w:hAnsi="Times New Roman" w:eastAsia="宋体" w:cs="Times New Roman"/>
          <w:color w:val="auto"/>
          <w:szCs w:val="21"/>
          <w:highlight w:val="none"/>
        </w:rPr>
        <w:t xml:space="preserve">15.1.2 </w:t>
      </w:r>
      <w:r>
        <w:rPr>
          <w:rFonts w:hint="eastAsia" w:ascii="Times New Roman" w:hAnsi="Times New Roman" w:eastAsia="宋体" w:cs="Times New Roman"/>
          <w:color w:val="auto"/>
          <w:szCs w:val="21"/>
          <w:highlight w:val="none"/>
        </w:rPr>
        <w:t>信用记录审查。</w:t>
      </w:r>
      <w:r>
        <w:rPr>
          <w:rFonts w:hint="eastAsia" w:ascii="Times New Roman" w:hAnsi="Times New Roman" w:eastAsia="宋体" w:cs="Times New Roman"/>
          <w:b/>
          <w:bCs/>
          <w:color w:val="auto"/>
          <w:szCs w:val="21"/>
          <w:highlight w:val="none"/>
        </w:rPr>
        <w:t>见投标人须知前附表。</w:t>
      </w:r>
    </w:p>
    <w:p>
      <w:pPr>
        <w:topLinePunct/>
        <w:autoSpaceDE w:val="0"/>
        <w:autoSpaceDN w:val="0"/>
        <w:adjustRightInd w:val="0"/>
        <w:snapToGrid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15.2</w:t>
      </w:r>
      <w:r>
        <w:rPr>
          <w:rFonts w:hint="eastAsia" w:ascii="Times New Roman" w:hAnsi="Times New Roman" w:eastAsia="宋体" w:cs="Times New Roman"/>
          <w:b/>
          <w:color w:val="auto"/>
          <w:szCs w:val="21"/>
          <w:highlight w:val="none"/>
        </w:rPr>
        <w:t>未通过资格审查的投标人，其投标无效。</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15.3 </w:t>
      </w:r>
      <w:r>
        <w:rPr>
          <w:rFonts w:hint="eastAsia" w:ascii="Times New Roman" w:hAnsi="Times New Roman" w:eastAsia="宋体" w:cs="Times New Roman"/>
          <w:color w:val="auto"/>
          <w:szCs w:val="21"/>
          <w:highlight w:val="none"/>
        </w:rPr>
        <w:t>合格投标人不足</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家的，不得评标。</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16</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评标委员会的组成</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16.1 </w:t>
      </w:r>
      <w:r>
        <w:rPr>
          <w:rFonts w:hint="eastAsia" w:ascii="Times New Roman" w:hAnsi="Times New Roman" w:eastAsia="宋体" w:cs="Times New Roman"/>
          <w:color w:val="auto"/>
          <w:szCs w:val="21"/>
          <w:highlight w:val="none"/>
        </w:rPr>
        <w:t>采购人或者采购代理机构根据有关法律法规规定组建评标委员会，评标委员会由采购人代表和评审专家组成。</w:t>
      </w:r>
    </w:p>
    <w:p>
      <w:pPr>
        <w:pStyle w:val="63"/>
        <w:spacing w:before="0" w:after="0"/>
        <w:rPr>
          <w:rFonts w:ascii="Times New Roman" w:hAnsi="Times New Roman" w:eastAsia="宋体" w:cs="Times New Roman"/>
          <w:b w:val="0"/>
          <w:color w:val="auto"/>
          <w:kern w:val="2"/>
          <w:sz w:val="21"/>
          <w:szCs w:val="21"/>
          <w:highlight w:val="none"/>
        </w:rPr>
      </w:pPr>
      <w:r>
        <w:rPr>
          <w:rFonts w:hint="eastAsia" w:ascii="Times New Roman" w:hAnsi="Times New Roman" w:eastAsia="宋体" w:cs="Times New Roman"/>
          <w:b w:val="0"/>
          <w:color w:val="auto"/>
          <w:kern w:val="2"/>
          <w:sz w:val="21"/>
          <w:szCs w:val="21"/>
          <w:highlight w:val="none"/>
        </w:rPr>
        <w:t>16.2评审专家对本单位的采购项目只能作为采购人代表参与评标，《政府采购货物和服务招标投标管理办法(2017修订)》第四十八条第二款规定情形除外。采购代理机构工作人员不得参加由本机构代理的政府采购项目的评标。</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17</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投标符合性审查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17.1 </w:t>
      </w:r>
      <w:r>
        <w:rPr>
          <w:rFonts w:hint="eastAsia" w:ascii="Times New Roman" w:hAnsi="Times New Roman" w:eastAsia="宋体" w:cs="Times New Roman"/>
          <w:color w:val="auto"/>
          <w:szCs w:val="21"/>
          <w:highlight w:val="none"/>
        </w:rPr>
        <w:t>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 xml:space="preserve">17.2 </w:t>
      </w:r>
      <w:r>
        <w:rPr>
          <w:rFonts w:hint="eastAsia" w:ascii="Times New Roman" w:hAnsi="Times New Roman" w:eastAsia="宋体" w:cs="Times New Roman"/>
          <w:b/>
          <w:color w:val="auto"/>
          <w:szCs w:val="21"/>
          <w:highlight w:val="none"/>
        </w:rPr>
        <w:t>未通过符合性审查的投标人，其投标无效。</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17.3 </w:t>
      </w:r>
      <w:r>
        <w:rPr>
          <w:rFonts w:hint="eastAsia" w:ascii="Times New Roman" w:hAnsi="Times New Roman" w:eastAsia="宋体" w:cs="Times New Roman"/>
          <w:color w:val="auto"/>
          <w:szCs w:val="21"/>
          <w:highlight w:val="none"/>
        </w:rPr>
        <w:t>通过符合性审查的投标人不足</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家的，应予以废标。</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18</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投标文件的澄清</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18.1</w:t>
      </w:r>
      <w:r>
        <w:rPr>
          <w:rFonts w:hint="eastAsia" w:ascii="Times New Roman" w:hAnsi="Times New Roman" w:eastAsia="宋体" w:cs="Times New Roman"/>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18.2</w:t>
      </w:r>
      <w:r>
        <w:rPr>
          <w:rFonts w:hint="eastAsia" w:ascii="Times New Roman" w:hAnsi="Times New Roman" w:eastAsia="宋体" w:cs="Times New Roman"/>
          <w:color w:val="auto"/>
          <w:kern w:val="0"/>
          <w:szCs w:val="21"/>
          <w:highlight w:val="none"/>
        </w:rPr>
        <w:t>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18.3</w:t>
      </w:r>
      <w:r>
        <w:rPr>
          <w:rFonts w:hint="eastAsia" w:ascii="Times New Roman" w:hAnsi="Times New Roman" w:eastAsia="宋体" w:cs="Times New Roman"/>
          <w:color w:val="auto"/>
          <w:kern w:val="0"/>
          <w:szCs w:val="21"/>
          <w:highlight w:val="none"/>
        </w:rPr>
        <w:t>关于投标描述（即投标文件中描述的内容）</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）投标描述前后不一致且不涉及证明材料的：按照本节第</w:t>
      </w:r>
      <w:r>
        <w:rPr>
          <w:rFonts w:ascii="Times New Roman" w:hAnsi="Times New Roman" w:eastAsia="宋体" w:cs="Times New Roman"/>
          <w:color w:val="auto"/>
          <w:kern w:val="0"/>
          <w:szCs w:val="21"/>
          <w:highlight w:val="none"/>
        </w:rPr>
        <w:t>18.1</w:t>
      </w:r>
      <w:r>
        <w:rPr>
          <w:rFonts w:hint="eastAsia" w:ascii="Times New Roman" w:hAnsi="Times New Roman" w:eastAsia="宋体" w:cs="Times New Roman"/>
          <w:color w:val="auto"/>
          <w:kern w:val="0"/>
          <w:szCs w:val="21"/>
          <w:highlight w:val="none"/>
        </w:rPr>
        <w:t>条规定执行。</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）投标描述与证明材料不一致或多份证明材料之间不一致的：</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宋体"/>
          <w:color w:val="auto"/>
          <w:kern w:val="0"/>
          <w:szCs w:val="21"/>
          <w:highlight w:val="none"/>
        </w:rPr>
        <w:t>①</w:t>
      </w:r>
      <w:r>
        <w:rPr>
          <w:rFonts w:hint="eastAsia" w:ascii="Times New Roman" w:hAnsi="Times New Roman" w:eastAsia="宋体" w:cs="Times New Roman"/>
          <w:color w:val="auto"/>
          <w:kern w:val="0"/>
          <w:szCs w:val="21"/>
          <w:highlight w:val="none"/>
        </w:rPr>
        <w:t>评标委员会将要求投标人进行书面澄清，无法澄清的将按照不利于投标人的内容进行评标。</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宋体"/>
          <w:color w:val="auto"/>
          <w:kern w:val="0"/>
          <w:szCs w:val="21"/>
          <w:highlight w:val="none"/>
        </w:rPr>
        <w:t>②</w:t>
      </w:r>
      <w:r>
        <w:rPr>
          <w:rFonts w:hint="eastAsia" w:ascii="Times New Roman" w:hAnsi="Times New Roman" w:eastAsia="宋体" w:cs="Times New Roman"/>
          <w:color w:val="auto"/>
          <w:kern w:val="0"/>
          <w:szCs w:val="21"/>
          <w:highlight w:val="none"/>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18.4 </w:t>
      </w:r>
      <w:r>
        <w:rPr>
          <w:rFonts w:hint="eastAsia" w:ascii="Times New Roman" w:hAnsi="Times New Roman" w:eastAsia="宋体" w:cs="Times New Roman"/>
          <w:color w:val="auto"/>
          <w:szCs w:val="21"/>
          <w:highlight w:val="none"/>
        </w:rPr>
        <w:t>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18.5 </w:t>
      </w:r>
      <w:r>
        <w:rPr>
          <w:rFonts w:hint="eastAsia" w:ascii="Times New Roman" w:hAnsi="Times New Roman" w:eastAsia="宋体" w:cs="Times New Roman"/>
          <w:color w:val="auto"/>
          <w:szCs w:val="21"/>
          <w:highlight w:val="none"/>
        </w:rPr>
        <w:t>投标人的澄清必须在规定的时间内提交。</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19</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核价原则</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 xml:space="preserve">19.1 </w:t>
      </w:r>
      <w:r>
        <w:rPr>
          <w:rFonts w:hint="eastAsia" w:ascii="Times New Roman" w:hAnsi="Times New Roman" w:eastAsia="宋体" w:cs="Times New Roman"/>
          <w:color w:val="auto"/>
          <w:szCs w:val="21"/>
          <w:highlight w:val="none"/>
        </w:rPr>
        <w:t>投标文件报价出现前后不一致的，除招标文件另有规定外，按照下列规定修正：</w:t>
      </w:r>
    </w:p>
    <w:p>
      <w:pPr>
        <w:overflowPunct w:val="0"/>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）投标文件中开标一览表（总报价表）内容与投标文件中相应内容不一致的，以开标一览表（总报价表）为准；</w:t>
      </w:r>
    </w:p>
    <w:p>
      <w:pPr>
        <w:overflowPunct w:val="0"/>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）大写金额和小写金额不一致的，以大写金额为准；</w:t>
      </w:r>
    </w:p>
    <w:p>
      <w:pPr>
        <w:overflowPunct w:val="0"/>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）单价金额小数点或者百分比有明显错位的，以开标一览表的总价为准，并修改单价；</w:t>
      </w:r>
    </w:p>
    <w:p>
      <w:pPr>
        <w:overflowPunct w:val="0"/>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）总价金额与按单价汇总金额不一致的，以单价金额计算结果为准。</w:t>
      </w:r>
    </w:p>
    <w:p>
      <w:pPr>
        <w:overflowPunct w:val="0"/>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）同时出现两种以上不一致的，按照前款规定的顺序修正。修正后的报价按照</w:t>
      </w:r>
      <w:r>
        <w:rPr>
          <w:rFonts w:ascii="Times New Roman" w:hAnsi="Times New Roman" w:eastAsia="宋体" w:cs="Times New Roman"/>
          <w:color w:val="auto"/>
          <w:szCs w:val="21"/>
          <w:highlight w:val="none"/>
        </w:rPr>
        <w:t>18.2</w:t>
      </w:r>
      <w:r>
        <w:rPr>
          <w:rFonts w:hint="eastAsia" w:ascii="Times New Roman" w:hAnsi="Times New Roman" w:eastAsia="宋体" w:cs="Times New Roman"/>
          <w:color w:val="auto"/>
          <w:szCs w:val="21"/>
          <w:highlight w:val="none"/>
        </w:rPr>
        <w:t>条的规定经投标人确认后产生约束力，</w:t>
      </w:r>
      <w:r>
        <w:rPr>
          <w:rFonts w:hint="eastAsia" w:ascii="Times New Roman" w:hAnsi="Times New Roman" w:eastAsia="宋体" w:cs="Times New Roman"/>
          <w:b/>
          <w:color w:val="auto"/>
          <w:szCs w:val="21"/>
          <w:highlight w:val="none"/>
        </w:rPr>
        <w:t>投标人不确认的，其投标无效</w:t>
      </w:r>
      <w:r>
        <w:rPr>
          <w:rFonts w:hint="eastAsia" w:ascii="Times New Roman" w:hAnsi="Times New Roman" w:eastAsia="宋体" w:cs="Times New Roman"/>
          <w:color w:val="auto"/>
          <w:szCs w:val="21"/>
          <w:highlight w:val="none"/>
        </w:rPr>
        <w:t>。</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投标无效</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20.1 </w:t>
      </w:r>
      <w:r>
        <w:rPr>
          <w:rFonts w:hint="eastAsia" w:ascii="Times New Roman" w:hAnsi="Times New Roman" w:eastAsia="宋体" w:cs="Times New Roman"/>
          <w:b/>
          <w:color w:val="auto"/>
          <w:szCs w:val="21"/>
          <w:highlight w:val="none"/>
        </w:rPr>
        <w:t>投标人及投标文件有下列情况之一的，应当在资格审查时按照投标无效处理：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不具备招标文件中规定的资格要求的；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2</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投标文件组成中</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资格证明文件</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未提供或无效的；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3</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未通过信用记录审查或未提供相关证明材料的。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20.2 </w:t>
      </w:r>
      <w:r>
        <w:rPr>
          <w:rFonts w:hint="eastAsia" w:ascii="Times New Roman" w:hAnsi="Times New Roman" w:eastAsia="宋体" w:cs="Times New Roman"/>
          <w:b/>
          <w:color w:val="auto"/>
          <w:szCs w:val="21"/>
          <w:highlight w:val="none"/>
        </w:rPr>
        <w:t>投标人及投标文件有下列情况之一的，应当在符合性审查时按照投标无效处理：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投标文件组成中除</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资格证明文件</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外，</w:t>
      </w:r>
      <w:r>
        <w:rPr>
          <w:rFonts w:ascii="Segoe UI Symbol" w:hAnsi="Segoe UI Symbol" w:eastAsia="宋体" w:cs="Segoe UI Symbol"/>
          <w:b/>
          <w:color w:val="auto"/>
          <w:szCs w:val="21"/>
          <w:highlight w:val="none"/>
        </w:rPr>
        <w:t>★</w:t>
      </w:r>
      <w:r>
        <w:rPr>
          <w:rFonts w:hint="eastAsia" w:ascii="Times New Roman" w:hAnsi="Times New Roman" w:eastAsia="宋体" w:cs="Times New Roman"/>
          <w:b/>
          <w:color w:val="auto"/>
          <w:szCs w:val="21"/>
          <w:highlight w:val="none"/>
        </w:rPr>
        <w:t>条款相关文件及资料未提供或提供无效的；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2</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投标文件未按招标文件要求签署、盖章的；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3</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投标报价超过招标文件中规定的预算金额或者最高限价的；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4</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投标有效期不足的；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5</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投标文件含有采购人不能接受的附加条件的；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20.3 </w:t>
      </w:r>
      <w:r>
        <w:rPr>
          <w:rFonts w:hint="eastAsia" w:ascii="Times New Roman" w:hAnsi="Times New Roman" w:eastAsia="宋体" w:cs="Times New Roman"/>
          <w:b/>
          <w:color w:val="auto"/>
          <w:szCs w:val="21"/>
          <w:highlight w:val="none"/>
        </w:rPr>
        <w:t>除</w:t>
      </w:r>
      <w:r>
        <w:rPr>
          <w:rFonts w:ascii="Times New Roman" w:hAnsi="Times New Roman" w:eastAsia="宋体" w:cs="Times New Roman"/>
          <w:b/>
          <w:color w:val="auto"/>
          <w:szCs w:val="21"/>
          <w:highlight w:val="none"/>
        </w:rPr>
        <w:t>20.1</w:t>
      </w:r>
      <w:r>
        <w:rPr>
          <w:rFonts w:hint="eastAsia" w:ascii="Times New Roman" w:hAnsi="Times New Roman" w:eastAsia="宋体" w:cs="Times New Roman"/>
          <w:b/>
          <w:color w:val="auto"/>
          <w:szCs w:val="21"/>
          <w:highlight w:val="none"/>
        </w:rPr>
        <w:t>及</w:t>
      </w:r>
      <w:r>
        <w:rPr>
          <w:rFonts w:ascii="Times New Roman" w:hAnsi="Times New Roman" w:eastAsia="宋体" w:cs="Times New Roman"/>
          <w:b/>
          <w:color w:val="auto"/>
          <w:szCs w:val="21"/>
          <w:highlight w:val="none"/>
        </w:rPr>
        <w:t>20.2</w:t>
      </w:r>
      <w:r>
        <w:rPr>
          <w:rFonts w:hint="eastAsia" w:ascii="Times New Roman" w:hAnsi="Times New Roman" w:eastAsia="宋体" w:cs="Times New Roman"/>
          <w:b/>
          <w:color w:val="auto"/>
          <w:szCs w:val="21"/>
          <w:highlight w:val="none"/>
        </w:rPr>
        <w:t>情形外，投标人及投标文件有下列情况之一的，应当按照投标无效处理：</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提供虚假投标文件材料的；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2</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投标人串通投标的；</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3</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投标报价明显低于其他通过符合性审查投标人的报价，且不能证明其报价合理性的。</w:t>
      </w:r>
    </w:p>
    <w:p>
      <w:pPr>
        <w:topLinePunct/>
        <w:autoSpaceDE w:val="0"/>
        <w:autoSpaceDN w:val="0"/>
        <w:adjustRightInd w:val="0"/>
        <w:snapToGrid w:val="0"/>
        <w:spacing w:line="360" w:lineRule="auto"/>
        <w:ind w:firstLine="422"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4</w:t>
      </w:r>
      <w:r>
        <w:rPr>
          <w:rFonts w:hint="eastAsia" w:ascii="Times New Roman" w:hAnsi="Times New Roman" w:eastAsia="宋体" w:cs="Times New Roman"/>
          <w:b/>
          <w:color w:val="auto"/>
          <w:szCs w:val="21"/>
          <w:highlight w:val="none"/>
        </w:rPr>
        <w:t>）</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法律、法规和招标文件规定的其他无效情形。</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21</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比较与评价</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21.1 </w:t>
      </w:r>
      <w:r>
        <w:rPr>
          <w:rFonts w:hint="eastAsia" w:ascii="Times New Roman" w:hAnsi="Times New Roman" w:eastAsia="宋体" w:cs="Times New Roman"/>
          <w:color w:val="auto"/>
          <w:szCs w:val="21"/>
          <w:highlight w:val="none"/>
        </w:rPr>
        <w:t>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21.2 </w:t>
      </w:r>
      <w:r>
        <w:rPr>
          <w:rFonts w:hint="eastAsia" w:ascii="Times New Roman" w:hAnsi="Times New Roman" w:eastAsia="宋体" w:cs="Times New Roman"/>
          <w:color w:val="auto"/>
          <w:szCs w:val="21"/>
          <w:highlight w:val="none"/>
        </w:rPr>
        <w:t>价格分应当采用低价优先法计算。小型、微型企业和监狱企业或残疾人福利性单位的投标报价按照</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21.3 </w:t>
      </w:r>
      <w:r>
        <w:rPr>
          <w:rFonts w:hint="eastAsia" w:ascii="Times New Roman" w:hAnsi="Times New Roman" w:eastAsia="宋体" w:cs="Times New Roman"/>
          <w:color w:val="auto"/>
          <w:szCs w:val="21"/>
          <w:highlight w:val="none"/>
        </w:rPr>
        <w:t>评标委员会各成员独立对每个投标人的投标文件进行评价，并汇总得出每个投标人的评审得分。</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21.4 </w:t>
      </w:r>
      <w:r>
        <w:rPr>
          <w:rFonts w:hint="eastAsia" w:ascii="Times New Roman" w:hAnsi="Times New Roman" w:eastAsia="宋体" w:cs="Times New Roman"/>
          <w:color w:val="auto"/>
          <w:szCs w:val="21"/>
          <w:highlight w:val="none"/>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 xml:space="preserve">21.5 </w:t>
      </w:r>
      <w:r>
        <w:rPr>
          <w:rFonts w:hint="eastAsia" w:ascii="Times New Roman" w:hAnsi="Times New Roman" w:eastAsia="宋体" w:cs="Times New Roman"/>
          <w:color w:val="auto"/>
          <w:szCs w:val="21"/>
          <w:highlight w:val="none"/>
        </w:rPr>
        <w:t>评标方法及标准</w:t>
      </w:r>
      <w:r>
        <w:rPr>
          <w:rFonts w:hint="eastAsia" w:ascii="Times New Roman" w:hAnsi="Times New Roman" w:eastAsia="宋体" w:cs="Times New Roman"/>
          <w:b/>
          <w:color w:val="auto"/>
          <w:szCs w:val="21"/>
          <w:highlight w:val="none"/>
        </w:rPr>
        <w:t>详见招标文件商务部分第三章。</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21.6 </w:t>
      </w:r>
      <w:r>
        <w:rPr>
          <w:rFonts w:hint="eastAsia" w:ascii="Times New Roman" w:hAnsi="Times New Roman" w:eastAsia="宋体" w:cs="Times New Roman"/>
          <w:color w:val="auto"/>
          <w:szCs w:val="21"/>
          <w:highlight w:val="none"/>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22</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废标</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22.1 </w:t>
      </w:r>
      <w:r>
        <w:rPr>
          <w:rFonts w:hint="eastAsia" w:ascii="Times New Roman" w:hAnsi="Times New Roman" w:eastAsia="宋体" w:cs="Times New Roman"/>
          <w:color w:val="auto"/>
          <w:szCs w:val="21"/>
          <w:highlight w:val="none"/>
        </w:rPr>
        <w:t>在招标采购中，出现下列情形之一的，应予废标：</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）符合专业条件的供应商或者对招标文件作实质响应的供应商不足三家的；</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）出现影响采购公正的违法、违规行为的；</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）投标人的报价均超过了采购预算，采购人不能支付的；</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）因重大变故，采购任务取消的。</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22.2 </w:t>
      </w:r>
      <w:r>
        <w:rPr>
          <w:rFonts w:hint="eastAsia" w:ascii="Times New Roman" w:hAnsi="Times New Roman" w:eastAsia="宋体" w:cs="Times New Roman"/>
          <w:color w:val="auto"/>
          <w:szCs w:val="21"/>
          <w:highlight w:val="none"/>
        </w:rPr>
        <w:t>废标后，采购人或者采购代理机构将废标理由通知所有投标人。</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六、中标和合同</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23</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中标</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23.1</w:t>
      </w:r>
      <w:r>
        <w:rPr>
          <w:rFonts w:hint="eastAsia" w:ascii="Times New Roman" w:hAnsi="Times New Roman" w:eastAsia="宋体" w:cs="Times New Roman"/>
          <w:color w:val="auto"/>
          <w:szCs w:val="21"/>
          <w:highlight w:val="none"/>
        </w:rPr>
        <w:t>采购代理机构应当在评标结束后</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采购人自行组织招标的，采购人应当在评标结束后</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个工作日内，按评标报告推荐的中标候选人顺序确定中标人。</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23.2 </w:t>
      </w:r>
      <w:r>
        <w:rPr>
          <w:rFonts w:hint="eastAsia" w:ascii="Times New Roman" w:hAnsi="Times New Roman" w:eastAsia="宋体" w:cs="Times New Roman"/>
          <w:color w:val="auto"/>
          <w:szCs w:val="21"/>
          <w:highlight w:val="none"/>
        </w:rPr>
        <w:t>采购人或者采购代理机构应当自中标人确定之日起</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个工作日内，在</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规定的媒体上公告中标结果，招标文件应随中标结果同时公告。中标公告期限为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个工作日。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23.3 </w:t>
      </w:r>
      <w:r>
        <w:rPr>
          <w:rFonts w:hint="eastAsia" w:ascii="Times New Roman" w:hAnsi="Times New Roman" w:eastAsia="宋体" w:cs="Times New Roman"/>
          <w:color w:val="auto"/>
          <w:szCs w:val="21"/>
          <w:highlight w:val="none"/>
        </w:rPr>
        <w:t>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23.4 </w:t>
      </w:r>
      <w:r>
        <w:rPr>
          <w:rFonts w:hint="eastAsia" w:ascii="Times New Roman" w:hAnsi="Times New Roman" w:eastAsia="宋体" w:cs="Times New Roman"/>
          <w:color w:val="auto"/>
          <w:szCs w:val="21"/>
          <w:highlight w:val="none"/>
        </w:rPr>
        <w:t>中标通知书发出后，采购人或者采购代理机构不得违法改变中标结果，中标人无正当理由不得放弃中标。</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23.5 </w:t>
      </w:r>
      <w:r>
        <w:rPr>
          <w:rFonts w:hint="eastAsia" w:ascii="Times New Roman" w:hAnsi="Times New Roman" w:eastAsia="宋体" w:cs="Times New Roman"/>
          <w:color w:val="auto"/>
          <w:szCs w:val="21"/>
          <w:highlight w:val="none"/>
        </w:rPr>
        <w:t>中标通知书对采购人和中标人具有同等法律效力。</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24</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签订合同</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24.1 </w:t>
      </w:r>
      <w:r>
        <w:rPr>
          <w:rFonts w:hint="eastAsia" w:ascii="Times New Roman" w:hAnsi="Times New Roman" w:eastAsia="宋体" w:cs="Times New Roman"/>
          <w:color w:val="auto"/>
          <w:szCs w:val="21"/>
          <w:highlight w:val="none"/>
        </w:rPr>
        <w:t>采购人应当自中标通知书发出之日起</w:t>
      </w:r>
      <w:r>
        <w:rPr>
          <w:rFonts w:ascii="Times New Roman" w:hAnsi="Times New Roman" w:eastAsia="宋体" w:cs="Times New Roman"/>
          <w:color w:val="auto"/>
          <w:szCs w:val="21"/>
          <w:highlight w:val="none"/>
        </w:rPr>
        <w:t>30</w:t>
      </w:r>
      <w:r>
        <w:rPr>
          <w:rFonts w:hint="eastAsia" w:ascii="Times New Roman" w:hAnsi="Times New Roman" w:eastAsia="宋体" w:cs="Times New Roman"/>
          <w:color w:val="auto"/>
          <w:szCs w:val="21"/>
          <w:highlight w:val="none"/>
        </w:rPr>
        <w:t>日内，按照招标文件和中标人投标文件的规定，与中标人签订合同。</w:t>
      </w:r>
      <w:r>
        <w:rPr>
          <w:rFonts w:hint="eastAsia" w:ascii="Times New Roman" w:hAnsi="Times New Roman" w:eastAsia="宋体" w:cs="Times New Roman"/>
          <w:color w:val="auto"/>
          <w:szCs w:val="21"/>
          <w:highlight w:val="none"/>
          <w:u w:val="single"/>
        </w:rPr>
        <w:t>线上采购项目可通过评审管理系统签订合同</w:t>
      </w:r>
      <w:r>
        <w:rPr>
          <w:rFonts w:hint="eastAsia" w:ascii="Times New Roman" w:hAnsi="Times New Roman" w:eastAsia="宋体" w:cs="Times New Roman"/>
          <w:color w:val="auto"/>
          <w:szCs w:val="21"/>
          <w:highlight w:val="none"/>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hint="eastAsia" w:ascii="Times New Roman" w:hAnsi="Times New Roman" w:eastAsia="宋体" w:cs="Times New Roman"/>
          <w:color w:val="auto"/>
          <w:szCs w:val="21"/>
          <w:highlight w:val="none"/>
        </w:rPr>
        <w:t>所签订的合同不得对招标文件确定的事项和中标人投标文件作实质性修改。</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24.3 </w:t>
      </w:r>
      <w:r>
        <w:rPr>
          <w:rFonts w:hint="eastAsia" w:ascii="Times New Roman" w:hAnsi="Times New Roman" w:eastAsia="宋体" w:cs="Times New Roman"/>
          <w:color w:val="auto"/>
          <w:szCs w:val="21"/>
          <w:highlight w:val="none"/>
        </w:rPr>
        <w:t>采购人不得向中标人提出任何不合理的要求作为签订合同的条件。</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24.4 </w:t>
      </w:r>
      <w:r>
        <w:rPr>
          <w:rFonts w:hint="eastAsia" w:ascii="Times New Roman" w:hAnsi="Times New Roman" w:eastAsia="宋体" w:cs="Times New Roman"/>
          <w:color w:val="auto"/>
          <w:szCs w:val="21"/>
          <w:highlight w:val="none"/>
        </w:rPr>
        <w:t>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25</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履约保证金</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25.1 </w:t>
      </w:r>
      <w:r>
        <w:rPr>
          <w:rFonts w:hint="eastAsia" w:ascii="Times New Roman" w:hAnsi="Times New Roman" w:eastAsia="宋体" w:cs="Times New Roman"/>
          <w:color w:val="auto"/>
          <w:szCs w:val="21"/>
          <w:highlight w:val="none"/>
        </w:rPr>
        <w:t>需提交履约保证金的项目，中标人应在合同签订前，按照</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的规定，向采购人提交履约保证金。</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七、询问和质疑</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26. </w:t>
      </w:r>
      <w:r>
        <w:rPr>
          <w:rFonts w:hint="eastAsia" w:ascii="Times New Roman" w:hAnsi="Times New Roman" w:eastAsia="宋体" w:cs="Times New Roman"/>
          <w:b/>
          <w:color w:val="auto"/>
          <w:szCs w:val="21"/>
          <w:highlight w:val="none"/>
        </w:rPr>
        <w:t>询问</w:t>
      </w:r>
    </w:p>
    <w:p>
      <w:pPr>
        <w:topLinePunct/>
        <w:autoSpaceDE w:val="0"/>
        <w:autoSpaceDN w:val="0"/>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26.1</w:t>
      </w:r>
      <w:r>
        <w:rPr>
          <w:rFonts w:hint="eastAsia" w:ascii="Times New Roman" w:hAnsi="Times New Roman" w:eastAsia="宋体" w:cs="Times New Roman"/>
          <w:color w:val="auto"/>
          <w:szCs w:val="21"/>
          <w:highlight w:val="none"/>
        </w:rPr>
        <w:t>潜在投标人、投标人对政府采购活动事项有疑问的，可以向采购人或者采购代理机构提出询问，采购人或者采购代理机构应当在</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个工作日内对依法提出的询问作出答复，但答复的内容不得涉及商业秘密。</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27</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质疑</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27.1</w:t>
      </w:r>
      <w:r>
        <w:rPr>
          <w:rFonts w:hint="eastAsia" w:ascii="Times New Roman" w:hAnsi="Times New Roman" w:eastAsia="宋体" w:cs="Times New Roman"/>
          <w:color w:val="auto"/>
          <w:szCs w:val="21"/>
          <w:highlight w:val="none"/>
        </w:rPr>
        <w:t>潜在投标人、投标人（统称质疑人）认为招标文件、招标过程和中标结果使自己的权益受到损害的，可以在知道或者应知其权益受到损害之日起</w:t>
      </w:r>
      <w:r>
        <w:rPr>
          <w:rFonts w:ascii="Times New Roman" w:hAnsi="Times New Roman" w:eastAsia="宋体" w:cs="Times New Roman"/>
          <w:color w:val="auto"/>
          <w:szCs w:val="21"/>
          <w:highlight w:val="none"/>
        </w:rPr>
        <w:t>7</w:t>
      </w:r>
      <w:r>
        <w:rPr>
          <w:rFonts w:hint="eastAsia" w:ascii="Times New Roman" w:hAnsi="Times New Roman" w:eastAsia="宋体" w:cs="Times New Roman"/>
          <w:color w:val="auto"/>
          <w:szCs w:val="21"/>
          <w:highlight w:val="none"/>
        </w:rPr>
        <w:t>个工作日内以书面形式向采购人或者采购代理机构提出质疑（线上采购项目可以通过评审管理系统提交）。联系部门、联系电话、通讯地址、电子邮箱</w:t>
      </w:r>
      <w:r>
        <w:rPr>
          <w:rFonts w:hint="eastAsia" w:ascii="Times New Roman" w:hAnsi="Times New Roman" w:eastAsia="宋体" w:cs="Times New Roman"/>
          <w:b/>
          <w:bCs/>
          <w:color w:val="auto"/>
          <w:szCs w:val="21"/>
          <w:highlight w:val="none"/>
        </w:rPr>
        <w:t>见</w:t>
      </w:r>
      <w:r>
        <w:rPr>
          <w:rFonts w:hint="eastAsia" w:ascii="Times New Roman" w:hAnsi="Times New Roman" w:eastAsia="宋体" w:cs="Times New Roman"/>
          <w:b/>
          <w:color w:val="auto"/>
          <w:szCs w:val="21"/>
          <w:highlight w:val="none"/>
        </w:rPr>
        <w:t>投标人须知前附表</w:t>
      </w:r>
      <w:r>
        <w:rPr>
          <w:rFonts w:hint="eastAsia" w:ascii="Times New Roman" w:hAnsi="Times New Roman" w:eastAsia="宋体" w:cs="Times New Roman"/>
          <w:color w:val="auto"/>
          <w:szCs w:val="21"/>
          <w:highlight w:val="none"/>
        </w:rPr>
        <w:t>。</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27.2</w:t>
      </w:r>
      <w:r>
        <w:rPr>
          <w:rFonts w:hint="eastAsia" w:ascii="Times New Roman" w:hAnsi="Times New Roman" w:eastAsia="宋体" w:cs="Times New Roman"/>
          <w:color w:val="auto"/>
          <w:szCs w:val="21"/>
          <w:highlight w:val="none"/>
        </w:rPr>
        <w:t>在法定质疑期内，针对同一采购程序环节的质疑应一次性提出。</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27.3</w:t>
      </w:r>
      <w:r>
        <w:rPr>
          <w:rFonts w:hint="eastAsia" w:ascii="Times New Roman" w:hAnsi="Times New Roman" w:eastAsia="宋体" w:cs="Times New Roman"/>
          <w:color w:val="auto"/>
          <w:szCs w:val="21"/>
          <w:highlight w:val="none"/>
        </w:rPr>
        <w:t>质疑人应知其权益受到损害之日，是指：</w:t>
      </w:r>
      <w:r>
        <w:rPr>
          <w:rFonts w:ascii="Times New Roman" w:hAnsi="Times New Roman" w:eastAsia="宋体" w:cs="Times New Roman"/>
          <w:color w:val="auto"/>
          <w:szCs w:val="21"/>
          <w:highlight w:val="none"/>
        </w:rPr>
        <w:t xml:space="preserve"> </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）对可以质疑的采购文件提出质疑的，为收到采购文件之日或者采购文件公告期限届满之日；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）对采购过程提出质疑的，为各采购程序环节结束之日；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）对中标结果提出质疑的，为中标结果公告期限届满之日。</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27.4</w:t>
      </w:r>
      <w:r>
        <w:rPr>
          <w:rFonts w:hint="eastAsia" w:ascii="Times New Roman" w:hAnsi="Times New Roman" w:eastAsia="宋体" w:cs="Times New Roman"/>
          <w:color w:val="auto"/>
          <w:szCs w:val="21"/>
          <w:highlight w:val="none"/>
        </w:rPr>
        <w:t>质疑应当有明确的请求和必要的证明材料。供应商为自然人的，应当由本人签字；供应商为法人或者其他组织的，应当由法定代表人、主要负责人，或者其授权代表签字，并加盖公章。</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27.5 </w:t>
      </w:r>
      <w:r>
        <w:rPr>
          <w:rFonts w:hint="eastAsia" w:ascii="Times New Roman" w:hAnsi="Times New Roman" w:eastAsia="宋体" w:cs="Times New Roman"/>
          <w:color w:val="auto"/>
          <w:szCs w:val="21"/>
          <w:highlight w:val="none"/>
        </w:rPr>
        <w:t>采购人或者代理机构应当在收到供应商的质疑函后</w:t>
      </w:r>
      <w:r>
        <w:rPr>
          <w:rFonts w:ascii="Times New Roman" w:hAnsi="Times New Roman" w:eastAsia="宋体" w:cs="Times New Roman"/>
          <w:color w:val="auto"/>
          <w:szCs w:val="21"/>
          <w:highlight w:val="none"/>
        </w:rPr>
        <w:t>7</w:t>
      </w:r>
      <w:r>
        <w:rPr>
          <w:rFonts w:hint="eastAsia" w:ascii="Times New Roman" w:hAnsi="Times New Roman" w:eastAsia="宋体" w:cs="Times New Roman"/>
          <w:color w:val="auto"/>
          <w:szCs w:val="21"/>
          <w:highlight w:val="none"/>
        </w:rPr>
        <w:t>个工作日内，对质疑内容作出答复，</w:t>
      </w:r>
      <w:r>
        <w:rPr>
          <w:rFonts w:hint="eastAsia" w:ascii="Times New Roman" w:hAnsi="Times New Roman" w:eastAsia="宋体" w:cs="Times New Roman"/>
          <w:bCs/>
          <w:color w:val="auto"/>
          <w:szCs w:val="21"/>
          <w:highlight w:val="none"/>
        </w:rPr>
        <w:t>书面形式</w:t>
      </w:r>
      <w:r>
        <w:rPr>
          <w:rFonts w:hint="eastAsia" w:ascii="Times New Roman" w:hAnsi="Times New Roman" w:eastAsia="宋体" w:cs="Times New Roman"/>
          <w:color w:val="auto"/>
          <w:szCs w:val="21"/>
          <w:highlight w:val="none"/>
        </w:rPr>
        <w:t>通知质疑供应商和其他有关供应商，但答复内容不得涉及商业秘密。</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27.6</w:t>
      </w:r>
      <w:r>
        <w:rPr>
          <w:rFonts w:hint="eastAsia" w:ascii="Times New Roman" w:hAnsi="Times New Roman" w:eastAsia="宋体" w:cs="Times New Roman"/>
          <w:color w:val="auto"/>
          <w:kern w:val="0"/>
          <w:szCs w:val="21"/>
          <w:highlight w:val="none"/>
        </w:rPr>
        <w:t>质疑人对采购人、采购代理机构的答复不满意或者采购人、采购代理机构未在规定的时间内作出答复的，可以在答复期满后</w:t>
      </w:r>
      <w:r>
        <w:rPr>
          <w:rFonts w:ascii="Times New Roman" w:hAnsi="Times New Roman" w:eastAsia="宋体" w:cs="Times New Roman"/>
          <w:color w:val="auto"/>
          <w:kern w:val="0"/>
          <w:szCs w:val="21"/>
          <w:highlight w:val="none"/>
        </w:rPr>
        <w:t>15</w:t>
      </w:r>
      <w:r>
        <w:rPr>
          <w:rFonts w:hint="eastAsia" w:ascii="Times New Roman" w:hAnsi="Times New Roman" w:eastAsia="宋体" w:cs="Times New Roman"/>
          <w:color w:val="auto"/>
          <w:kern w:val="0"/>
          <w:szCs w:val="21"/>
          <w:highlight w:val="none"/>
        </w:rPr>
        <w:t>个工作日内向同级人民政府财政部门投诉。</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27.7</w:t>
      </w:r>
      <w:r>
        <w:rPr>
          <w:rFonts w:hint="eastAsia" w:ascii="Times New Roman" w:hAnsi="Times New Roman" w:eastAsia="宋体" w:cs="Times New Roman"/>
          <w:color w:val="auto"/>
          <w:kern w:val="0"/>
          <w:szCs w:val="21"/>
          <w:highlight w:val="none"/>
        </w:rPr>
        <w:t>投诉应当有明确的请求和必要的证明材料。投诉的事项不得超出已质疑事项的范围。</w:t>
      </w:r>
    </w:p>
    <w:p>
      <w:pPr>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八、其他</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bookmarkStart w:id="2" w:name="_Toc319519285"/>
      <w:bookmarkStart w:id="3" w:name="_Toc262111390"/>
      <w:bookmarkStart w:id="4" w:name="_Toc217989361"/>
      <w:bookmarkStart w:id="5" w:name="_Toc233181902"/>
      <w:r>
        <w:rPr>
          <w:rFonts w:ascii="Times New Roman" w:hAnsi="Times New Roman" w:eastAsia="宋体" w:cs="Times New Roman"/>
          <w:b/>
          <w:color w:val="auto"/>
          <w:szCs w:val="21"/>
          <w:highlight w:val="none"/>
        </w:rPr>
        <w:t>28</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
          <w:color w:val="auto"/>
          <w:szCs w:val="21"/>
          <w:highlight w:val="none"/>
        </w:rPr>
        <w:t>保密</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28.1</w:t>
      </w:r>
      <w:r>
        <w:rPr>
          <w:rFonts w:hint="eastAsia" w:ascii="Times New Roman" w:hAnsi="Times New Roman" w:eastAsia="宋体" w:cs="Times New Roman"/>
          <w:color w:val="auto"/>
          <w:szCs w:val="21"/>
          <w:highlight w:val="none"/>
        </w:rPr>
        <w:t>采购人、采购代理机构应当采取必要措施，保证评标在严格保密的情况下进行。除采购人代表、评标现场组织人员外，采购人的其他工作人员以及与评标工作无关的人员不得进入评标现场。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28.2 </w:t>
      </w:r>
      <w:r>
        <w:rPr>
          <w:rFonts w:hint="eastAsia" w:ascii="Times New Roman" w:hAnsi="Times New Roman" w:eastAsia="宋体" w:cs="Times New Roman"/>
          <w:color w:val="auto"/>
          <w:szCs w:val="21"/>
          <w:highlight w:val="none"/>
        </w:rPr>
        <w:t>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29. </w:t>
      </w:r>
      <w:r>
        <w:rPr>
          <w:rFonts w:hint="eastAsia" w:ascii="Times New Roman" w:hAnsi="Times New Roman" w:eastAsia="宋体" w:cs="Times New Roman"/>
          <w:b/>
          <w:color w:val="auto"/>
          <w:szCs w:val="21"/>
          <w:highlight w:val="none"/>
        </w:rPr>
        <w:t>知识产权与规避专利、版权纠纷</w:t>
      </w:r>
      <w:bookmarkEnd w:id="2"/>
      <w:bookmarkEnd w:id="3"/>
      <w:bookmarkEnd w:id="4"/>
      <w:bookmarkEnd w:id="5"/>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29.1 </w:t>
      </w:r>
      <w:r>
        <w:rPr>
          <w:rFonts w:hint="eastAsia" w:ascii="Times New Roman" w:hAnsi="Times New Roman" w:eastAsia="宋体" w:cs="Times New Roman"/>
          <w:color w:val="auto"/>
          <w:szCs w:val="21"/>
          <w:highlight w:val="none"/>
        </w:rPr>
        <w:t>知识产权</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29.1.1 </w:t>
      </w:r>
      <w:r>
        <w:rPr>
          <w:rFonts w:hint="eastAsia" w:ascii="Times New Roman" w:hAnsi="Times New Roman" w:eastAsia="宋体" w:cs="Times New Roman"/>
          <w:color w:val="auto"/>
          <w:szCs w:val="21"/>
          <w:highlight w:val="none"/>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29.2 </w:t>
      </w:r>
      <w:r>
        <w:rPr>
          <w:rFonts w:hint="eastAsia" w:ascii="Times New Roman" w:hAnsi="Times New Roman" w:eastAsia="宋体" w:cs="Times New Roman"/>
          <w:color w:val="auto"/>
          <w:szCs w:val="21"/>
          <w:highlight w:val="none"/>
        </w:rPr>
        <w:t>规避专利、版权纠纷</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29.2.1 </w:t>
      </w:r>
      <w:r>
        <w:rPr>
          <w:rFonts w:hint="eastAsia" w:ascii="Times New Roman" w:hAnsi="Times New Roman" w:eastAsia="宋体" w:cs="Times New Roman"/>
          <w:color w:val="auto"/>
          <w:szCs w:val="21"/>
          <w:highlight w:val="none"/>
        </w:rPr>
        <w:t>投标人应保证其投标方案中的有关软件、文件、图纸等没有违反有关专利和版权等知识产权的规定。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29.2.2 </w:t>
      </w:r>
      <w:r>
        <w:rPr>
          <w:rFonts w:hint="eastAsia" w:ascii="Times New Roman" w:hAnsi="Times New Roman" w:eastAsia="宋体" w:cs="Times New Roman"/>
          <w:color w:val="auto"/>
          <w:szCs w:val="21"/>
          <w:highlight w:val="none"/>
        </w:rPr>
        <w:t>中标人应保证采购人在中华人民共和国使用本项目成果任何一部分、或接受乙方服务时，免受第三方提出的侵犯其专利权、商标权或工业设计权等知识产权的索赔或起诉。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29.2.3 </w:t>
      </w:r>
      <w:r>
        <w:rPr>
          <w:rFonts w:hint="eastAsia" w:ascii="Times New Roman" w:hAnsi="Times New Roman" w:eastAsia="宋体" w:cs="Times New Roman"/>
          <w:color w:val="auto"/>
          <w:szCs w:val="21"/>
          <w:highlight w:val="none"/>
        </w:rPr>
        <w:t>如果采购人在使用本项目任何一部分时被任何第三方诉称侵犯了第三方知识产权或任何其他权利，中标人应负责处理这一指控并应以中标人的名义自负费用向起诉方提出抗辩。由此可能产生的一切法律责任和经济责任均由中标人承担。</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29.2.4 </w:t>
      </w:r>
      <w:r>
        <w:rPr>
          <w:rFonts w:hint="eastAsia" w:ascii="Times New Roman" w:hAnsi="Times New Roman" w:eastAsia="宋体" w:cs="Times New Roman"/>
          <w:color w:val="auto"/>
          <w:szCs w:val="21"/>
          <w:highlight w:val="none"/>
        </w:rPr>
        <w:t>如果采购人发现任何第三方在采购人未被许可的范围内非法使用采购人获得的知识产权，采购人应通知中标人。中标人应在收到采购人通知后</w:t>
      </w:r>
      <w:r>
        <w:rPr>
          <w:rFonts w:ascii="Times New Roman" w:hAnsi="Times New Roman" w:eastAsia="宋体" w:cs="Times New Roman"/>
          <w:color w:val="auto"/>
          <w:szCs w:val="21"/>
          <w:highlight w:val="none"/>
        </w:rPr>
        <w:t>14</w:t>
      </w:r>
      <w:r>
        <w:rPr>
          <w:rFonts w:hint="eastAsia" w:ascii="Times New Roman" w:hAnsi="Times New Roman" w:eastAsia="宋体" w:cs="Times New Roman"/>
          <w:color w:val="auto"/>
          <w:szCs w:val="21"/>
          <w:highlight w:val="none"/>
        </w:rPr>
        <w:t>天内采取行动制止非法使用行为，否则由中标人承担相应的责任。</w:t>
      </w:r>
    </w:p>
    <w:p>
      <w:pPr>
        <w:widowControl/>
        <w:spacing w:line="360" w:lineRule="auto"/>
        <w:jc w:val="left"/>
        <w:rPr>
          <w:rFonts w:ascii="Times New Roman" w:hAnsi="Times New Roman" w:eastAsia="宋体" w:cs="Times New Roman"/>
          <w:color w:val="auto"/>
          <w:szCs w:val="21"/>
          <w:highlight w:val="none"/>
        </w:rPr>
        <w:sectPr>
          <w:pgSz w:w="11906" w:h="16838"/>
          <w:pgMar w:top="1440" w:right="1752" w:bottom="1440" w:left="1752" w:header="851" w:footer="992" w:gutter="0"/>
          <w:cols w:space="720" w:num="1"/>
          <w:docGrid w:type="lines" w:linePitch="312" w:charSpace="0"/>
        </w:sectPr>
      </w:pPr>
    </w:p>
    <w:p>
      <w:pPr>
        <w:pStyle w:val="3"/>
        <w:jc w:val="center"/>
        <w:rPr>
          <w:color w:val="auto"/>
          <w:highlight w:val="none"/>
        </w:rPr>
      </w:pPr>
      <w:bookmarkStart w:id="6" w:name="_Toc1168671576"/>
      <w:bookmarkStart w:id="7" w:name="_Toc937455070"/>
      <w:bookmarkStart w:id="8" w:name="_Toc1762322514"/>
      <w:bookmarkStart w:id="9" w:name="_Toc525052846"/>
      <w:bookmarkStart w:id="10" w:name="_Toc1380332034"/>
      <w:bookmarkStart w:id="11" w:name="_Toc38030149"/>
      <w:bookmarkStart w:id="12" w:name="_Toc12759"/>
      <w:bookmarkStart w:id="13" w:name="_Toc1481241717"/>
      <w:bookmarkStart w:id="14" w:name="_Toc1298913388"/>
      <w:r>
        <w:rPr>
          <w:rFonts w:hint="eastAsia"/>
          <w:color w:val="auto"/>
          <w:highlight w:val="none"/>
        </w:rPr>
        <w:t>第三章  评标方法及标准</w:t>
      </w:r>
      <w:bookmarkEnd w:id="6"/>
      <w:bookmarkEnd w:id="7"/>
      <w:bookmarkEnd w:id="8"/>
      <w:bookmarkEnd w:id="9"/>
      <w:bookmarkEnd w:id="10"/>
      <w:bookmarkEnd w:id="11"/>
      <w:bookmarkEnd w:id="12"/>
      <w:bookmarkEnd w:id="13"/>
      <w:bookmarkEnd w:id="14"/>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评标方法</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1.1 </w:t>
      </w:r>
      <w:r>
        <w:rPr>
          <w:rFonts w:hint="eastAsia" w:ascii="Times New Roman" w:hAnsi="Times New Roman" w:eastAsia="宋体" w:cs="Times New Roman"/>
          <w:color w:val="auto"/>
          <w:szCs w:val="21"/>
          <w:highlight w:val="none"/>
        </w:rPr>
        <w:t>本项目评标方法：</w:t>
      </w:r>
      <w:r>
        <w:rPr>
          <w:rFonts w:hint="eastAsia" w:ascii="Times New Roman" w:hAnsi="Times New Roman" w:eastAsia="宋体" w:cs="Times New Roman"/>
          <w:b/>
          <w:color w:val="auto"/>
          <w:szCs w:val="21"/>
          <w:highlight w:val="none"/>
          <w:u w:val="single"/>
        </w:rPr>
        <w:t>采用综合评分法</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w:t>
      </w:r>
      <w:r>
        <w:rPr>
          <w:rFonts w:hint="eastAsia" w:ascii="Times New Roman" w:hAnsi="Times New Roman" w:eastAsia="宋体" w:cs="Times New Roman"/>
          <w:b/>
          <w:color w:val="auto"/>
          <w:szCs w:val="21"/>
          <w:highlight w:val="none"/>
        </w:rPr>
        <w:t>评标标准</w:t>
      </w:r>
    </w:p>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2.1 </w:t>
      </w:r>
      <w:r>
        <w:rPr>
          <w:rFonts w:hint="eastAsia" w:ascii="Times New Roman" w:hAnsi="Times New Roman" w:eastAsia="宋体" w:cs="Times New Roman"/>
          <w:color w:val="auto"/>
          <w:kern w:val="0"/>
          <w:szCs w:val="21"/>
          <w:highlight w:val="none"/>
        </w:rPr>
        <w:t>本项目</w:t>
      </w:r>
      <w:r>
        <w:rPr>
          <w:rFonts w:hint="eastAsia" w:ascii="Times New Roman" w:hAnsi="Times New Roman" w:eastAsia="宋体" w:cs="Times New Roman"/>
          <w:b/>
          <w:color w:val="auto"/>
          <w:kern w:val="0"/>
          <w:szCs w:val="21"/>
          <w:highlight w:val="none"/>
          <w:u w:val="single"/>
        </w:rPr>
        <w:t>采用</w:t>
      </w:r>
      <w:r>
        <w:rPr>
          <w:rFonts w:hint="eastAsia" w:ascii="Times New Roman" w:hAnsi="Times New Roman" w:eastAsia="宋体" w:cs="Times New Roman"/>
          <w:b/>
          <w:color w:val="auto"/>
          <w:szCs w:val="21"/>
          <w:highlight w:val="none"/>
          <w:u w:val="single"/>
        </w:rPr>
        <w:t>百分制</w:t>
      </w:r>
      <w:r>
        <w:rPr>
          <w:rFonts w:hint="eastAsia" w:ascii="Times New Roman" w:hAnsi="Times New Roman" w:eastAsia="宋体" w:cs="Times New Roman"/>
          <w:b/>
          <w:color w:val="auto"/>
          <w:kern w:val="0"/>
          <w:szCs w:val="21"/>
          <w:highlight w:val="none"/>
          <w:u w:val="single"/>
        </w:rPr>
        <w:t>综合评分法</w:t>
      </w:r>
      <w:r>
        <w:rPr>
          <w:rFonts w:hint="eastAsia" w:ascii="Times New Roman" w:hAnsi="Times New Roman" w:eastAsia="宋体" w:cs="Times New Roman"/>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2.2 </w:t>
      </w:r>
      <w:r>
        <w:rPr>
          <w:rFonts w:hint="eastAsia" w:ascii="Times New Roman" w:hAnsi="Times New Roman" w:eastAsia="宋体" w:cs="Times New Roman"/>
          <w:color w:val="auto"/>
          <w:szCs w:val="21"/>
          <w:highlight w:val="none"/>
        </w:rPr>
        <w:t>本项目价格分值为</w:t>
      </w:r>
      <w:r>
        <w:rPr>
          <w:rFonts w:hint="eastAsia" w:ascii="Times New Roman" w:hAnsi="Times New Roman" w:eastAsia="宋体" w:cs="Times New Roman"/>
          <w:color w:val="auto"/>
          <w:szCs w:val="21"/>
          <w:highlight w:val="none"/>
          <w:u w:val="single"/>
          <w:lang w:val="en-US" w:eastAsia="zh-CN"/>
        </w:rPr>
        <w:t>20</w:t>
      </w:r>
      <w:r>
        <w:rPr>
          <w:rFonts w:hint="eastAsia" w:ascii="Times New Roman" w:hAnsi="Times New Roman" w:eastAsia="宋体" w:cs="Times New Roman"/>
          <w:color w:val="auto"/>
          <w:szCs w:val="21"/>
          <w:highlight w:val="none"/>
        </w:rPr>
        <w:t>分，其余评审因素分值为</w:t>
      </w:r>
      <w:r>
        <w:rPr>
          <w:rFonts w:hint="eastAsia" w:ascii="Times New Roman" w:hAnsi="Times New Roman" w:eastAsia="宋体" w:cs="Times New Roman"/>
          <w:color w:val="auto"/>
          <w:szCs w:val="21"/>
          <w:highlight w:val="none"/>
          <w:u w:val="single"/>
          <w:lang w:val="en-US" w:eastAsia="zh-CN"/>
        </w:rPr>
        <w:t>80</w:t>
      </w:r>
      <w:r>
        <w:rPr>
          <w:rFonts w:hint="eastAsia" w:ascii="Times New Roman" w:hAnsi="Times New Roman" w:eastAsia="宋体" w:cs="Times New Roman"/>
          <w:color w:val="auto"/>
          <w:szCs w:val="21"/>
          <w:highlight w:val="none"/>
        </w:rPr>
        <w:t>分，按四舍五入取至百分位。</w:t>
      </w:r>
    </w:p>
    <w:p>
      <w:pPr>
        <w:topLinePunct/>
        <w:autoSpaceDE w:val="0"/>
        <w:autoSpaceDN w:val="0"/>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3</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评委构成：</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本项目评标委员会由采购人代表和评审专家组成，成员人数为5人单数，其中评审专家不得少于成员总数的三分之二。</w:t>
      </w:r>
    </w:p>
    <w:p>
      <w:pPr>
        <w:topLinePunct/>
        <w:autoSpaceDE w:val="0"/>
        <w:autoSpaceDN w:val="0"/>
        <w:spacing w:line="360" w:lineRule="auto"/>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评审标准如下表：</w:t>
      </w:r>
    </w:p>
    <w:tbl>
      <w:tblPr>
        <w:tblStyle w:val="5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71"/>
        <w:gridCol w:w="1071"/>
        <w:gridCol w:w="559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w:t>
            </w:r>
          </w:p>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因素</w:t>
            </w: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主要</w:t>
            </w:r>
          </w:p>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内容</w:t>
            </w:r>
          </w:p>
        </w:tc>
        <w:tc>
          <w:tcPr>
            <w:tcW w:w="5599" w:type="dxa"/>
            <w:tcBorders>
              <w:tl2br w:val="nil"/>
              <w:tr2bl w:val="nil"/>
            </w:tcBorders>
            <w:noWrap/>
            <w:vAlign w:val="center"/>
          </w:tcPr>
          <w:p>
            <w:pPr>
              <w:widowControl/>
              <w:overflowPunct w:val="0"/>
              <w:autoSpaceDE w:val="0"/>
              <w:autoSpaceDN w:val="0"/>
              <w:adjustRightInd w:val="0"/>
              <w:spacing w:line="380" w:lineRule="exact"/>
              <w:ind w:left="-250" w:leftChars="-119"/>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指标要求</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细项</w:t>
            </w:r>
          </w:p>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71" w:type="dxa"/>
            <w:tcBorders>
              <w:tl2br w:val="nil"/>
              <w:tr2bl w:val="nil"/>
            </w:tcBorders>
            <w:noWrap/>
            <w:vAlign w:val="center"/>
          </w:tcPr>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报价</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20</w:t>
            </w:r>
            <w:r>
              <w:rPr>
                <w:rFonts w:hint="eastAsia" w:ascii="宋体" w:hAnsi="宋体" w:eastAsia="宋体" w:cs="宋体"/>
                <w:bCs/>
                <w:color w:val="auto"/>
                <w:szCs w:val="21"/>
                <w:highlight w:val="none"/>
              </w:rPr>
              <w:t>分)</w:t>
            </w:r>
          </w:p>
        </w:tc>
        <w:tc>
          <w:tcPr>
            <w:tcW w:w="1071" w:type="dxa"/>
            <w:tcBorders>
              <w:tl2br w:val="nil"/>
              <w:tr2bl w:val="nil"/>
            </w:tcBorders>
            <w:noWrap/>
            <w:vAlign w:val="center"/>
          </w:tcPr>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5599" w:type="dxa"/>
            <w:tcBorders>
              <w:tl2br w:val="nil"/>
              <w:tr2bl w:val="nil"/>
            </w:tcBorders>
            <w:noWrap/>
            <w:vAlign w:val="center"/>
          </w:tcPr>
          <w:p>
            <w:pPr>
              <w:pStyle w:val="95"/>
              <w:spacing w:line="38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投标报价得分=（评标基准价／投标报价）×满分值</w:t>
            </w:r>
          </w:p>
          <w:p>
            <w:pPr>
              <w:pStyle w:val="95"/>
              <w:spacing w:line="38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（1）评标基准价是指满足招标文件要求且投标价格最低的投标报价。</w:t>
            </w:r>
          </w:p>
          <w:p>
            <w:pPr>
              <w:pStyle w:val="95"/>
              <w:spacing w:line="38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（2）因落实政府采购政策进行价格调整的，以调整后的价格计算评标基准价和投标报价。</w:t>
            </w:r>
          </w:p>
          <w:p>
            <w:pPr>
              <w:widowControl/>
              <w:spacing w:line="380" w:lineRule="exact"/>
              <w:ind w:firstLine="420" w:firstLineChars="200"/>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rPr>
              <w:t>（3）调整后的价格只是作为评标时使用，最终中标人的中标金额＝投标报价。</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restart"/>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071" w:type="dxa"/>
            <w:vMerge w:val="restart"/>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因素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相关证书（</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w:t>
            </w:r>
          </w:p>
        </w:tc>
        <w:tc>
          <w:tcPr>
            <w:tcW w:w="5599" w:type="dxa"/>
            <w:tcBorders>
              <w:tl2br w:val="nil"/>
              <w:tr2bl w:val="nil"/>
            </w:tcBorders>
            <w:noWrap/>
            <w:vAlign w:val="center"/>
          </w:tcPr>
          <w:p>
            <w:pPr>
              <w:spacing w:line="380" w:lineRule="exact"/>
              <w:ind w:firstLine="420" w:firstLineChars="200"/>
              <w:rPr>
                <w:rFonts w:hint="eastAsia" w:ascii="宋体" w:hAnsi="宋体" w:eastAsia="宋体" w:cs="宋体"/>
                <w:color w:val="auto"/>
                <w:szCs w:val="21"/>
                <w:highlight w:val="none"/>
                <w:lang w:val="zh-CN"/>
              </w:rPr>
            </w:pPr>
            <w:r>
              <w:rPr>
                <w:rFonts w:hint="eastAsia"/>
                <w:color w:val="auto"/>
                <w:highlight w:val="none"/>
                <w:lang w:val="zh-CN"/>
              </w:rPr>
              <w:t>投标人拥有有效的</w:t>
            </w:r>
            <w:r>
              <w:rPr>
                <w:rFonts w:hint="eastAsia" w:ascii="宋体" w:hAnsi="宋体" w:cs="宋体"/>
                <w:color w:val="auto"/>
                <w:szCs w:val="21"/>
                <w:highlight w:val="none"/>
                <w:lang w:val="zh-CN"/>
              </w:rPr>
              <w:t>质量管理体系认证证书（GB/T19001或ISO9001）、职业健康安全管理体系认证证书（GB/T45001或ISO45001）、环境管理体系认证证书(IS014001 或GB/T24001)，每个证书得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分。（投标人需提供有效认证证书复印件【证书在全国认证认可信息公共服务平台上(http://cx.cnca.cn)可查】并加盖投标人公章。不提供证书复印件，或证书状态非“有效”均不得分。）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rPr>
            </w:pPr>
          </w:p>
        </w:tc>
        <w:tc>
          <w:tcPr>
            <w:tcW w:w="1071" w:type="dxa"/>
            <w:vMerge w:val="continue"/>
            <w:tcBorders>
              <w:tl2br w:val="nil"/>
              <w:tr2bl w:val="nil"/>
            </w:tcBorders>
            <w:vAlign w:val="center"/>
          </w:tcPr>
          <w:p>
            <w:pPr>
              <w:widowControl/>
              <w:spacing w:line="380" w:lineRule="exact"/>
              <w:jc w:val="left"/>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成功</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案例</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10分</w:t>
            </w:r>
            <w:r>
              <w:rPr>
                <w:rFonts w:hint="eastAsia" w:ascii="宋体" w:hAnsi="宋体" w:eastAsia="宋体" w:cs="宋体"/>
                <w:color w:val="auto"/>
                <w:szCs w:val="21"/>
                <w:highlight w:val="none"/>
              </w:rPr>
              <w:t>)</w:t>
            </w:r>
          </w:p>
        </w:tc>
        <w:tc>
          <w:tcPr>
            <w:tcW w:w="5599" w:type="dxa"/>
            <w:tcBorders>
              <w:tl2br w:val="nil"/>
              <w:tr2bl w:val="nil"/>
            </w:tcBorders>
            <w:noWrap/>
            <w:vAlign w:val="center"/>
          </w:tcPr>
          <w:p>
            <w:pPr>
              <w:widowControl/>
              <w:overflowPunct w:val="0"/>
              <w:autoSpaceDE w:val="0"/>
              <w:autoSpaceDN w:val="0"/>
              <w:spacing w:line="38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投标人202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月1日至投标文件提交截止时间止，具有类似项目业绩（投标文件提供合同复印件，复印件内容须体现为类似项目。同一个项目签订多份合同的只能计算一次，不重复计分）。每个有效业绩得2分，本项满分10分。</w:t>
            </w:r>
          </w:p>
          <w:p>
            <w:pPr>
              <w:widowControl/>
              <w:overflowPunct w:val="0"/>
              <w:autoSpaceDE w:val="0"/>
              <w:autoSpaceDN w:val="0"/>
              <w:spacing w:line="38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注：类似项目是指综合性物业管理服务项目（合同服务内容仅有保安和保洁服务或仅有单项服务内容的项目均不得分）】。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rPr>
            </w:pPr>
          </w:p>
        </w:tc>
        <w:tc>
          <w:tcPr>
            <w:tcW w:w="1071" w:type="dxa"/>
            <w:vMerge w:val="continue"/>
            <w:tcBorders>
              <w:tl2br w:val="nil"/>
              <w:tr2bl w:val="nil"/>
            </w:tcBorders>
            <w:vAlign w:val="center"/>
          </w:tcPr>
          <w:p>
            <w:pPr>
              <w:widowControl/>
              <w:spacing w:line="380" w:lineRule="exact"/>
              <w:jc w:val="left"/>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力量</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p>
        </w:tc>
        <w:tc>
          <w:tcPr>
            <w:tcW w:w="5599" w:type="dxa"/>
            <w:tcBorders>
              <w:tl2br w:val="nil"/>
              <w:tr2bl w:val="nil"/>
            </w:tcBorders>
            <w:noWrap/>
            <w:vAlign w:val="center"/>
          </w:tcPr>
          <w:p>
            <w:pPr>
              <w:widowControl/>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重点考核供应商的履约能力，投入本项目的人员数量、专业化程度、等级比例及稳定性承诺，人员的相关工作经验、相关资质证书</w:t>
            </w:r>
            <w:r>
              <w:rPr>
                <w:rFonts w:hint="eastAsia" w:ascii="宋体" w:hAnsi="宋体" w:eastAsia="宋体" w:cs="宋体"/>
                <w:color w:val="auto"/>
                <w:szCs w:val="21"/>
                <w:highlight w:val="none"/>
                <w:lang w:eastAsia="zh-CN"/>
              </w:rPr>
              <w:t>等</w:t>
            </w:r>
            <w:r>
              <w:rPr>
                <w:rFonts w:hint="eastAsia" w:ascii="宋体" w:hAnsi="宋体" w:eastAsia="宋体" w:cs="Times New Roman"/>
                <w:color w:val="auto"/>
                <w:szCs w:val="21"/>
                <w:highlight w:val="none"/>
              </w:rPr>
              <w:t>，对下列指标进行考核打分：</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（1）拟投入的项目经理中（共</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人，满分</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具备</w:t>
            </w:r>
            <w:r>
              <w:rPr>
                <w:rFonts w:hint="eastAsia" w:ascii="宋体" w:hAnsi="宋体" w:eastAsia="宋体" w:cs="Times New Roman"/>
                <w:color w:val="auto"/>
                <w:szCs w:val="21"/>
                <w:highlight w:val="none"/>
                <w:lang w:val="en-US" w:eastAsia="zh-CN"/>
              </w:rPr>
              <w:t>六</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以上</w:t>
            </w:r>
            <w:r>
              <w:rPr>
                <w:rFonts w:hint="eastAsia" w:ascii="宋体" w:hAnsi="宋体" w:eastAsia="宋体" w:cs="Times New Roman"/>
                <w:color w:val="auto"/>
                <w:szCs w:val="21"/>
                <w:highlight w:val="none"/>
              </w:rPr>
              <w:t>物业管理经验，或者具备</w:t>
            </w:r>
            <w:r>
              <w:rPr>
                <w:rFonts w:hint="eastAsia" w:ascii="宋体" w:hAnsi="宋体" w:eastAsia="宋体" w:cs="Times New Roman"/>
                <w:color w:val="auto"/>
                <w:szCs w:val="21"/>
                <w:highlight w:val="none"/>
                <w:lang w:val="en-US" w:eastAsia="zh-CN"/>
              </w:rPr>
              <w:t>三</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以上</w:t>
            </w:r>
            <w:r>
              <w:rPr>
                <w:rFonts w:hint="eastAsia" w:ascii="宋体" w:hAnsi="宋体" w:eastAsia="宋体" w:cs="Times New Roman"/>
                <w:color w:val="auto"/>
                <w:szCs w:val="21"/>
                <w:highlight w:val="none"/>
              </w:rPr>
              <w:t>办公大院物业经理相关工作经历，得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分，满分</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w:t>
            </w:r>
          </w:p>
          <w:p>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（2）拟投入的工程维护员</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共1人，满分</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eastAsia="zh-CN"/>
              </w:rPr>
              <w:t>）：</w:t>
            </w:r>
          </w:p>
          <w:p>
            <w:pPr>
              <w:spacing w:line="380" w:lineRule="exact"/>
              <w:ind w:firstLine="420" w:firstLineChars="200"/>
              <w:rPr>
                <w:rFonts w:hint="eastAsia" w:ascii="宋体" w:hAnsi="宋体" w:eastAsia="宋体" w:cs="Times New Roman"/>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eastAsia="宋体" w:cs="Times New Roman"/>
                <w:color w:val="auto"/>
                <w:szCs w:val="21"/>
                <w:highlight w:val="none"/>
              </w:rPr>
              <w:t>具有工程类(暖通空调或电气或机电专业或建筑工程或电气工程及其自动化专业)初级以上职称证书的，得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分，</w:t>
            </w:r>
            <w:r>
              <w:rPr>
                <w:rFonts w:hint="eastAsia" w:ascii="汉仪书宋二S" w:hAnsi="汉仪书宋二S" w:eastAsia="汉仪书宋二S" w:cs="汉仪书宋二S"/>
                <w:color w:val="auto"/>
                <w:szCs w:val="21"/>
                <w:highlight w:val="none"/>
              </w:rPr>
              <w:t>满分</w:t>
            </w:r>
            <w:r>
              <w:rPr>
                <w:rFonts w:hint="eastAsia" w:ascii="汉仪书宋二S" w:hAnsi="汉仪书宋二S" w:eastAsia="汉仪书宋二S" w:cs="汉仪书宋二S"/>
                <w:color w:val="auto"/>
                <w:szCs w:val="21"/>
                <w:highlight w:val="none"/>
                <w:lang w:val="en-US" w:eastAsia="zh-CN"/>
              </w:rPr>
              <w:t>2</w:t>
            </w:r>
            <w:r>
              <w:rPr>
                <w:rFonts w:hint="eastAsia" w:ascii="汉仪书宋二S" w:hAnsi="汉仪书宋二S" w:eastAsia="汉仪书宋二S" w:cs="汉仪书宋二S"/>
                <w:color w:val="auto"/>
                <w:szCs w:val="21"/>
                <w:highlight w:val="none"/>
              </w:rPr>
              <w:t>分。</w:t>
            </w:r>
            <w:r>
              <w:rPr>
                <w:rFonts w:hint="eastAsia" w:ascii="宋体" w:hAnsi="宋体" w:eastAsia="宋体" w:cs="Times New Roman"/>
                <w:color w:val="auto"/>
                <w:szCs w:val="21"/>
                <w:highlight w:val="none"/>
              </w:rPr>
              <w:t>②具有</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年以上同类工作经验的，得2分，满分2分。</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（3）拟投入的保安员具有保安员证的，每有1名得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分，满分</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分。</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）拟投入的保安员具有2年以上同类工作经验的，每有1名得2分，满分</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分。</w:t>
            </w:r>
          </w:p>
          <w:p>
            <w:pPr>
              <w:spacing w:line="380" w:lineRule="exact"/>
              <w:ind w:firstLine="420" w:firstLineChars="200"/>
              <w:rPr>
                <w:rFonts w:hint="eastAsia" w:ascii="宋体" w:hAnsi="宋体" w:cs="宋体"/>
                <w:snapToGrid w:val="0"/>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）拟投入的保洁员具有2年以上同类工作经验的，每有1名得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分，满分</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分。</w:t>
            </w:r>
          </w:p>
          <w:p>
            <w:pPr>
              <w:widowControl/>
              <w:spacing w:line="38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w:t>
            </w:r>
            <w:r>
              <w:rPr>
                <w:rFonts w:hint="eastAsia" w:ascii="宋体" w:hAnsi="宋体" w:eastAsia="宋体" w:cs="Times New Roman"/>
                <w:color w:val="auto"/>
                <w:szCs w:val="21"/>
                <w:highlight w:val="none"/>
              </w:rPr>
              <w:t>拟投入的</w:t>
            </w:r>
            <w:r>
              <w:rPr>
                <w:rFonts w:hint="eastAsia" w:ascii="宋体" w:hAnsi="宋体" w:cs="宋体"/>
                <w:snapToGrid w:val="0"/>
                <w:color w:val="auto"/>
                <w:kern w:val="0"/>
                <w:szCs w:val="21"/>
                <w:highlight w:val="none"/>
              </w:rPr>
              <w:t>绿化员1人，具有</w:t>
            </w:r>
            <w:r>
              <w:rPr>
                <w:rFonts w:hint="eastAsia" w:ascii="宋体" w:hAnsi="宋体" w:eastAsia="宋体" w:cs="Times New Roman"/>
                <w:color w:val="auto"/>
                <w:szCs w:val="21"/>
                <w:highlight w:val="none"/>
              </w:rPr>
              <w:t>2年以上</w:t>
            </w:r>
            <w:r>
              <w:rPr>
                <w:rFonts w:hint="eastAsia" w:ascii="宋体" w:hAnsi="宋体" w:cs="宋体"/>
                <w:snapToGrid w:val="0"/>
                <w:color w:val="auto"/>
                <w:kern w:val="0"/>
                <w:szCs w:val="21"/>
                <w:highlight w:val="none"/>
              </w:rPr>
              <w:t>园林养护、花卉种植工作经验</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满分</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p>
            <w:pPr>
              <w:widowControl/>
              <w:spacing w:line="3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投标人需提供拟投入人员清单及投入人员的相关认证或资格（职称）证书或同类工作年限证明，以及技术人员与投标单位签署的劳动合同（截止本项目开标当天合同仍在有效期内）复印件。一人多证不重复计分，且以最高级别计分，多个人具有同一种证书可同时计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restart"/>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071" w:type="dxa"/>
            <w:vMerge w:val="restart"/>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因素</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综合</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方案</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c>
          <w:tcPr>
            <w:tcW w:w="5599" w:type="dxa"/>
            <w:tcBorders>
              <w:tl2br w:val="nil"/>
              <w:tr2bl w:val="nil"/>
            </w:tcBorders>
            <w:noWrap/>
            <w:vAlign w:val="center"/>
          </w:tcPr>
          <w:p>
            <w:pPr>
              <w:widowControl/>
              <w:spacing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由评标委员会对投标人提供的综合服务方案内容进行评价。以下各项不重复计分：</w:t>
            </w:r>
          </w:p>
          <w:p>
            <w:pPr>
              <w:widowControl/>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①投标人的综合服务方案能完全响应项目采购需求的服务内容要求前提下，根据服务要求制订具体的综合服务措施，得2分；</w:t>
            </w:r>
          </w:p>
          <w:p>
            <w:pPr>
              <w:widowControl/>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②在本项①项的基础上，能根据项目采购需求的综合服务要求制订有针对性的、具体的服务流程、服务计划，得4分；</w:t>
            </w:r>
          </w:p>
          <w:p>
            <w:pPr>
              <w:widowControl/>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③在本项②项的基础上，针对综合服务要求制订有内部管理架构；综合服务相关的管理制度齐全；岗位责任和岗位培训方案完善；</w:t>
            </w:r>
            <w:r>
              <w:rPr>
                <w:rFonts w:hint="eastAsia" w:ascii="宋体" w:hAnsi="宋体" w:eastAsia="宋体" w:cs="宋体"/>
                <w:b/>
                <w:bCs/>
                <w:color w:val="auto"/>
                <w:szCs w:val="21"/>
                <w:highlight w:val="none"/>
              </w:rPr>
              <w:t>承诺：</w:t>
            </w:r>
            <w:r>
              <w:rPr>
                <w:rFonts w:hint="eastAsia" w:ascii="宋体" w:hAnsi="宋体"/>
                <w:color w:val="auto"/>
                <w:szCs w:val="21"/>
                <w:highlight w:val="none"/>
              </w:rPr>
              <w:t>每季度进行</w:t>
            </w:r>
            <w:r>
              <w:rPr>
                <w:rFonts w:hint="eastAsia" w:ascii="宋体" w:hAnsi="宋体"/>
                <w:color w:val="auto"/>
                <w:szCs w:val="21"/>
                <w:highlight w:val="none"/>
                <w:lang w:val="en-US" w:eastAsia="zh-CN"/>
              </w:rPr>
              <w:t>2</w:t>
            </w:r>
            <w:r>
              <w:rPr>
                <w:rFonts w:hint="eastAsia" w:ascii="宋体" w:hAnsi="宋体"/>
                <w:color w:val="auto"/>
                <w:szCs w:val="21"/>
                <w:highlight w:val="none"/>
              </w:rPr>
              <w:t>次征询采购人对物业服务的意见并就反馈的问题及时解决，</w:t>
            </w:r>
            <w:r>
              <w:rPr>
                <w:rFonts w:hint="eastAsia" w:ascii="宋体" w:hAnsi="宋体" w:eastAsia="宋体" w:cs="宋体"/>
                <w:color w:val="auto"/>
                <w:szCs w:val="21"/>
                <w:highlight w:val="none"/>
              </w:rPr>
              <w:t>得6分。</w:t>
            </w:r>
          </w:p>
          <w:p>
            <w:pPr>
              <w:widowControl/>
              <w:spacing w:line="380" w:lineRule="exact"/>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注：未提供综合服务</w:t>
            </w:r>
            <w:r>
              <w:rPr>
                <w:rFonts w:hint="eastAsia" w:ascii="宋体" w:hAnsi="宋体" w:eastAsia="宋体" w:cs="宋体"/>
                <w:b/>
                <w:color w:val="auto"/>
                <w:szCs w:val="21"/>
                <w:highlight w:val="none"/>
              </w:rPr>
              <w:t>方案</w:t>
            </w:r>
            <w:r>
              <w:rPr>
                <w:rFonts w:hint="eastAsia" w:ascii="宋体" w:hAnsi="宋体" w:eastAsia="宋体" w:cs="宋体"/>
                <w:b/>
                <w:color w:val="auto"/>
                <w:szCs w:val="21"/>
                <w:highlight w:val="none"/>
                <w:lang w:val="zh-CN"/>
              </w:rPr>
              <w:t>或综合服务方案未达到①标准要求的，得0分。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p>
        </w:tc>
        <w:tc>
          <w:tcPr>
            <w:tcW w:w="1071" w:type="dxa"/>
            <w:vMerge w:val="continue"/>
            <w:tcBorders>
              <w:tl2br w:val="nil"/>
              <w:tr2bl w:val="nil"/>
            </w:tcBorders>
            <w:noWrap/>
            <w:vAlign w:val="center"/>
          </w:tcPr>
          <w:p>
            <w:pPr>
              <w:widowControl/>
              <w:overflowPunct w:val="0"/>
              <w:autoSpaceDE w:val="0"/>
              <w:autoSpaceDN w:val="0"/>
              <w:adjustRightInd w:val="0"/>
              <w:spacing w:line="380" w:lineRule="exact"/>
              <w:jc w:val="left"/>
              <w:textAlignment w:val="baseline"/>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房屋的</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日常</w:t>
            </w:r>
          </w:p>
          <w:p>
            <w:pPr>
              <w:widowControl/>
              <w:overflowPunct w:val="0"/>
              <w:autoSpaceDE w:val="0"/>
              <w:autoSpaceDN w:val="0"/>
              <w:spacing w:line="380" w:lineRule="exact"/>
              <w:jc w:val="center"/>
              <w:textAlignment w:val="baseline"/>
              <w:rPr>
                <w:rFonts w:hint="eastAsia" w:ascii="宋体" w:hAnsi="宋体" w:eastAsia="宋体" w:cs="宋体"/>
                <w:snapToGrid w:val="0"/>
                <w:color w:val="auto"/>
                <w:spacing w:val="8"/>
                <w:kern w:val="0"/>
                <w:szCs w:val="21"/>
                <w:highlight w:val="none"/>
              </w:rPr>
            </w:pPr>
            <w:r>
              <w:rPr>
                <w:rFonts w:hint="eastAsia" w:ascii="宋体" w:hAnsi="宋体" w:eastAsia="宋体" w:cs="宋体"/>
                <w:color w:val="auto"/>
                <w:szCs w:val="21"/>
                <w:highlight w:val="none"/>
                <w:lang w:val="zh-CN"/>
              </w:rPr>
              <w:t>养护及</w:t>
            </w:r>
            <w:r>
              <w:rPr>
                <w:rFonts w:hint="eastAsia" w:ascii="宋体" w:hAnsi="宋体" w:eastAsia="宋体" w:cs="宋体"/>
                <w:snapToGrid w:val="0"/>
                <w:color w:val="auto"/>
                <w:spacing w:val="8"/>
                <w:kern w:val="0"/>
                <w:szCs w:val="21"/>
                <w:highlight w:val="none"/>
              </w:rPr>
              <w:t>公共设施设备日常清洁养护</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snapToGrid w:val="0"/>
                <w:color w:val="auto"/>
                <w:spacing w:val="8"/>
                <w:kern w:val="0"/>
                <w:szCs w:val="21"/>
                <w:highlight w:val="none"/>
              </w:rPr>
              <w:t>管理</w:t>
            </w:r>
            <w:r>
              <w:rPr>
                <w:rFonts w:hint="eastAsia" w:ascii="宋体" w:hAnsi="宋体" w:eastAsia="宋体" w:cs="宋体"/>
                <w:color w:val="auto"/>
                <w:szCs w:val="21"/>
                <w:highlight w:val="none"/>
                <w:lang w:val="zh-CN"/>
              </w:rPr>
              <w:t>方案</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c>
          <w:tcPr>
            <w:tcW w:w="5599" w:type="dxa"/>
            <w:tcBorders>
              <w:tl2br w:val="nil"/>
              <w:tr2bl w:val="nil"/>
            </w:tcBorders>
            <w:noWrap/>
            <w:vAlign w:val="center"/>
          </w:tcPr>
          <w:p>
            <w:pPr>
              <w:widowControl/>
              <w:overflowPunct w:val="0"/>
              <w:autoSpaceDE w:val="0"/>
              <w:autoSpaceDN w:val="0"/>
              <w:spacing w:line="380" w:lineRule="exact"/>
              <w:ind w:firstLine="422" w:firstLineChars="200"/>
              <w:jc w:val="left"/>
              <w:textAlignment w:val="baseline"/>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由评标委员会对投标人提供的房屋的日常养护及公共设施设备的日常清洁、养护及管理方案【包括公共的上下水管道、落水管；公共照明；楼内消防系统；供配电系统；中央空调；充电桩；二次加压供水系统；设备机房；监控及安防系统；电梯系统等】内容进行评价。以下各项不重复计分：</w:t>
            </w:r>
          </w:p>
          <w:p>
            <w:pPr>
              <w:widowControl/>
              <w:overflowPunct w:val="0"/>
              <w:autoSpaceDE w:val="0"/>
              <w:autoSpaceDN w:val="0"/>
              <w:spacing w:line="372"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①投标人的日常养护及公共设施设备的日常清洁方案【包括</w:t>
            </w:r>
            <w:r>
              <w:rPr>
                <w:rFonts w:hint="eastAsia" w:ascii="宋体" w:hAnsi="宋体" w:eastAsia="宋体" w:cs="宋体"/>
                <w:snapToGrid w:val="0"/>
                <w:color w:val="auto"/>
                <w:spacing w:val="8"/>
                <w:kern w:val="0"/>
                <w:szCs w:val="21"/>
                <w:highlight w:val="none"/>
              </w:rPr>
              <w:t>公共的上下水管道、落水管；公</w:t>
            </w:r>
            <w:r>
              <w:rPr>
                <w:rFonts w:hint="eastAsia" w:ascii="宋体" w:hAnsi="宋体" w:eastAsia="宋体" w:cs="宋体"/>
                <w:snapToGrid w:val="0"/>
                <w:color w:val="auto"/>
                <w:spacing w:val="10"/>
                <w:kern w:val="0"/>
                <w:szCs w:val="21"/>
                <w:highlight w:val="none"/>
              </w:rPr>
              <w:t>共照明；楼内消防系统；供配电系统；中央空调；充电桩；二次加压供水系统；</w:t>
            </w:r>
            <w:r>
              <w:rPr>
                <w:rFonts w:hint="eastAsia" w:ascii="宋体" w:hAnsi="宋体" w:eastAsia="宋体" w:cs="宋体"/>
                <w:snapToGrid w:val="0"/>
                <w:color w:val="auto"/>
                <w:spacing w:val="9"/>
                <w:kern w:val="0"/>
                <w:szCs w:val="21"/>
                <w:highlight w:val="none"/>
              </w:rPr>
              <w:t>设备机房；监控及</w:t>
            </w:r>
            <w:r>
              <w:rPr>
                <w:rFonts w:hint="eastAsia" w:ascii="宋体" w:hAnsi="宋体" w:eastAsia="宋体" w:cs="宋体"/>
                <w:snapToGrid w:val="0"/>
                <w:color w:val="auto"/>
                <w:spacing w:val="10"/>
                <w:kern w:val="0"/>
                <w:szCs w:val="21"/>
                <w:highlight w:val="none"/>
              </w:rPr>
              <w:t>安防系统；电梯系统等</w:t>
            </w:r>
            <w:r>
              <w:rPr>
                <w:rFonts w:hint="eastAsia" w:ascii="宋体" w:hAnsi="宋体" w:eastAsia="宋体" w:cs="宋体"/>
                <w:color w:val="auto"/>
                <w:szCs w:val="21"/>
                <w:highlight w:val="none"/>
                <w:lang w:val="zh-CN"/>
              </w:rPr>
              <w:t>】能完全响应项目采购需求的服务内容要求前提下，根据服务要求制订具体的服务措施，得2分；</w:t>
            </w:r>
          </w:p>
          <w:p>
            <w:pPr>
              <w:widowControl/>
              <w:overflowPunct w:val="0"/>
              <w:autoSpaceDE w:val="0"/>
              <w:autoSpaceDN w:val="0"/>
              <w:spacing w:line="372"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②在本项第①项的基础上，制订有具体的巡检、维护、维修计划、服务流程；房屋及公共设备设施的巡检、维护、维修记录台账（表单）齐全；设备设施维护、消防等培训计划及培训方案完善，得4分；</w:t>
            </w:r>
          </w:p>
          <w:p>
            <w:pPr>
              <w:widowControl/>
              <w:overflowPunct w:val="0"/>
              <w:autoSpaceDE w:val="0"/>
              <w:autoSpaceDN w:val="0"/>
              <w:spacing w:line="37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在本项第②项的基础上，针对日常养护及公共设施设备的日常清洁内容提出服务的重点难点，并能提供解决措施；具有节能节水节电的管理经验，能针对采购人主要耗能对象提出有建设性、切实可行的节能节水节电方案建议，</w:t>
            </w:r>
            <w:r>
              <w:rPr>
                <w:rFonts w:hint="eastAsia" w:ascii="宋体" w:hAnsi="宋体" w:eastAsia="宋体" w:cs="宋体"/>
                <w:snapToGrid w:val="0"/>
                <w:color w:val="auto"/>
                <w:spacing w:val="9"/>
                <w:kern w:val="0"/>
                <w:szCs w:val="21"/>
                <w:highlight w:val="none"/>
              </w:rPr>
              <w:t>每年不少于三次对生活水池进行检验及清洗的，</w:t>
            </w:r>
            <w:r>
              <w:rPr>
                <w:rFonts w:hint="eastAsia" w:ascii="宋体" w:hAnsi="宋体" w:eastAsia="宋体" w:cs="宋体"/>
                <w:color w:val="auto"/>
                <w:szCs w:val="21"/>
                <w:highlight w:val="none"/>
                <w:lang w:val="zh-CN"/>
              </w:rPr>
              <w:t>得6分。</w:t>
            </w:r>
          </w:p>
          <w:p>
            <w:pPr>
              <w:widowControl/>
              <w:spacing w:line="38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注：投标人未提</w:t>
            </w:r>
            <w:r>
              <w:rPr>
                <w:rFonts w:hint="eastAsia" w:ascii="宋体" w:hAnsi="宋体" w:eastAsia="宋体" w:cs="宋体"/>
                <w:b/>
                <w:color w:val="auto"/>
                <w:szCs w:val="21"/>
                <w:highlight w:val="none"/>
              </w:rPr>
              <w:t>供</w:t>
            </w:r>
            <w:r>
              <w:rPr>
                <w:rFonts w:hint="eastAsia" w:ascii="宋体" w:hAnsi="宋体" w:eastAsia="宋体" w:cs="宋体"/>
                <w:b/>
                <w:color w:val="auto"/>
                <w:szCs w:val="21"/>
                <w:highlight w:val="none"/>
                <w:lang w:val="zh-CN"/>
              </w:rPr>
              <w:t>房屋的日常养护及公共设施设备的日常清洁、养护及管理方案或房屋的日常养护及公共设施设备的日常清洁、养护及管理方案未达到①标准要求的，得0分。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p>
        </w:tc>
        <w:tc>
          <w:tcPr>
            <w:tcW w:w="1071" w:type="dxa"/>
            <w:vMerge w:val="continue"/>
            <w:tcBorders>
              <w:tl2br w:val="nil"/>
              <w:tr2bl w:val="nil"/>
            </w:tcBorders>
            <w:noWrap/>
            <w:vAlign w:val="center"/>
          </w:tcPr>
          <w:p>
            <w:pPr>
              <w:widowControl/>
              <w:overflowPunct w:val="0"/>
              <w:autoSpaceDE w:val="0"/>
              <w:autoSpaceDN w:val="0"/>
              <w:adjustRightInd w:val="0"/>
              <w:spacing w:line="380" w:lineRule="exact"/>
              <w:jc w:val="left"/>
              <w:textAlignment w:val="baseline"/>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保洁绿化服务方案</w:t>
            </w:r>
          </w:p>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(6分)</w:t>
            </w:r>
          </w:p>
        </w:tc>
        <w:tc>
          <w:tcPr>
            <w:tcW w:w="5599" w:type="dxa"/>
            <w:tcBorders>
              <w:tl2br w:val="nil"/>
              <w:tr2bl w:val="nil"/>
            </w:tcBorders>
            <w:noWrap/>
            <w:vAlign w:val="center"/>
          </w:tcPr>
          <w:p>
            <w:pPr>
              <w:widowControl/>
              <w:overflowPunct w:val="0"/>
              <w:autoSpaceDE w:val="0"/>
              <w:autoSpaceDN w:val="0"/>
              <w:adjustRightInd w:val="0"/>
              <w:spacing w:line="380" w:lineRule="exact"/>
              <w:ind w:firstLine="454" w:firstLineChars="200"/>
              <w:jc w:val="left"/>
              <w:textAlignment w:val="baseline"/>
              <w:rPr>
                <w:rFonts w:hint="eastAsia" w:ascii="宋体" w:hAnsi="宋体" w:eastAsia="宋体" w:cs="宋体"/>
                <w:b/>
                <w:bCs/>
                <w:color w:val="auto"/>
                <w:spacing w:val="8"/>
                <w:szCs w:val="21"/>
                <w:highlight w:val="none"/>
              </w:rPr>
            </w:pPr>
            <w:r>
              <w:rPr>
                <w:rFonts w:hint="eastAsia" w:ascii="宋体" w:hAnsi="宋体" w:eastAsia="宋体" w:cs="宋体"/>
                <w:b/>
                <w:bCs/>
                <w:color w:val="auto"/>
                <w:spacing w:val="8"/>
                <w:szCs w:val="21"/>
                <w:highlight w:val="none"/>
              </w:rPr>
              <w:t>由评标委员会对投标人提供的保洁、绿化服务方案内容进行评价。以下各项不重复计分：</w:t>
            </w:r>
          </w:p>
          <w:p>
            <w:pPr>
              <w:widowControl/>
              <w:overflowPunct w:val="0"/>
              <w:autoSpaceDE w:val="0"/>
              <w:autoSpaceDN w:val="0"/>
              <w:adjustRightInd w:val="0"/>
              <w:spacing w:line="380" w:lineRule="exact"/>
              <w:ind w:firstLine="452" w:firstLineChars="200"/>
              <w:jc w:val="left"/>
              <w:textAlignment w:val="baseline"/>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①投标人的保洁、绿化服务方案能完全响应项目采购需求的服务内容要求前提下，根据服务要求制订具体的服务措施，得2分；</w:t>
            </w:r>
          </w:p>
          <w:p>
            <w:pPr>
              <w:widowControl/>
              <w:overflowPunct w:val="0"/>
              <w:autoSpaceDE w:val="0"/>
              <w:autoSpaceDN w:val="0"/>
              <w:adjustRightInd w:val="0"/>
              <w:spacing w:line="396" w:lineRule="exact"/>
              <w:ind w:firstLine="420" w:firstLineChars="200"/>
              <w:jc w:val="left"/>
              <w:textAlignment w:val="baseline"/>
              <w:rPr>
                <w:rFonts w:hint="eastAsia" w:ascii="宋体" w:hAnsi="宋体" w:eastAsia="宋体" w:cs="宋体"/>
                <w:color w:val="auto"/>
                <w:spacing w:val="8"/>
                <w:szCs w:val="21"/>
                <w:highlight w:val="none"/>
              </w:rPr>
            </w:pPr>
            <w:r>
              <w:rPr>
                <w:rFonts w:hint="eastAsia" w:ascii="宋体" w:hAnsi="宋体" w:eastAsia="宋体" w:cs="宋体"/>
                <w:color w:val="auto"/>
                <w:szCs w:val="21"/>
                <w:highlight w:val="none"/>
                <w:lang w:val="zh-CN"/>
              </w:rPr>
              <w:t>②</w:t>
            </w:r>
            <w:r>
              <w:rPr>
                <w:rFonts w:hint="eastAsia" w:ascii="宋体" w:hAnsi="宋体" w:eastAsia="宋体" w:cs="宋体"/>
                <w:color w:val="auto"/>
                <w:spacing w:val="8"/>
                <w:szCs w:val="21"/>
                <w:highlight w:val="none"/>
              </w:rPr>
              <w:t>在本项①</w:t>
            </w:r>
            <w:r>
              <w:rPr>
                <w:rFonts w:hint="eastAsia" w:ascii="宋体" w:hAnsi="宋体" w:eastAsia="宋体" w:cs="宋体"/>
                <w:color w:val="auto"/>
                <w:szCs w:val="21"/>
                <w:highlight w:val="none"/>
              </w:rPr>
              <w:t>项的基础上，</w:t>
            </w:r>
            <w:r>
              <w:rPr>
                <w:rFonts w:hint="eastAsia" w:ascii="宋体" w:hAnsi="宋体" w:eastAsia="宋体" w:cs="宋体"/>
                <w:color w:val="auto"/>
                <w:spacing w:val="8"/>
                <w:szCs w:val="21"/>
                <w:highlight w:val="none"/>
              </w:rPr>
              <w:t>能制订具体的日常保洁、绿化养护服务计划及服务流程；</w:t>
            </w:r>
            <w:r>
              <w:rPr>
                <w:rFonts w:hint="eastAsia" w:ascii="宋体" w:hAnsi="宋体" w:eastAsia="宋体" w:cs="宋体"/>
                <w:b/>
                <w:bCs/>
                <w:color w:val="auto"/>
                <w:spacing w:val="8"/>
                <w:szCs w:val="21"/>
                <w:highlight w:val="none"/>
              </w:rPr>
              <w:t>承诺</w:t>
            </w:r>
            <w:r>
              <w:rPr>
                <w:rFonts w:hint="eastAsia" w:ascii="宋体" w:hAnsi="宋体" w:eastAsia="宋体" w:cs="宋体"/>
                <w:color w:val="auto"/>
                <w:szCs w:val="21"/>
                <w:highlight w:val="none"/>
              </w:rPr>
              <w:t>每天不少于3次</w:t>
            </w:r>
            <w:r>
              <w:rPr>
                <w:rFonts w:hint="eastAsia" w:ascii="宋体" w:hAnsi="宋体" w:eastAsia="宋体" w:cs="宋体"/>
                <w:color w:val="auto"/>
                <w:spacing w:val="8"/>
                <w:szCs w:val="21"/>
                <w:highlight w:val="none"/>
              </w:rPr>
              <w:t>对保洁区域进行巡视检查，巡回保洁；保洁、绿化日常工作检查</w:t>
            </w:r>
            <w:r>
              <w:rPr>
                <w:rFonts w:hint="eastAsia" w:ascii="宋体" w:hAnsi="宋体" w:eastAsia="宋体" w:cs="宋体"/>
                <w:color w:val="auto"/>
                <w:spacing w:val="9"/>
                <w:szCs w:val="21"/>
                <w:highlight w:val="none"/>
              </w:rPr>
              <w:t>的记录表单齐全；</w:t>
            </w:r>
            <w:r>
              <w:rPr>
                <w:rFonts w:hint="eastAsia" w:ascii="宋体" w:hAnsi="宋体" w:eastAsia="宋体" w:cs="宋体"/>
                <w:color w:val="auto"/>
                <w:szCs w:val="21"/>
                <w:highlight w:val="none"/>
              </w:rPr>
              <w:t>制订有针对</w:t>
            </w:r>
            <w:r>
              <w:rPr>
                <w:rFonts w:hint="eastAsia" w:ascii="宋体" w:hAnsi="宋体" w:eastAsia="宋体" w:cs="宋体"/>
                <w:color w:val="auto"/>
                <w:spacing w:val="8"/>
                <w:szCs w:val="21"/>
                <w:highlight w:val="none"/>
              </w:rPr>
              <w:t>保洁、绿化</w:t>
            </w:r>
            <w:r>
              <w:rPr>
                <w:rFonts w:hint="eastAsia" w:ascii="宋体" w:hAnsi="宋体" w:eastAsia="宋体" w:cs="宋体"/>
                <w:color w:val="auto"/>
                <w:szCs w:val="21"/>
                <w:highlight w:val="none"/>
              </w:rPr>
              <w:t>服务内容</w:t>
            </w:r>
            <w:r>
              <w:rPr>
                <w:rFonts w:hint="eastAsia" w:ascii="宋体" w:hAnsi="宋体" w:eastAsia="宋体" w:cs="宋体"/>
                <w:color w:val="auto"/>
                <w:spacing w:val="8"/>
                <w:szCs w:val="21"/>
                <w:highlight w:val="none"/>
              </w:rPr>
              <w:t>的相应</w:t>
            </w:r>
            <w:r>
              <w:rPr>
                <w:rFonts w:hint="eastAsia" w:ascii="宋体" w:hAnsi="宋体" w:eastAsia="宋体" w:cs="宋体"/>
                <w:color w:val="auto"/>
                <w:spacing w:val="7"/>
                <w:szCs w:val="21"/>
                <w:highlight w:val="none"/>
              </w:rPr>
              <w:t>管理制度、考核制度；</w:t>
            </w:r>
            <w:r>
              <w:rPr>
                <w:rFonts w:hint="eastAsia" w:ascii="宋体" w:hAnsi="宋体" w:eastAsia="宋体" w:cs="宋体"/>
                <w:color w:val="auto"/>
                <w:spacing w:val="8"/>
                <w:szCs w:val="21"/>
                <w:highlight w:val="none"/>
              </w:rPr>
              <w:t>得4分；</w:t>
            </w:r>
          </w:p>
          <w:p>
            <w:pPr>
              <w:widowControl/>
              <w:overflowPunct w:val="0"/>
              <w:autoSpaceDE w:val="0"/>
              <w:autoSpaceDN w:val="0"/>
              <w:adjustRightInd w:val="0"/>
              <w:spacing w:line="396" w:lineRule="exact"/>
              <w:ind w:firstLine="452" w:firstLineChars="200"/>
              <w:jc w:val="left"/>
              <w:textAlignment w:val="baseline"/>
              <w:rPr>
                <w:rFonts w:hint="eastAsia" w:ascii="宋体" w:hAnsi="宋体" w:eastAsia="宋体" w:cs="宋体"/>
                <w:color w:val="auto"/>
                <w:spacing w:val="9"/>
                <w:szCs w:val="21"/>
                <w:highlight w:val="none"/>
              </w:rPr>
            </w:pPr>
            <w:r>
              <w:rPr>
                <w:rFonts w:hint="eastAsia" w:ascii="宋体" w:hAnsi="宋体" w:eastAsia="宋体" w:cs="宋体"/>
                <w:color w:val="auto"/>
                <w:spacing w:val="8"/>
                <w:szCs w:val="21"/>
                <w:highlight w:val="none"/>
              </w:rPr>
              <w:t>③在本项第</w:t>
            </w:r>
            <w:r>
              <w:rPr>
                <w:rFonts w:hint="eastAsia" w:ascii="宋体" w:hAnsi="宋体" w:eastAsia="宋体" w:cs="宋体"/>
                <w:color w:val="auto"/>
                <w:szCs w:val="21"/>
                <w:highlight w:val="none"/>
                <w:lang w:val="zh-CN"/>
              </w:rPr>
              <w:t>②</w:t>
            </w:r>
            <w:r>
              <w:rPr>
                <w:rFonts w:hint="eastAsia" w:ascii="宋体" w:hAnsi="宋体" w:eastAsia="宋体" w:cs="宋体"/>
                <w:color w:val="auto"/>
                <w:szCs w:val="21"/>
                <w:highlight w:val="none"/>
              </w:rPr>
              <w:t>项的基础上，</w:t>
            </w:r>
            <w:r>
              <w:rPr>
                <w:rFonts w:hint="eastAsia" w:ascii="宋体" w:hAnsi="宋体" w:eastAsia="宋体" w:cs="宋体"/>
                <w:color w:val="auto"/>
                <w:spacing w:val="9"/>
                <w:szCs w:val="21"/>
                <w:highlight w:val="none"/>
              </w:rPr>
              <w:t>针对</w:t>
            </w:r>
            <w:r>
              <w:rPr>
                <w:rFonts w:hint="eastAsia" w:ascii="宋体" w:hAnsi="宋体" w:eastAsia="宋体" w:cs="宋体"/>
                <w:color w:val="auto"/>
                <w:spacing w:val="8"/>
                <w:szCs w:val="21"/>
                <w:highlight w:val="none"/>
              </w:rPr>
              <w:t>保洁、绿化服务</w:t>
            </w:r>
            <w:r>
              <w:rPr>
                <w:rFonts w:hint="eastAsia" w:ascii="宋体" w:hAnsi="宋体" w:eastAsia="宋体" w:cs="宋体"/>
                <w:color w:val="auto"/>
                <w:spacing w:val="9"/>
                <w:szCs w:val="21"/>
                <w:highlight w:val="none"/>
              </w:rPr>
              <w:t>内容</w:t>
            </w:r>
            <w:r>
              <w:rPr>
                <w:rFonts w:hint="eastAsia" w:ascii="宋体" w:hAnsi="宋体" w:eastAsia="宋体" w:cs="宋体"/>
                <w:color w:val="auto"/>
                <w:spacing w:val="8"/>
                <w:szCs w:val="21"/>
                <w:highlight w:val="none"/>
              </w:rPr>
              <w:t>提出服务的重点难点，</w:t>
            </w:r>
            <w:r>
              <w:rPr>
                <w:rFonts w:hint="eastAsia" w:ascii="宋体" w:hAnsi="宋体" w:eastAsia="宋体" w:cs="宋体"/>
                <w:color w:val="auto"/>
                <w:spacing w:val="9"/>
                <w:szCs w:val="21"/>
                <w:highlight w:val="none"/>
              </w:rPr>
              <w:t>并能提供解决措施；针对垃圾分类管理工作提出切实可行的宣传策划、实施方案及落实保障措施，得6分。</w:t>
            </w:r>
          </w:p>
          <w:p>
            <w:pPr>
              <w:widowControl/>
              <w:spacing w:line="396"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注：未提供保洁、绿化服务方案或保洁、绿化服务方案未达到①标准要求的，得0分。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rPr>
            </w:pPr>
          </w:p>
        </w:tc>
        <w:tc>
          <w:tcPr>
            <w:tcW w:w="1071" w:type="dxa"/>
            <w:vMerge w:val="continue"/>
            <w:tcBorders>
              <w:tl2br w:val="nil"/>
              <w:tr2bl w:val="nil"/>
            </w:tcBorders>
            <w:vAlign w:val="center"/>
          </w:tcPr>
          <w:p>
            <w:pPr>
              <w:widowControl/>
              <w:spacing w:line="380" w:lineRule="exact"/>
              <w:jc w:val="left"/>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秩序</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方</w:t>
            </w:r>
            <w:r>
              <w:rPr>
                <w:rFonts w:hint="eastAsia" w:ascii="宋体" w:hAnsi="宋体" w:eastAsia="宋体" w:cs="宋体"/>
                <w:color w:val="auto"/>
                <w:szCs w:val="21"/>
                <w:highlight w:val="none"/>
              </w:rPr>
              <w:t>案</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(6分)</w:t>
            </w:r>
          </w:p>
        </w:tc>
        <w:tc>
          <w:tcPr>
            <w:tcW w:w="5599" w:type="dxa"/>
            <w:tcBorders>
              <w:tl2br w:val="nil"/>
              <w:tr2bl w:val="nil"/>
            </w:tcBorders>
            <w:noWrap/>
            <w:vAlign w:val="center"/>
          </w:tcPr>
          <w:p>
            <w:pPr>
              <w:widowControl/>
              <w:overflowPunct w:val="0"/>
              <w:autoSpaceDE w:val="0"/>
              <w:autoSpaceDN w:val="0"/>
              <w:spacing w:line="380" w:lineRule="exact"/>
              <w:ind w:firstLine="422" w:firstLineChars="200"/>
              <w:jc w:val="left"/>
              <w:textAlignment w:val="baseline"/>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由评标委员会对投标人提供的</w:t>
            </w:r>
            <w:r>
              <w:rPr>
                <w:rFonts w:hint="eastAsia" w:ascii="宋体" w:hAnsi="宋体" w:eastAsia="宋体" w:cs="宋体"/>
                <w:b/>
                <w:color w:val="auto"/>
                <w:szCs w:val="21"/>
                <w:highlight w:val="none"/>
              </w:rPr>
              <w:t>秩序维护</w:t>
            </w:r>
            <w:r>
              <w:rPr>
                <w:rFonts w:hint="eastAsia" w:ascii="宋体" w:hAnsi="宋体" w:eastAsia="宋体" w:cs="宋体"/>
                <w:b/>
                <w:color w:val="auto"/>
                <w:szCs w:val="21"/>
                <w:highlight w:val="none"/>
                <w:lang w:val="zh-CN"/>
              </w:rPr>
              <w:t>服务方案内容进行评价。以下各项不重复计分：</w:t>
            </w:r>
          </w:p>
          <w:p>
            <w:pPr>
              <w:widowControl/>
              <w:overflowPunct w:val="0"/>
              <w:autoSpaceDE w:val="0"/>
              <w:autoSpaceDN w:val="0"/>
              <w:spacing w:line="38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①投标人的</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服务方案能完全响应项目采购需求的服务内容要求前提下，能根据</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服务要求制订具体的服务措施，得2分；</w:t>
            </w:r>
          </w:p>
          <w:p>
            <w:pPr>
              <w:widowControl/>
              <w:overflowPunct w:val="0"/>
              <w:autoSpaceDE w:val="0"/>
              <w:autoSpaceDN w:val="0"/>
              <w:spacing w:line="38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②在本项第①项的基础上，建立明确的</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服务措施得力，得4分；</w:t>
            </w:r>
          </w:p>
          <w:p>
            <w:pPr>
              <w:widowControl/>
              <w:overflowPunct w:val="0"/>
              <w:autoSpaceDE w:val="0"/>
              <w:autoSpaceDN w:val="0"/>
              <w:spacing w:line="39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③在本项第②项的基础上，制订有齐全的日常安全巡检的记录台账（表单），制订有明确的</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人员录用、培训、考核、日常安全演练等管理方案，针对</w:t>
            </w:r>
            <w:r>
              <w:rPr>
                <w:rFonts w:hint="eastAsia" w:ascii="宋体" w:hAnsi="宋体" w:eastAsia="宋体" w:cs="宋体"/>
                <w:color w:val="auto"/>
                <w:szCs w:val="21"/>
                <w:highlight w:val="none"/>
              </w:rPr>
              <w:t>秩序维护</w:t>
            </w:r>
            <w:r>
              <w:rPr>
                <w:rFonts w:hint="eastAsia" w:ascii="宋体" w:hAnsi="宋体" w:eastAsia="宋体" w:cs="宋体"/>
                <w:color w:val="auto"/>
                <w:szCs w:val="21"/>
                <w:highlight w:val="none"/>
                <w:lang w:val="zh-CN"/>
              </w:rPr>
              <w:t>服务内容提出服务的重点难点，并能提供解决措施，得6分。</w:t>
            </w:r>
          </w:p>
          <w:p>
            <w:pPr>
              <w:widowControl/>
              <w:spacing w:line="390" w:lineRule="exact"/>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注：投标人未提</w:t>
            </w:r>
            <w:r>
              <w:rPr>
                <w:rFonts w:hint="eastAsia" w:ascii="宋体" w:hAnsi="宋体" w:eastAsia="宋体" w:cs="宋体"/>
                <w:b/>
                <w:bCs/>
                <w:color w:val="auto"/>
                <w:szCs w:val="21"/>
                <w:highlight w:val="none"/>
                <w:lang w:val="zh-CN"/>
              </w:rPr>
              <w:t>供</w:t>
            </w:r>
            <w:r>
              <w:rPr>
                <w:rFonts w:hint="eastAsia" w:ascii="宋体" w:hAnsi="宋体" w:eastAsia="宋体" w:cs="宋体"/>
                <w:b/>
                <w:bCs/>
                <w:color w:val="auto"/>
                <w:szCs w:val="21"/>
                <w:highlight w:val="none"/>
              </w:rPr>
              <w:t>秩序维护</w:t>
            </w:r>
            <w:r>
              <w:rPr>
                <w:rFonts w:hint="eastAsia" w:ascii="宋体" w:hAnsi="宋体" w:eastAsia="宋体" w:cs="宋体"/>
                <w:b/>
                <w:bCs/>
                <w:color w:val="auto"/>
                <w:szCs w:val="21"/>
                <w:highlight w:val="none"/>
                <w:lang w:val="zh-CN"/>
              </w:rPr>
              <w:t>服务方案或</w:t>
            </w:r>
            <w:r>
              <w:rPr>
                <w:rFonts w:hint="eastAsia" w:ascii="宋体" w:hAnsi="宋体" w:eastAsia="宋体" w:cs="宋体"/>
                <w:b/>
                <w:bCs/>
                <w:color w:val="auto"/>
                <w:szCs w:val="21"/>
                <w:highlight w:val="none"/>
              </w:rPr>
              <w:t>秩序维护</w:t>
            </w:r>
            <w:r>
              <w:rPr>
                <w:rFonts w:hint="eastAsia" w:ascii="宋体" w:hAnsi="宋体" w:eastAsia="宋体" w:cs="宋体"/>
                <w:b/>
                <w:bCs/>
                <w:color w:val="auto"/>
                <w:szCs w:val="21"/>
                <w:highlight w:val="none"/>
                <w:lang w:val="zh-CN"/>
              </w:rPr>
              <w:t>服务方案未达到①标准要求的</w:t>
            </w:r>
            <w:r>
              <w:rPr>
                <w:rFonts w:hint="eastAsia" w:ascii="宋体" w:hAnsi="宋体" w:eastAsia="宋体" w:cs="宋体"/>
                <w:b/>
                <w:color w:val="auto"/>
                <w:szCs w:val="21"/>
                <w:highlight w:val="none"/>
                <w:lang w:val="zh-CN"/>
              </w:rPr>
              <w:t>，得0分。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6" w:hRule="atLeast"/>
          <w:jc w:val="center"/>
        </w:trPr>
        <w:tc>
          <w:tcPr>
            <w:tcW w:w="452" w:type="dxa"/>
            <w:vMerge w:val="continue"/>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kern w:val="0"/>
                <w:szCs w:val="21"/>
                <w:highlight w:val="none"/>
              </w:rPr>
            </w:pPr>
          </w:p>
        </w:tc>
        <w:tc>
          <w:tcPr>
            <w:tcW w:w="1071" w:type="dxa"/>
            <w:vMerge w:val="continue"/>
            <w:tcBorders>
              <w:tl2br w:val="nil"/>
              <w:tr2bl w:val="nil"/>
            </w:tcBorders>
            <w:vAlign w:val="center"/>
          </w:tcPr>
          <w:p>
            <w:pPr>
              <w:widowControl/>
              <w:spacing w:line="380" w:lineRule="exact"/>
              <w:jc w:val="left"/>
              <w:rPr>
                <w:rFonts w:hint="eastAsia" w:ascii="宋体" w:hAnsi="宋体" w:eastAsia="宋体" w:cs="宋体"/>
                <w:color w:val="auto"/>
                <w:szCs w:val="21"/>
                <w:highlight w:val="none"/>
                <w:lang w:val="zh-CN"/>
              </w:rPr>
            </w:pPr>
          </w:p>
        </w:tc>
        <w:tc>
          <w:tcPr>
            <w:tcW w:w="1071" w:type="dxa"/>
            <w:tcBorders>
              <w:tl2br w:val="nil"/>
              <w:tr2bl w:val="nil"/>
            </w:tcBorders>
            <w:noWrap/>
            <w:vAlign w:val="center"/>
          </w:tcPr>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突发</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事件</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应急</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预案</w:t>
            </w:r>
          </w:p>
          <w:p>
            <w:pPr>
              <w:widowControl/>
              <w:overflowPunct w:val="0"/>
              <w:autoSpaceDE w:val="0"/>
              <w:autoSpaceDN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c>
          <w:tcPr>
            <w:tcW w:w="5599" w:type="dxa"/>
            <w:tcBorders>
              <w:tl2br w:val="nil"/>
              <w:tr2bl w:val="nil"/>
            </w:tcBorders>
            <w:noWrap/>
            <w:vAlign w:val="center"/>
          </w:tcPr>
          <w:p>
            <w:pPr>
              <w:widowControl/>
              <w:overflowPunct w:val="0"/>
              <w:autoSpaceDE w:val="0"/>
              <w:autoSpaceDN w:val="0"/>
              <w:spacing w:line="400" w:lineRule="exact"/>
              <w:ind w:firstLine="422" w:firstLineChars="200"/>
              <w:jc w:val="left"/>
              <w:textAlignment w:val="baseline"/>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由评标委员会对投标人提供的突发事件应急方案（包括各类突发事件应急预案、人员及物资、处置方案、处理响应时间等）进行评价。以下各项不重复计分：</w:t>
            </w:r>
          </w:p>
          <w:p>
            <w:pPr>
              <w:widowControl/>
              <w:overflowPunct w:val="0"/>
              <w:autoSpaceDE w:val="0"/>
              <w:autoSpaceDN w:val="0"/>
              <w:spacing w:line="40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①投标人的突发事件应急预案能完全响应本项目应急服务需求的前提下，能针对应急服务需求制订应急措施，得2分；</w:t>
            </w:r>
          </w:p>
          <w:p>
            <w:pPr>
              <w:widowControl/>
              <w:overflowPunct w:val="0"/>
              <w:autoSpaceDE w:val="0"/>
              <w:autoSpaceDN w:val="0"/>
              <w:spacing w:line="40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②在本项第①的基础上，成立有专门的应急部门，应急人员配备到位、责任明确；应急物资配备齐全；制订有完善的处置流程图，能较快速地启动应急处理措施，得4分；</w:t>
            </w:r>
          </w:p>
          <w:p>
            <w:pPr>
              <w:widowControl/>
              <w:overflowPunct w:val="0"/>
              <w:autoSpaceDE w:val="0"/>
              <w:autoSpaceDN w:val="0"/>
              <w:spacing w:line="400" w:lineRule="exact"/>
              <w:ind w:firstLine="420" w:firstLineChars="200"/>
              <w:jc w:val="left"/>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③在本项第②的基础上，针对各类突发事件（</w:t>
            </w:r>
            <w:r>
              <w:rPr>
                <w:rFonts w:hint="eastAsia" w:ascii="宋体" w:hAnsi="宋体" w:eastAsia="宋体" w:cs="宋体"/>
                <w:snapToGrid w:val="0"/>
                <w:color w:val="auto"/>
                <w:spacing w:val="9"/>
                <w:kern w:val="0"/>
                <w:szCs w:val="21"/>
                <w:highlight w:val="none"/>
              </w:rPr>
              <w:t>包括但不限于出现灾害性天气、突发火灾、停电、供水管</w:t>
            </w:r>
            <w:r>
              <w:rPr>
                <w:rFonts w:hint="eastAsia" w:ascii="宋体" w:hAnsi="宋体" w:eastAsia="宋体" w:cs="宋体"/>
                <w:snapToGrid w:val="0"/>
                <w:color w:val="auto"/>
                <w:spacing w:val="10"/>
                <w:kern w:val="0"/>
                <w:szCs w:val="21"/>
                <w:highlight w:val="none"/>
              </w:rPr>
              <w:t>道爆裂、燃气管道泄露、突发治安或刑事事件等）</w:t>
            </w:r>
            <w:r>
              <w:rPr>
                <w:rFonts w:hint="eastAsia" w:ascii="宋体" w:hAnsi="宋体" w:eastAsia="宋体" w:cs="宋体"/>
                <w:color w:val="auto"/>
                <w:szCs w:val="21"/>
                <w:highlight w:val="none"/>
                <w:lang w:val="zh-CN"/>
              </w:rPr>
              <w:t>制订合理、有预见性、有针对性的处置措施，制订有针对不同突发事件的应急演练计划及应急演练方案，提高服务人员快速处置应急能力，得6分。</w:t>
            </w:r>
          </w:p>
          <w:p>
            <w:pPr>
              <w:widowControl/>
              <w:spacing w:line="400" w:lineRule="exact"/>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注：投标人未提供突发事件应急预案或突发事件应急预案未达到①标准要求的，得0分。</w:t>
            </w:r>
          </w:p>
        </w:tc>
        <w:tc>
          <w:tcPr>
            <w:tcW w:w="833" w:type="dxa"/>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3" w:type="dxa"/>
            <w:gridSpan w:val="4"/>
            <w:tcBorders>
              <w:tl2br w:val="nil"/>
              <w:tr2bl w:val="nil"/>
            </w:tcBorders>
            <w:noWrap/>
            <w:vAlign w:val="center"/>
          </w:tcPr>
          <w:p>
            <w:pPr>
              <w:widowControl/>
              <w:overflowPunct w:val="0"/>
              <w:autoSpaceDE w:val="0"/>
              <w:autoSpaceDN w:val="0"/>
              <w:adjustRightInd w:val="0"/>
              <w:spacing w:line="380" w:lineRule="exact"/>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     计</w:t>
            </w:r>
          </w:p>
        </w:tc>
        <w:tc>
          <w:tcPr>
            <w:tcW w:w="833" w:type="dxa"/>
            <w:tcBorders>
              <w:tl2br w:val="nil"/>
              <w:tr2bl w:val="nil"/>
            </w:tcBorders>
            <w:noWrap/>
            <w:vAlign w:val="center"/>
          </w:tcPr>
          <w:p>
            <w:pPr>
              <w:widowControl/>
              <w:overflowPunct w:val="0"/>
              <w:autoSpaceDE w:val="0"/>
              <w:autoSpaceDN w:val="0"/>
              <w:adjustRightInd w:val="0"/>
              <w:spacing w:line="380" w:lineRule="exact"/>
              <w:textAlignment w:val="baseline"/>
              <w:rPr>
                <w:rFonts w:hint="eastAsia" w:ascii="宋体" w:hAnsi="宋体" w:eastAsia="宋体" w:cs="宋体"/>
                <w:b/>
                <w:bCs/>
                <w:color w:val="auto"/>
                <w:kern w:val="0"/>
                <w:szCs w:val="21"/>
                <w:highlight w:val="none"/>
              </w:rPr>
            </w:pPr>
            <w:r>
              <w:rPr>
                <w:rFonts w:hint="eastAsia" w:ascii="宋体" w:hAnsi="宋体" w:eastAsia="宋体" w:cs="宋体"/>
                <w:b/>
                <w:color w:val="auto"/>
                <w:w w:val="88"/>
                <w:szCs w:val="21"/>
                <w:highlight w:val="none"/>
              </w:rPr>
              <w:t>100分</w:t>
            </w:r>
          </w:p>
        </w:tc>
      </w:tr>
    </w:tbl>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p>
    <w:p>
      <w:pPr>
        <w:topLinePunct/>
        <w:autoSpaceDE w:val="0"/>
        <w:autoSpaceDN w:val="0"/>
        <w:spacing w:line="360" w:lineRule="auto"/>
        <w:ind w:firstLine="42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Cs w:val="21"/>
          <w:highlight w:val="none"/>
        </w:rPr>
        <w:t xml:space="preserve">2.3 </w:t>
      </w:r>
      <w:r>
        <w:rPr>
          <w:rFonts w:hint="eastAsia" w:ascii="Times New Roman" w:hAnsi="Times New Roman" w:eastAsia="宋体" w:cs="Times New Roman"/>
          <w:color w:val="auto"/>
          <w:szCs w:val="21"/>
          <w:highlight w:val="none"/>
        </w:rPr>
        <w:t>落实政府采购政策进行价格调整的规则：</w:t>
      </w:r>
    </w:p>
    <w:tbl>
      <w:tblPr>
        <w:tblStyle w:val="52"/>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3378"/>
        <w:gridCol w:w="3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政府采购政策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价格扣除规则</w:t>
            </w:r>
          </w:p>
        </w:tc>
        <w:tc>
          <w:tcPr>
            <w:tcW w:w="3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节约能源政策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不适用</w:t>
            </w:r>
          </w:p>
        </w:tc>
        <w:tc>
          <w:tcPr>
            <w:tcW w:w="3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保护环境政策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不适用</w:t>
            </w:r>
          </w:p>
        </w:tc>
        <w:tc>
          <w:tcPr>
            <w:tcW w:w="3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促进中小企业</w:t>
            </w:r>
          </w:p>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发展政策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hint="eastAsia" w:ascii="宋体" w:hAnsi="宋体" w:eastAsia="宋体" w:cs="Times New Roman"/>
                <w:color w:val="auto"/>
                <w:szCs w:val="21"/>
                <w:highlight w:val="none"/>
              </w:rPr>
            </w:pPr>
            <w:r>
              <w:rPr>
                <w:rFonts w:hint="eastAsia" w:asciiTheme="minorEastAsia" w:hAnsiTheme="minorEastAsia"/>
                <w:color w:val="auto"/>
                <w:highlight w:val="none"/>
              </w:rPr>
              <w:t>本项目属于专门面向</w:t>
            </w:r>
            <w:r>
              <w:rPr>
                <w:rFonts w:hint="eastAsia" w:asciiTheme="minorEastAsia" w:hAnsiTheme="minorEastAsia"/>
                <w:b/>
                <w:bCs/>
                <w:color w:val="auto"/>
                <w:sz w:val="24"/>
                <w:szCs w:val="24"/>
                <w:highlight w:val="none"/>
                <w:u w:val="single"/>
              </w:rPr>
              <w:t>小微企业</w:t>
            </w:r>
            <w:r>
              <w:rPr>
                <w:rFonts w:hint="eastAsia" w:asciiTheme="minorEastAsia" w:hAnsiTheme="minorEastAsia"/>
                <w:color w:val="auto"/>
                <w:highlight w:val="none"/>
              </w:rPr>
              <w:t>采购的项目，按照《政府采购促进中小企业发展管理办法》（财库〔2020〕46号）规定，小微企业、监狱企业、残疾人福利性单位不再执行价格评审优惠的扶持政策。</w:t>
            </w:r>
          </w:p>
        </w:tc>
        <w:tc>
          <w:tcPr>
            <w:tcW w:w="3910" w:type="dxa"/>
            <w:tcBorders>
              <w:top w:val="single" w:color="000000" w:sz="4" w:space="0"/>
              <w:left w:val="single" w:color="000000" w:sz="4" w:space="0"/>
              <w:bottom w:val="single" w:color="000000" w:sz="4" w:space="0"/>
              <w:right w:val="single" w:color="000000" w:sz="4" w:space="0"/>
            </w:tcBorders>
            <w:vAlign w:val="center"/>
          </w:tcPr>
          <w:p>
            <w:pPr>
              <w:pStyle w:val="95"/>
              <w:widowControl w:val="0"/>
              <w:spacing w:line="360" w:lineRule="auto"/>
              <w:jc w:val="both"/>
              <w:rPr>
                <w:rFonts w:hint="eastAsia" w:ascii="宋体" w:hAnsi="宋体"/>
                <w:color w:val="auto"/>
                <w:kern w:val="2"/>
                <w:sz w:val="21"/>
                <w:szCs w:val="21"/>
                <w:highlight w:val="none"/>
              </w:rPr>
            </w:pPr>
            <w:r>
              <w:rPr>
                <w:rFonts w:ascii="宋体" w:hAnsi="宋体"/>
                <w:color w:val="auto"/>
                <w:kern w:val="2"/>
                <w:sz w:val="21"/>
                <w:szCs w:val="21"/>
                <w:highlight w:val="none"/>
              </w:rPr>
              <w:t>（1）在货物采购项目中，货物由</w:t>
            </w:r>
            <w:r>
              <w:rPr>
                <w:rFonts w:hint="eastAsia" w:ascii="宋体" w:hAnsi="宋体"/>
                <w:color w:val="auto"/>
                <w:kern w:val="2"/>
                <w:sz w:val="21"/>
                <w:szCs w:val="21"/>
                <w:highlight w:val="none"/>
              </w:rPr>
              <w:t>小微</w:t>
            </w:r>
            <w:r>
              <w:rPr>
                <w:rFonts w:ascii="宋体" w:hAnsi="宋体"/>
                <w:color w:val="auto"/>
                <w:kern w:val="2"/>
                <w:sz w:val="21"/>
                <w:szCs w:val="21"/>
                <w:highlight w:val="none"/>
              </w:rPr>
              <w:t>企业制造，即货物由中小企业生产且使用该中小企业商号或者注册商标，不对其中涉及的工程承建商和服务的承接商作出要求；</w:t>
            </w:r>
          </w:p>
          <w:p>
            <w:pPr>
              <w:spacing w:line="360" w:lineRule="auto"/>
              <w:rPr>
                <w:rFonts w:hint="eastAsia" w:ascii="宋体" w:hAnsi="宋体" w:eastAsia="宋体" w:cs="Times New Roman"/>
                <w:color w:val="auto"/>
                <w:szCs w:val="21"/>
                <w:highlight w:val="none"/>
              </w:rPr>
            </w:pPr>
            <w:r>
              <w:rPr>
                <w:rFonts w:ascii="宋体" w:hAnsi="宋体"/>
                <w:color w:val="auto"/>
                <w:szCs w:val="21"/>
                <w:highlight w:val="none"/>
              </w:rPr>
              <w:t>（2）在服务采购项目中，服务由</w:t>
            </w:r>
            <w:r>
              <w:rPr>
                <w:rFonts w:hint="eastAsia" w:ascii="宋体" w:hAnsi="宋体"/>
                <w:b/>
                <w:bCs/>
                <w:color w:val="auto"/>
                <w:sz w:val="24"/>
                <w:szCs w:val="24"/>
                <w:highlight w:val="none"/>
                <w:u w:val="single"/>
              </w:rPr>
              <w:t>小微</w:t>
            </w:r>
            <w:r>
              <w:rPr>
                <w:rFonts w:ascii="宋体" w:hAnsi="宋体"/>
                <w:b/>
                <w:bCs/>
                <w:color w:val="auto"/>
                <w:sz w:val="24"/>
                <w:szCs w:val="24"/>
                <w:highlight w:val="none"/>
                <w:u w:val="single"/>
              </w:rPr>
              <w:t>企业</w:t>
            </w:r>
            <w:r>
              <w:rPr>
                <w:rFonts w:ascii="宋体" w:hAnsi="宋体"/>
                <w:color w:val="auto"/>
                <w:szCs w:val="21"/>
                <w:highlight w:val="none"/>
              </w:rPr>
              <w:t>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促进残疾人就业政策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Times New Roman"/>
                <w:color w:val="auto"/>
                <w:szCs w:val="21"/>
                <w:highlight w:val="none"/>
              </w:rPr>
            </w:pPr>
            <w:r>
              <w:rPr>
                <w:rFonts w:hint="eastAsia" w:asciiTheme="minorEastAsia" w:hAnsiTheme="minorEastAsia"/>
                <w:color w:val="auto"/>
                <w:highlight w:val="none"/>
              </w:rPr>
              <w:t>本项目属于专门面向</w:t>
            </w:r>
            <w:r>
              <w:rPr>
                <w:rFonts w:hint="eastAsia" w:asciiTheme="minorEastAsia" w:hAnsiTheme="minorEastAsia"/>
                <w:b/>
                <w:bCs/>
                <w:color w:val="auto"/>
                <w:sz w:val="24"/>
                <w:szCs w:val="24"/>
                <w:highlight w:val="none"/>
                <w:u w:val="single"/>
              </w:rPr>
              <w:t>小微企业</w:t>
            </w:r>
            <w:r>
              <w:rPr>
                <w:rFonts w:hint="eastAsia" w:asciiTheme="minorEastAsia" w:hAnsiTheme="minorEastAsia"/>
                <w:color w:val="auto"/>
                <w:highlight w:val="none"/>
              </w:rPr>
              <w:t>采购的项目，按照《政府采购促进中小企业发展管理办法》（财库〔2020〕46号）规定，小微企业、监狱企业、残疾人福利性单位不再执行价格评审优惠的扶持政策。</w:t>
            </w:r>
          </w:p>
        </w:tc>
        <w:tc>
          <w:tcPr>
            <w:tcW w:w="39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olor w:val="auto"/>
                <w:szCs w:val="21"/>
                <w:highlight w:val="none"/>
              </w:rPr>
            </w:pPr>
            <w:r>
              <w:rPr>
                <w:rFonts w:ascii="宋体" w:hAnsi="宋体"/>
                <w:color w:val="auto"/>
                <w:szCs w:val="21"/>
                <w:highlight w:val="none"/>
              </w:rPr>
              <w:t>投标人在其投标文件中提供该通知规定的《残疾人福利性单位声明函》，并对声明的真实性负责。</w:t>
            </w:r>
            <w:r>
              <w:rPr>
                <w:rFonts w:hint="eastAsia" w:ascii="宋体" w:hAnsi="宋体"/>
                <w:color w:val="auto"/>
                <w:szCs w:val="21"/>
                <w:highlight w:val="none"/>
              </w:rPr>
              <w:t>（投标人如能够在线查询的材料，请提供查询网址链接，可以不用同时提供纸质材料，原件备查）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3" w:hRule="atLeast"/>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支持监狱企业</w:t>
            </w:r>
          </w:p>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发展政策</w:t>
            </w:r>
          </w:p>
        </w:tc>
        <w:tc>
          <w:tcPr>
            <w:tcW w:w="33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Times New Roman"/>
                <w:color w:val="auto"/>
                <w:szCs w:val="21"/>
                <w:highlight w:val="none"/>
              </w:rPr>
            </w:pPr>
            <w:r>
              <w:rPr>
                <w:rFonts w:hint="eastAsia" w:asciiTheme="minorEastAsia" w:hAnsiTheme="minorEastAsia"/>
                <w:color w:val="auto"/>
                <w:highlight w:val="none"/>
              </w:rPr>
              <w:t>本项目属于专门面向</w:t>
            </w:r>
            <w:r>
              <w:rPr>
                <w:rFonts w:hint="eastAsia" w:asciiTheme="minorEastAsia" w:hAnsiTheme="minorEastAsia"/>
                <w:b/>
                <w:bCs/>
                <w:color w:val="auto"/>
                <w:sz w:val="24"/>
                <w:szCs w:val="24"/>
                <w:highlight w:val="none"/>
                <w:u w:val="single"/>
              </w:rPr>
              <w:t>小微企业</w:t>
            </w:r>
            <w:r>
              <w:rPr>
                <w:rFonts w:hint="eastAsia" w:asciiTheme="minorEastAsia" w:hAnsiTheme="minorEastAsia"/>
                <w:color w:val="auto"/>
                <w:highlight w:val="none"/>
              </w:rPr>
              <w:t>采购的项目，按照《政府采购促进中小企业发展管理办法》（财库〔2020〕46号）规定，小微企业、监狱企业、残疾人福利性单位不再执行价格评审优惠的扶持政策。</w:t>
            </w:r>
          </w:p>
        </w:tc>
        <w:tc>
          <w:tcPr>
            <w:tcW w:w="39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Times New Roman"/>
                <w:color w:val="auto"/>
                <w:szCs w:val="21"/>
                <w:highlight w:val="none"/>
              </w:rPr>
            </w:pPr>
            <w:r>
              <w:rPr>
                <w:rFonts w:ascii="宋体" w:hAnsi="宋体" w:eastAsia="宋体" w:cs="Courier New"/>
                <w:color w:val="auto"/>
                <w:szCs w:val="21"/>
                <w:highlight w:val="none"/>
              </w:rPr>
              <w:t>投标人</w:t>
            </w:r>
            <w:r>
              <w:rPr>
                <w:rFonts w:ascii="宋体" w:hAnsi="宋体"/>
                <w:color w:val="auto"/>
                <w:szCs w:val="21"/>
                <w:highlight w:val="none"/>
              </w:rPr>
              <w:t>在其投标文件中提供由省级以上监狱管理局、戒毒管理局（含新疆生产建设兵团）出具的属于监狱企业的证明文件</w:t>
            </w:r>
          </w:p>
        </w:tc>
      </w:tr>
    </w:tbl>
    <w:p>
      <w:pPr>
        <w:spacing w:line="360" w:lineRule="auto"/>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2.4</w:t>
      </w:r>
      <w:r>
        <w:rPr>
          <w:rFonts w:hint="eastAsia" w:ascii="Times New Roman" w:hAnsi="Times New Roman" w:eastAsia="宋体" w:cs="Times New Roman"/>
          <w:color w:val="auto"/>
          <w:kern w:val="0"/>
          <w:szCs w:val="21"/>
          <w:highlight w:val="none"/>
        </w:rPr>
        <w:t>推荐中标候选人</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hint="eastAsia" w:ascii="Times New Roman" w:hAnsi="Times New Roman" w:eastAsia="宋体" w:cs="Times New Roman"/>
          <w:color w:val="auto"/>
          <w:szCs w:val="21"/>
          <w:highlight w:val="none"/>
        </w:rPr>
        <w:t>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2.4.2</w:t>
      </w:r>
      <w:r>
        <w:rPr>
          <w:rFonts w:hint="eastAsia" w:ascii="Times New Roman" w:hAnsi="Times New Roman" w:eastAsia="宋体" w:cs="Times New Roman"/>
          <w:color w:val="auto"/>
          <w:szCs w:val="21"/>
          <w:highlight w:val="none"/>
        </w:rPr>
        <w:t>推荐中标候选人的数量：</w:t>
      </w:r>
      <w:r>
        <w:rPr>
          <w:rFonts w:hint="eastAsia" w:ascii="Times New Roman" w:hAnsi="Times New Roman" w:eastAsia="宋体" w:cs="Times New Roman"/>
          <w:color w:val="auto"/>
          <w:szCs w:val="21"/>
          <w:highlight w:val="none"/>
          <w:u w:val="single"/>
        </w:rPr>
        <w:t>3家</w:t>
      </w:r>
      <w:r>
        <w:rPr>
          <w:rFonts w:hint="eastAsia" w:ascii="Times New Roman" w:hAnsi="Times New Roman" w:eastAsia="宋体" w:cs="Times New Roman"/>
          <w:color w:val="auto"/>
          <w:szCs w:val="21"/>
          <w:highlight w:val="none"/>
        </w:rPr>
        <w:t>。</w:t>
      </w:r>
    </w:p>
    <w:p>
      <w:pPr>
        <w:widowControl/>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2.4.3</w:t>
      </w:r>
      <w:r>
        <w:rPr>
          <w:rFonts w:hint="eastAsia" w:ascii="Times New Roman" w:hAnsi="Times New Roman" w:eastAsia="宋体" w:cs="Times New Roman"/>
          <w:color w:val="auto"/>
          <w:szCs w:val="21"/>
          <w:highlight w:val="none"/>
        </w:rPr>
        <w:t>中标人数量：</w:t>
      </w:r>
      <w:r>
        <w:rPr>
          <w:rFonts w:ascii="Times New Roman" w:hAnsi="Times New Roman" w:eastAsia="宋体" w:cs="Times New Roman"/>
          <w:color w:val="auto"/>
          <w:szCs w:val="21"/>
          <w:highlight w:val="none"/>
          <w:u w:val="single"/>
        </w:rPr>
        <w:t xml:space="preserve"> 1 </w:t>
      </w:r>
      <w:r>
        <w:rPr>
          <w:rFonts w:hint="eastAsia" w:ascii="Times New Roman" w:hAnsi="Times New Roman" w:eastAsia="宋体" w:cs="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中标候选人并列的，按照</w:t>
      </w:r>
      <w:r>
        <w:rPr>
          <w:rFonts w:hint="eastAsia" w:ascii="宋体" w:hAnsi="宋体" w:eastAsia="宋体" w:cs="Times New Roman"/>
          <w:color w:val="auto"/>
          <w:szCs w:val="21"/>
          <w:highlight w:val="none"/>
          <w:u w:val="single"/>
        </w:rPr>
        <w:t>技术指标优劣顺序排列</w:t>
      </w:r>
      <w:r>
        <w:rPr>
          <w:rFonts w:hint="eastAsia" w:ascii="宋体" w:hAnsi="宋体" w:eastAsia="宋体" w:cs="Times New Roman"/>
          <w:color w:val="auto"/>
          <w:szCs w:val="21"/>
          <w:highlight w:val="none"/>
        </w:rPr>
        <w:t>的方式确定中标人。</w:t>
      </w:r>
    </w:p>
    <w:p>
      <w:pPr>
        <w:widowControl/>
        <w:topLinePunct/>
        <w:autoSpaceDE w:val="0"/>
        <w:autoSpaceDN w:val="0"/>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招标文件未规定的，采取</w:t>
      </w:r>
      <w:r>
        <w:rPr>
          <w:rFonts w:hint="eastAsia" w:ascii="宋体" w:hAnsi="宋体" w:eastAsia="宋体" w:cs="宋体"/>
          <w:color w:val="auto"/>
          <w:szCs w:val="21"/>
          <w:highlight w:val="none"/>
        </w:rPr>
        <w:t>随机</w:t>
      </w:r>
      <w:r>
        <w:rPr>
          <w:rFonts w:hint="eastAsia" w:ascii="宋体" w:hAnsi="宋体" w:eastAsia="宋体" w:cs="Times New Roman"/>
          <w:color w:val="auto"/>
          <w:szCs w:val="21"/>
          <w:highlight w:val="none"/>
        </w:rPr>
        <w:t>抽取的方式确定。</w:t>
      </w:r>
    </w:p>
    <w:p>
      <w:pPr>
        <w:widowControl/>
        <w:jc w:val="left"/>
        <w:rPr>
          <w:rFonts w:ascii="Calibri" w:hAnsi="Calibri" w:eastAsia="宋体" w:cs="Times New Roman"/>
          <w:color w:val="auto"/>
          <w:szCs w:val="21"/>
          <w:highlight w:val="none"/>
        </w:rPr>
        <w:sectPr>
          <w:pgSz w:w="11906" w:h="16838"/>
          <w:pgMar w:top="1440" w:right="1752" w:bottom="1440" w:left="1752" w:header="851" w:footer="992" w:gutter="0"/>
          <w:cols w:space="720" w:num="1"/>
          <w:docGrid w:type="lines" w:linePitch="312" w:charSpace="0"/>
        </w:sectPr>
      </w:pPr>
    </w:p>
    <w:p>
      <w:pPr>
        <w:pStyle w:val="3"/>
        <w:jc w:val="center"/>
        <w:rPr>
          <w:color w:val="auto"/>
          <w:highlight w:val="none"/>
        </w:rPr>
      </w:pPr>
      <w:bookmarkStart w:id="15" w:name="_Toc525052847"/>
      <w:bookmarkStart w:id="16" w:name="_Toc353483817"/>
      <w:bookmarkStart w:id="17" w:name="_Toc25264"/>
      <w:bookmarkStart w:id="18" w:name="_Toc1484421284"/>
      <w:bookmarkStart w:id="19" w:name="_Toc1914430521"/>
      <w:bookmarkStart w:id="20" w:name="_Toc1406510925"/>
      <w:bookmarkStart w:id="21" w:name="_Toc1505390621"/>
      <w:bookmarkStart w:id="22" w:name="_Toc38030150"/>
      <w:bookmarkStart w:id="23" w:name="_Toc614538032"/>
      <w:r>
        <w:rPr>
          <w:rFonts w:hint="eastAsia"/>
          <w:color w:val="auto"/>
          <w:highlight w:val="none"/>
        </w:rPr>
        <w:t>第四章  政府采购合同文本</w:t>
      </w:r>
      <w:bookmarkEnd w:id="15"/>
      <w:bookmarkEnd w:id="16"/>
      <w:bookmarkEnd w:id="17"/>
      <w:bookmarkEnd w:id="18"/>
      <w:bookmarkEnd w:id="19"/>
      <w:bookmarkEnd w:id="20"/>
      <w:bookmarkEnd w:id="21"/>
      <w:bookmarkEnd w:id="22"/>
      <w:bookmarkEnd w:id="23"/>
    </w:p>
    <w:p>
      <w:pPr>
        <w:jc w:val="center"/>
        <w:rPr>
          <w:rFonts w:hint="eastAsia" w:ascii="华文中宋" w:hAnsi="华文中宋" w:eastAsia="华文中宋" w:cs="华文中宋"/>
          <w:bCs/>
          <w:color w:val="auto"/>
          <w:sz w:val="32"/>
          <w:szCs w:val="32"/>
          <w:highlight w:val="none"/>
        </w:rPr>
      </w:pPr>
      <w:r>
        <w:rPr>
          <w:rFonts w:ascii="华文中宋" w:hAnsi="华文中宋" w:eastAsia="华文中宋" w:cs="华文中宋"/>
          <w:bCs/>
          <w:color w:val="auto"/>
          <w:sz w:val="32"/>
          <w:szCs w:val="32"/>
          <w:highlight w:val="none"/>
        </w:rPr>
        <w:t>（</w:t>
      </w:r>
      <w:r>
        <w:rPr>
          <w:rFonts w:hint="eastAsia" w:ascii="华文中宋" w:hAnsi="华文中宋" w:eastAsia="华文中宋" w:cs="华文中宋"/>
          <w:bCs/>
          <w:color w:val="auto"/>
          <w:sz w:val="32"/>
          <w:szCs w:val="32"/>
          <w:highlight w:val="none"/>
        </w:rPr>
        <w:t>非信息化服务类项目</w:t>
      </w:r>
      <w:r>
        <w:rPr>
          <w:rFonts w:ascii="华文中宋" w:hAnsi="华文中宋" w:eastAsia="华文中宋" w:cs="华文中宋"/>
          <w:bCs/>
          <w:color w:val="auto"/>
          <w:sz w:val="32"/>
          <w:szCs w:val="32"/>
          <w:highlight w:val="none"/>
        </w:rPr>
        <w:t>）</w:t>
      </w:r>
    </w:p>
    <w:p>
      <w:pPr>
        <w:jc w:val="center"/>
        <w:rPr>
          <w:rFonts w:hint="eastAsia" w:ascii="华文中宋" w:hAnsi="华文中宋" w:eastAsia="华文中宋" w:cs="华文中宋"/>
          <w:bCs/>
          <w:color w:val="auto"/>
          <w:sz w:val="32"/>
          <w:szCs w:val="32"/>
          <w:highlight w:val="none"/>
        </w:rPr>
      </w:pPr>
    </w:p>
    <w:p>
      <w:pPr>
        <w:pStyle w:val="27"/>
        <w:jc w:val="center"/>
        <w:rPr>
          <w:rFonts w:hint="eastAsia" w:hAnsi="宋体" w:cs="Times New Roman"/>
          <w:color w:val="auto"/>
          <w:sz w:val="30"/>
          <w:szCs w:val="30"/>
          <w:highlight w:val="none"/>
        </w:rPr>
      </w:pPr>
      <w:r>
        <w:rPr>
          <w:rFonts w:hint="eastAsia" w:ascii="Times New Roman" w:hAnsi="Times New Roman" w:cs="Times New Roman"/>
          <w:color w:val="auto"/>
          <w:highlight w:val="none"/>
        </w:rPr>
        <w:t>（</w:t>
      </w:r>
      <w:r>
        <w:rPr>
          <w:rFonts w:hint="eastAsia" w:hAnsi="宋体" w:cs="Times New Roman"/>
          <w:color w:val="auto"/>
          <w:sz w:val="30"/>
          <w:szCs w:val="30"/>
          <w:highlight w:val="none"/>
        </w:rPr>
        <w:t>合同封面）</w:t>
      </w:r>
      <w:r>
        <w:rPr>
          <w:rFonts w:hAnsi="宋体" w:cs="Times New Roman"/>
          <w:color w:val="auto"/>
          <w:sz w:val="30"/>
          <w:szCs w:val="30"/>
          <w:highlight w:val="none"/>
        </w:rPr>
        <w:t xml:space="preserve">               </w:t>
      </w:r>
      <w:r>
        <w:rPr>
          <w:rFonts w:hint="eastAsia" w:hAnsi="宋体" w:cs="Times New Roman"/>
          <w:color w:val="auto"/>
          <w:sz w:val="30"/>
          <w:szCs w:val="30"/>
          <w:highlight w:val="none"/>
        </w:rPr>
        <w:t>中小企业预留合同：☑是 □ 否</w:t>
      </w:r>
    </w:p>
    <w:p>
      <w:pPr>
        <w:pStyle w:val="27"/>
        <w:jc w:val="center"/>
        <w:rPr>
          <w:rFonts w:hint="eastAsia" w:hAnsi="宋体" w:cs="Times New Roman"/>
          <w:color w:val="auto"/>
          <w:sz w:val="30"/>
          <w:szCs w:val="30"/>
          <w:highlight w:val="none"/>
        </w:rPr>
      </w:pPr>
      <w:r>
        <w:rPr>
          <w:rFonts w:hint="eastAsia" w:hAnsi="宋体" w:cs="Times New Roman"/>
          <w:color w:val="auto"/>
          <w:sz w:val="30"/>
          <w:szCs w:val="30"/>
          <w:highlight w:val="none"/>
        </w:rPr>
        <w:t xml:space="preserve">                           合 同 类 别：非信息化服务类</w:t>
      </w:r>
    </w:p>
    <w:p>
      <w:pPr>
        <w:rPr>
          <w:color w:val="auto"/>
          <w:highlight w:val="none"/>
        </w:rPr>
      </w:pPr>
    </w:p>
    <w:p>
      <w:pPr>
        <w:pStyle w:val="27"/>
        <w:jc w:val="center"/>
        <w:rPr>
          <w:rFonts w:hint="eastAsia" w:ascii="黑体" w:hAnsi="宋体" w:eastAsia="黑体" w:cs="Times New Roman"/>
          <w:b/>
          <w:color w:val="auto"/>
          <w:sz w:val="44"/>
          <w:szCs w:val="44"/>
          <w:highlight w:val="none"/>
        </w:rPr>
      </w:pPr>
    </w:p>
    <w:p>
      <w:pPr>
        <w:pStyle w:val="27"/>
        <w:jc w:val="center"/>
        <w:rPr>
          <w:rFonts w:hint="eastAsia" w:ascii="黑体" w:hAnsi="宋体" w:eastAsia="黑体" w:cs="Times New Roman"/>
          <w:b/>
          <w:color w:val="auto"/>
          <w:sz w:val="44"/>
          <w:szCs w:val="44"/>
          <w:highlight w:val="none"/>
        </w:rPr>
      </w:pPr>
      <w:r>
        <w:rPr>
          <w:rFonts w:hint="eastAsia" w:ascii="黑体" w:hAnsi="宋体" w:eastAsia="黑体" w:cs="Times New Roman"/>
          <w:b/>
          <w:color w:val="auto"/>
          <w:sz w:val="44"/>
          <w:szCs w:val="44"/>
          <w:highlight w:val="none"/>
        </w:rPr>
        <w:t>政</w:t>
      </w:r>
      <w:r>
        <w:rPr>
          <w:rFonts w:ascii="黑体" w:hAnsi="宋体" w:eastAsia="黑体" w:cs="Times New Roman"/>
          <w:b/>
          <w:color w:val="auto"/>
          <w:sz w:val="44"/>
          <w:szCs w:val="44"/>
          <w:highlight w:val="none"/>
        </w:rPr>
        <w:t xml:space="preserve"> </w:t>
      </w:r>
      <w:r>
        <w:rPr>
          <w:rFonts w:hint="eastAsia" w:ascii="黑体" w:hAnsi="宋体" w:eastAsia="黑体" w:cs="Times New Roman"/>
          <w:b/>
          <w:color w:val="auto"/>
          <w:sz w:val="44"/>
          <w:szCs w:val="44"/>
          <w:highlight w:val="none"/>
        </w:rPr>
        <w:t>府</w:t>
      </w:r>
      <w:r>
        <w:rPr>
          <w:rFonts w:ascii="黑体" w:hAnsi="宋体" w:eastAsia="黑体" w:cs="Times New Roman"/>
          <w:b/>
          <w:color w:val="auto"/>
          <w:sz w:val="44"/>
          <w:szCs w:val="44"/>
          <w:highlight w:val="none"/>
        </w:rPr>
        <w:t xml:space="preserve"> </w:t>
      </w:r>
      <w:r>
        <w:rPr>
          <w:rFonts w:hint="eastAsia" w:ascii="黑体" w:hAnsi="宋体" w:eastAsia="黑体" w:cs="Times New Roman"/>
          <w:b/>
          <w:color w:val="auto"/>
          <w:sz w:val="44"/>
          <w:szCs w:val="44"/>
          <w:highlight w:val="none"/>
        </w:rPr>
        <w:t>采</w:t>
      </w:r>
      <w:r>
        <w:rPr>
          <w:rFonts w:ascii="黑体" w:hAnsi="宋体" w:eastAsia="黑体" w:cs="Times New Roman"/>
          <w:b/>
          <w:color w:val="auto"/>
          <w:sz w:val="44"/>
          <w:szCs w:val="44"/>
          <w:highlight w:val="none"/>
        </w:rPr>
        <w:t xml:space="preserve"> </w:t>
      </w:r>
      <w:r>
        <w:rPr>
          <w:rFonts w:hint="eastAsia" w:ascii="黑体" w:hAnsi="宋体" w:eastAsia="黑体" w:cs="Times New Roman"/>
          <w:b/>
          <w:color w:val="auto"/>
          <w:sz w:val="44"/>
          <w:szCs w:val="44"/>
          <w:highlight w:val="none"/>
        </w:rPr>
        <w:t>购</w:t>
      </w:r>
      <w:r>
        <w:rPr>
          <w:rFonts w:ascii="黑体" w:hAnsi="宋体" w:eastAsia="黑体" w:cs="Times New Roman"/>
          <w:b/>
          <w:color w:val="auto"/>
          <w:sz w:val="44"/>
          <w:szCs w:val="44"/>
          <w:highlight w:val="none"/>
        </w:rPr>
        <w:t xml:space="preserve"> </w:t>
      </w:r>
      <w:r>
        <w:rPr>
          <w:rFonts w:hint="eastAsia" w:ascii="黑体" w:hAnsi="宋体" w:eastAsia="黑体" w:cs="Times New Roman"/>
          <w:b/>
          <w:color w:val="auto"/>
          <w:sz w:val="44"/>
          <w:szCs w:val="44"/>
          <w:highlight w:val="none"/>
        </w:rPr>
        <w:t>合</w:t>
      </w:r>
      <w:r>
        <w:rPr>
          <w:rFonts w:ascii="黑体" w:hAnsi="宋体" w:eastAsia="黑体" w:cs="Times New Roman"/>
          <w:b/>
          <w:color w:val="auto"/>
          <w:sz w:val="44"/>
          <w:szCs w:val="44"/>
          <w:highlight w:val="none"/>
        </w:rPr>
        <w:t xml:space="preserve"> </w:t>
      </w:r>
      <w:r>
        <w:rPr>
          <w:rFonts w:hint="eastAsia" w:ascii="黑体" w:hAnsi="宋体" w:eastAsia="黑体" w:cs="Times New Roman"/>
          <w:b/>
          <w:color w:val="auto"/>
          <w:sz w:val="44"/>
          <w:szCs w:val="44"/>
          <w:highlight w:val="none"/>
        </w:rPr>
        <w:t>同</w:t>
      </w:r>
    </w:p>
    <w:p>
      <w:pPr>
        <w:pStyle w:val="27"/>
        <w:ind w:firstLine="560" w:firstLineChars="200"/>
        <w:jc w:val="center"/>
        <w:rPr>
          <w:rFonts w:hint="eastAsia" w:hAnsi="宋体" w:cs="Times New Roman"/>
          <w:color w:val="auto"/>
          <w:sz w:val="28"/>
          <w:szCs w:val="28"/>
          <w:highlight w:val="none"/>
        </w:rPr>
      </w:pPr>
    </w:p>
    <w:p>
      <w:pPr>
        <w:pStyle w:val="27"/>
        <w:ind w:firstLine="560" w:firstLineChars="200"/>
        <w:jc w:val="center"/>
        <w:rPr>
          <w:rFonts w:hint="eastAsia" w:hAnsi="宋体" w:cs="Times New Roman"/>
          <w:color w:val="auto"/>
          <w:sz w:val="28"/>
          <w:szCs w:val="28"/>
          <w:highlight w:val="none"/>
        </w:rPr>
      </w:pPr>
      <w:r>
        <w:rPr>
          <w:rFonts w:hint="eastAsia" w:hAnsi="宋体" w:cs="Times New Roman"/>
          <w:color w:val="auto"/>
          <w:sz w:val="28"/>
          <w:szCs w:val="28"/>
          <w:highlight w:val="none"/>
        </w:rPr>
        <w:t>（年</w:t>
      </w:r>
      <w:r>
        <w:rPr>
          <w:rFonts w:hAnsi="宋体" w:cs="Times New Roman"/>
          <w:color w:val="auto"/>
          <w:sz w:val="28"/>
          <w:szCs w:val="28"/>
          <w:highlight w:val="none"/>
        </w:rPr>
        <w:t xml:space="preserve"> </w:t>
      </w:r>
      <w:r>
        <w:rPr>
          <w:rFonts w:hint="eastAsia" w:hAnsi="宋体" w:cs="Times New Roman"/>
          <w:color w:val="auto"/>
          <w:sz w:val="28"/>
          <w:szCs w:val="28"/>
          <w:highlight w:val="none"/>
        </w:rPr>
        <w:t>度</w:t>
      </w:r>
      <w:r>
        <w:rPr>
          <w:rFonts w:hAnsi="宋体" w:cs="Times New Roman"/>
          <w:color w:val="auto"/>
          <w:sz w:val="28"/>
          <w:szCs w:val="28"/>
          <w:highlight w:val="none"/>
          <w:u w:val="single"/>
        </w:rPr>
        <w:t xml:space="preserve">         </w:t>
      </w:r>
      <w:r>
        <w:rPr>
          <w:rFonts w:hint="eastAsia" w:hAnsi="宋体" w:cs="Times New Roman"/>
          <w:color w:val="auto"/>
          <w:sz w:val="28"/>
          <w:szCs w:val="28"/>
          <w:highlight w:val="none"/>
        </w:rPr>
        <w:t>）</w:t>
      </w: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jc w:val="center"/>
        <w:rPr>
          <w:rFonts w:hint="eastAsia" w:ascii="宋体" w:hAnsi="宋体" w:eastAsia="宋体" w:cs="宋体"/>
          <w:color w:val="auto"/>
          <w:sz w:val="32"/>
          <w:szCs w:val="32"/>
          <w:highlight w:val="none"/>
        </w:rPr>
      </w:pPr>
    </w:p>
    <w:p>
      <w:pPr>
        <w:tabs>
          <w:tab w:val="left" w:pos="540"/>
          <w:tab w:val="left" w:pos="1080"/>
          <w:tab w:val="left" w:pos="1440"/>
        </w:tabs>
        <w:snapToGrid w:val="0"/>
        <w:ind w:left="1680" w:leftChars="800"/>
        <w:jc w:val="center"/>
        <w:rPr>
          <w:rFonts w:hint="eastAsia" w:ascii="宋体" w:hAnsi="宋体" w:eastAsia="宋体" w:cs="宋体"/>
          <w:color w:val="auto"/>
          <w:sz w:val="32"/>
          <w:szCs w:val="32"/>
          <w:highlight w:val="none"/>
        </w:rPr>
      </w:pPr>
    </w:p>
    <w:p>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项目名称：</w:t>
      </w:r>
      <w:r>
        <w:rPr>
          <w:rFonts w:hint="eastAsia" w:ascii="方正小标宋简体" w:hAnsi="方正小标宋简体" w:eastAsia="方正小标宋简体" w:cs="方正小标宋简体"/>
          <w:bCs/>
          <w:color w:val="auto"/>
          <w:sz w:val="24"/>
          <w:szCs w:val="24"/>
          <w:highlight w:val="none"/>
          <w:u w:val="single"/>
        </w:rPr>
        <w:t xml:space="preserve">                   </w:t>
      </w:r>
    </w:p>
    <w:p>
      <w:pPr>
        <w:tabs>
          <w:tab w:val="left" w:pos="2160"/>
        </w:tabs>
        <w:topLinePunct/>
        <w:autoSpaceDE w:val="0"/>
        <w:autoSpaceDN w:val="0"/>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包    号：</w:t>
      </w:r>
      <w:r>
        <w:rPr>
          <w:rFonts w:hint="eastAsia" w:ascii="方正小标宋简体" w:hAnsi="方正小标宋简体" w:eastAsia="方正小标宋简体" w:cs="方正小标宋简体"/>
          <w:bCs/>
          <w:color w:val="auto"/>
          <w:sz w:val="24"/>
          <w:szCs w:val="24"/>
          <w:highlight w:val="none"/>
          <w:u w:val="single"/>
        </w:rPr>
        <w:t xml:space="preserve">                   </w:t>
      </w:r>
    </w:p>
    <w:p>
      <w:pPr>
        <w:tabs>
          <w:tab w:val="left" w:pos="540"/>
          <w:tab w:val="left" w:pos="1080"/>
          <w:tab w:val="left" w:pos="1440"/>
        </w:tabs>
        <w:snapToGrid w:val="0"/>
        <w:spacing w:line="360" w:lineRule="auto"/>
        <w:ind w:left="2100" w:leftChars="1000"/>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合同编号：</w:t>
      </w:r>
      <w:r>
        <w:rPr>
          <w:rFonts w:hint="eastAsia" w:ascii="方正小标宋简体" w:hAnsi="方正小标宋简体" w:eastAsia="方正小标宋简体" w:cs="方正小标宋简体"/>
          <w:bCs/>
          <w:color w:val="auto"/>
          <w:sz w:val="24"/>
          <w:szCs w:val="24"/>
          <w:highlight w:val="none"/>
          <w:u w:val="single"/>
        </w:rPr>
        <w:t xml:space="preserve">                   </w:t>
      </w:r>
      <w:r>
        <w:rPr>
          <w:rFonts w:hint="eastAsia" w:ascii="方正小标宋简体" w:hAnsi="方正小标宋简体" w:eastAsia="方正小标宋简体" w:cs="方正小标宋简体"/>
          <w:bCs/>
          <w:color w:val="auto"/>
          <w:sz w:val="24"/>
          <w:szCs w:val="24"/>
          <w:highlight w:val="none"/>
        </w:rPr>
        <w:t xml:space="preserve"> </w:t>
      </w:r>
    </w:p>
    <w:p>
      <w:pPr>
        <w:tabs>
          <w:tab w:val="left" w:pos="2160"/>
        </w:tabs>
        <w:topLinePunct/>
        <w:autoSpaceDE w:val="0"/>
        <w:autoSpaceDN w:val="0"/>
        <w:snapToGrid w:val="0"/>
        <w:spacing w:line="360" w:lineRule="auto"/>
        <w:ind w:left="2880" w:leftChars="800" w:hanging="1200" w:hangingChars="500"/>
        <w:rPr>
          <w:rFonts w:hint="eastAsia" w:ascii="方正小标宋简体" w:hAnsi="方正小标宋简体" w:eastAsia="方正小标宋简体" w:cs="方正小标宋简体"/>
          <w:bCs/>
          <w:color w:val="auto"/>
          <w:sz w:val="24"/>
          <w:szCs w:val="24"/>
          <w:highlight w:val="none"/>
        </w:rPr>
      </w:pPr>
    </w:p>
    <w:p>
      <w:pPr>
        <w:spacing w:line="460" w:lineRule="exact"/>
        <w:jc w:val="center"/>
        <w:rPr>
          <w:rFonts w:hint="eastAsia" w:ascii="方正小标宋简体" w:hAnsi="方正小标宋简体" w:eastAsia="方正小标宋简体" w:cs="方正小标宋简体"/>
          <w:bCs/>
          <w:color w:val="auto"/>
          <w:sz w:val="24"/>
          <w:szCs w:val="24"/>
          <w:highlight w:val="none"/>
        </w:rPr>
      </w:pPr>
    </w:p>
    <w:p>
      <w:pPr>
        <w:tabs>
          <w:tab w:val="left" w:pos="3045"/>
        </w:tabs>
        <w:spacing w:line="460" w:lineRule="exact"/>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ab/>
      </w:r>
    </w:p>
    <w:p>
      <w:pPr>
        <w:spacing w:line="460" w:lineRule="exact"/>
        <w:rPr>
          <w:rFonts w:hint="eastAsia" w:ascii="方正小标宋简体" w:hAnsi="方正小标宋简体" w:eastAsia="方正小标宋简体" w:cs="方正小标宋简体"/>
          <w:bCs/>
          <w:color w:val="auto"/>
          <w:sz w:val="24"/>
          <w:szCs w:val="24"/>
          <w:highlight w:val="none"/>
        </w:rPr>
      </w:pPr>
    </w:p>
    <w:p>
      <w:pPr>
        <w:spacing w:line="460" w:lineRule="exact"/>
        <w:jc w:val="center"/>
        <w:rPr>
          <w:rFonts w:hint="eastAsia" w:ascii="方正小标宋简体" w:hAnsi="方正小标宋简体" w:eastAsia="方正小标宋简体" w:cs="方正小标宋简体"/>
          <w:bCs/>
          <w:color w:val="auto"/>
          <w:sz w:val="24"/>
          <w:szCs w:val="24"/>
          <w:highlight w:val="none"/>
        </w:rPr>
      </w:pPr>
    </w:p>
    <w:p>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rPr>
      </w:pPr>
      <w:r>
        <w:rPr>
          <w:rFonts w:hint="eastAsia" w:ascii="方正小标宋简体" w:hAnsi="方正小标宋简体" w:eastAsia="方正小标宋简体" w:cs="方正小标宋简体"/>
          <w:bCs/>
          <w:color w:val="auto"/>
          <w:sz w:val="24"/>
          <w:szCs w:val="24"/>
          <w:highlight w:val="none"/>
        </w:rPr>
        <w:t>甲    方：</w:t>
      </w:r>
      <w:r>
        <w:rPr>
          <w:rFonts w:hint="eastAsia" w:ascii="方正小标宋简体" w:hAnsi="方正小标宋简体" w:eastAsia="方正小标宋简体" w:cs="方正小标宋简体"/>
          <w:bCs/>
          <w:color w:val="auto"/>
          <w:sz w:val="24"/>
          <w:szCs w:val="24"/>
          <w:highlight w:val="none"/>
          <w:u w:val="single"/>
        </w:rPr>
        <w:t>国家税务总局来宾市税务局</w:t>
      </w:r>
    </w:p>
    <w:p>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乙    方： </w:t>
      </w:r>
      <w:r>
        <w:rPr>
          <w:rFonts w:hint="eastAsia" w:ascii="方正小标宋简体" w:hAnsi="方正小标宋简体" w:eastAsia="方正小标宋简体" w:cs="方正小标宋简体"/>
          <w:bCs/>
          <w:color w:val="auto"/>
          <w:sz w:val="24"/>
          <w:szCs w:val="24"/>
          <w:highlight w:val="none"/>
          <w:u w:val="single"/>
        </w:rPr>
        <w:t xml:space="preserve">                     </w:t>
      </w:r>
    </w:p>
    <w:p>
      <w:pPr>
        <w:spacing w:line="300" w:lineRule="auto"/>
        <w:ind w:left="840" w:leftChars="400" w:firstLine="1298" w:firstLineChars="541"/>
        <w:rPr>
          <w:rFonts w:hint="eastAsia" w:ascii="方正小标宋简体" w:hAnsi="方正小标宋简体" w:eastAsia="方正小标宋简体" w:cs="方正小标宋简体"/>
          <w:bCs/>
          <w:color w:val="auto"/>
          <w:sz w:val="24"/>
          <w:szCs w:val="24"/>
          <w:highlight w:val="none"/>
          <w:u w:val="single"/>
        </w:rPr>
      </w:pPr>
      <w:r>
        <w:rPr>
          <w:rFonts w:hint="eastAsia" w:ascii="方正小标宋简体" w:hAnsi="方正小标宋简体" w:eastAsia="方正小标宋简体" w:cs="方正小标宋简体"/>
          <w:bCs/>
          <w:color w:val="auto"/>
          <w:sz w:val="24"/>
          <w:szCs w:val="24"/>
          <w:highlight w:val="none"/>
        </w:rPr>
        <w:t xml:space="preserve">日    期： </w:t>
      </w:r>
      <w:r>
        <w:rPr>
          <w:rFonts w:hint="eastAsia" w:ascii="方正小标宋简体" w:hAnsi="方正小标宋简体" w:eastAsia="方正小标宋简体" w:cs="方正小标宋简体"/>
          <w:bCs/>
          <w:color w:val="auto"/>
          <w:sz w:val="24"/>
          <w:szCs w:val="24"/>
          <w:highlight w:val="none"/>
          <w:u w:val="single"/>
        </w:rPr>
        <w:t xml:space="preserve">        年    月   日</w:t>
      </w:r>
    </w:p>
    <w:p>
      <w:pPr>
        <w:spacing w:line="400" w:lineRule="exact"/>
        <w:jc w:val="center"/>
        <w:rPr>
          <w:rFonts w:hint="eastAsia" w:ascii="宋体" w:hAnsi="宋体" w:eastAsia="宋体" w:cs="宋体"/>
          <w:b/>
          <w:color w:val="auto"/>
          <w:sz w:val="24"/>
          <w:szCs w:val="24"/>
          <w:highlight w:val="none"/>
        </w:rPr>
      </w:pPr>
      <w:r>
        <w:rPr>
          <w:rFonts w:hint="eastAsia" w:ascii="方正小标宋简体" w:hAnsi="方正小标宋简体" w:eastAsia="方正小标宋简体" w:cs="方正小标宋简体"/>
          <w:bCs/>
          <w:color w:val="auto"/>
          <w:sz w:val="24"/>
          <w:szCs w:val="24"/>
          <w:highlight w:val="none"/>
          <w:u w:val="single"/>
        </w:rPr>
        <w:br w:type="page"/>
      </w:r>
      <w:r>
        <w:rPr>
          <w:rFonts w:hint="eastAsia" w:ascii="宋体" w:hAnsi="宋体" w:eastAsia="宋体" w:cs="宋体"/>
          <w:b/>
          <w:color w:val="auto"/>
          <w:sz w:val="24"/>
          <w:szCs w:val="24"/>
          <w:highlight w:val="none"/>
        </w:rPr>
        <w:t>合同条款前附表</w:t>
      </w:r>
    </w:p>
    <w:tbl>
      <w:tblPr>
        <w:tblStyle w:val="52"/>
        <w:tblW w:w="882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8169"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合同名称</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eastAsia="zh-CN"/>
              </w:rPr>
              <w:t>国家税务总局来宾市税务局2025年物业管理服务采购项目（重）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合同编号</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spacing w:line="400" w:lineRule="exact"/>
              <w:rPr>
                <w:rFonts w:ascii="Times New Roman" w:hAnsi="Times New Roman"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合同类型</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spacing w:line="400" w:lineRule="exact"/>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定价方式</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spacing w:line="40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甲方名称</w:t>
            </w:r>
          </w:p>
        </w:tc>
        <w:tc>
          <w:tcPr>
            <w:tcW w:w="6260"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国家税务总局来宾市税务局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甲方地址</w:t>
            </w:r>
          </w:p>
        </w:tc>
        <w:tc>
          <w:tcPr>
            <w:tcW w:w="626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广西来宾市兴宾区人民路西309号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甲方采购部门</w:t>
            </w:r>
          </w:p>
        </w:tc>
        <w:tc>
          <w:tcPr>
            <w:tcW w:w="626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联系人</w:t>
            </w:r>
          </w:p>
        </w:tc>
        <w:tc>
          <w:tcPr>
            <w:tcW w:w="6260"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联系电话</w:t>
            </w:r>
          </w:p>
        </w:tc>
        <w:tc>
          <w:tcPr>
            <w:tcW w:w="626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甲方需求部门</w:t>
            </w:r>
          </w:p>
        </w:tc>
        <w:tc>
          <w:tcPr>
            <w:tcW w:w="626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联系人</w:t>
            </w:r>
          </w:p>
        </w:tc>
        <w:tc>
          <w:tcPr>
            <w:tcW w:w="626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联系电话</w:t>
            </w:r>
          </w:p>
        </w:tc>
        <w:tc>
          <w:tcPr>
            <w:tcW w:w="6260"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乙方名称</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乙方企业性质</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大</w:t>
            </w:r>
            <w:r>
              <w:rPr>
                <w:rFonts w:ascii="宋体" w:hAnsi="宋体" w:eastAsia="宋体" w:cs="Times New Roman"/>
                <w:color w:val="auto"/>
                <w:szCs w:val="21"/>
                <w:highlight w:val="none"/>
              </w:rPr>
              <w:t>型企业</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中型企业</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小型企业</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微型企业    </w:t>
            </w:r>
          </w:p>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ascii="宋体" w:hAnsi="宋体" w:eastAsia="宋体" w:cs="Times New Roman"/>
                <w:color w:val="auto"/>
                <w:szCs w:val="21"/>
                <w:highlight w:val="none"/>
              </w:rPr>
              <w:sym w:font="Wingdings 2" w:char="00A3"/>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监狱企业    </w:t>
            </w: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残疾人福利性单位    </w:t>
            </w: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乙方地址</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乙方联系人</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eastAsia="宋体" w:cs="Times New Roman"/>
                <w:color w:val="auto"/>
                <w:szCs w:val="21"/>
                <w:highlight w:val="none"/>
              </w:rPr>
            </w:pPr>
            <w:r>
              <w:rPr>
                <w:rFonts w:ascii="宋体" w:hAnsi="宋体" w:eastAsia="宋体" w:cs="Times New Roman"/>
                <w:color w:val="auto"/>
                <w:szCs w:val="21"/>
                <w:highlight w:val="none"/>
              </w:rPr>
              <w:t>联系电话/传真</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Times New Roman" w:hAnsi="Times New Roman" w:eastAsia="宋体" w:cs="Times New Roman"/>
                <w:color w:val="auto"/>
                <w:szCs w:val="21"/>
                <w:highlight w:val="none"/>
              </w:rPr>
            </w:pPr>
            <w:r>
              <w:rPr>
                <w:rFonts w:ascii="宋体" w:hAnsi="宋体" w:eastAsia="宋体" w:cs="Times New Roman"/>
                <w:color w:val="auto"/>
                <w:szCs w:val="21"/>
                <w:highlight w:val="none"/>
              </w:rPr>
              <w:t>开户银行名称</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rPr>
                <w:rFonts w:ascii="Times New Roman" w:hAnsi="Times New Roman" w:eastAsia="宋体" w:cs="Times New Roman"/>
                <w:color w:val="auto"/>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380" w:lineRule="exact"/>
              <w:jc w:val="center"/>
              <w:rPr>
                <w:rFonts w:ascii="Times New Roman" w:hAnsi="Times New Roman" w:eastAsia="宋体" w:cs="Times New Roman"/>
                <w:color w:val="auto"/>
                <w:szCs w:val="21"/>
                <w:highlight w:val="none"/>
              </w:rPr>
            </w:pPr>
            <w:r>
              <w:rPr>
                <w:rFonts w:ascii="宋体" w:hAnsi="宋体" w:eastAsia="宋体" w:cs="Times New Roman"/>
                <w:color w:val="auto"/>
                <w:szCs w:val="21"/>
                <w:highlight w:val="none"/>
              </w:rPr>
              <w:t>银行账号</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合同金额</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人民币</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元整（¥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服务内容</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详见招标文件采购需求。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合同付款</w:t>
            </w:r>
          </w:p>
        </w:tc>
        <w:tc>
          <w:tcPr>
            <w:tcW w:w="6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合同以人民币结算，付款方式：</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1.甲方采取每月定期（详见附件1《来宾市税务局物业管理服务__月份定期考核评分表》）及不定期（详见附件2《来宾市税务局物业管理服务日常考核检查情况表》）方式对乙方进行考核。</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2.甲方按月对乙方物业服务工作进行综合考核，考核结论分为“优”“良”“中”“差”4档，其中：“优”为总分 95 分（含 95 分）以上，“良”为总分 90 分（含 90 分）-95 分（不含 95 分），“中”为总分 85 分（含 85 分）-90分（不含 90分），“差”为总分85 分（不含 85 分）以下。</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综合考核评定结果为“优”的，不扣所属月份的物业服务费用；综合考核评定结果为“良”的，扣应付物业服务费的 1%（取整到元）；综合考核评定结果为“中”的，扣应付物业服务费的 2%（取整到元）；综合考核评定结果为“差”的，扣应付物业服务费的 5%（取整到元）。累计三次考核结论为“差”，或由于乙方责任，在合同履行期间发生安全责任事故造成人员或财产损失的，甲方有权单方面解除合同。</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3.甲方对乙方的服务质量不定期抽查，检查记录经双方签字确认后保存在甲方处。甲方有权根据检查结果，按附件2《来宾市税务局物业管理服务日常考核检查情况表》对乙方实施扣款，并下达书面整改通知责令乙方限期整改。乙方应派人参加每月考核，甲方发现问题则当场告知。乙方应根据考核发现问题，自甲方当场告知后5个工作日内提出整改意见，及时落实整改。</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4.服务费用按月结算。考核结果经甲方、乙方双方确认后的10个工作日内，乙方根据考核结果将请款函以及同等金额、合法有效的增值税发票提交给甲方，甲方在收到付款申请、合格发票后10个工作日内支付上月物业服务费到合同约定的中标供应商账户；甲方未收到付款申请及合格发票的，有权不予支付相应款项，并不承担延迟付款责任。</w:t>
            </w:r>
          </w:p>
          <w:p>
            <w:pPr>
              <w:adjustRightInd w:val="0"/>
              <w:snapToGrid w:val="0"/>
              <w:spacing w:line="400" w:lineRule="exact"/>
              <w:jc w:val="left"/>
              <w:rPr>
                <w:rFonts w:ascii="Times New Roman" w:hAnsi="Times New Roman" w:eastAsia="方正大标宋简体" w:cs="Times New Roman"/>
                <w:color w:val="auto"/>
                <w:szCs w:val="21"/>
                <w:highlight w:val="none"/>
              </w:rPr>
            </w:pPr>
            <w:r>
              <w:rPr>
                <w:rFonts w:hint="eastAsia" w:ascii="宋体" w:hAnsi="宋体" w:cs="Calibri"/>
                <w:color w:val="auto"/>
                <w:szCs w:val="21"/>
                <w:highlight w:val="none"/>
              </w:rPr>
              <w:t>当月实际支付物业服务费=应付上月物业服务费-上月定期考核扣款-未支付的不定期考核扣款。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履约保证金及返还</w:t>
            </w:r>
          </w:p>
        </w:tc>
        <w:tc>
          <w:tcPr>
            <w:tcW w:w="6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Times New Roman"/>
                <w:color w:val="auto"/>
                <w:szCs w:val="21"/>
                <w:highlight w:val="none"/>
              </w:rPr>
            </w:pPr>
            <w:r>
              <w:rPr>
                <w:rFonts w:hint="eastAsia" w:ascii="宋体" w:hAnsi="宋体"/>
                <w:color w:val="auto"/>
                <w:highlight w:val="none"/>
              </w:rPr>
              <w:t>☑</w:t>
            </w:r>
            <w:r>
              <w:rPr>
                <w:rFonts w:hint="eastAsia" w:ascii="宋体" w:hAnsi="宋体" w:eastAsia="宋体" w:cs="Times New Roman"/>
                <w:color w:val="auto"/>
                <w:szCs w:val="21"/>
                <w:highlight w:val="none"/>
              </w:rPr>
              <w:t>不要求提供</w:t>
            </w:r>
          </w:p>
          <w:p>
            <w:pPr>
              <w:adjustRightInd w:val="0"/>
              <w:snapToGrid w:val="0"/>
              <w:spacing w:line="400" w:lineRule="exact"/>
              <w:jc w:val="left"/>
              <w:rPr>
                <w:rFonts w:hint="eastAsia" w:ascii="Calibri" w:hAnsi="宋体" w:eastAsia="宋体" w:cs="Times New Roman"/>
                <w:color w:val="auto"/>
                <w:szCs w:val="24"/>
                <w:highlight w:val="none"/>
              </w:rPr>
            </w:pPr>
            <w:r>
              <w:rPr>
                <w:rFonts w:hint="eastAsia" w:ascii="宋体" w:hAnsi="宋体" w:eastAsia="宋体" w:cs="Times New Roman"/>
                <w:color w:val="auto"/>
                <w:szCs w:val="21"/>
                <w:highlight w:val="none"/>
              </w:rPr>
              <w:sym w:font="Wingdings 2" w:char="00A3"/>
            </w:r>
            <w:r>
              <w:rPr>
                <w:rFonts w:hint="eastAsia" w:ascii="宋体" w:hAnsi="宋体" w:eastAsia="宋体" w:cs="Times New Roman"/>
                <w:color w:val="auto"/>
                <w:szCs w:val="21"/>
                <w:highlight w:val="none"/>
              </w:rPr>
              <w:t>要求提供，要求提供，履约保证金的数额不得超过采购合同金额的10%，本项目履约保证金为</w:t>
            </w:r>
            <w:r>
              <w:rPr>
                <w:rFonts w:hint="eastAsia" w:ascii="Calibri" w:hAnsi="宋体" w:eastAsia="宋体" w:cs="Times New Roman"/>
                <w:color w:val="auto"/>
                <w:szCs w:val="24"/>
                <w:highlight w:val="none"/>
                <w:u w:val="single"/>
              </w:rPr>
              <w:t xml:space="preserve"> /</w:t>
            </w:r>
            <w:r>
              <w:rPr>
                <w:rFonts w:ascii="Calibri" w:hAnsi="宋体" w:eastAsia="宋体" w:cs="Times New Roman"/>
                <w:color w:val="auto"/>
                <w:szCs w:val="24"/>
                <w:highlight w:val="none"/>
                <w:u w:val="single"/>
              </w:rPr>
              <w:t xml:space="preserve"> </w:t>
            </w:r>
            <w:r>
              <w:rPr>
                <w:rFonts w:ascii="Calibri" w:hAnsi="宋体" w:eastAsia="宋体" w:cs="Times New Roman"/>
                <w:color w:val="auto"/>
                <w:szCs w:val="24"/>
                <w:highlight w:val="none"/>
              </w:rPr>
              <w:t xml:space="preserve">  </w:t>
            </w:r>
            <w:r>
              <w:rPr>
                <w:rFonts w:hint="eastAsia" w:ascii="Calibri" w:hAnsi="宋体" w:eastAsia="宋体" w:cs="Times New Roman"/>
                <w:color w:val="auto"/>
                <w:szCs w:val="24"/>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adjustRightInd w:val="0"/>
              <w:snapToGrid w:val="0"/>
              <w:spacing w:line="400" w:lineRule="exact"/>
              <w:jc w:val="left"/>
              <w:rPr>
                <w:rFonts w:hint="eastAsia" w:ascii="Calibri" w:hAnsi="宋体" w:eastAsia="宋体" w:cs="Times New Roman"/>
                <w:color w:val="auto"/>
                <w:szCs w:val="24"/>
                <w:highlight w:val="none"/>
              </w:rPr>
            </w:pPr>
            <w:r>
              <w:rPr>
                <w:rFonts w:hint="eastAsia" w:ascii="Calibri" w:hAnsi="宋体" w:eastAsia="宋体" w:cs="Times New Roman"/>
                <w:color w:val="auto"/>
                <w:szCs w:val="24"/>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adjustRightInd w:val="0"/>
              <w:snapToGrid w:val="0"/>
              <w:spacing w:line="400" w:lineRule="exact"/>
              <w:jc w:val="left"/>
              <w:rPr>
                <w:rFonts w:hint="eastAsia" w:ascii="宋体" w:hAnsi="宋体" w:eastAsia="宋体" w:cs="Times New Roman"/>
                <w:color w:val="auto"/>
                <w:szCs w:val="21"/>
                <w:highlight w:val="none"/>
              </w:rPr>
            </w:pPr>
            <w:r>
              <w:rPr>
                <w:rFonts w:hint="eastAsia" w:ascii="Calibri" w:hAnsi="宋体" w:eastAsia="宋体" w:cs="Times New Roman"/>
                <w:color w:val="auto"/>
                <w:szCs w:val="24"/>
                <w:highlight w:val="none"/>
              </w:rPr>
              <w:t>满足履约保证金返还条件且双方对核实结果无异议的，自完成核实之日起30日内，甲方根据项目验收意见扣除应扣除的款项（如有）后，原路无息返还履约保证金。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合同履行期限</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服务时间、履行期：</w:t>
            </w:r>
            <w:r>
              <w:rPr>
                <w:rFonts w:hint="eastAsia" w:ascii="Times New Roman" w:hAnsi="Times New Roman" w:eastAsia="宋体" w:cs="Times New Roman"/>
                <w:color w:val="auto"/>
                <w:szCs w:val="21"/>
                <w:highlight w:val="none"/>
                <w:u w:val="single"/>
              </w:rPr>
              <w:t>2</w:t>
            </w:r>
            <w:r>
              <w:rPr>
                <w:rFonts w:hint="eastAsia" w:ascii="Times New Roman" w:hAnsi="Times New Roman" w:eastAsia="宋体" w:cs="Times New Roman"/>
                <w:color w:val="auto"/>
                <w:szCs w:val="21"/>
                <w:highlight w:val="none"/>
              </w:rPr>
              <w:t>年（24个月）实施完毕，具体时间从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     月</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日起至 </w:t>
            </w:r>
            <w:r>
              <w:rPr>
                <w:rFonts w:hint="eastAsia" w:ascii="Times New Roman" w:hAnsi="Times New Roman" w:eastAsia="宋体" w:cs="Times New Roman"/>
                <w:color w:val="auto"/>
                <w:szCs w:val="21"/>
                <w:highlight w:val="none"/>
                <w:u w:val="single"/>
              </w:rPr>
              <w:t xml:space="preserve">    年     月     </w:t>
            </w:r>
            <w:r>
              <w:rPr>
                <w:rFonts w:hint="eastAsia" w:ascii="Times New Roman" w:hAnsi="Times New Roman" w:eastAsia="宋体" w:cs="Times New Roman"/>
                <w:color w:val="auto"/>
                <w:szCs w:val="21"/>
                <w:highlight w:val="none"/>
              </w:rPr>
              <w:t>日止。</w:t>
            </w:r>
          </w:p>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期满，如甲方要求乙方继续提供本合同服务的，顺延至新的中标（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宋体" w:hAnsi="宋体" w:eastAsia="宋体" w:cs="Times New Roman"/>
                <w:color w:val="auto"/>
                <w:szCs w:val="21"/>
                <w:highlight w:val="none"/>
              </w:rPr>
              <w:t>合同履约地点</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广西来宾市兴宾区人民路西309号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合同纠纷解决方式</w:t>
            </w:r>
          </w:p>
        </w:tc>
        <w:tc>
          <w:tcPr>
            <w:tcW w:w="626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spacing w:line="400" w:lineRule="exac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甲乙双方应首先通过友好协商解决在执行本合同中所发生的或与本合同有关的一切争端。如协商不能解决，可以选择以下途径之一解决纠纷：</w:t>
            </w:r>
          </w:p>
          <w:p>
            <w:pPr>
              <w:tabs>
                <w:tab w:val="left" w:pos="700"/>
              </w:tabs>
              <w:adjustRightInd w:val="0"/>
              <w:snapToGrid w:val="0"/>
              <w:spacing w:line="400" w:lineRule="exac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sym w:font="Wingdings 2" w:char="00A3"/>
            </w:r>
            <w:r>
              <w:rPr>
                <w:rFonts w:ascii="宋体" w:hAnsi="宋体" w:eastAsia="宋体" w:cs="Times New Roman"/>
                <w:color w:val="auto"/>
                <w:szCs w:val="21"/>
                <w:highlight w:val="none"/>
              </w:rPr>
              <w:t>向甲方所在地仲裁委员会申请仲裁</w:t>
            </w:r>
          </w:p>
          <w:p>
            <w:pPr>
              <w:tabs>
                <w:tab w:val="left" w:pos="700"/>
              </w:tabs>
              <w:adjustRightInd w:val="0"/>
              <w:snapToGrid w:val="0"/>
              <w:spacing w:line="400" w:lineRule="exact"/>
              <w:rPr>
                <w:rFonts w:hint="eastAsia" w:ascii="宋体" w:hAnsi="宋体" w:eastAsia="宋体" w:cs="Times New Roman"/>
                <w:color w:val="auto"/>
                <w:szCs w:val="21"/>
                <w:highlight w:val="none"/>
              </w:rPr>
            </w:pPr>
            <w:r>
              <w:rPr>
                <w:rFonts w:ascii="Wingdings" w:hAnsi="Wingdings" w:eastAsia="宋体" w:cs="Wingdings"/>
                <w:color w:val="auto"/>
                <w:kern w:val="0"/>
                <w:szCs w:val="21"/>
                <w:highlight w:val="none"/>
              </w:rPr>
              <w:sym w:font="Wingdings" w:char="00FE"/>
            </w:r>
            <w:r>
              <w:rPr>
                <w:rFonts w:ascii="宋体" w:hAnsi="宋体" w:eastAsia="宋体" w:cs="Times New Roman"/>
                <w:color w:val="auto"/>
                <w:szCs w:val="21"/>
                <w:highlight w:val="none"/>
              </w:rPr>
              <w:t>向甲方所在地人民法院提起诉讼</w:t>
            </w:r>
          </w:p>
        </w:tc>
      </w:tr>
    </w:tbl>
    <w:p>
      <w:pPr>
        <w:tabs>
          <w:tab w:val="left" w:pos="700"/>
        </w:tabs>
        <w:topLinePunct/>
        <w:autoSpaceDE w:val="0"/>
        <w:autoSpaceDN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p>
    <w:p>
      <w:pPr>
        <w:tabs>
          <w:tab w:val="left" w:pos="0"/>
        </w:tabs>
        <w:topLinePunct/>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合  同 </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国家税务总局来宾市税务局</w:t>
      </w:r>
      <w:r>
        <w:rPr>
          <w:rFonts w:ascii="Times New Roman" w:hAnsi="Times New Roman" w:eastAsia="宋体" w:cs="Times New Roman"/>
          <w:color w:val="auto"/>
          <w:szCs w:val="21"/>
          <w:highlight w:val="none"/>
        </w:rPr>
        <w:t>（以下简称“甲方”）通过</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公开招标 </w:t>
      </w:r>
      <w:r>
        <w:rPr>
          <w:rFonts w:hint="eastAsia" w:ascii="Times New Roman" w:hAnsi="Times New Roman" w:eastAsia="宋体" w:cs="Times New Roman"/>
          <w:color w:val="auto"/>
          <w:szCs w:val="21"/>
          <w:highlight w:val="none"/>
        </w:rPr>
        <w:t>方</w:t>
      </w:r>
      <w:r>
        <w:rPr>
          <w:rFonts w:ascii="Times New Roman" w:hAnsi="Times New Roman" w:eastAsia="宋体" w:cs="Times New Roman"/>
          <w:color w:val="auto"/>
          <w:szCs w:val="21"/>
          <w:highlight w:val="none"/>
        </w:rPr>
        <w:t>式采购，确定______公司（以下简称“乙方”）为《</w:t>
      </w:r>
      <w:r>
        <w:rPr>
          <w:rFonts w:hint="eastAsia" w:ascii="宋体" w:hAnsi="宋体" w:eastAsia="宋体" w:cs="宋体"/>
          <w:color w:val="auto"/>
          <w:szCs w:val="21"/>
          <w:highlight w:val="none"/>
          <w:u w:val="single"/>
          <w:lang w:eastAsia="zh-CN"/>
        </w:rPr>
        <w:t>国家税务总局来宾市税务局2025年物业管理服务采购项目（重）</w:t>
      </w:r>
      <w:r>
        <w:rPr>
          <w:rFonts w:ascii="Times New Roman" w:hAnsi="Times New Roman" w:eastAsia="宋体" w:cs="Times New Roman"/>
          <w:color w:val="auto"/>
          <w:szCs w:val="21"/>
          <w:highlight w:val="none"/>
        </w:rPr>
        <w:t>》中标（成交</w:t>
      </w:r>
      <w:r>
        <w:rPr>
          <w:rFonts w:hint="eastAsia" w:ascii="宋体" w:hAnsi="宋体" w:eastAsia="宋体" w:cs="宋体"/>
          <w:color w:val="auto"/>
          <w:szCs w:val="21"/>
          <w:highlight w:val="none"/>
        </w:rPr>
        <w:t>）供应商。甲乙双方同意按照该项目招标（采购）文件约定的内容，签署《</w:t>
      </w:r>
      <w:r>
        <w:rPr>
          <w:rFonts w:hint="eastAsia" w:ascii="宋体" w:hAnsi="宋体" w:eastAsia="宋体" w:cs="宋体"/>
          <w:color w:val="auto"/>
          <w:szCs w:val="21"/>
          <w:highlight w:val="none"/>
          <w:u w:val="single"/>
          <w:lang w:eastAsia="zh-CN"/>
        </w:rPr>
        <w:t>国家税务总局来宾市税务局2025年物业管理服务采购项目（重）</w:t>
      </w:r>
      <w:r>
        <w:rPr>
          <w:rFonts w:ascii="Times New Roman" w:hAnsi="Times New Roman" w:eastAsia="宋体" w:cs="Times New Roman"/>
          <w:color w:val="auto"/>
          <w:szCs w:val="21"/>
          <w:highlight w:val="none"/>
          <w:u w:val="single"/>
        </w:rPr>
        <w:t>合同书</w:t>
      </w:r>
      <w:r>
        <w:rPr>
          <w:rFonts w:ascii="Times New Roman" w:hAnsi="Times New Roman" w:eastAsia="宋体" w:cs="Times New Roman"/>
          <w:color w:val="auto"/>
          <w:szCs w:val="21"/>
          <w:highlight w:val="none"/>
        </w:rPr>
        <w:t>》（合同编号：</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，以下简称“合同”)。</w:t>
      </w:r>
    </w:p>
    <w:p>
      <w:pPr>
        <w:topLinePunct/>
        <w:autoSpaceDE w:val="0"/>
        <w:autoSpaceDN w:val="0"/>
        <w:snapToGrid w:val="0"/>
        <w:spacing w:line="360" w:lineRule="auto"/>
        <w:ind w:left="482"/>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 合同文件</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采购（项目）需求、招标（采购）文件规定的合同条款；</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（2）报价表（总报价表和分项报价表）；</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（3）投标文件技术部分和商务部分；</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（4）投标文件技术力量一览表</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）招标（采购）文件</w:t>
      </w:r>
      <w:r>
        <w:rPr>
          <w:rFonts w:hint="eastAsia" w:ascii="Times New Roman" w:hAnsi="Times New Roman" w:eastAsia="宋体" w:cs="Times New Roman"/>
          <w:color w:val="auto"/>
          <w:szCs w:val="21"/>
          <w:highlight w:val="none"/>
        </w:rPr>
        <w:t>（另附）</w:t>
      </w:r>
      <w:r>
        <w:rPr>
          <w:rFonts w:ascii="Times New Roman" w:hAnsi="Times New Roman" w:eastAsia="宋体" w:cs="Times New Roman"/>
          <w:color w:val="auto"/>
          <w:szCs w:val="21"/>
          <w:highlight w:val="none"/>
        </w:rPr>
        <w:t>；</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）投标（响应）文件</w:t>
      </w:r>
      <w:r>
        <w:rPr>
          <w:rFonts w:hint="eastAsia" w:ascii="Times New Roman" w:hAnsi="Times New Roman" w:eastAsia="宋体" w:cs="Times New Roman"/>
          <w:color w:val="auto"/>
          <w:szCs w:val="21"/>
          <w:highlight w:val="none"/>
        </w:rPr>
        <w:t>（另附）；</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（7）甲、乙双方商定确认后的补充协议；</w:t>
      </w:r>
    </w:p>
    <w:p>
      <w:pPr>
        <w:tabs>
          <w:tab w:val="left" w:pos="700"/>
        </w:tabs>
        <w:topLinePunct/>
        <w:autoSpaceDE w:val="0"/>
        <w:autoSpaceDN w:val="0"/>
        <w:snapToGrid w:val="0"/>
        <w:spacing w:line="360" w:lineRule="auto"/>
        <w:ind w:firstLine="420" w:firstLineChars="200"/>
        <w:rPr>
          <w:color w:val="auto"/>
          <w:highlight w:val="none"/>
        </w:rPr>
      </w:pPr>
      <w:r>
        <w:rPr>
          <w:rFonts w:hint="eastAsia" w:ascii="Times New Roman" w:hAnsi="Times New Roman" w:eastAsia="宋体" w:cs="Times New Roman"/>
          <w:color w:val="auto"/>
          <w:szCs w:val="21"/>
          <w:highlight w:val="none"/>
        </w:rPr>
        <w:t>（8）其他</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根据实际情况需要增加的内容</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w:t>
      </w:r>
    </w:p>
    <w:p>
      <w:pPr>
        <w:topLinePunct/>
        <w:autoSpaceDE w:val="0"/>
        <w:autoSpaceDN w:val="0"/>
        <w:snapToGrid w:val="0"/>
        <w:spacing w:line="360" w:lineRule="auto"/>
        <w:ind w:left="482"/>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 合同范围和条件</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 合同金额</w:t>
      </w:r>
    </w:p>
    <w:p>
      <w:pPr>
        <w:tabs>
          <w:tab w:val="left" w:pos="700"/>
        </w:tabs>
        <w:topLinePunct/>
        <w:autoSpaceDE w:val="0"/>
        <w:autoSpaceDN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本合同总金额为人民币</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元整（¥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）。本项目</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个月为1个服务</w:t>
      </w:r>
      <w:r>
        <w:rPr>
          <w:rFonts w:ascii="Times New Roman" w:hAnsi="Times New Roman" w:eastAsia="宋体" w:cs="Times New Roman"/>
          <w:color w:val="auto"/>
          <w:szCs w:val="21"/>
          <w:highlight w:val="none"/>
        </w:rPr>
        <w:t>周期，每个服务周期合同金额为人民币</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元整（¥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w:t>
      </w:r>
    </w:p>
    <w:p>
      <w:pPr>
        <w:tabs>
          <w:tab w:val="left" w:pos="700"/>
        </w:tabs>
        <w:topLinePunct/>
        <w:autoSpaceDE w:val="0"/>
        <w:autoSpaceDN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lang w:val="en"/>
        </w:rPr>
        <w:t>4.</w:t>
      </w:r>
      <w:r>
        <w:rPr>
          <w:rFonts w:ascii="Times New Roman" w:hAnsi="Times New Roman" w:eastAsia="宋体" w:cs="Times New Roman"/>
          <w:b/>
          <w:color w:val="auto"/>
          <w:szCs w:val="21"/>
          <w:highlight w:val="none"/>
        </w:rPr>
        <w:t>付款条件</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合同以人民币结算，付款方式：</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1.甲方采取每月定期（详见附件1《来宾市税务局物业管理服务__月份定期考核评分表》）及不定期（详见附件2《来宾市税务局物业管理服务日常考核检查情况表》）方式对乙方进行考核。</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2.甲方按月对乙方物业服务工作进行综合考核，考核结论分为“优”“良”“中”“差”4档，其中：“优”为总分 95 分（含 95 分）以上，“良”为总分 90 分（含 90 分）-95 分（不含 95 分），“中”为总分 85 分（含 85 分）-90分（不含 90分），“差”为总分85 分（不含 85 分）以下。</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综合考核评定结果为“优”的，不扣所属月份的物业服务费用；综合考核评定结果为“良”的，扣应付物业服务费的 1%（取整到元）；综合考核评定结果为“中”的，扣应付物业服务费的 2%（取整到元）；综合考核评定结果为“差”的，扣应付物业服务费的 5%（取整到元）。累计三次考核结论为“差”，或由于乙方责任，在合同履行期间发生安全责任事故造成人员或财产损失的，甲方有权单方面解除合同。</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的服务质量不定期抽查，检查记录经双方签字确认后保存在甲方处。甲方有权根据检查结果，按附件2《来宾市税务局物业管理服务日常考核检查情况表》对乙方实施扣款，并下达书面整改通知责令乙方限期整改。乙方应派人参加每月考核，甲方发现问题则当场告知。乙方应根据考核发现问题，自甲方当场告知后5个工作日内提出整改意见，及时落实整改。</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费用按月结算。考核结果经甲方、乙方双方确认后的10个工作日内，乙方根据考核结果将请款函以及同等金额、合法有效的增值税发票提交给甲方，甲方在收到付款申请、合格发票后10个工作日内支付上月物业服务费到合同约定的中标供应商账户；甲方未收到付款申请及合格发票的，有权不予支付相应款项，并不承担延迟付款责任。</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当月实际支付物业服务费=应付上月物业服务费-上月定期考核扣款-未支付的不定期考核扣款。</w:t>
      </w:r>
    </w:p>
    <w:p>
      <w:pPr>
        <w:topLinePunct/>
        <w:autoSpaceDE w:val="0"/>
        <w:autoSpaceDN w:val="0"/>
        <w:snapToGrid w:val="0"/>
        <w:spacing w:line="360" w:lineRule="auto"/>
        <w:ind w:left="482"/>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 合同签订及生效</w:t>
      </w:r>
    </w:p>
    <w:p>
      <w:pPr>
        <w:tabs>
          <w:tab w:val="left" w:pos="700"/>
        </w:tabs>
        <w:topLinePunct/>
        <w:autoSpaceDE w:val="0"/>
        <w:autoSpaceDN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七份，具有同等法律效力，甲方四份，乙方二份，采购代理机构一份，应在甲方收到乙方提供的履约保证金（如有），由甲乙双方法定代表人或被授权人签字并盖章后生效。乙方由法定代表人签订合同的，应提供法定代表人身份证复印件；乙方由被授权人签订合同的，应提供授权委托书和被授权人身份证复印件。</w:t>
      </w:r>
    </w:p>
    <w:p>
      <w:pPr>
        <w:tabs>
          <w:tab w:val="left" w:pos="700"/>
        </w:tabs>
        <w:topLinePunct/>
        <w:autoSpaceDE w:val="0"/>
        <w:autoSpaceDN w:val="0"/>
        <w:spacing w:line="360" w:lineRule="auto"/>
        <w:ind w:left="3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w:t>
      </w:r>
      <w:r>
        <w:rPr>
          <w:rFonts w:hint="eastAsia" w:ascii="Times New Roman" w:hAnsi="Times New Roman" w:eastAsia="宋体" w:cs="Times New Roman"/>
          <w:color w:val="auto"/>
          <w:szCs w:val="21"/>
          <w:highlight w:val="none"/>
        </w:rPr>
        <w:t>国家税务总局来宾市税务局</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乙方：</w:t>
      </w:r>
    </w:p>
    <w:p>
      <w:pPr>
        <w:tabs>
          <w:tab w:val="left" w:pos="700"/>
        </w:tabs>
        <w:topLinePunct/>
        <w:autoSpaceDE w:val="0"/>
        <w:autoSpaceDN w:val="0"/>
        <w:spacing w:line="360" w:lineRule="auto"/>
        <w:ind w:left="3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签字：                                 签字：</w:t>
      </w:r>
    </w:p>
    <w:p>
      <w:pPr>
        <w:tabs>
          <w:tab w:val="left" w:pos="700"/>
        </w:tabs>
        <w:topLinePunct/>
        <w:autoSpaceDE w:val="0"/>
        <w:autoSpaceDN w:val="0"/>
        <w:spacing w:line="360" w:lineRule="auto"/>
        <w:ind w:left="3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盖章：                                 盖章： </w:t>
      </w:r>
    </w:p>
    <w:p>
      <w:pPr>
        <w:tabs>
          <w:tab w:val="left" w:pos="700"/>
        </w:tabs>
        <w:topLinePunct/>
        <w:autoSpaceDE w:val="0"/>
        <w:autoSpaceDN w:val="0"/>
        <w:spacing w:line="360" w:lineRule="auto"/>
        <w:ind w:left="3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    年    月    日               日期：     年   月   日</w:t>
      </w:r>
    </w:p>
    <w:p>
      <w:pPr>
        <w:topLinePunct/>
        <w:autoSpaceDE w:val="0"/>
        <w:autoSpaceDN w:val="0"/>
        <w:spacing w:line="360" w:lineRule="auto"/>
        <w:rPr>
          <w:rFonts w:ascii="Times New Roman" w:hAnsi="Times New Roman" w:eastAsia="宋体" w:cs="Times New Roman"/>
          <w:b/>
          <w:color w:val="auto"/>
          <w:szCs w:val="21"/>
          <w:highlight w:val="none"/>
        </w:rPr>
      </w:pPr>
    </w:p>
    <w:p>
      <w:pPr>
        <w:topLinePunct/>
        <w:autoSpaceDE w:val="0"/>
        <w:autoSpaceDN w:val="0"/>
        <w:spacing w:line="460" w:lineRule="exact"/>
        <w:jc w:val="center"/>
        <w:rPr>
          <w:rFonts w:hint="eastAsia" w:ascii="宋体" w:hAnsi="宋体" w:eastAsia="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topLinePunct/>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   合 同 通 用 条 款</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1.1“甲方”是指</w:t>
      </w:r>
      <w:r>
        <w:rPr>
          <w:rFonts w:hint="eastAsia" w:ascii="Times New Roman" w:hAnsi="Times New Roman" w:eastAsia="宋体" w:cs="Times New Roman"/>
          <w:color w:val="auto"/>
          <w:szCs w:val="21"/>
          <w:highlight w:val="none"/>
        </w:rPr>
        <w:t>国家税务总局来宾市税务局</w:t>
      </w:r>
      <w:r>
        <w:rPr>
          <w:rFonts w:ascii="Times New Roman" w:hAnsi="Times New Roman" w:eastAsia="宋体" w:cs="Times New Roman"/>
          <w:color w:val="auto"/>
          <w:szCs w:val="21"/>
          <w:highlight w:val="none"/>
        </w:rPr>
        <w:t>。</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　“服务”是指乙方按照招标(采购)、投标(响应)文件要求，向采购人提供的服务。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　“项目现场”是指甲方指定的最终服务地点。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 “天”除非特别指出，“天”均为自然天。</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eastAsia" w:ascii="Times New Roman" w:hAnsi="Times New Roman" w:eastAsia="宋体" w:cs="Times New Roman"/>
          <w:color w:val="auto"/>
          <w:szCs w:val="21"/>
          <w:highlight w:val="none"/>
        </w:rPr>
        <w:t>服务标准：</w:t>
      </w:r>
      <w:r>
        <w:rPr>
          <w:rFonts w:ascii="Times New Roman" w:hAnsi="Times New Roman" w:eastAsia="宋体" w:cs="Times New Roman"/>
          <w:color w:val="auto"/>
          <w:szCs w:val="21"/>
          <w:highlight w:val="none"/>
        </w:rPr>
        <w:t>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除非技术要求中另有规定，计量单位均采用中华人民共和国法定计量单位。</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 服务</w:t>
      </w:r>
    </w:p>
    <w:p>
      <w:pPr>
        <w:tabs>
          <w:tab w:val="left" w:pos="700"/>
        </w:tabs>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rPr>
        <w:t>3.1 本项目的“服务</w:t>
      </w:r>
      <w:r>
        <w:rPr>
          <w:rFonts w:hint="eastAsia" w:ascii="Times New Roman" w:hAnsi="Times New Roman" w:eastAsia="宋体" w:cs="Times New Roman"/>
          <w:bCs/>
          <w:color w:val="auto"/>
          <w:szCs w:val="21"/>
          <w:highlight w:val="none"/>
        </w:rPr>
        <w:t>内容</w:t>
      </w:r>
      <w:r>
        <w:rPr>
          <w:rFonts w:ascii="Times New Roman" w:hAnsi="Times New Roman" w:eastAsia="宋体" w:cs="Times New Roman"/>
          <w:bCs/>
          <w:color w:val="auto"/>
          <w:szCs w:val="21"/>
          <w:highlight w:val="none"/>
        </w:rPr>
        <w:t>”见“合同条款前附表”第8项“服务内容”。</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  拟投入本项目的人员已进驻其他项目致使无法参与本项目实施的，乙方应当征得甲方同意后，派遣等于或优于拟投入人员水平和资质的其他人员参与本项目。</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3.3乙方应保证所提供的服务符合合同规定的要求。如不符时，乙方应负全责并尽快处理解决，由此造成的损失和相关费用由乙方负责，甲方保留终止合同及索赔的权利。</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3.4乙方应保证通过执行合同中全部方案后，可以取得本合同约定的结果，达到本合同约定的预期目标。对任何情况下出现的问题，应尽快提出解决方案。</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3.6除合同条款另行规定外，伴随服务的费用应含在合同价中，不单独进行支付。</w:t>
      </w:r>
    </w:p>
    <w:p>
      <w:pPr>
        <w:spacing w:line="360" w:lineRule="auto"/>
        <w:ind w:firstLine="420" w:firstLineChars="200"/>
        <w:rPr>
          <w:rFonts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rPr>
        <w:t>3.7</w:t>
      </w:r>
      <w:r>
        <w:rPr>
          <w:rFonts w:hint="eastAsia" w:ascii="Times New Roman" w:hAnsi="Times New Roman" w:eastAsia="宋体" w:cs="Times New Roman"/>
          <w:color w:val="auto"/>
          <w:szCs w:val="21"/>
          <w:highlight w:val="none"/>
          <w:lang w:val="zh-CN"/>
        </w:rPr>
        <w:t>除本项目服务内容，乙方投入的服务人员不得参与涉及执法权限内的工作。</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3.8乙方</w:t>
      </w:r>
      <w:r>
        <w:rPr>
          <w:rFonts w:hint="eastAsia" w:ascii="Times New Roman" w:hAnsi="Times New Roman" w:eastAsia="宋体" w:cs="Times New Roman"/>
          <w:color w:val="auto"/>
          <w:szCs w:val="21"/>
          <w:highlight w:val="none"/>
          <w:lang w:val="zh-CN"/>
        </w:rPr>
        <w:t>应承诺投入的服务人员在签订本项目合同前一年内没有在涉税中介机构兼职、任职，且在本项目合同服务期内不得投资参股企业或在企业兼职、任职。</w:t>
      </w:r>
    </w:p>
    <w:p>
      <w:pPr>
        <w:pStyle w:val="21"/>
        <w:rPr>
          <w:color w:val="auto"/>
          <w:highlight w:val="none"/>
        </w:rPr>
      </w:pP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 知识产权</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 乙方应保证所提供的服务免受第三方提出侵犯其知识产权（专利权、商标权、软件著作权、版权等）的起诉。</w:t>
      </w:r>
      <w:r>
        <w:rPr>
          <w:rFonts w:hint="eastAsia" w:ascii="Times New Roman" w:hAnsi="Times New Roman" w:eastAsia="宋体" w:cs="Times New Roman"/>
          <w:color w:val="auto"/>
          <w:szCs w:val="21"/>
          <w:highlight w:val="none"/>
        </w:rPr>
        <w:t>因侵害他人知识产权而产生的法律责任，全部由乙方承担。</w:t>
      </w:r>
    </w:p>
    <w:p>
      <w:pPr>
        <w:tabs>
          <w:tab w:val="left" w:pos="0"/>
          <w:tab w:val="left" w:pos="540"/>
        </w:tabs>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 保密条款</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 应以审慎态度避免泄漏、公开或传播甲方的信息；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在开发过程中对数据的处理方式应事先得到甲方的许可；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未经甲方书面许可，不得对有关信息进行修改、补充、复制；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未经甲方书面许可，不得将信息以任何方式（如E-mail）携带出甲方场所；</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（5） 未经甲方书面许可，不得将信息透露给任何其他人；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 严禁在提交的软件产品中设置远程维护接口和后门程序；</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 不得进行系统软硬件设备的远程维护；</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 甲方以书面形式提出的其他保密措施。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6. 履约验收要求</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6.2具体履约验收要求详见招标（采购）文件。</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7. 履约保证金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8.3 在履行合同过程中，如果乙方可能遇到妨碍按时提供服务的情况时，</w:t>
      </w:r>
      <w:r>
        <w:rPr>
          <w:rFonts w:hint="eastAsia" w:ascii="Times New Roman" w:hAnsi="Times New Roman" w:eastAsia="宋体" w:cs="Times New Roman"/>
          <w:color w:val="auto"/>
          <w:szCs w:val="21"/>
          <w:highlight w:val="none"/>
        </w:rPr>
        <w:t>乙方应在知道或应当知道延误事由后3个工作日内，</w:t>
      </w:r>
      <w:r>
        <w:rPr>
          <w:rFonts w:ascii="Times New Roman" w:hAnsi="Times New Roman" w:eastAsia="宋体" w:cs="Times New Roman"/>
          <w:color w:val="auto"/>
          <w:szCs w:val="21"/>
          <w:highlight w:val="none"/>
        </w:rPr>
        <w:t>以书面形式将拖延的事实</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可能拖延的期限和理由</w:t>
      </w:r>
      <w:r>
        <w:rPr>
          <w:rFonts w:hint="eastAsia" w:ascii="Times New Roman" w:hAnsi="Times New Roman" w:eastAsia="宋体" w:cs="Times New Roman"/>
          <w:color w:val="auto"/>
          <w:szCs w:val="21"/>
          <w:highlight w:val="none"/>
        </w:rPr>
        <w:t>、预计补救期限</w:t>
      </w:r>
      <w:r>
        <w:rPr>
          <w:rFonts w:ascii="Times New Roman" w:hAnsi="Times New Roman" w:eastAsia="宋体" w:cs="Times New Roman"/>
          <w:color w:val="auto"/>
          <w:szCs w:val="21"/>
          <w:highlight w:val="none"/>
        </w:rPr>
        <w:t>通知甲方</w:t>
      </w:r>
      <w:r>
        <w:rPr>
          <w:rFonts w:hint="eastAsia" w:ascii="Times New Roman" w:hAnsi="Times New Roman" w:eastAsia="宋体" w:cs="Times New Roman"/>
          <w:color w:val="auto"/>
          <w:szCs w:val="21"/>
          <w:highlight w:val="none"/>
        </w:rPr>
        <w:t>，否则无权主张延期</w:t>
      </w:r>
      <w:r>
        <w:rPr>
          <w:rFonts w:ascii="Times New Roman" w:hAnsi="Times New Roman" w:eastAsia="宋体" w:cs="Times New Roman"/>
          <w:color w:val="auto"/>
          <w:szCs w:val="21"/>
          <w:highlight w:val="none"/>
        </w:rPr>
        <w:t>。甲方在收到乙方通知后，</w:t>
      </w:r>
      <w:r>
        <w:rPr>
          <w:rFonts w:hint="eastAsia" w:ascii="Times New Roman" w:hAnsi="Times New Roman" w:eastAsia="宋体" w:cs="Times New Roman"/>
          <w:color w:val="auto"/>
          <w:szCs w:val="21"/>
          <w:highlight w:val="none"/>
        </w:rPr>
        <w:t>应在收到通知后5个工作日内对情况进行评估，</w:t>
      </w:r>
      <w:r>
        <w:rPr>
          <w:rFonts w:ascii="Times New Roman" w:hAnsi="Times New Roman" w:eastAsia="宋体" w:cs="Times New Roman"/>
          <w:color w:val="auto"/>
          <w:szCs w:val="21"/>
          <w:highlight w:val="none"/>
        </w:rPr>
        <w:t>并确定是否酌情延长工期以及是否收取误期违约金。</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9.1　服务缺陷的补救措施和索赔</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9.1.1  如果乙方提供的服务不符合本合同约定以及招标文件、投标文件关于服务的要求和承诺，乙方应按照甲方同意的下列一种或几种方式结合起来解决索赔事宜：</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9.1.1.1  乙方同意将服务款项退还给甲方，由此发生的一切费用和损失由乙方承担。如甲方以适当的条件和方法购买与未履约标的相类似的服务，乙方应负担新购买类似服务所超出的费用。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9.1.1.2  根据服务的质量状况以及甲方所遭受的损失，经过甲乙双方商定降低服务的价格。</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9.2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9.3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9.4除应支付甲方违约金等外，甲方有权根据合同或有关部门出具的检验证书向乙方提出索赔。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9.5如果乙方对差异负有责任而甲方提出索赔，乙方同意按照下列方式解决索赔事宜：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如果在甲方发出索赔通知后10日内，乙方未作书面答复，上述索赔应视为已被乙方接受。如乙方未能在甲方发出索赔通知后10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9.6对于本协议未约定的、招标（采购）文件（技术部分）中约定的违约处理条款，按招标（采购）文件（技术部分）相关约定执行；对本协议与招标（采购）文件（技术部分）约定不同的违约处理条款，以本协议约定为准。</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w:t>
      </w:r>
      <w:r>
        <w:rPr>
          <w:rFonts w:hint="eastAsia" w:ascii="Times New Roman" w:hAnsi="Times New Roman" w:eastAsia="宋体" w:cs="Times New Roman"/>
          <w:color w:val="auto"/>
          <w:szCs w:val="21"/>
          <w:highlight w:val="none"/>
        </w:rPr>
        <w:t>　乙方迟延履约或逾期履行其他合同义务的违约责任</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9.7.1</w:t>
      </w:r>
      <w:r>
        <w:rPr>
          <w:rFonts w:hint="eastAsia" w:ascii="Times New Roman" w:hAnsi="Times New Roman" w:eastAsia="宋体" w:cs="Times New Roman"/>
          <w:color w:val="auto"/>
          <w:szCs w:val="21"/>
          <w:highlight w:val="none"/>
        </w:rPr>
        <w:t>乙方应按照本合同规定的时间、地点提供服务。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9.7.2</w:t>
      </w:r>
      <w:r>
        <w:rPr>
          <w:rFonts w:hint="eastAsia" w:ascii="Times New Roman" w:hAnsi="Times New Roman" w:eastAsia="宋体" w:cs="Times New Roman"/>
          <w:color w:val="auto"/>
          <w:szCs w:val="21"/>
          <w:highlight w:val="none"/>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w:t>
      </w:r>
      <w:r>
        <w:rPr>
          <w:rFonts w:hint="eastAsia" w:ascii="Times New Roman" w:hAnsi="Times New Roman" w:eastAsia="宋体" w:cs="Times New Roman"/>
          <w:color w:val="auto"/>
          <w:szCs w:val="21"/>
          <w:highlight w:val="none"/>
        </w:rPr>
        <w:t>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9.7.4</w:t>
      </w:r>
      <w:r>
        <w:rPr>
          <w:rFonts w:hint="eastAsia" w:ascii="Times New Roman" w:hAnsi="Times New Roman" w:eastAsia="宋体" w:cs="Times New Roman"/>
          <w:color w:val="auto"/>
          <w:szCs w:val="21"/>
          <w:highlight w:val="none"/>
        </w:rPr>
        <w:t>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w:t>
      </w:r>
      <w:r>
        <w:rPr>
          <w:rFonts w:hint="eastAsia" w:ascii="Times New Roman" w:hAnsi="Times New Roman" w:eastAsia="宋体" w:cs="Times New Roman"/>
          <w:color w:val="auto"/>
          <w:szCs w:val="21"/>
          <w:highlight w:val="none"/>
        </w:rPr>
        <w:t>未履行合同义务的违约责任</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9.8.1</w:t>
      </w:r>
      <w:r>
        <w:rPr>
          <w:rFonts w:hint="eastAsia" w:ascii="Times New Roman" w:hAnsi="Times New Roman" w:eastAsia="宋体" w:cs="Times New Roman"/>
          <w:color w:val="auto"/>
          <w:szCs w:val="21"/>
          <w:highlight w:val="none"/>
        </w:rPr>
        <w:t>守约方有权解除全部或部分合同。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9.8.2</w:t>
      </w:r>
      <w:r>
        <w:rPr>
          <w:rFonts w:hint="eastAsia" w:ascii="Times New Roman" w:hAnsi="Times New Roman" w:eastAsia="宋体" w:cs="Times New Roman"/>
          <w:color w:val="auto"/>
          <w:szCs w:val="21"/>
          <w:highlight w:val="none"/>
        </w:rPr>
        <w:t>不予退还全额履约保证金。</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w:t>
      </w:r>
      <w:r>
        <w:rPr>
          <w:rFonts w:hint="eastAsia" w:ascii="Times New Roman" w:hAnsi="Times New Roman" w:eastAsia="宋体" w:cs="Times New Roman"/>
          <w:color w:val="auto"/>
          <w:szCs w:val="21"/>
          <w:highlight w:val="none"/>
        </w:rPr>
        <w:t>3违约金不足以弥补守约方实际损失、可预见或者应当预见的损失，由违约方全额予以赔偿。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9.9</w:t>
      </w:r>
      <w:r>
        <w:rPr>
          <w:rFonts w:hint="eastAsia" w:ascii="Times New Roman" w:hAnsi="Times New Roman" w:eastAsia="宋体" w:cs="Times New Roman"/>
          <w:color w:val="auto"/>
          <w:szCs w:val="21"/>
          <w:highlight w:val="none"/>
        </w:rPr>
        <w:t>任一方违约，守约方因此支付的争议处理费用，包括但不限于诉讼费、律师费、鉴定费、调查费、公证费、诉讼财产保全责任保险费等均由违约方承担。</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10. 不可抗力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10.2</w:t>
      </w:r>
      <w:r>
        <w:rPr>
          <w:rFonts w:hint="eastAsia" w:ascii="Times New Roman" w:hAnsi="Times New Roman" w:eastAsia="宋体" w:cs="Times New Roman"/>
          <w:color w:val="auto"/>
          <w:szCs w:val="21"/>
          <w:highlight w:val="none"/>
        </w:rPr>
        <w:t>如果合同双方因不可抗力而导致合同实施延误或合同无法实施，</w:t>
      </w:r>
      <w:r>
        <w:rPr>
          <w:rFonts w:ascii="Times New Roman" w:hAnsi="Times New Roman" w:eastAsia="宋体" w:cs="Times New Roman"/>
          <w:color w:val="auto"/>
          <w:szCs w:val="21"/>
          <w:highlight w:val="none"/>
        </w:rPr>
        <w:t>不应承担误期赔偿或终止合同的责任。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11. 争端的解决</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11.1 甲乙双方应首先通过友好协商解决在执行本合同中所发生的或与本合同有关的一切争端。如协商开始30天内仍不能解决，可以按“合同条款前附表”第13项“合同纠纷解决方式”提起仲裁或诉讼。</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11.2.1诉讼应向甲方所在地人民法院提起诉讼。</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11.2.2诉讼费除人民法院另有判决外，应由败诉方负担。除诉讼费外，胜诉方因维权支付的合理费用（包括律师费、鉴定费、差旅费等）由败诉方承担。</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11.2.3在诉讼期间，除正在进行诉讼部分外，本合同的其它部分应继续执行。</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12.1 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12.2.1 乙方不履行合同义务或者履行合同义务不符合合同约定累计达3次的；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12.2.5 乙方不能满足本项目技术需求的管理要求和规范，且经3次整改无明显改进的；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12.2.8 乙方提供的服务侵犯甲方、第三方知识产权等合法权益的；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12.2.9 乙方或乙方人员造成甲方或第三方经济损失而拒不赔偿的；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12.2.10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12.2.11 乙方有其他严重违约行为的。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12.3如果甲方根据上述第12.2条的规定，解除了全部或部分合同，甲方可以适当的条件和方法购买乙方未能提供的服务，乙方应对甲方购买类似服务所超出的费用负责。同时，乙方应继续执行合同中未解除的部分。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13. 破产终止合同</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14.1　若合同继续履行将给甲方造成重大损失的，甲方可以终止合同而不给予乙方任何补偿。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14.2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14.3 在服务期内，由于甲方工作计划调整，推广使用新应用系统导致本项目相关服务停止的，甲方可以提出终止合同而不给予乙方任何补偿。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14.4　甲方因重大变故取消或部分取消原来的采购任务，导致合同全部或部分内容无须继续履行的，可以终止合同而不给予乙方任何补偿。</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15. 合同修改或变更</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15.1如无合同约定或法定事由，甲乙双方不得擅自变更合同。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15.2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15.3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15.4 由于甲方项目统一规划等原因导致本项目停止部分服务的，甲方将启动合同变更程序，与乙方协商变更相关合同条款。</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15.5 在不改变合同其他条款的前提下，甲方有权在合同价款10%的范围内追加与合同标的相同的货物或服务，并就此与乙方签订补充合同，乙方不得拒绝。</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16. 转让和分包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17.1 本合同语言为中文。</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17.2 双方交换的与合同有关的信件和其他文件应用合同语言书写。</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18. 适用法律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18.1</w:t>
      </w:r>
      <w:r>
        <w:rPr>
          <w:rFonts w:hint="eastAsia" w:ascii="Times New Roman" w:hAnsi="Times New Roman" w:eastAsia="宋体" w:cs="Times New Roman"/>
          <w:color w:val="auto"/>
          <w:szCs w:val="21"/>
          <w:highlight w:val="none"/>
        </w:rPr>
        <w:t>本合同适用中华人民共和国现行法律、行政法规和规章，如合同条款与法律、行政法规和规章不一致的，按照法律、行政法规和规章修改本合同。</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19.1 乙方应依法缴纳的合同服务相关税费，均已包含于合同总金额中，甲方不再另行支付。</w:t>
      </w:r>
    </w:p>
    <w:p>
      <w:pPr>
        <w:spacing w:line="440" w:lineRule="exact"/>
        <w:ind w:firstLine="420" w:firstLineChars="200"/>
        <w:rPr>
          <w:rFonts w:ascii="Times New Roman" w:hAnsi="Times New Roman" w:eastAsia="宋体" w:cs="Courier New"/>
          <w:color w:val="auto"/>
          <w:szCs w:val="21"/>
          <w:highlight w:val="none"/>
        </w:rPr>
      </w:pPr>
      <w:r>
        <w:rPr>
          <w:rFonts w:ascii="Times New Roman" w:hAnsi="Times New Roman" w:eastAsia="宋体" w:cs="Courier New"/>
          <w:color w:val="auto"/>
          <w:szCs w:val="21"/>
          <w:highlight w:val="none"/>
        </w:rPr>
        <w:t>20.</w:t>
      </w:r>
      <w:r>
        <w:rPr>
          <w:rFonts w:hint="eastAsia" w:ascii="Times New Roman" w:hAnsi="Times New Roman" w:eastAsia="宋体" w:cs="Courier New"/>
          <w:color w:val="auto"/>
          <w:szCs w:val="21"/>
          <w:highlight w:val="none"/>
        </w:rPr>
        <w:t>合同效力</w:t>
      </w:r>
    </w:p>
    <w:p>
      <w:pPr>
        <w:spacing w:line="440" w:lineRule="exact"/>
        <w:ind w:firstLine="420" w:firstLineChars="200"/>
        <w:rPr>
          <w:rFonts w:ascii="Times New Roman" w:hAnsi="Times New Roman" w:eastAsia="宋体" w:cs="Courier New"/>
          <w:color w:val="auto"/>
          <w:szCs w:val="21"/>
          <w:highlight w:val="none"/>
        </w:rPr>
      </w:pPr>
      <w:r>
        <w:rPr>
          <w:rFonts w:ascii="Times New Roman" w:hAnsi="Times New Roman" w:eastAsia="宋体" w:cs="Courier New"/>
          <w:color w:val="auto"/>
          <w:szCs w:val="21"/>
          <w:highlight w:val="none"/>
        </w:rPr>
        <w:t>20.1</w:t>
      </w:r>
      <w:r>
        <w:rPr>
          <w:rFonts w:hint="eastAsia" w:ascii="Times New Roman" w:hAnsi="Times New Roman" w:eastAsia="宋体" w:cs="Courier New"/>
          <w:color w:val="auto"/>
          <w:szCs w:val="21"/>
          <w:highlight w:val="none"/>
        </w:rPr>
        <w:t>　除本合同和甲乙双方书面签署的补充协议外，其他任何形式的双方约定和往来函件均不具有合同效力，对本项目无约束。</w:t>
      </w:r>
    </w:p>
    <w:p>
      <w:pPr>
        <w:spacing w:line="440" w:lineRule="exact"/>
        <w:ind w:firstLine="420" w:firstLineChars="200"/>
        <w:rPr>
          <w:rFonts w:ascii="Times New Roman" w:hAnsi="Times New Roman" w:eastAsia="宋体" w:cs="Courier New"/>
          <w:color w:val="auto"/>
          <w:szCs w:val="21"/>
          <w:highlight w:val="none"/>
        </w:rPr>
      </w:pPr>
      <w:r>
        <w:rPr>
          <w:rFonts w:ascii="Times New Roman" w:hAnsi="Times New Roman" w:eastAsia="宋体" w:cs="Courier New"/>
          <w:color w:val="auto"/>
          <w:szCs w:val="21"/>
          <w:highlight w:val="none"/>
        </w:rPr>
        <w:t>21.</w:t>
      </w:r>
      <w:r>
        <w:rPr>
          <w:rFonts w:hint="eastAsia" w:ascii="Times New Roman" w:hAnsi="Times New Roman" w:eastAsia="宋体" w:cs="Courier New"/>
          <w:color w:val="auto"/>
          <w:szCs w:val="21"/>
          <w:highlight w:val="none"/>
        </w:rPr>
        <w:t>检查和审计</w:t>
      </w:r>
    </w:p>
    <w:p>
      <w:pPr>
        <w:spacing w:line="440" w:lineRule="exact"/>
        <w:ind w:firstLine="420" w:firstLineChars="200"/>
        <w:rPr>
          <w:rFonts w:ascii="Times New Roman" w:hAnsi="Times New Roman" w:eastAsia="宋体" w:cs="Courier New"/>
          <w:color w:val="auto"/>
          <w:szCs w:val="21"/>
          <w:highlight w:val="none"/>
        </w:rPr>
      </w:pPr>
      <w:r>
        <w:rPr>
          <w:rFonts w:ascii="Times New Roman" w:hAnsi="Times New Roman" w:eastAsia="宋体" w:cs="Courier New"/>
          <w:color w:val="auto"/>
          <w:szCs w:val="21"/>
          <w:highlight w:val="none"/>
        </w:rPr>
        <w:t>21.1</w:t>
      </w:r>
      <w:r>
        <w:rPr>
          <w:rFonts w:hint="eastAsia" w:ascii="Times New Roman" w:hAnsi="Times New Roman" w:eastAsia="宋体" w:cs="Courier New"/>
          <w:color w:val="auto"/>
          <w:szCs w:val="21"/>
          <w:highlight w:val="none"/>
        </w:rPr>
        <w:t>在本合同的履行过程中，甲方有权对乙方的合同履约情况进行阶段性检查，并对乙方投标时提供的相关资料进行复核。</w:t>
      </w:r>
    </w:p>
    <w:p>
      <w:pPr>
        <w:spacing w:line="440" w:lineRule="exact"/>
        <w:ind w:firstLine="420" w:firstLineChars="200"/>
        <w:rPr>
          <w:rFonts w:ascii="Times New Roman" w:hAnsi="Times New Roman" w:eastAsia="宋体" w:cs="Courier New"/>
          <w:color w:val="auto"/>
          <w:szCs w:val="21"/>
          <w:highlight w:val="none"/>
        </w:rPr>
      </w:pPr>
      <w:r>
        <w:rPr>
          <w:rFonts w:ascii="Times New Roman" w:hAnsi="Times New Roman" w:eastAsia="宋体" w:cs="Courier New"/>
          <w:color w:val="auto"/>
          <w:szCs w:val="21"/>
          <w:highlight w:val="none"/>
        </w:rPr>
        <w:t>21.2</w:t>
      </w:r>
      <w:r>
        <w:rPr>
          <w:rFonts w:hint="eastAsia" w:ascii="Times New Roman" w:hAnsi="Times New Roman" w:eastAsia="宋体" w:cs="Courier New"/>
          <w:color w:val="auto"/>
          <w:szCs w:val="21"/>
          <w:highlight w:val="none"/>
        </w:rPr>
        <w:t>　在本合同的履行过程中，如果甲乙双方发生争议或者乙方没有按照合同约定履行义务，乙方应允许甲方检查乙方与实施本合同有关的账户和记录，并由甲方指定的审计人员对其进行审计。</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22. </w:t>
      </w:r>
      <w:r>
        <w:rPr>
          <w:rFonts w:hint="eastAsia" w:ascii="Times New Roman" w:hAnsi="Times New Roman" w:eastAsia="宋体" w:cs="Times New Roman"/>
          <w:b/>
          <w:color w:val="auto"/>
          <w:szCs w:val="21"/>
          <w:highlight w:val="none"/>
        </w:rPr>
        <w:t>合同生效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22.1 </w:t>
      </w:r>
      <w:r>
        <w:rPr>
          <w:rFonts w:hint="eastAsia" w:ascii="宋体" w:hAnsi="宋体" w:eastAsia="宋体" w:cs="宋体"/>
          <w:color w:val="auto"/>
          <w:szCs w:val="21"/>
          <w:highlight w:val="none"/>
        </w:rPr>
        <w:t>本合同一式七份，具有同等法律效力，甲方四份，乙方二份，采购代理机构一份，应在甲方收到乙方提供的履约保证金（如有），由甲乙双方法定代表人或被授权人签字并盖章后生效。</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ind w:firstLine="480" w:firstLineChars="200"/>
        <w:rPr>
          <w:rFonts w:hint="eastAsia" w:ascii="宋体" w:hAnsi="宋体" w:eastAsia="宋体" w:cs="宋体"/>
          <w:color w:val="auto"/>
          <w:sz w:val="24"/>
          <w:highlight w:val="none"/>
        </w:rPr>
      </w:pP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三、合同附件（与正件装订成册）</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（一）服务内容一览表（乙方填制）；</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（二）投标（响应）文件报价表部分（乙方提供）；</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（三）投标（响应）文件技术部分和商务部分（乙方提供）；</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（四）采购需求（与采购文件一致）；</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（五）合同验收书格式（验收时填制，供参考）；</w:t>
      </w:r>
    </w:p>
    <w:p>
      <w:pPr>
        <w:topLinePunct/>
        <w:autoSpaceDE w:val="0"/>
        <w:autoSpaceDN w:val="0"/>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（六）政府采购项目履约保证金退付意见书（供参考）。</w:t>
      </w:r>
    </w:p>
    <w:p>
      <w:pPr>
        <w:rPr>
          <w:rFonts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br w:type="page"/>
      </w:r>
    </w:p>
    <w:p>
      <w:pPr>
        <w:spacing w:line="460" w:lineRule="exact"/>
        <w:rPr>
          <w:rFonts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(一)服务内容一览表（乙方填制）</w:t>
      </w:r>
    </w:p>
    <w:p>
      <w:pPr>
        <w:ind w:firstLine="420" w:firstLineChars="200"/>
        <w:rPr>
          <w:rFonts w:ascii="Times New Roman" w:hAnsi="Times New Roman" w:eastAsia="宋体" w:cs="Times New Roman"/>
          <w:color w:val="auto"/>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rPr>
              <w:t>服务名称</w:t>
            </w:r>
          </w:p>
        </w:tc>
        <w:tc>
          <w:tcPr>
            <w:tcW w:w="750" w:type="dxa"/>
            <w:vAlign w:val="center"/>
          </w:tcPr>
          <w:p>
            <w:pPr>
              <w:jc w:val="center"/>
              <w:rPr>
                <w:rFonts w:ascii="宋体" w:hAnsi="Courier New" w:eastAsia="宋体" w:cs="宋体"/>
                <w:color w:val="auto"/>
                <w:szCs w:val="21"/>
                <w:highlight w:val="none"/>
              </w:rPr>
            </w:pPr>
            <w:r>
              <w:rPr>
                <w:rFonts w:hint="eastAsia" w:ascii="Times New Roman" w:hAnsi="Times New Roman" w:eastAsia="宋体" w:cs="宋体"/>
                <w:color w:val="auto"/>
                <w:szCs w:val="21"/>
                <w:highlight w:val="none"/>
              </w:rPr>
              <w:t>单位</w:t>
            </w:r>
          </w:p>
        </w:tc>
        <w:tc>
          <w:tcPr>
            <w:tcW w:w="810" w:type="dxa"/>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rPr>
              <w:t>数量</w:t>
            </w:r>
          </w:p>
        </w:tc>
        <w:tc>
          <w:tcPr>
            <w:tcW w:w="1260" w:type="dxa"/>
            <w:vAlign w:val="center"/>
          </w:tcPr>
          <w:p>
            <w:pPr>
              <w:snapToGrid w:val="0"/>
              <w:jc w:val="center"/>
              <w:rPr>
                <w:rFonts w:ascii="宋体" w:hAnsi="Calibri" w:eastAsia="宋体" w:cs="Times New Roman"/>
                <w:color w:val="auto"/>
                <w:sz w:val="22"/>
                <w:szCs w:val="24"/>
                <w:highlight w:val="none"/>
              </w:rPr>
            </w:pPr>
            <w:r>
              <w:rPr>
                <w:rFonts w:hint="eastAsia" w:ascii="宋体" w:hAnsi="Calibri" w:eastAsia="宋体" w:cs="Times New Roman"/>
                <w:color w:val="auto"/>
                <w:szCs w:val="24"/>
                <w:highlight w:val="none"/>
              </w:rPr>
              <w:t>金额</w:t>
            </w:r>
            <w:r>
              <w:rPr>
                <w:rFonts w:hint="eastAsia" w:ascii="Calibri" w:hAnsi="Calibri" w:eastAsia="宋体" w:cs="Times New Roman"/>
                <w:color w:val="auto"/>
                <w:szCs w:val="24"/>
                <w:highlight w:val="none"/>
              </w:rPr>
              <w:t>（元）</w:t>
            </w:r>
          </w:p>
        </w:tc>
        <w:tc>
          <w:tcPr>
            <w:tcW w:w="4703" w:type="dxa"/>
            <w:vAlign w:val="center"/>
          </w:tcPr>
          <w:p>
            <w:pPr>
              <w:jc w:val="center"/>
              <w:rPr>
                <w:rFonts w:ascii="Times New Roman" w:hAnsi="Times New Roman" w:eastAsia="MingLiU_HKSCS" w:cs="Times New Roman"/>
                <w:color w:val="auto"/>
                <w:szCs w:val="21"/>
                <w:highlight w:val="none"/>
              </w:rPr>
            </w:pPr>
            <w:r>
              <w:rPr>
                <w:rFonts w:hint="eastAsia" w:ascii="Times New Roman" w:hAnsi="Times New Roman" w:eastAsia="宋体" w:cs="宋体"/>
                <w:color w:val="auto"/>
                <w:szCs w:val="21"/>
                <w:highlight w:val="none"/>
              </w:rPr>
              <w:t>具体服务承诺</w:t>
            </w:r>
            <w:r>
              <w:rPr>
                <w:rFonts w:ascii="Times New Roman" w:hAnsi="Times New Roman" w:eastAsia="宋体" w:cs="Times New Roman"/>
                <w:color w:val="auto"/>
                <w:szCs w:val="21"/>
                <w:highlight w:val="none"/>
              </w:rPr>
              <w:t>(</w:t>
            </w:r>
            <w:r>
              <w:rPr>
                <w:rFonts w:hint="eastAsia" w:ascii="Times New Roman" w:hAnsi="Times New Roman" w:eastAsia="宋体" w:cs="宋体"/>
                <w:color w:val="auto"/>
                <w:szCs w:val="21"/>
                <w:highlight w:val="none"/>
              </w:rPr>
              <w:t>包含但不限于服务内容、范围和基本要求</w:t>
            </w:r>
            <w:r>
              <w:rPr>
                <w:rFonts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eastAsia="宋体" w:cs="Times New Roman"/>
                <w:color w:val="auto"/>
                <w:szCs w:val="21"/>
                <w:highlight w:val="none"/>
              </w:rPr>
            </w:pPr>
          </w:p>
        </w:tc>
        <w:tc>
          <w:tcPr>
            <w:tcW w:w="750" w:type="dxa"/>
            <w:vAlign w:val="center"/>
          </w:tcPr>
          <w:p>
            <w:pPr>
              <w:jc w:val="center"/>
              <w:rPr>
                <w:rFonts w:ascii="宋体" w:hAnsi="Courier New" w:eastAsia="宋体" w:cs="宋体"/>
                <w:color w:val="auto"/>
                <w:szCs w:val="21"/>
                <w:highlight w:val="none"/>
              </w:rPr>
            </w:pPr>
          </w:p>
        </w:tc>
        <w:tc>
          <w:tcPr>
            <w:tcW w:w="810" w:type="dxa"/>
            <w:vAlign w:val="center"/>
          </w:tcPr>
          <w:p>
            <w:pPr>
              <w:jc w:val="center"/>
              <w:rPr>
                <w:rFonts w:ascii="Times New Roman" w:hAnsi="Times New Roman" w:eastAsia="宋体" w:cs="Times New Roman"/>
                <w:color w:val="auto"/>
                <w:szCs w:val="21"/>
                <w:highlight w:val="none"/>
              </w:rPr>
            </w:pPr>
          </w:p>
        </w:tc>
        <w:tc>
          <w:tcPr>
            <w:tcW w:w="1260" w:type="dxa"/>
            <w:vAlign w:val="center"/>
          </w:tcPr>
          <w:p>
            <w:pPr>
              <w:jc w:val="center"/>
              <w:rPr>
                <w:rFonts w:ascii="Times New Roman" w:hAnsi="Times New Roman" w:eastAsia="宋体" w:cs="Times New Roman"/>
                <w:color w:val="auto"/>
                <w:szCs w:val="21"/>
                <w:highlight w:val="none"/>
              </w:rPr>
            </w:pPr>
          </w:p>
        </w:tc>
        <w:tc>
          <w:tcPr>
            <w:tcW w:w="4703" w:type="dxa"/>
            <w:vAlign w:val="center"/>
          </w:tcPr>
          <w:p>
            <w:pPr>
              <w:jc w:val="center"/>
              <w:rPr>
                <w:rFonts w:ascii="Times New Roman" w:hAnsi="Times New Roman" w:eastAsia="MingLiU_HKSC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eastAsia="MingLiU_HKSCS" w:cs="Times New Roman"/>
                <w:color w:val="auto"/>
                <w:szCs w:val="21"/>
                <w:highlight w:val="none"/>
              </w:rPr>
            </w:pPr>
            <w:r>
              <w:rPr>
                <w:rFonts w:hint="eastAsia" w:ascii="宋体" w:hAnsi="宋体" w:eastAsia="宋体" w:cs="宋体"/>
                <w:color w:val="auto"/>
                <w:szCs w:val="21"/>
                <w:highlight w:val="none"/>
              </w:rPr>
              <w:t>…</w:t>
            </w:r>
          </w:p>
        </w:tc>
        <w:tc>
          <w:tcPr>
            <w:tcW w:w="750" w:type="dxa"/>
            <w:vAlign w:val="center"/>
          </w:tcPr>
          <w:p>
            <w:pPr>
              <w:jc w:val="center"/>
              <w:rPr>
                <w:rFonts w:ascii="宋体" w:hAnsi="Courier New" w:eastAsia="宋体" w:cs="宋体"/>
                <w:color w:val="auto"/>
                <w:szCs w:val="21"/>
                <w:highlight w:val="none"/>
              </w:rPr>
            </w:pPr>
          </w:p>
        </w:tc>
        <w:tc>
          <w:tcPr>
            <w:tcW w:w="810" w:type="dxa"/>
            <w:vAlign w:val="center"/>
          </w:tcPr>
          <w:p>
            <w:pPr>
              <w:jc w:val="center"/>
              <w:rPr>
                <w:rFonts w:ascii="Times New Roman" w:hAnsi="Times New Roman" w:eastAsia="MingLiU_HKSCS" w:cs="Times New Roman"/>
                <w:color w:val="auto"/>
                <w:szCs w:val="21"/>
                <w:highlight w:val="none"/>
              </w:rPr>
            </w:pPr>
          </w:p>
        </w:tc>
        <w:tc>
          <w:tcPr>
            <w:tcW w:w="1260" w:type="dxa"/>
            <w:vAlign w:val="center"/>
          </w:tcPr>
          <w:p>
            <w:pPr>
              <w:jc w:val="center"/>
              <w:rPr>
                <w:rFonts w:ascii="Times New Roman" w:hAnsi="Times New Roman" w:eastAsia="MingLiU_HKSCS" w:cs="Times New Roman"/>
                <w:color w:val="auto"/>
                <w:szCs w:val="21"/>
                <w:highlight w:val="none"/>
              </w:rPr>
            </w:pPr>
          </w:p>
        </w:tc>
        <w:tc>
          <w:tcPr>
            <w:tcW w:w="4703" w:type="dxa"/>
            <w:vAlign w:val="center"/>
          </w:tcPr>
          <w:p>
            <w:pPr>
              <w:jc w:val="center"/>
              <w:rPr>
                <w:rFonts w:ascii="Times New Roman" w:hAnsi="Times New Roman" w:eastAsia="MingLiU_HKSCS" w:cs="Times New Roman"/>
                <w:color w:val="auto"/>
                <w:szCs w:val="21"/>
                <w:highlight w:val="none"/>
              </w:rPr>
            </w:pPr>
          </w:p>
        </w:tc>
      </w:tr>
    </w:tbl>
    <w:p>
      <w:pPr>
        <w:spacing w:line="460" w:lineRule="exact"/>
        <w:rPr>
          <w:rFonts w:ascii="Times New Roman" w:hAnsi="Times New Roman" w:eastAsia="宋体" w:cs="Times New Roman"/>
          <w:color w:val="auto"/>
          <w:szCs w:val="21"/>
          <w:highlight w:val="none"/>
        </w:rPr>
      </w:pPr>
    </w:p>
    <w:p>
      <w:pPr>
        <w:spacing w:line="460" w:lineRule="exact"/>
        <w:rPr>
          <w:rFonts w:ascii="Times New Roman" w:hAnsi="Times New Roman" w:eastAsia="宋体" w:cs="Times New Roman"/>
          <w:color w:val="auto"/>
          <w:szCs w:val="21"/>
          <w:highlight w:val="none"/>
        </w:rPr>
      </w:pPr>
    </w:p>
    <w:p>
      <w:pPr>
        <w:spacing w:line="460" w:lineRule="exact"/>
        <w:rPr>
          <w:rFonts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(二)投标（响应）文件报价表部分（乙方提供）</w:t>
      </w:r>
    </w:p>
    <w:p>
      <w:pPr>
        <w:spacing w:line="46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由乙方按照投标（响应）文件提供，并保持与投标（响应）文件一致。</w:t>
      </w:r>
    </w:p>
    <w:p>
      <w:pPr>
        <w:spacing w:line="460" w:lineRule="exact"/>
        <w:rPr>
          <w:rFonts w:ascii="黑体" w:hAnsi="Times New Roman" w:eastAsia="黑体" w:cs="Times New Roman"/>
          <w:color w:val="auto"/>
          <w:sz w:val="32"/>
          <w:szCs w:val="32"/>
          <w:highlight w:val="none"/>
        </w:rPr>
      </w:pPr>
    </w:p>
    <w:p>
      <w:pPr>
        <w:spacing w:line="460" w:lineRule="exact"/>
        <w:rPr>
          <w:rFonts w:ascii="黑体" w:hAnsi="Times New Roman" w:eastAsia="黑体" w:cs="Times New Roman"/>
          <w:color w:val="auto"/>
          <w:sz w:val="32"/>
          <w:szCs w:val="32"/>
          <w:highlight w:val="none"/>
        </w:rPr>
      </w:pPr>
    </w:p>
    <w:p>
      <w:pPr>
        <w:spacing w:line="460" w:lineRule="exact"/>
        <w:rPr>
          <w:rFonts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(三)投标（响应）文件技术部分和商务部分（乙方提供）</w:t>
      </w:r>
    </w:p>
    <w:p>
      <w:pPr>
        <w:spacing w:line="46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由乙方按照投标文件提供，并保持与投标文件一致。</w:t>
      </w:r>
    </w:p>
    <w:p>
      <w:pPr>
        <w:spacing w:line="460" w:lineRule="exact"/>
        <w:rPr>
          <w:rFonts w:ascii="Times New Roman" w:hAnsi="Times New Roman" w:eastAsia="宋体" w:cs="Times New Roman"/>
          <w:color w:val="auto"/>
          <w:szCs w:val="21"/>
          <w:highlight w:val="none"/>
        </w:rPr>
      </w:pPr>
    </w:p>
    <w:p>
      <w:pPr>
        <w:rPr>
          <w:rFonts w:ascii="Calibri" w:hAnsi="Calibri" w:eastAsia="宋体" w:cs="Times New Roman"/>
          <w:color w:val="auto"/>
          <w:szCs w:val="24"/>
          <w:highlight w:val="none"/>
        </w:rPr>
      </w:pPr>
    </w:p>
    <w:p>
      <w:pPr>
        <w:spacing w:line="460" w:lineRule="exact"/>
        <w:rPr>
          <w:rFonts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(四)采购需求（与采购文件一致）</w:t>
      </w: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宋体" w:hAnsi="宋体" w:eastAsia="宋体" w:cs="Times New Roman"/>
          <w:b/>
          <w:color w:val="auto"/>
          <w:sz w:val="30"/>
          <w:szCs w:val="30"/>
          <w:highlight w:val="none"/>
        </w:rPr>
      </w:pPr>
    </w:p>
    <w:p>
      <w:pPr>
        <w:rPr>
          <w:rFonts w:hint="eastAsia" w:ascii="方正小标宋简体" w:hAnsi="宋体" w:eastAsia="方正小标宋简体" w:cs="Times New Roman"/>
          <w:color w:val="auto"/>
          <w:sz w:val="28"/>
          <w:szCs w:val="28"/>
          <w:highlight w:val="none"/>
        </w:rPr>
      </w:pPr>
      <w:r>
        <w:rPr>
          <w:rFonts w:hint="eastAsia" w:ascii="宋体" w:hAnsi="宋体" w:eastAsia="宋体" w:cs="Times New Roman"/>
          <w:b/>
          <w:color w:val="auto"/>
          <w:sz w:val="30"/>
          <w:szCs w:val="30"/>
          <w:highlight w:val="none"/>
        </w:rPr>
        <w:t>(五)合同验收书格式</w:t>
      </w:r>
      <w:r>
        <w:rPr>
          <w:rFonts w:hint="eastAsia" w:ascii="宋体" w:hAnsi="宋体" w:eastAsia="宋体" w:cs="Times New Roman"/>
          <w:color w:val="auto"/>
          <w:sz w:val="30"/>
          <w:szCs w:val="30"/>
          <w:highlight w:val="none"/>
        </w:rPr>
        <w:t>（验收时填制，供参考）</w:t>
      </w:r>
    </w:p>
    <w:p>
      <w:pPr>
        <w:adjustRightInd w:val="0"/>
        <w:spacing w:line="560" w:lineRule="exact"/>
        <w:ind w:firstLine="420"/>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项目验收书（付款时提供）</w:t>
      </w:r>
    </w:p>
    <w:p>
      <w:pPr>
        <w:adjustRightInd w:val="0"/>
        <w:spacing w:line="560" w:lineRule="exact"/>
        <w:ind w:firstLine="420"/>
        <w:jc w:val="center"/>
        <w:rPr>
          <w:rFonts w:hint="eastAsia" w:ascii="仿宋_GB2312" w:hAnsi="仿宋_GB2312" w:eastAsia="仿宋_GB2312" w:cs="仿宋_GB2312"/>
          <w:b/>
          <w:color w:val="auto"/>
          <w:sz w:val="28"/>
          <w:szCs w:val="28"/>
          <w:highlight w:val="none"/>
        </w:rPr>
      </w:pP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一、项目基本情况</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（一）项目名称及编号</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（二）合同名称及编号</w:t>
      </w:r>
    </w:p>
    <w:p>
      <w:pPr>
        <w:spacing w:line="560" w:lineRule="exac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（三）乙方名称、乙方联系人及联系方式</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（四）合同金额</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（五）历次验收及已付款情况等</w:t>
      </w: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二、项目基本内容</w:t>
      </w:r>
    </w:p>
    <w:p>
      <w:pPr>
        <w:spacing w:line="560" w:lineRule="exac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（一）合同约定的主要内容</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（二）本次付款对应的合同内容和所属阶段</w:t>
      </w: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三、组织验收情况</w:t>
      </w:r>
    </w:p>
    <w:p>
      <w:pPr>
        <w:spacing w:line="560" w:lineRule="exac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（一）验收情况，包括验收内容、验收期限等</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（二）验收评价及结论，包括项目执行情况、是否通过验收等</w:t>
      </w: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四、其他需要说明的情况</w:t>
      </w: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五、应支付合同款情况</w:t>
      </w:r>
    </w:p>
    <w:p>
      <w:pPr>
        <w:spacing w:line="560" w:lineRule="exac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依据验收结论，本次验收后应支付合同第几次付款及付款金额等</w:t>
      </w:r>
    </w:p>
    <w:p>
      <w:pPr>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spacing w:line="560" w:lineRule="exac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项目负责人签字：</w:t>
      </w:r>
    </w:p>
    <w:p>
      <w:pPr>
        <w:spacing w:line="56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lang w:bidi="ar"/>
        </w:rPr>
        <w:t>　　验收牵头部门</w:t>
      </w:r>
      <w:r>
        <w:rPr>
          <w:rFonts w:hint="eastAsia" w:ascii="仿宋_GB2312" w:hAnsi="仿宋_GB2312" w:eastAsia="仿宋_GB2312" w:cs="仿宋_GB2312"/>
          <w:color w:val="auto"/>
          <w:sz w:val="32"/>
          <w:szCs w:val="32"/>
          <w:highlight w:val="none"/>
        </w:rPr>
        <w:t>领导签字：</w:t>
      </w:r>
      <w:r>
        <w:rPr>
          <w:rFonts w:hint="eastAsia" w:ascii="仿宋_GB2312" w:hAnsi="仿宋_GB2312" w:eastAsia="仿宋_GB2312" w:cs="仿宋_GB2312"/>
          <w:bCs/>
          <w:color w:val="auto"/>
          <w:sz w:val="32"/>
          <w:szCs w:val="32"/>
          <w:highlight w:val="none"/>
        </w:rPr>
        <w:t xml:space="preserve">                                       </w:t>
      </w:r>
    </w:p>
    <w:p>
      <w:pPr>
        <w:spacing w:line="560" w:lineRule="exact"/>
        <w:ind w:left="3839" w:leftChars="1828" w:firstLine="1600" w:firstLineChars="5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验收部门 (章) </w:t>
      </w:r>
    </w:p>
    <w:p>
      <w:pPr>
        <w:spacing w:line="360" w:lineRule="auto"/>
        <w:ind w:firstLine="5760" w:firstLineChars="1800"/>
        <w:rPr>
          <w:rFonts w:hint="eastAsia" w:ascii="仿宋_GB2312" w:hAnsi="仿宋_GB2312" w:eastAsia="仿宋_GB2312" w:cs="仿宋_GB2312"/>
          <w:bCs/>
          <w:color w:val="auto"/>
          <w:sz w:val="32"/>
          <w:szCs w:val="32"/>
          <w:highlight w:val="none"/>
        </w:rPr>
        <w:sectPr>
          <w:footerReference r:id="rId4" w:type="default"/>
          <w:pgSz w:w="11906" w:h="16838"/>
          <w:pgMar w:top="1270" w:right="1474" w:bottom="1157" w:left="1587" w:header="851" w:footer="992" w:gutter="0"/>
          <w:cols w:space="720" w:num="1"/>
          <w:docGrid w:type="lines" w:linePitch="312" w:charSpace="0"/>
        </w:sectPr>
      </w:pPr>
      <w:r>
        <w:rPr>
          <w:rFonts w:hint="eastAsia" w:ascii="仿宋_GB2312" w:hAnsi="仿宋_GB2312" w:eastAsia="仿宋_GB2312" w:cs="仿宋_GB2312"/>
          <w:bCs/>
          <w:color w:val="auto"/>
          <w:sz w:val="32"/>
          <w:szCs w:val="32"/>
          <w:highlight w:val="none"/>
        </w:rPr>
        <w:t>年   月  日</w:t>
      </w:r>
    </w:p>
    <w:p>
      <w:pPr>
        <w:rPr>
          <w:rFonts w:hint="eastAsia" w:ascii="黑体" w:hAnsi="黑体" w:eastAsia="黑体" w:cs="Times New Roman"/>
          <w:color w:val="auto"/>
          <w:sz w:val="32"/>
          <w:szCs w:val="32"/>
          <w:highlight w:val="none"/>
        </w:rPr>
      </w:pPr>
      <w:r>
        <w:rPr>
          <w:rFonts w:hint="eastAsia" w:ascii="宋体" w:hAnsi="宋体" w:eastAsia="宋体" w:cs="Times New Roman"/>
          <w:b/>
          <w:color w:val="auto"/>
          <w:sz w:val="30"/>
          <w:szCs w:val="30"/>
          <w:highlight w:val="none"/>
        </w:rPr>
        <w:t>(六)</w:t>
      </w:r>
      <w:r>
        <w:rPr>
          <w:rFonts w:hint="eastAsia" w:ascii="黑体" w:hAnsi="黑体" w:eastAsia="黑体" w:cs="Times New Roman"/>
          <w:color w:val="auto"/>
          <w:sz w:val="32"/>
          <w:szCs w:val="32"/>
          <w:highlight w:val="none"/>
        </w:rPr>
        <w:t>政府采购项目履约保证金退付意见书（供参考）</w:t>
      </w:r>
    </w:p>
    <w:p>
      <w:pPr>
        <w:rPr>
          <w:rFonts w:hint="eastAsia" w:ascii="黑体" w:hAnsi="黑体" w:eastAsia="黑体" w:cs="Times New Roman"/>
          <w:color w:val="auto"/>
          <w:sz w:val="32"/>
          <w:szCs w:val="32"/>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供</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应</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商</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申</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请</w:t>
            </w:r>
          </w:p>
        </w:tc>
        <w:tc>
          <w:tcPr>
            <w:tcW w:w="8206" w:type="dxa"/>
            <w:vAlign w:val="center"/>
          </w:tcPr>
          <w:p>
            <w:pP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ascii="Calibri" w:hAnsi="Calibri" w:eastAsia="宋体" w:cs="Times New Roman"/>
                <w:color w:val="auto"/>
                <w:sz w:val="24"/>
                <w:szCs w:val="24"/>
                <w:highlight w:val="none"/>
              </w:rPr>
            </w:pPr>
          </w:p>
        </w:tc>
        <w:tc>
          <w:tcPr>
            <w:tcW w:w="8206" w:type="dxa"/>
            <w:vAlign w:val="center"/>
          </w:tcPr>
          <w:p>
            <w:pP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ascii="Calibri" w:hAnsi="Calibri" w:eastAsia="宋体" w:cs="Times New Roman"/>
                <w:color w:val="auto"/>
                <w:sz w:val="24"/>
                <w:szCs w:val="24"/>
                <w:highlight w:val="none"/>
              </w:rPr>
            </w:pPr>
          </w:p>
        </w:tc>
        <w:tc>
          <w:tcPr>
            <w:tcW w:w="8206" w:type="dxa"/>
          </w:tcPr>
          <w:p>
            <w:pP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xml:space="preserve">  </w:t>
            </w:r>
          </w:p>
          <w:p>
            <w:pPr>
              <w:spacing w:line="400" w:lineRule="exact"/>
              <w:ind w:firstLine="480" w:firstLineChars="200"/>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该项目已于</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年</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月</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日验收并交付使用。根据合同规定，该项目的履约保证金，期限于</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年</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月</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日已满，请将履约保证金人民币（大写）</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w:t>
            </w:r>
            <w:r>
              <w:rPr>
                <w:rFonts w:ascii="Arial" w:hAnsi="Arial" w:eastAsia="宋体" w:cs="Arial"/>
                <w:color w:val="auto"/>
                <w:szCs w:val="24"/>
                <w:highlight w:val="none"/>
              </w:rPr>
              <w:t>¥</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退付到达以下账户。</w:t>
            </w:r>
          </w:p>
          <w:p>
            <w:pPr>
              <w:spacing w:line="400" w:lineRule="exact"/>
              <w:ind w:firstLine="705"/>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单位名称：</w:t>
            </w:r>
          </w:p>
          <w:p>
            <w:pPr>
              <w:spacing w:line="400" w:lineRule="exact"/>
              <w:ind w:firstLine="705"/>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开户银行：</w:t>
            </w:r>
          </w:p>
          <w:p>
            <w:pPr>
              <w:spacing w:line="400" w:lineRule="exact"/>
              <w:ind w:firstLine="705"/>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账   号：</w:t>
            </w:r>
          </w:p>
          <w:p>
            <w:pPr>
              <w:spacing w:line="400" w:lineRule="exac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联系人及电话：</w:t>
            </w:r>
          </w:p>
          <w:p>
            <w:pPr>
              <w:spacing w:line="400" w:lineRule="exact"/>
              <w:rPr>
                <w:rFonts w:ascii="Calibri" w:hAnsi="Calibri" w:eastAsia="宋体" w:cs="Times New Roman"/>
                <w:color w:val="auto"/>
                <w:sz w:val="24"/>
                <w:szCs w:val="24"/>
                <w:highlight w:val="none"/>
              </w:rPr>
            </w:pPr>
          </w:p>
          <w:p>
            <w:pPr>
              <w:spacing w:line="520" w:lineRule="exact"/>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xml:space="preserve">         供应商签章：</w:t>
            </w:r>
          </w:p>
          <w:p>
            <w:pPr>
              <w:spacing w:line="520" w:lineRule="exact"/>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采</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购</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人</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意</w:t>
            </w:r>
          </w:p>
          <w:p>
            <w:pPr>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见</w:t>
            </w:r>
          </w:p>
        </w:tc>
        <w:tc>
          <w:tcPr>
            <w:tcW w:w="8206" w:type="dxa"/>
          </w:tcPr>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退付意见：（是否同意退付履约保证金及退付金额）</w:t>
            </w: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rPr>
                <w:rFonts w:ascii="Calibri" w:hAnsi="Calibri" w:eastAsia="宋体" w:cs="Times New Roman"/>
                <w:color w:val="auto"/>
                <w:sz w:val="24"/>
                <w:szCs w:val="24"/>
                <w:highlight w:val="none"/>
              </w:rPr>
            </w:pPr>
          </w:p>
          <w:p>
            <w:pPr>
              <w:spacing w:line="520" w:lineRule="exac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联系人及电话：                         采购人签章</w:t>
            </w:r>
          </w:p>
          <w:p>
            <w:pPr>
              <w:spacing w:line="520" w:lineRule="exact"/>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xml:space="preserve">                                        年    月     日</w:t>
            </w:r>
          </w:p>
          <w:p>
            <w:pPr>
              <w:spacing w:line="520" w:lineRule="exact"/>
              <w:jc w:val="center"/>
              <w:rPr>
                <w:rFonts w:ascii="Calibri" w:hAnsi="Calibri" w:eastAsia="宋体" w:cs="Times New Roman"/>
                <w:color w:val="auto"/>
                <w:sz w:val="24"/>
                <w:szCs w:val="24"/>
                <w:highlight w:val="none"/>
              </w:rPr>
            </w:pPr>
          </w:p>
        </w:tc>
      </w:tr>
    </w:tbl>
    <w:p>
      <w:pPr>
        <w:rPr>
          <w:color w:val="auto"/>
          <w:highlight w:val="none"/>
        </w:rPr>
      </w:pPr>
    </w:p>
    <w:p>
      <w:pPr>
        <w:topLinePunct/>
        <w:autoSpaceDE w:val="0"/>
        <w:autoSpaceDN w:val="0"/>
        <w:spacing w:line="360" w:lineRule="auto"/>
        <w:jc w:val="cente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highlight w:val="none"/>
        </w:rPr>
      </w:pPr>
    </w:p>
    <w:p>
      <w:pPr>
        <w:rPr>
          <w:rFonts w:ascii="Calibri" w:hAnsi="Calibri" w:eastAsia="宋体" w:cs="Times New Roman"/>
          <w:color w:val="auto"/>
          <w:highlight w:val="none"/>
        </w:rPr>
      </w:pPr>
    </w:p>
    <w:p>
      <w:pPr>
        <w:widowControl/>
        <w:jc w:val="left"/>
        <w:rPr>
          <w:rFonts w:ascii="Calibri" w:hAnsi="Calibri" w:eastAsia="宋体" w:cs="Times New Roman"/>
          <w:color w:val="auto"/>
          <w:highlight w:val="none"/>
        </w:rPr>
        <w:sectPr>
          <w:footerReference r:id="rId5" w:type="default"/>
          <w:pgSz w:w="11906" w:h="16838"/>
          <w:pgMar w:top="1440" w:right="1752" w:bottom="1440" w:left="1752" w:header="851" w:footer="992" w:gutter="0"/>
          <w:cols w:space="720" w:num="1"/>
          <w:docGrid w:type="lines" w:linePitch="312" w:charSpace="0"/>
        </w:sectPr>
      </w:pPr>
    </w:p>
    <w:p>
      <w:pPr>
        <w:pStyle w:val="3"/>
        <w:jc w:val="center"/>
        <w:rPr>
          <w:color w:val="auto"/>
          <w:highlight w:val="none"/>
        </w:rPr>
      </w:pPr>
      <w:bookmarkStart w:id="24" w:name="_Toc653"/>
      <w:r>
        <w:rPr>
          <w:rFonts w:hint="eastAsia"/>
          <w:color w:val="auto"/>
          <w:highlight w:val="none"/>
        </w:rPr>
        <w:t>第五章　投标文件格式</w:t>
      </w:r>
      <w:bookmarkEnd w:id="24"/>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r>
        <w:rPr>
          <w:rFonts w:hint="eastAsia" w:ascii="Times New Roman" w:hAnsi="Times New Roman" w:eastAsia="宋体" w:cs="Times New Roman"/>
          <w:color w:val="auto"/>
          <w:szCs w:val="21"/>
          <w:highlight w:val="none"/>
        </w:rPr>
        <w:t>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2" w:firstLineChars="200"/>
        <w:jc w:val="center"/>
        <w:rPr>
          <w:rFonts w:ascii="Calibri" w:hAnsi="Calibri" w:eastAsia="宋体" w:cs="Times New Roman"/>
          <w:b/>
          <w:bCs/>
          <w:color w:val="auto"/>
          <w:highlight w:val="none"/>
        </w:rPr>
      </w:pPr>
    </w:p>
    <w:p>
      <w:pPr>
        <w:ind w:firstLine="422" w:firstLineChars="200"/>
        <w:jc w:val="center"/>
        <w:rPr>
          <w:rFonts w:ascii="Calibri" w:hAnsi="Calibri" w:eastAsia="宋体" w:cs="Times New Roman"/>
          <w:b/>
          <w:bCs/>
          <w:color w:val="auto"/>
          <w:highlight w:val="none"/>
        </w:rPr>
      </w:pPr>
    </w:p>
    <w:p>
      <w:pPr>
        <w:rPr>
          <w:rFonts w:ascii="Calibri" w:hAnsi="Calibri" w:eastAsia="宋体" w:cs="Times New Roman"/>
          <w:color w:val="auto"/>
          <w:highlight w:val="none"/>
        </w:rPr>
      </w:pPr>
    </w:p>
    <w:p>
      <w:pPr>
        <w:rPr>
          <w:rFonts w:ascii="Calibri" w:hAnsi="Calibri" w:eastAsia="宋体" w:cs="Times New Roman"/>
          <w:b/>
          <w:bCs/>
          <w:color w:val="auto"/>
          <w:highlight w:val="none"/>
        </w:rPr>
      </w:pPr>
    </w:p>
    <w:p>
      <w:pPr>
        <w:adjustRightInd w:val="0"/>
        <w:snapToGrid w:val="0"/>
        <w:spacing w:line="360" w:lineRule="auto"/>
        <w:jc w:val="center"/>
        <w:rPr>
          <w:rFonts w:ascii="Calibri" w:hAnsi="Calibri" w:eastAsia="宋体" w:cs="Times New Roman"/>
          <w:b/>
          <w:bCs/>
          <w:color w:val="auto"/>
          <w:highlight w:val="none"/>
        </w:rPr>
      </w:pPr>
      <w:r>
        <w:rPr>
          <w:rFonts w:ascii="Calibri" w:hAnsi="Calibri" w:eastAsia="宋体" w:cs="Times New Roman"/>
          <w:b/>
          <w:bCs/>
          <w:color w:val="auto"/>
          <w:highlight w:val="none"/>
        </w:rPr>
        <w:br w:type="page"/>
      </w:r>
    </w:p>
    <w:p>
      <w:pPr>
        <w:spacing w:line="600" w:lineRule="auto"/>
        <w:jc w:val="center"/>
        <w:rPr>
          <w:rFonts w:hint="eastAsia" w:ascii="宋体" w:hAnsi="宋体" w:eastAsia="宋体" w:cs="Times New Roman"/>
          <w:b/>
          <w:color w:val="auto"/>
          <w:kern w:val="0"/>
          <w:sz w:val="44"/>
          <w:szCs w:val="44"/>
          <w:highlight w:val="none"/>
        </w:rPr>
      </w:pPr>
    </w:p>
    <w:p>
      <w:pPr>
        <w:spacing w:line="600" w:lineRule="auto"/>
        <w:jc w:val="center"/>
        <w:rPr>
          <w:rFonts w:hint="eastAsia" w:ascii="华文中宋" w:hAnsi="华文中宋" w:eastAsia="华文中宋" w:cs="华文中宋"/>
          <w:bCs/>
          <w:color w:val="auto"/>
          <w:kern w:val="0"/>
          <w:sz w:val="32"/>
          <w:szCs w:val="32"/>
          <w:highlight w:val="none"/>
        </w:rPr>
      </w:pPr>
    </w:p>
    <w:p>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商务部分</w:t>
      </w:r>
    </w:p>
    <w:p>
      <w:pPr>
        <w:spacing w:line="360" w:lineRule="auto"/>
        <w:ind w:firstLine="640" w:firstLineChars="200"/>
        <w:jc w:val="center"/>
        <w:rPr>
          <w:rFonts w:hint="eastAsia" w:ascii="宋体" w:hAnsi="宋体" w:eastAsia="宋体" w:cs="Times New Roman"/>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项目名称：</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项目编号：</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所投采购包：</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投标人：</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日  期：</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widowControl/>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 xml:space="preserve">格式1  </w:t>
      </w:r>
      <w:r>
        <w:rPr>
          <w:rFonts w:hint="eastAsia" w:ascii="Times New Roman" w:hAnsi="Times New Roman" w:eastAsia="宋体" w:cs="宋体"/>
          <w:b/>
          <w:bCs/>
          <w:color w:val="auto"/>
          <w:sz w:val="28"/>
          <w:szCs w:val="28"/>
          <w:highlight w:val="none"/>
          <w:lang w:bidi="ar"/>
        </w:rPr>
        <w:t>投标人基本情况</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供应商名称</w:t>
            </w:r>
          </w:p>
        </w:tc>
        <w:tc>
          <w:tcPr>
            <w:tcW w:w="1229" w:type="pct"/>
            <w:gridSpan w:val="2"/>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法定代表人</w:t>
            </w: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统一社会信用代码</w:t>
            </w:r>
          </w:p>
        </w:tc>
        <w:tc>
          <w:tcPr>
            <w:tcW w:w="1229" w:type="pct"/>
            <w:gridSpan w:val="2"/>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邮政编码</w:t>
            </w: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授权代表</w:t>
            </w:r>
          </w:p>
        </w:tc>
        <w:tc>
          <w:tcPr>
            <w:tcW w:w="1229" w:type="pct"/>
            <w:gridSpan w:val="2"/>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联系电话</w:t>
            </w: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电子邮箱</w:t>
            </w:r>
          </w:p>
        </w:tc>
        <w:tc>
          <w:tcPr>
            <w:tcW w:w="1229" w:type="pct"/>
            <w:gridSpan w:val="2"/>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传真</w:t>
            </w: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上年营业收入</w:t>
            </w:r>
          </w:p>
        </w:tc>
        <w:tc>
          <w:tcPr>
            <w:tcW w:w="1229" w:type="pct"/>
            <w:gridSpan w:val="2"/>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员工总人数</w:t>
            </w: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税务登记机关</w:t>
            </w:r>
          </w:p>
        </w:tc>
        <w:tc>
          <w:tcPr>
            <w:tcW w:w="3462" w:type="pct"/>
            <w:gridSpan w:val="3"/>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资质名称</w:t>
            </w:r>
          </w:p>
        </w:tc>
        <w:tc>
          <w:tcPr>
            <w:tcW w:w="902"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等级</w:t>
            </w:r>
          </w:p>
        </w:tc>
        <w:tc>
          <w:tcPr>
            <w:tcW w:w="986"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发证机关</w:t>
            </w:r>
          </w:p>
        </w:tc>
        <w:tc>
          <w:tcPr>
            <w:tcW w:w="1574"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p>
        </w:tc>
        <w:tc>
          <w:tcPr>
            <w:tcW w:w="902" w:type="pct"/>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p>
        </w:tc>
        <w:tc>
          <w:tcPr>
            <w:tcW w:w="902" w:type="pct"/>
            <w:vAlign w:val="center"/>
          </w:tcPr>
          <w:p>
            <w:pPr>
              <w:spacing w:line="360" w:lineRule="auto"/>
              <w:jc w:val="center"/>
              <w:rPr>
                <w:rFonts w:ascii="Times New Roman" w:hAnsi="Times New Roman" w:eastAsia="宋体" w:cs="Courier New"/>
                <w:color w:val="auto"/>
                <w:szCs w:val="21"/>
                <w:highlight w:val="none"/>
              </w:rPr>
            </w:pPr>
          </w:p>
        </w:tc>
        <w:tc>
          <w:tcPr>
            <w:tcW w:w="986" w:type="pct"/>
            <w:vAlign w:val="center"/>
          </w:tcPr>
          <w:p>
            <w:pPr>
              <w:spacing w:line="360" w:lineRule="auto"/>
              <w:jc w:val="center"/>
              <w:rPr>
                <w:rFonts w:ascii="Times New Roman" w:hAnsi="Times New Roman" w:eastAsia="宋体" w:cs="Courier New"/>
                <w:color w:val="auto"/>
                <w:szCs w:val="21"/>
                <w:highlight w:val="none"/>
              </w:rPr>
            </w:pPr>
          </w:p>
        </w:tc>
        <w:tc>
          <w:tcPr>
            <w:tcW w:w="1574" w:type="pct"/>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eastAsia="宋体" w:cs="Courier New"/>
                <w:color w:val="auto"/>
                <w:szCs w:val="21"/>
                <w:highlight w:val="none"/>
              </w:rPr>
            </w:pPr>
            <w:r>
              <w:rPr>
                <w:rFonts w:hint="eastAsia" w:ascii="宋体" w:hAnsi="宋体" w:eastAsia="宋体" w:cs="Courier New"/>
                <w:color w:val="auto"/>
                <w:szCs w:val="21"/>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widowControl/>
              <w:spacing w:line="360" w:lineRule="auto"/>
              <w:contextualSpacing/>
              <w:jc w:val="center"/>
              <w:rPr>
                <w:rFonts w:ascii="Times New Roman" w:hAnsi="Times New Roman" w:eastAsia="宋体" w:cs="Times New Roman"/>
                <w:color w:val="auto"/>
                <w:szCs w:val="21"/>
                <w:highlight w:val="none"/>
              </w:rPr>
            </w:pPr>
            <w:r>
              <w:rPr>
                <w:rFonts w:hint="eastAsia" w:ascii="宋体" w:hAnsi="宋体" w:eastAsia="宋体" w:cs="宋体"/>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eastAsia="宋体" w:cs="Times New Roman"/>
                <w:color w:val="auto"/>
                <w:szCs w:val="21"/>
                <w:highlight w:val="none"/>
              </w:rPr>
            </w:pPr>
            <w:r>
              <w:rPr>
                <w:rFonts w:hint="eastAsia" w:ascii="宋体" w:hAnsi="宋体" w:eastAsia="宋体" w:cs="宋体"/>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eastAsia="宋体" w:cs="Times New Roman"/>
                <w:color w:val="auto"/>
                <w:szCs w:val="21"/>
                <w:highlight w:val="none"/>
              </w:rPr>
            </w:pPr>
            <w:r>
              <w:rPr>
                <w:rFonts w:hint="eastAsia" w:ascii="宋体" w:hAnsi="宋体" w:eastAsia="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p>
        </w:tc>
        <w:tc>
          <w:tcPr>
            <w:tcW w:w="902" w:type="pct"/>
            <w:vAlign w:val="center"/>
          </w:tcPr>
          <w:p>
            <w:pPr>
              <w:spacing w:line="360" w:lineRule="auto"/>
              <w:jc w:val="center"/>
              <w:rPr>
                <w:rFonts w:ascii="Times New Roman" w:hAnsi="Times New Roman" w:eastAsia="宋体" w:cs="Courier New"/>
                <w:color w:val="auto"/>
                <w:szCs w:val="21"/>
                <w:highlight w:val="none"/>
              </w:rPr>
            </w:pPr>
          </w:p>
        </w:tc>
        <w:tc>
          <w:tcPr>
            <w:tcW w:w="2560" w:type="pct"/>
            <w:gridSpan w:val="2"/>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p>
        </w:tc>
        <w:tc>
          <w:tcPr>
            <w:tcW w:w="902" w:type="pct"/>
            <w:vAlign w:val="center"/>
          </w:tcPr>
          <w:p>
            <w:pPr>
              <w:spacing w:line="360" w:lineRule="auto"/>
              <w:jc w:val="center"/>
              <w:rPr>
                <w:rFonts w:ascii="Times New Roman" w:hAnsi="Times New Roman" w:eastAsia="宋体" w:cs="Courier New"/>
                <w:color w:val="auto"/>
                <w:szCs w:val="21"/>
                <w:highlight w:val="none"/>
              </w:rPr>
            </w:pPr>
          </w:p>
        </w:tc>
        <w:tc>
          <w:tcPr>
            <w:tcW w:w="2560" w:type="pct"/>
            <w:gridSpan w:val="2"/>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eastAsia="宋体" w:cs="Courier New"/>
                <w:color w:val="auto"/>
                <w:szCs w:val="21"/>
                <w:highlight w:val="none"/>
              </w:rPr>
            </w:pPr>
          </w:p>
        </w:tc>
        <w:tc>
          <w:tcPr>
            <w:tcW w:w="902" w:type="pct"/>
            <w:vAlign w:val="center"/>
          </w:tcPr>
          <w:p>
            <w:pPr>
              <w:spacing w:line="360" w:lineRule="auto"/>
              <w:jc w:val="center"/>
              <w:rPr>
                <w:rFonts w:ascii="Times New Roman" w:hAnsi="Times New Roman" w:eastAsia="宋体" w:cs="Courier New"/>
                <w:color w:val="auto"/>
                <w:szCs w:val="21"/>
                <w:highlight w:val="none"/>
              </w:rPr>
            </w:pPr>
          </w:p>
        </w:tc>
        <w:tc>
          <w:tcPr>
            <w:tcW w:w="2560" w:type="pct"/>
            <w:gridSpan w:val="2"/>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eastAsia="宋体" w:cs="Courier New"/>
                <w:color w:val="auto"/>
                <w:szCs w:val="21"/>
                <w:highlight w:val="none"/>
              </w:rPr>
            </w:pPr>
            <w:r>
              <w:rPr>
                <w:rFonts w:hint="eastAsia" w:ascii="宋体" w:hAnsi="宋体" w:eastAsia="宋体" w:cs="Courier New"/>
                <w:color w:val="auto"/>
                <w:szCs w:val="21"/>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eastAsia="宋体" w:cs="Times New Roman"/>
                <w:color w:val="auto"/>
                <w:szCs w:val="21"/>
                <w:highlight w:val="none"/>
              </w:rPr>
            </w:pPr>
            <w:r>
              <w:rPr>
                <w:rFonts w:hint="eastAsia" w:ascii="宋体" w:hAnsi="宋体" w:eastAsia="宋体" w:cs="宋体"/>
                <w:bCs/>
                <w:color w:val="auto"/>
                <w:kern w:val="0"/>
                <w:szCs w:val="21"/>
                <w:highlight w:val="none"/>
              </w:rPr>
              <w:t>直接管理关系单位名称</w:t>
            </w:r>
          </w:p>
        </w:tc>
        <w:tc>
          <w:tcPr>
            <w:tcW w:w="2560" w:type="pct"/>
            <w:gridSpan w:val="2"/>
            <w:vAlign w:val="center"/>
          </w:tcPr>
          <w:p>
            <w:pPr>
              <w:jc w:val="center"/>
              <w:rPr>
                <w:rFonts w:ascii="Times New Roman" w:hAnsi="Times New Roman" w:eastAsia="宋体" w:cs="Courier New"/>
                <w:color w:val="auto"/>
                <w:szCs w:val="21"/>
                <w:highlight w:val="none"/>
              </w:rPr>
            </w:pPr>
            <w:r>
              <w:rPr>
                <w:rFonts w:hint="eastAsia" w:ascii="宋体" w:hAnsi="宋体" w:eastAsia="宋体" w:cs="Courier New"/>
                <w:bCs/>
                <w:color w:val="auto"/>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eastAsia="宋体" w:cs="Courier New"/>
                <w:color w:val="auto"/>
                <w:szCs w:val="21"/>
                <w:highlight w:val="none"/>
              </w:rPr>
            </w:pPr>
          </w:p>
        </w:tc>
        <w:tc>
          <w:tcPr>
            <w:tcW w:w="2560" w:type="pct"/>
            <w:gridSpan w:val="2"/>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eastAsia="宋体" w:cs="Courier New"/>
                <w:color w:val="auto"/>
                <w:szCs w:val="21"/>
                <w:highlight w:val="none"/>
              </w:rPr>
            </w:pPr>
          </w:p>
        </w:tc>
        <w:tc>
          <w:tcPr>
            <w:tcW w:w="2560" w:type="pct"/>
            <w:gridSpan w:val="2"/>
            <w:vAlign w:val="center"/>
          </w:tcPr>
          <w:p>
            <w:pPr>
              <w:spacing w:line="360" w:lineRule="auto"/>
              <w:jc w:val="center"/>
              <w:rPr>
                <w:rFonts w:ascii="Times New Roman" w:hAnsi="Times New Roman" w:eastAsia="宋体" w:cs="Courier New"/>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备注</w:t>
            </w:r>
          </w:p>
        </w:tc>
        <w:tc>
          <w:tcPr>
            <w:tcW w:w="3789" w:type="pct"/>
            <w:gridSpan w:val="4"/>
            <w:vAlign w:val="center"/>
          </w:tcPr>
          <w:p>
            <w:pPr>
              <w:spacing w:line="360" w:lineRule="auto"/>
              <w:jc w:val="center"/>
              <w:rPr>
                <w:rFonts w:ascii="Times New Roman" w:hAnsi="Times New Roman" w:eastAsia="宋体" w:cs="Courier New"/>
                <w:color w:val="auto"/>
                <w:szCs w:val="21"/>
                <w:highlight w:val="none"/>
              </w:rPr>
            </w:pPr>
          </w:p>
        </w:tc>
      </w:tr>
    </w:tbl>
    <w:p>
      <w:pPr>
        <w:topLinePunct/>
        <w:autoSpaceDE w:val="0"/>
        <w:autoSpaceDN w:val="0"/>
        <w:spacing w:line="500" w:lineRule="exact"/>
        <w:ind w:firstLine="211" w:firstLineChars="100"/>
        <w:rPr>
          <w:rFonts w:hint="eastAsia" w:ascii="Calibri" w:hAnsi="宋体" w:eastAsia="宋体" w:cs="Times New Roman"/>
          <w:b/>
          <w:bCs/>
          <w:color w:val="auto"/>
          <w:sz w:val="24"/>
          <w:highlight w:val="none"/>
        </w:rPr>
      </w:pPr>
      <w:r>
        <w:rPr>
          <w:rFonts w:hint="eastAsia" w:ascii="Times New Roman" w:hAnsi="Times New Roman" w:eastAsia="宋体" w:cs="Times New Roman"/>
          <w:b/>
          <w:bCs/>
          <w:color w:val="auto"/>
          <w:szCs w:val="21"/>
          <w:highlight w:val="none"/>
        </w:rPr>
        <w:t>（附</w:t>
      </w:r>
      <w:r>
        <w:rPr>
          <w:rFonts w:ascii="Times New Roman" w:hAnsi="Times New Roman" w:eastAsia="宋体" w:cs="Times New Roman"/>
          <w:b/>
          <w:bCs/>
          <w:color w:val="auto"/>
          <w:szCs w:val="21"/>
          <w:highlight w:val="none"/>
        </w:rPr>
        <w:t>法人或者其他组织的营业执照等证明文件复印件</w:t>
      </w:r>
      <w:r>
        <w:rPr>
          <w:rFonts w:hint="eastAsia" w:ascii="Times New Roman" w:hAnsi="Times New Roman" w:eastAsia="宋体" w:cs="Times New Roman"/>
          <w:b/>
          <w:bCs/>
          <w:color w:val="auto"/>
          <w:szCs w:val="21"/>
          <w:highlight w:val="none"/>
        </w:rPr>
        <w:t>；投标人如为</w:t>
      </w:r>
      <w:r>
        <w:rPr>
          <w:rFonts w:ascii="Times New Roman" w:hAnsi="Times New Roman" w:eastAsia="宋体" w:cs="Times New Roman"/>
          <w:b/>
          <w:bCs/>
          <w:color w:val="auto"/>
          <w:szCs w:val="21"/>
          <w:highlight w:val="none"/>
        </w:rPr>
        <w:t>自然人</w:t>
      </w:r>
      <w:r>
        <w:rPr>
          <w:rFonts w:hint="eastAsia" w:ascii="Times New Roman" w:hAnsi="Times New Roman" w:eastAsia="宋体" w:cs="Times New Roman"/>
          <w:b/>
          <w:bCs/>
          <w:color w:val="auto"/>
          <w:szCs w:val="21"/>
          <w:highlight w:val="none"/>
        </w:rPr>
        <w:t>，提供自然人</w:t>
      </w:r>
      <w:r>
        <w:rPr>
          <w:rFonts w:ascii="Times New Roman" w:hAnsi="Times New Roman" w:eastAsia="宋体" w:cs="Times New Roman"/>
          <w:b/>
          <w:bCs/>
          <w:color w:val="auto"/>
          <w:szCs w:val="21"/>
          <w:highlight w:val="none"/>
        </w:rPr>
        <w:t>的身份证复印件</w:t>
      </w:r>
      <w:r>
        <w:rPr>
          <w:rFonts w:hint="eastAsia" w:ascii="Times New Roman" w:hAnsi="Times New Roman" w:eastAsia="宋体" w:cs="Times New Roman"/>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w:t>
      </w:r>
      <w:r>
        <w:rPr>
          <w:rFonts w:hint="eastAsia" w:ascii="宋体" w:hAnsi="宋体" w:eastAsia="宋体" w:cs="宋体"/>
          <w:color w:val="auto"/>
          <w:kern w:val="0"/>
          <w:szCs w:val="21"/>
          <w:highlight w:val="none"/>
          <w:lang w:bidi="ar"/>
        </w:rPr>
        <w:t>（全称并加盖公章</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投标人代表（签字）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ind w:firstLine="420" w:firstLineChars="200"/>
        <w:jc w:val="left"/>
        <w:rPr>
          <w:rFonts w:ascii="Times New Roman" w:hAnsi="Times New Roman" w:eastAsia="宋体" w:cs="Times New Roman"/>
          <w:b/>
          <w:bCs/>
          <w:color w:val="auto"/>
          <w:sz w:val="28"/>
          <w:szCs w:val="28"/>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ascii="Times New Roman" w:hAnsi="Times New Roman" w:eastAsia="宋体" w:cs="Times New Roman"/>
          <w:b/>
          <w:bCs/>
          <w:color w:val="auto"/>
          <w:sz w:val="28"/>
          <w:szCs w:val="28"/>
          <w:highlight w:val="none"/>
        </w:rPr>
        <w:br w:type="page"/>
      </w:r>
    </w:p>
    <w:p>
      <w:pPr>
        <w:adjustRightInd w:val="0"/>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格式2  </w:t>
      </w:r>
      <w:r>
        <w:rPr>
          <w:rFonts w:hint="eastAsia" w:ascii="Times New Roman" w:hAnsi="Times New Roman" w:eastAsia="宋体" w:cs="Times New Roman"/>
          <w:b/>
          <w:bCs/>
          <w:color w:val="auto"/>
          <w:sz w:val="28"/>
          <w:szCs w:val="28"/>
          <w:highlight w:val="none"/>
          <w:lang w:bidi="ar"/>
        </w:rPr>
        <w:t>投标人具备投标资格证明文件</w:t>
      </w:r>
    </w:p>
    <w:p>
      <w:pPr>
        <w:widowControl/>
        <w:jc w:val="center"/>
        <w:rPr>
          <w:rFonts w:ascii="Times New Roman" w:hAnsi="Times New Roman" w:eastAsia="宋体" w:cs="Times New Roman"/>
          <w:b/>
          <w:bCs/>
          <w:color w:val="auto"/>
          <w:sz w:val="28"/>
          <w:szCs w:val="28"/>
          <w:highlight w:val="none"/>
        </w:rPr>
      </w:pPr>
      <w:r>
        <w:rPr>
          <w:rFonts w:hint="eastAsia" w:ascii="宋体" w:hAnsi="宋体" w:eastAsia="宋体" w:cs="宋体"/>
          <w:b/>
          <w:bCs/>
          <w:color w:val="auto"/>
          <w:sz w:val="28"/>
          <w:szCs w:val="28"/>
          <w:highlight w:val="none"/>
          <w:lang w:bidi="ar"/>
        </w:rPr>
        <w:t>2-1</w:t>
      </w:r>
      <w:r>
        <w:rPr>
          <w:rFonts w:hint="eastAsia" w:ascii="Times New Roman" w:hAnsi="Times New Roman" w:eastAsia="宋体" w:cs="宋体"/>
          <w:b/>
          <w:bCs/>
          <w:color w:val="auto"/>
          <w:sz w:val="28"/>
          <w:szCs w:val="28"/>
          <w:highlight w:val="none"/>
          <w:lang w:bidi="ar"/>
        </w:rPr>
        <w:t>财务状况报告</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kern w:val="0"/>
          <w:szCs w:val="21"/>
          <w:highlight w:val="none"/>
          <w:lang w:bidi="ar"/>
        </w:rPr>
        <w:t>根据资格条件要求提供相应材料。</w:t>
      </w:r>
    </w:p>
    <w:p>
      <w:pPr>
        <w:adjustRightInd w:val="0"/>
        <w:snapToGrid w:val="0"/>
        <w:spacing w:line="360" w:lineRule="auto"/>
        <w:jc w:val="center"/>
        <w:rPr>
          <w:rFonts w:hint="eastAsia" w:ascii="宋体" w:hAnsi="宋体" w:eastAsia="宋体" w:cs="宋体"/>
          <w:b/>
          <w:bCs/>
          <w:color w:val="auto"/>
          <w:sz w:val="28"/>
          <w:szCs w:val="28"/>
          <w:highlight w:val="none"/>
        </w:rPr>
      </w:pPr>
    </w:p>
    <w:p>
      <w:pPr>
        <w:adjustRightInd w:val="0"/>
        <w:snapToGrid w:val="0"/>
        <w:spacing w:line="360" w:lineRule="auto"/>
        <w:jc w:val="center"/>
        <w:rPr>
          <w:rFonts w:hint="eastAsia" w:ascii="宋体" w:hAnsi="宋体" w:eastAsia="宋体" w:cs="宋体"/>
          <w:b/>
          <w:bCs/>
          <w:color w:val="auto"/>
          <w:sz w:val="28"/>
          <w:szCs w:val="28"/>
          <w:highlight w:val="none"/>
        </w:rPr>
      </w:pPr>
    </w:p>
    <w:p>
      <w:pPr>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lang w:bidi="ar"/>
        </w:rPr>
        <w:t>2-2</w:t>
      </w:r>
      <w:r>
        <w:rPr>
          <w:rFonts w:hint="eastAsia" w:ascii="Times New Roman" w:hAnsi="Times New Roman" w:eastAsia="宋体" w:cs="宋体"/>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kern w:val="0"/>
          <w:szCs w:val="21"/>
          <w:highlight w:val="none"/>
          <w:lang w:bidi="ar"/>
        </w:rPr>
        <w:t>根据资格条件要求提供相应材料。</w:t>
      </w:r>
    </w:p>
    <w:p>
      <w:pPr>
        <w:adjustRightInd w:val="0"/>
        <w:snapToGrid w:val="0"/>
        <w:spacing w:line="360" w:lineRule="auto"/>
        <w:jc w:val="center"/>
        <w:rPr>
          <w:rFonts w:hint="eastAsia" w:ascii="宋体" w:hAnsi="宋体" w:eastAsia="宋体" w:cs="宋体"/>
          <w:b/>
          <w:bCs/>
          <w:color w:val="auto"/>
          <w:sz w:val="28"/>
          <w:szCs w:val="28"/>
          <w:highlight w:val="none"/>
        </w:rPr>
      </w:pPr>
    </w:p>
    <w:p>
      <w:pPr>
        <w:adjustRightInd w:val="0"/>
        <w:snapToGrid w:val="0"/>
        <w:spacing w:line="360" w:lineRule="auto"/>
        <w:jc w:val="center"/>
        <w:rPr>
          <w:rFonts w:hint="eastAsia" w:ascii="宋体" w:hAnsi="宋体" w:eastAsia="宋体" w:cs="宋体"/>
          <w:b/>
          <w:bCs/>
          <w:color w:val="auto"/>
          <w:sz w:val="28"/>
          <w:szCs w:val="28"/>
          <w:highlight w:val="none"/>
        </w:rPr>
      </w:pPr>
    </w:p>
    <w:p>
      <w:pPr>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lang w:bidi="ar"/>
        </w:rPr>
        <w:t>2-3</w:t>
      </w:r>
      <w:r>
        <w:rPr>
          <w:rFonts w:hint="eastAsia" w:ascii="Times New Roman" w:hAnsi="Times New Roman" w:eastAsia="宋体" w:cs="宋体"/>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kern w:val="0"/>
          <w:szCs w:val="21"/>
          <w:highlight w:val="none"/>
          <w:lang w:bidi="ar"/>
        </w:rPr>
        <w:t>根据资格条件要求提供相应材料。</w:t>
      </w:r>
    </w:p>
    <w:p>
      <w:pPr>
        <w:adjustRightInd w:val="0"/>
        <w:snapToGrid w:val="0"/>
        <w:spacing w:line="360" w:lineRule="auto"/>
        <w:jc w:val="center"/>
        <w:rPr>
          <w:rFonts w:hint="eastAsia" w:ascii="宋体" w:hAnsi="宋体" w:eastAsia="宋体" w:cs="宋体"/>
          <w:b/>
          <w:bCs/>
          <w:color w:val="auto"/>
          <w:sz w:val="28"/>
          <w:szCs w:val="28"/>
          <w:highlight w:val="none"/>
        </w:rPr>
      </w:pPr>
    </w:p>
    <w:p>
      <w:pPr>
        <w:adjustRightInd w:val="0"/>
        <w:snapToGrid w:val="0"/>
        <w:spacing w:line="360" w:lineRule="auto"/>
        <w:rPr>
          <w:rFonts w:hint="eastAsia" w:ascii="宋体" w:hAnsi="宋体" w:eastAsia="宋体" w:cs="宋体"/>
          <w:b/>
          <w:bCs/>
          <w:color w:val="auto"/>
          <w:sz w:val="28"/>
          <w:szCs w:val="28"/>
          <w:highlight w:val="none"/>
        </w:rPr>
      </w:pPr>
    </w:p>
    <w:p>
      <w:pPr>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lang w:bidi="ar"/>
        </w:rPr>
        <w:t>2-4</w:t>
      </w:r>
      <w:r>
        <w:rPr>
          <w:rFonts w:hint="eastAsia" w:ascii="Times New Roman" w:hAnsi="Times New Roman" w:eastAsia="宋体" w:cs="宋体"/>
          <w:b/>
          <w:bCs/>
          <w:color w:val="auto"/>
          <w:sz w:val="28"/>
          <w:szCs w:val="28"/>
          <w:highlight w:val="none"/>
          <w:lang w:bidi="ar"/>
        </w:rPr>
        <w:t>具备履行合同所必需的设备和专业技术能力的证明材料</w:t>
      </w:r>
    </w:p>
    <w:p>
      <w:pPr>
        <w:widowControl/>
        <w:jc w:val="left"/>
        <w:rPr>
          <w:rFonts w:ascii="Times New Roman" w:hAnsi="Times New Roman" w:eastAsia="宋体" w:cs="Times New Roman"/>
          <w:b/>
          <w:bCs/>
          <w:color w:val="auto"/>
          <w:sz w:val="28"/>
          <w:szCs w:val="28"/>
          <w:highlight w:val="none"/>
        </w:rPr>
      </w:pPr>
      <w:r>
        <w:rPr>
          <w:rFonts w:hint="eastAsia" w:ascii="Times New Roman" w:hAnsi="Times New Roman" w:eastAsia="宋体" w:cs="宋体"/>
          <w:color w:val="auto"/>
          <w:kern w:val="0"/>
          <w:szCs w:val="21"/>
          <w:highlight w:val="none"/>
          <w:lang w:bidi="ar"/>
        </w:rPr>
        <w:t>根据资格条件要求提供相应材料。</w:t>
      </w:r>
      <w:r>
        <w:rPr>
          <w:rFonts w:ascii="Times New Roman" w:hAnsi="Times New Roman" w:eastAsia="宋体" w:cs="Times New Roman"/>
          <w:b/>
          <w:bCs/>
          <w:color w:val="auto"/>
          <w:sz w:val="28"/>
          <w:szCs w:val="28"/>
          <w:highlight w:val="none"/>
        </w:rPr>
        <w:br w:type="page"/>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 xml:space="preserve">格式3  </w:t>
      </w:r>
      <w:r>
        <w:rPr>
          <w:rFonts w:hint="eastAsia" w:ascii="Times New Roman" w:hAnsi="Times New Roman" w:eastAsia="宋体" w:cs="宋体"/>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eastAsia="宋体" w:cs="Times New Roman"/>
          <w:b/>
          <w:bCs/>
          <w:color w:val="auto"/>
          <w:sz w:val="28"/>
          <w:szCs w:val="28"/>
          <w:highlight w:val="none"/>
        </w:rPr>
      </w:pPr>
      <w:r>
        <w:rPr>
          <w:rFonts w:hint="eastAsia" w:ascii="Times New Roman" w:hAnsi="Times New Roman" w:eastAsia="宋体" w:cs="宋体"/>
          <w:b/>
          <w:bCs/>
          <w:color w:val="auto"/>
          <w:sz w:val="28"/>
          <w:szCs w:val="28"/>
          <w:highlight w:val="none"/>
          <w:lang w:bidi="ar"/>
        </w:rPr>
        <w:t>没有重大违法记录的书面声明</w:t>
      </w:r>
    </w:p>
    <w:p>
      <w:pPr>
        <w:spacing w:line="360" w:lineRule="auto"/>
        <w:ind w:firstLine="420" w:firstLineChars="200"/>
        <w:rPr>
          <w:rFonts w:ascii="Calibri" w:hAnsi="Calibri" w:eastAsia="宋体" w:cs="Times New Roman"/>
          <w:color w:val="auto"/>
          <w:highlight w:val="none"/>
        </w:rPr>
      </w:pPr>
    </w:p>
    <w:p>
      <w:pPr>
        <w:spacing w:line="360" w:lineRule="auto"/>
        <w:rPr>
          <w:rFonts w:ascii="Calibri" w:hAnsi="Calibri" w:eastAsia="宋体" w:cs="Times New Roman"/>
          <w:color w:val="auto"/>
          <w:highlight w:val="none"/>
        </w:rPr>
      </w:pPr>
      <w:r>
        <w:rPr>
          <w:rFonts w:hint="eastAsia" w:ascii="Calibri" w:hAnsi="Calibri" w:eastAsia="宋体" w:cs="宋体"/>
          <w:color w:val="auto"/>
          <w:highlight w:val="none"/>
          <w:lang w:bidi="ar"/>
        </w:rPr>
        <w:t>致</w:t>
      </w:r>
      <w:r>
        <w:rPr>
          <w:rFonts w:ascii="Calibri" w:hAnsi="Calibri" w:eastAsia="宋体" w:cs="Times New Roman"/>
          <w:color w:val="auto"/>
          <w:highlight w:val="none"/>
          <w:lang w:bidi="ar"/>
        </w:rPr>
        <w:t>________</w:t>
      </w:r>
      <w:r>
        <w:rPr>
          <w:rFonts w:hint="eastAsia" w:ascii="Calibri" w:hAnsi="Calibri" w:eastAsia="宋体" w:cs="宋体"/>
          <w:color w:val="auto"/>
          <w:highlight w:val="none"/>
          <w:lang w:bidi="ar"/>
        </w:rPr>
        <w:t>（采购人或采购代理机构）：</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特此声明！</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（请投标人根据实际情况如实声明，否则视为提供虚假材料。）</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投标人（全称并加盖公章）：</w:t>
      </w:r>
      <w:r>
        <w:rPr>
          <w:rFonts w:ascii="Calibri" w:hAnsi="Calibri" w:eastAsia="宋体" w:cs="Times New Roman"/>
          <w:color w:val="auto"/>
          <w:highlight w:val="none"/>
          <w:lang w:bidi="ar"/>
        </w:rPr>
        <w:t xml:space="preserve">             </w:t>
      </w:r>
    </w:p>
    <w:p>
      <w:pPr>
        <w:tabs>
          <w:tab w:val="left" w:pos="1230"/>
        </w:tabs>
        <w:topLinePunct/>
        <w:autoSpaceDE w:val="0"/>
        <w:autoSpaceDN w:val="0"/>
        <w:adjustRightInd w:val="0"/>
        <w:snapToGrid w:val="0"/>
        <w:spacing w:line="360" w:lineRule="auto"/>
        <w:ind w:firstLine="420" w:firstLineChars="200"/>
        <w:rPr>
          <w:rFonts w:ascii="Calibri" w:hAnsi="Calibri" w:eastAsia="宋体" w:cs="Times New Roman"/>
          <w:color w:val="auto"/>
          <w:highlight w:val="none"/>
        </w:rPr>
      </w:pPr>
      <w:r>
        <w:rPr>
          <w:rFonts w:hint="eastAsia" w:ascii="宋体" w:hAnsi="宋体" w:eastAsia="宋体" w:cs="宋体"/>
          <w:color w:val="auto"/>
          <w:kern w:val="0"/>
          <w:szCs w:val="21"/>
          <w:highlight w:val="none"/>
        </w:rPr>
        <w:t>投标人代表（签字）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ascii="Calibri" w:hAnsi="Calibri" w:eastAsia="宋体" w:cs="Times New Roman"/>
          <w:color w:val="auto"/>
          <w:highlight w:val="none"/>
        </w:rPr>
        <w:t xml:space="preserve">             </w:t>
      </w:r>
    </w:p>
    <w:p>
      <w:pPr>
        <w:widowControl/>
        <w:ind w:firstLine="420" w:firstLineChars="200"/>
        <w:jc w:val="left"/>
        <w:rPr>
          <w:rFonts w:ascii="Times New Roman" w:hAnsi="Times New Roman" w:eastAsia="宋体" w:cs="Times New Roman"/>
          <w:b/>
          <w:bCs/>
          <w:color w:val="auto"/>
          <w:sz w:val="28"/>
          <w:szCs w:val="28"/>
          <w:highlight w:val="none"/>
        </w:rPr>
      </w:pPr>
      <w:r>
        <w:rPr>
          <w:rFonts w:hint="eastAsia" w:ascii="Calibri" w:hAnsi="Calibri" w:eastAsia="宋体" w:cs="宋体"/>
          <w:color w:val="auto"/>
          <w:highlight w:val="none"/>
          <w:lang w:bidi="ar"/>
        </w:rPr>
        <w:t>日期：</w:t>
      </w:r>
      <w:r>
        <w:rPr>
          <w:rFonts w:ascii="Calibri" w:hAnsi="Calibri" w:eastAsia="宋体" w:cs="Times New Roman"/>
          <w:color w:val="auto"/>
          <w:highlight w:val="none"/>
          <w:lang w:bidi="ar"/>
        </w:rPr>
        <w:t xml:space="preserve">                                 </w:t>
      </w:r>
      <w:r>
        <w:rPr>
          <w:rFonts w:ascii="Times New Roman" w:hAnsi="Times New Roman" w:eastAsia="宋体" w:cs="Times New Roman"/>
          <w:b/>
          <w:bCs/>
          <w:color w:val="auto"/>
          <w:sz w:val="28"/>
          <w:szCs w:val="28"/>
          <w:highlight w:val="none"/>
        </w:rPr>
        <w:br w:type="page"/>
      </w:r>
    </w:p>
    <w:p>
      <w:pPr>
        <w:widowControl/>
        <w:jc w:val="center"/>
        <w:rPr>
          <w:rFonts w:hint="eastAsia" w:ascii="宋体" w:hAnsi="宋体" w:eastAsia="宋体" w:cs="宋体"/>
          <w:b/>
          <w:bCs/>
          <w:color w:val="auto"/>
          <w:sz w:val="28"/>
          <w:szCs w:val="28"/>
          <w:highlight w:val="none"/>
        </w:rPr>
      </w:pPr>
      <w:r>
        <w:rPr>
          <w:rFonts w:hint="eastAsia" w:ascii="Times New Roman" w:hAnsi="Times New Roman" w:eastAsia="宋体" w:cs="Times New Roman"/>
          <w:b/>
          <w:bCs/>
          <w:color w:val="auto"/>
          <w:sz w:val="28"/>
          <w:szCs w:val="28"/>
          <w:highlight w:val="none"/>
        </w:rPr>
        <w:t xml:space="preserve">格式4  </w:t>
      </w:r>
      <w:r>
        <w:rPr>
          <w:rFonts w:hint="eastAsia" w:ascii="Times New Roman" w:hAnsi="Times New Roman" w:eastAsia="宋体" w:cs="宋体"/>
          <w:b/>
          <w:bCs/>
          <w:color w:val="auto"/>
          <w:sz w:val="28"/>
          <w:szCs w:val="28"/>
          <w:highlight w:val="none"/>
          <w:lang w:bidi="ar"/>
        </w:rPr>
        <w:t>具备法律、行政法规规定的其他条件的证明材料</w:t>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宋体" w:hAnsi="宋体" w:eastAsia="宋体" w:cs="宋体"/>
          <w:color w:val="auto"/>
          <w:kern w:val="0"/>
          <w:szCs w:val="21"/>
          <w:highlight w:val="none"/>
          <w:lang w:bidi="ar"/>
        </w:rPr>
        <w:t>根据资格条件要求提供相应材料。</w:t>
      </w:r>
    </w:p>
    <w:p>
      <w:pPr>
        <w:widowControl/>
        <w:jc w:val="left"/>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br w:type="page"/>
      </w:r>
    </w:p>
    <w:p>
      <w:pPr>
        <w:widowControl/>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 xml:space="preserve">格式5  </w:t>
      </w:r>
      <w:r>
        <w:rPr>
          <w:rFonts w:hint="eastAsia" w:ascii="Times New Roman" w:hAnsi="Times New Roman" w:eastAsia="宋体" w:cs="宋体"/>
          <w:b/>
          <w:bCs/>
          <w:color w:val="auto"/>
          <w:sz w:val="28"/>
          <w:szCs w:val="28"/>
          <w:highlight w:val="none"/>
          <w:lang w:bidi="ar"/>
        </w:rPr>
        <w:t>联合体协议（若有）</w:t>
      </w:r>
    </w:p>
    <w:p>
      <w:pPr>
        <w:topLinePunct/>
        <w:autoSpaceDE w:val="0"/>
        <w:autoSpaceDN w:val="0"/>
        <w:snapToGrid w:val="0"/>
        <w:spacing w:line="360" w:lineRule="auto"/>
        <w:jc w:val="center"/>
        <w:rPr>
          <w:rFonts w:hint="eastAsia" w:ascii="宋体" w:hAnsi="宋体" w:eastAsia="宋体" w:cs="宋体"/>
          <w:b/>
          <w:color w:val="auto"/>
          <w:w w:val="150"/>
          <w:kern w:val="0"/>
          <w:sz w:val="24"/>
          <w:szCs w:val="21"/>
          <w:highlight w:val="none"/>
        </w:rPr>
      </w:pPr>
    </w:p>
    <w:p>
      <w:pPr>
        <w:spacing w:line="360" w:lineRule="auto"/>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bidi="ar"/>
        </w:rPr>
        <w:t>致</w:t>
      </w:r>
      <w:r>
        <w:rPr>
          <w:rFonts w:ascii="Times New Roman" w:hAnsi="Times New Roman" w:eastAsia="宋体" w:cs="Times New Roman"/>
          <w:color w:val="auto"/>
          <w:highlight w:val="none"/>
          <w:lang w:bidi="ar"/>
        </w:rPr>
        <w:t>________</w:t>
      </w:r>
      <w:r>
        <w:rPr>
          <w:rFonts w:hint="eastAsia" w:ascii="Times New Roman" w:hAnsi="Times New Roman" w:eastAsia="宋体" w:cs="宋体"/>
          <w:color w:val="auto"/>
          <w:highlight w:val="none"/>
          <w:lang w:bidi="ar"/>
        </w:rPr>
        <w:t>（采购人或采购代理机构）：</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经研究，我方决定自愿组成联合体共同参加</w:t>
      </w:r>
      <w:r>
        <w:rPr>
          <w:rFonts w:ascii="Times New Roman" w:hAnsi="Times New Roman" w:eastAsia="宋体" w:cs="Times New Roman"/>
          <w:color w:val="auto"/>
          <w:szCs w:val="21"/>
          <w:highlight w:val="none"/>
          <w:lang w:bidi="ar"/>
        </w:rPr>
        <w:t>____________(</w:t>
      </w:r>
      <w:r>
        <w:rPr>
          <w:rFonts w:hint="eastAsia" w:ascii="Times New Roman" w:hAnsi="Times New Roman" w:eastAsia="宋体" w:cs="宋体"/>
          <w:color w:val="auto"/>
          <w:szCs w:val="21"/>
          <w:highlight w:val="none"/>
          <w:lang w:bidi="ar"/>
        </w:rPr>
        <w:t>项目名称、项目编号</w:t>
      </w:r>
      <w:r>
        <w:rPr>
          <w:rFonts w:ascii="Times New Roman" w:hAnsi="Times New Roman" w:eastAsia="宋体" w:cs="Times New Roman"/>
          <w:color w:val="auto"/>
          <w:szCs w:val="21"/>
          <w:highlight w:val="none"/>
          <w:lang w:bidi="ar"/>
        </w:rPr>
        <w:t>)</w:t>
      </w:r>
      <w:r>
        <w:rPr>
          <w:rFonts w:hint="eastAsia" w:ascii="Times New Roman" w:hAnsi="Times New Roman" w:eastAsia="宋体" w:cs="宋体"/>
          <w:color w:val="auto"/>
          <w:szCs w:val="21"/>
          <w:highlight w:val="none"/>
          <w:lang w:bidi="ar"/>
        </w:rPr>
        <w:t>项目的投标。现就联合体投标事宜订立如下协议：</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一、联合体成员：</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bidi="ar"/>
        </w:rPr>
        <w:t>1.____________________</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bidi="ar"/>
        </w:rPr>
        <w:t>2.____________________</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bidi="ar"/>
        </w:rPr>
        <w:t>3.____________________</w:t>
      </w:r>
    </w:p>
    <w:p>
      <w:pPr>
        <w:spacing w:line="360" w:lineRule="auto"/>
        <w:ind w:firstLine="420" w:firstLineChars="200"/>
        <w:rPr>
          <w:rFonts w:hint="eastAsia" w:ascii="宋体" w:hAnsi="宋体" w:eastAsia="宋体" w:cs="宋体"/>
          <w:color w:val="auto"/>
          <w:szCs w:val="21"/>
          <w:highlight w:val="none"/>
        </w:rPr>
      </w:pPr>
      <w:r>
        <w:rPr>
          <w:rFonts w:hint="eastAsia" w:ascii="Times New Roman" w:hAnsi="Times New Roman" w:eastAsia="宋体" w:cs="宋体"/>
          <w:color w:val="auto"/>
          <w:szCs w:val="21"/>
          <w:highlight w:val="none"/>
          <w:lang w:bidi="ar"/>
        </w:rPr>
        <w:t>二、</w:t>
      </w:r>
      <w:r>
        <w:rPr>
          <w:rFonts w:ascii="Times New Roman" w:hAnsi="Times New Roman" w:eastAsia="宋体" w:cs="Times New Roman"/>
          <w:color w:val="auto"/>
          <w:szCs w:val="21"/>
          <w:highlight w:val="none"/>
          <w:lang w:bidi="ar"/>
        </w:rPr>
        <w:t>____________(</w:t>
      </w:r>
      <w:r>
        <w:rPr>
          <w:rFonts w:hint="eastAsia" w:ascii="Times New Roman" w:hAnsi="Times New Roman" w:eastAsia="宋体" w:cs="宋体"/>
          <w:color w:val="auto"/>
          <w:szCs w:val="21"/>
          <w:highlight w:val="none"/>
          <w:lang w:bidi="ar"/>
        </w:rPr>
        <w:t>某成员单位名称</w:t>
      </w:r>
      <w:r>
        <w:rPr>
          <w:rFonts w:ascii="Times New Roman" w:hAnsi="Times New Roman" w:eastAsia="宋体" w:cs="Times New Roman"/>
          <w:color w:val="auto"/>
          <w:szCs w:val="21"/>
          <w:highlight w:val="none"/>
          <w:lang w:bidi="ar"/>
        </w:rPr>
        <w:t>)</w:t>
      </w:r>
      <w:r>
        <w:rPr>
          <w:rFonts w:hint="eastAsia" w:ascii="Times New Roman" w:hAnsi="Times New Roman" w:eastAsia="宋体" w:cs="宋体"/>
          <w:color w:val="auto"/>
          <w:szCs w:val="21"/>
          <w:highlight w:val="none"/>
          <w:lang w:bidi="ar"/>
        </w:rPr>
        <w:t>为</w:t>
      </w:r>
      <w:r>
        <w:rPr>
          <w:rFonts w:ascii="Times New Roman" w:hAnsi="Times New Roman" w:eastAsia="宋体" w:cs="Times New Roman"/>
          <w:color w:val="auto"/>
          <w:szCs w:val="21"/>
          <w:highlight w:val="none"/>
          <w:lang w:bidi="ar"/>
        </w:rPr>
        <w:t>____________(</w:t>
      </w:r>
      <w:r>
        <w:rPr>
          <w:rFonts w:hint="eastAsia" w:ascii="Times New Roman" w:hAnsi="Times New Roman" w:eastAsia="宋体" w:cs="宋体"/>
          <w:color w:val="auto"/>
          <w:szCs w:val="21"/>
          <w:highlight w:val="none"/>
          <w:lang w:bidi="ar"/>
        </w:rPr>
        <w:t>联合</w:t>
      </w:r>
      <w:r>
        <w:rPr>
          <w:rFonts w:hint="eastAsia" w:ascii="宋体" w:hAnsi="宋体" w:eastAsia="宋体" w:cs="宋体"/>
          <w:color w:val="auto"/>
          <w:szCs w:val="21"/>
          <w:highlight w:val="none"/>
          <w:lang w:bidi="ar"/>
        </w:rPr>
        <w:t>体名称)牵头人。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color w:val="auto"/>
          <w:highlight w:val="none"/>
        </w:rPr>
      </w:pPr>
      <w:r>
        <w:rPr>
          <w:rFonts w:hint="eastAsia" w:ascii="宋体" w:hAnsi="宋体" w:eastAsia="宋体" w:cs="宋体"/>
          <w:color w:val="auto"/>
          <w:szCs w:val="21"/>
          <w:highlight w:val="none"/>
          <w:lang w:bidi="ar"/>
        </w:rPr>
        <w:t>五、联合体各成员单位内部的职责分工如下：____________。按照本条上述分工，联合体成员单位各自所承担的合同工作量比例如下：____________</w:t>
      </w:r>
      <w:r>
        <w:rPr>
          <w:rFonts w:hint="eastAsia" w:ascii="宋体" w:hAnsi="宋体" w:cs="宋体"/>
          <w:color w:val="auto"/>
          <w:szCs w:val="21"/>
          <w:highlight w:val="none"/>
          <w:lang w:bidi="ar"/>
        </w:rPr>
        <w:t>，联合体成员单位各自所承担的合同金额比例如下：</w:t>
      </w:r>
      <w:r>
        <w:rPr>
          <w:rFonts w:hint="eastAsia" w:ascii="宋体" w:hAnsi="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六、本协议书自签署之日起生效，合同履行完毕后自动失效。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七、本协议书一式______份，联合体成员和采购人各执一份。</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牵头人名称(公章)：____________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法定代表人或其授权代表(签字)：____________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成员名称(公章)：____________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法定代表人或其授权代表(签字)：____________</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______年____月____日</w:t>
      </w:r>
    </w:p>
    <w:p>
      <w:pPr>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备注：本协议书由授权代表签字的，应附法定代表人签字的授权委托书。</w:t>
      </w:r>
    </w:p>
    <w:p>
      <w:pPr>
        <w:widowControl/>
        <w:jc w:val="left"/>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br w:type="page"/>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 xml:space="preserve">格式6  </w:t>
      </w:r>
      <w:r>
        <w:rPr>
          <w:rFonts w:hint="eastAsia" w:ascii="Times New Roman" w:hAnsi="Times New Roman" w:eastAsia="宋体" w:cs="宋体"/>
          <w:b/>
          <w:bCs/>
          <w:color w:val="auto"/>
          <w:sz w:val="28"/>
          <w:szCs w:val="28"/>
          <w:highlight w:val="none"/>
          <w:lang w:bidi="ar"/>
        </w:rPr>
        <w:t>其他资格证明文件（若有）</w:t>
      </w:r>
    </w:p>
    <w:p>
      <w:pPr>
        <w:rPr>
          <w:rFonts w:ascii="Calibri" w:hAnsi="Calibri" w:eastAsia="宋体" w:cs="Times New Roman"/>
          <w:color w:val="auto"/>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根据资格条件要求提供相应材料。</w:t>
      </w:r>
    </w:p>
    <w:p>
      <w:pPr>
        <w:widowControl/>
        <w:jc w:val="left"/>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br w:type="page"/>
      </w:r>
    </w:p>
    <w:p>
      <w:pPr>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 xml:space="preserve">格式7  </w:t>
      </w:r>
      <w:r>
        <w:rPr>
          <w:rFonts w:ascii="Times New Roman" w:hAnsi="Times New Roman" w:eastAsia="宋体" w:cs="Times New Roman"/>
          <w:b/>
          <w:bCs/>
          <w:color w:val="auto"/>
          <w:sz w:val="28"/>
          <w:szCs w:val="28"/>
          <w:highlight w:val="none"/>
        </w:rPr>
        <w:t>投标报价表</w:t>
      </w:r>
    </w:p>
    <w:p>
      <w:pPr>
        <w:tabs>
          <w:tab w:val="left" w:pos="1230"/>
        </w:tabs>
        <w:topLinePunct/>
        <w:autoSpaceDE w:val="0"/>
        <w:autoSpaceDN w:val="0"/>
        <w:adjustRightInd w:val="0"/>
        <w:snapToGrid w:val="0"/>
        <w:spacing w:line="360" w:lineRule="auto"/>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pPr>
        <w:topLinePunct/>
        <w:autoSpaceDE w:val="0"/>
        <w:autoSpaceDN w:val="0"/>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line="360" w:lineRule="auto"/>
        <w:ind w:right="840"/>
        <w:rPr>
          <w:rFonts w:hint="eastAsia" w:ascii="宋体" w:hAnsi="宋体" w:eastAsia="宋体" w:cs="宋体"/>
          <w:bCs/>
          <w:color w:val="auto"/>
          <w:w w:val="150"/>
          <w:szCs w:val="21"/>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价格单位：人民币：元</w:t>
      </w:r>
    </w:p>
    <w:tbl>
      <w:tblPr>
        <w:tblStyle w:val="5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61"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1</w:t>
            </w:r>
          </w:p>
        </w:tc>
        <w:tc>
          <w:tcPr>
            <w:tcW w:w="4918" w:type="dxa"/>
            <w:noWrap/>
            <w:vAlign w:val="center"/>
          </w:tcPr>
          <w:p>
            <w:pPr>
              <w:adjustRightInd w:val="0"/>
              <w:snapToGrid w:val="0"/>
              <w:spacing w:line="360" w:lineRule="auto"/>
              <w:jc w:val="center"/>
              <w:rPr>
                <w:rFonts w:ascii="Times New Roman" w:hAnsi="Times New Roman" w:eastAsia="宋体" w:cs="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spacing w:line="5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p>
        </w:tc>
        <w:tc>
          <w:tcPr>
            <w:tcW w:w="4918" w:type="dxa"/>
            <w:noWrap/>
            <w:vAlign w:val="center"/>
          </w:tcPr>
          <w:p>
            <w:pPr>
              <w:adjustRightInd w:val="0"/>
              <w:snapToGrid w:val="0"/>
              <w:spacing w:line="360" w:lineRule="auto"/>
              <w:jc w:val="center"/>
              <w:rPr>
                <w:rFonts w:ascii="Times New Roman" w:hAnsi="Times New Roman" w:eastAsia="宋体" w:cs="Times New Roman"/>
                <w:color w:val="auto"/>
                <w:szCs w:val="21"/>
                <w:highlight w:val="none"/>
              </w:rPr>
            </w:pP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eastAsia="宋体" w:cs="Times New Roman"/>
                <w:b/>
                <w:bCs/>
                <w:color w:val="auto"/>
                <w:szCs w:val="21"/>
                <w:highlight w:val="none"/>
              </w:rPr>
            </w:pPr>
            <w:r>
              <w:rPr>
                <w:rFonts w:ascii="Times New Roman" w:hAnsi="Times New Roman" w:eastAsia="宋体" w:cs="Times New Roman"/>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合同履约</w:t>
            </w:r>
            <w:r>
              <w:rPr>
                <w:rFonts w:hint="eastAsia" w:ascii="Times New Roman" w:hAnsi="Times New Roman" w:eastAsia="宋体" w:cs="Times New Roman"/>
                <w:color w:val="auto"/>
                <w:szCs w:val="21"/>
                <w:highlight w:val="none"/>
                <w:lang w:val="en-US" w:eastAsia="zh-CN"/>
              </w:rPr>
              <w:t>期限</w:t>
            </w: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tc>
        <w:tc>
          <w:tcPr>
            <w:tcW w:w="2553" w:type="dxa"/>
            <w:noWrap/>
            <w:vAlign w:val="center"/>
          </w:tcPr>
          <w:p>
            <w:pPr>
              <w:adjustRightInd w:val="0"/>
              <w:snapToGrid w:val="0"/>
              <w:spacing w:before="62" w:beforeLines="20" w:after="62" w:afterLines="20"/>
              <w:jc w:val="center"/>
              <w:rPr>
                <w:rFonts w:ascii="Times New Roman" w:hAnsi="Times New Roman" w:eastAsia="宋体" w:cs="Times New Roman"/>
                <w:color w:val="auto"/>
                <w:szCs w:val="21"/>
                <w:highlight w:val="none"/>
              </w:rPr>
            </w:pPr>
          </w:p>
        </w:tc>
      </w:tr>
    </w:tbl>
    <w:p>
      <w:pPr>
        <w:topLinePunct/>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3.投标人应根据《招标文件-技术部分》相关要求填报。</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Calibri" w:hAnsi="Calibri" w:eastAsia="宋体" w:cs="Times New Roman"/>
          <w:color w:val="auto"/>
          <w:highlight w:val="none"/>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ascii="宋体" w:hAnsi="宋体" w:eastAsia="宋体" w:cs="Times New Roman"/>
          <w:color w:val="auto"/>
          <w:kern w:val="0"/>
          <w:szCs w:val="21"/>
          <w:highlight w:val="none"/>
        </w:rPr>
        <w:t>（全称并加盖公章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kern w:val="0"/>
          <w:szCs w:val="21"/>
          <w:highlight w:val="none"/>
        </w:rPr>
        <w:t>投标人代表（签字）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p>
    <w:p>
      <w:pPr>
        <w:widowControl/>
        <w:jc w:val="lef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br w:type="page"/>
      </w:r>
    </w:p>
    <w:p>
      <w:pPr>
        <w:widowControl/>
        <w:jc w:val="left"/>
        <w:rPr>
          <w:rFonts w:ascii="Times New Roman" w:hAnsi="Times New Roman" w:eastAsia="宋体" w:cs="Times New Roman"/>
          <w:color w:val="auto"/>
          <w:szCs w:val="21"/>
          <w:highlight w:val="none"/>
          <w:u w:val="single"/>
        </w:rPr>
      </w:pPr>
    </w:p>
    <w:p>
      <w:pPr>
        <w:widowControl/>
        <w:jc w:val="center"/>
        <w:rPr>
          <w:rFonts w:ascii="Times New Roman" w:hAnsi="Times New Roman" w:eastAsia="宋体" w:cs="Times New Roman"/>
          <w:b/>
          <w:color w:val="auto"/>
          <w:sz w:val="28"/>
          <w:highlight w:val="none"/>
        </w:rPr>
      </w:pPr>
      <w:r>
        <w:rPr>
          <w:rFonts w:ascii="Times New Roman" w:hAnsi="Times New Roman" w:eastAsia="宋体" w:cs="Times New Roman"/>
          <w:b/>
          <w:color w:val="auto"/>
          <w:sz w:val="28"/>
          <w:highlight w:val="none"/>
        </w:rPr>
        <w:t>2.分项报价表</w:t>
      </w:r>
    </w:p>
    <w:p>
      <w:pPr>
        <w:pStyle w:val="27"/>
        <w:topLinePunct/>
        <w:autoSpaceDE w:val="0"/>
        <w:autoSpaceDN w:val="0"/>
        <w:adjustRightInd w:val="0"/>
        <w:snapToGrid w:val="0"/>
        <w:spacing w:line="360" w:lineRule="auto"/>
        <w:ind w:left="2"/>
        <w:jc w:val="center"/>
        <w:rPr>
          <w:rFonts w:hint="eastAsia" w:hAnsi="宋体" w:cs="宋体"/>
          <w:b/>
          <w:bCs/>
          <w:color w:val="auto"/>
          <w:highlight w:val="none"/>
        </w:rPr>
      </w:pPr>
      <w:r>
        <w:rPr>
          <w:rFonts w:hint="eastAsia" w:hAnsi="宋体" w:cs="宋体"/>
          <w:color w:val="auto"/>
          <w:highlight w:val="none"/>
          <w:lang w:val="en-US" w:eastAsia="zh-CN"/>
        </w:rPr>
        <w:t xml:space="preserve"> </w:t>
      </w:r>
    </w:p>
    <w:p>
      <w:pPr>
        <w:pageBreakBefore w:val="0"/>
        <w:kinsoku/>
        <w:wordWrap/>
        <w:overflowPunct/>
        <w:topLinePunct/>
        <w:autoSpaceDE w:val="0"/>
        <w:autoSpaceDN w:val="0"/>
        <w:bidi w:val="0"/>
        <w:adjustRightInd w:val="0"/>
        <w:snapToGrid w:val="0"/>
        <w:spacing w:line="300" w:lineRule="exact"/>
        <w:jc w:val="left"/>
        <w:textAlignment w:val="auto"/>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pageBreakBefore w:val="0"/>
        <w:kinsoku/>
        <w:wordWrap/>
        <w:overflowPunct/>
        <w:bidi w:val="0"/>
        <w:adjustRightInd w:val="0"/>
        <w:snapToGrid w:val="0"/>
        <w:spacing w:line="300" w:lineRule="exact"/>
        <w:ind w:right="840"/>
        <w:textAlignment w:val="auto"/>
        <w:rPr>
          <w:rFonts w:hint="eastAsia"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价格单位：人民币：元</w:t>
      </w:r>
    </w:p>
    <w:tbl>
      <w:tblPr>
        <w:tblStyle w:val="52"/>
        <w:tblW w:w="9196" w:type="dxa"/>
        <w:jc w:val="center"/>
        <w:tblLayout w:type="fixed"/>
        <w:tblCellMar>
          <w:top w:w="0" w:type="dxa"/>
          <w:left w:w="108" w:type="dxa"/>
          <w:bottom w:w="0" w:type="dxa"/>
          <w:right w:w="108" w:type="dxa"/>
        </w:tblCellMar>
      </w:tblPr>
      <w:tblGrid>
        <w:gridCol w:w="645"/>
        <w:gridCol w:w="2212"/>
        <w:gridCol w:w="1817"/>
        <w:gridCol w:w="1273"/>
        <w:gridCol w:w="1261"/>
        <w:gridCol w:w="1344"/>
        <w:gridCol w:w="644"/>
      </w:tblGrid>
      <w:tr>
        <w:tblPrEx>
          <w:tblCellMar>
            <w:top w:w="0" w:type="dxa"/>
            <w:left w:w="108" w:type="dxa"/>
            <w:bottom w:w="0" w:type="dxa"/>
            <w:right w:w="108" w:type="dxa"/>
          </w:tblCellMar>
        </w:tblPrEx>
        <w:trPr>
          <w:trHeight w:val="460"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序号</w:t>
            </w:r>
          </w:p>
        </w:tc>
        <w:tc>
          <w:tcPr>
            <w:tcW w:w="2212" w:type="dxa"/>
            <w:tcBorders>
              <w:top w:val="single" w:color="auto" w:sz="4" w:space="0"/>
              <w:left w:val="nil"/>
              <w:bottom w:val="single" w:color="auto" w:sz="4" w:space="0"/>
              <w:right w:val="single" w:color="auto" w:sz="4" w:space="0"/>
            </w:tcBorders>
            <w:vAlign w:val="center"/>
          </w:tcPr>
          <w:p>
            <w:pPr>
              <w:pageBreakBefore w:val="0"/>
              <w:widowControl/>
              <w:kinsoku/>
              <w:wordWrap/>
              <w:overflowPunct/>
              <w:bidi w:val="0"/>
              <w:spacing w:line="300" w:lineRule="exact"/>
              <w:ind w:left="-84" w:leftChars="-40" w:firstLine="82" w:firstLineChars="39"/>
              <w:jc w:val="center"/>
              <w:textAlignment w:val="auto"/>
              <w:rPr>
                <w:rFonts w:ascii="Times New Roman" w:hAnsi="Times New Roman"/>
                <w:b/>
                <w:color w:val="auto"/>
                <w:szCs w:val="21"/>
                <w:highlight w:val="none"/>
              </w:rPr>
            </w:pPr>
            <w:r>
              <w:rPr>
                <w:rFonts w:hint="eastAsia" w:ascii="Times New Roman" w:hAnsi="Times New Roman"/>
                <w:b/>
                <w:color w:val="auto"/>
                <w:szCs w:val="21"/>
                <w:highlight w:val="none"/>
              </w:rPr>
              <w:t>服务名称</w:t>
            </w:r>
          </w:p>
        </w:tc>
        <w:tc>
          <w:tcPr>
            <w:tcW w:w="1817" w:type="dxa"/>
            <w:tcBorders>
              <w:top w:val="single" w:color="auto" w:sz="4" w:space="0"/>
              <w:left w:val="nil"/>
              <w:bottom w:val="single" w:color="auto" w:sz="4" w:space="0"/>
              <w:right w:val="single" w:color="auto" w:sz="4" w:space="0"/>
            </w:tcBorders>
            <w:vAlign w:val="center"/>
          </w:tcPr>
          <w:p>
            <w:pPr>
              <w:pageBreakBefore w:val="0"/>
              <w:widowControl/>
              <w:kinsoku/>
              <w:wordWrap/>
              <w:overflowPunct/>
              <w:bidi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pacing w:line="300" w:lineRule="exact"/>
              <w:jc w:val="center"/>
              <w:textAlignment w:val="auto"/>
              <w:rPr>
                <w:rFonts w:ascii="Times New Roman" w:hAnsi="Times New Roman" w:eastAsia="宋体"/>
                <w:b/>
                <w:color w:val="auto"/>
                <w:szCs w:val="21"/>
                <w:highlight w:val="none"/>
              </w:rPr>
            </w:pPr>
            <w:r>
              <w:rPr>
                <w:rFonts w:hint="eastAsia" w:ascii="Times New Roman" w:hAnsi="Times New Roman"/>
                <w:b/>
                <w:color w:val="auto"/>
                <w:szCs w:val="21"/>
                <w:highlight w:val="none"/>
              </w:rPr>
              <w:t>数量</w:t>
            </w: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pacing w:line="300" w:lineRule="exact"/>
              <w:jc w:val="center"/>
              <w:textAlignment w:val="auto"/>
              <w:rPr>
                <w:rFonts w:ascii="Times New Roman" w:hAnsi="Times New Roman" w:eastAsia="宋体"/>
                <w:b/>
                <w:color w:val="auto"/>
                <w:szCs w:val="21"/>
                <w:highlight w:val="none"/>
              </w:rPr>
            </w:pPr>
            <w:r>
              <w:rPr>
                <w:rFonts w:hint="eastAsia" w:ascii="Times New Roman" w:hAnsi="Times New Roman"/>
                <w:b/>
                <w:color w:val="auto"/>
                <w:szCs w:val="21"/>
                <w:highlight w:val="none"/>
              </w:rPr>
              <w:t>单价</w:t>
            </w: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小计</w:t>
            </w:r>
          </w:p>
          <w:p>
            <w:pPr>
              <w:pageBreakBefore w:val="0"/>
              <w:widowControl/>
              <w:kinsoku/>
              <w:wordWrap/>
              <w:overflowPunct/>
              <w:bidi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（元）</w:t>
            </w:r>
          </w:p>
        </w:tc>
        <w:tc>
          <w:tcPr>
            <w:tcW w:w="644" w:type="dxa"/>
            <w:tcBorders>
              <w:top w:val="single" w:color="auto" w:sz="4" w:space="0"/>
              <w:left w:val="nil"/>
              <w:bottom w:val="single" w:color="auto" w:sz="4" w:space="0"/>
              <w:right w:val="single" w:color="auto" w:sz="4" w:space="0"/>
            </w:tcBorders>
            <w:vAlign w:val="center"/>
          </w:tcPr>
          <w:p>
            <w:pPr>
              <w:pageBreakBefore w:val="0"/>
              <w:kinsoku/>
              <w:wordWrap/>
              <w:overflowPunct/>
              <w:bidi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备注</w:t>
            </w:r>
          </w:p>
        </w:tc>
      </w:tr>
      <w:tr>
        <w:tblPrEx>
          <w:tblCellMar>
            <w:top w:w="0" w:type="dxa"/>
            <w:left w:w="108" w:type="dxa"/>
            <w:bottom w:w="0" w:type="dxa"/>
            <w:right w:w="108" w:type="dxa"/>
          </w:tblCellMar>
        </w:tblPrEx>
        <w:trPr>
          <w:trHeight w:val="49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val="en-US" w:eastAsia="zh-CN"/>
              </w:rPr>
              <w:t>.</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员工工资</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9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szCs w:val="21"/>
                <w:highlight w:val="none"/>
                <w:lang w:val="en-US" w:eastAsia="zh-CN"/>
              </w:rPr>
              <w:t>.</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行政办公费用</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9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val="en-US" w:eastAsia="zh-CN"/>
              </w:rPr>
              <w:t>.</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服装费用</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600" w:hRule="atLeast"/>
          <w:tblHeader/>
          <w:jc w:val="center"/>
        </w:trPr>
        <w:tc>
          <w:tcPr>
            <w:tcW w:w="645" w:type="dxa"/>
            <w:tcBorders>
              <w:top w:val="nil"/>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w:t>
            </w:r>
          </w:p>
        </w:tc>
        <w:tc>
          <w:tcPr>
            <w:tcW w:w="2212" w:type="dxa"/>
            <w:tcBorders>
              <w:top w:val="nil"/>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公共清洁卫生管理和耗品费</w:t>
            </w:r>
          </w:p>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p>
        </w:tc>
        <w:tc>
          <w:tcPr>
            <w:tcW w:w="1817" w:type="dxa"/>
            <w:tcBorders>
              <w:top w:val="nil"/>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nil"/>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nil"/>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nil"/>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nil"/>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797"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公共设施、设备运行、维修、维护费用</w:t>
            </w:r>
          </w:p>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600"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绿化管理和养护费</w:t>
            </w:r>
          </w:p>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保险（公众责任险等）</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利润</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国家法定税费</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其他不可预见费</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4"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投标人认为需要列入的其他费用</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0"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12.</w:t>
            </w:r>
          </w:p>
        </w:tc>
        <w:tc>
          <w:tcPr>
            <w:tcW w:w="2212"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电梯运行维护费</w:t>
            </w:r>
          </w:p>
        </w:tc>
        <w:tc>
          <w:tcPr>
            <w:tcW w:w="1817" w:type="dxa"/>
            <w:tcBorders>
              <w:top w:val="single" w:color="auto" w:sz="4" w:space="0"/>
              <w:left w:val="nil"/>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hint="eastAsia" w:ascii="Times New Roman" w:hAnsi="Times New Roman" w:eastAsiaTheme="minorEastAsia"/>
                <w:color w:val="auto"/>
                <w:szCs w:val="21"/>
                <w:highlight w:val="none"/>
                <w:lang w:val="en-US" w:eastAsia="zh-CN"/>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457" w:hRule="atLeast"/>
          <w:tblHeader/>
          <w:jc w:val="center"/>
        </w:trPr>
        <w:tc>
          <w:tcPr>
            <w:tcW w:w="4674" w:type="dxa"/>
            <w:gridSpan w:val="3"/>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b/>
                <w:color w:val="auto"/>
                <w:szCs w:val="21"/>
                <w:highlight w:val="none"/>
              </w:rPr>
            </w:pPr>
            <w:r>
              <w:rPr>
                <w:rFonts w:ascii="Times New Roman" w:hAnsi="Times New Roman"/>
                <w:b/>
                <w:color w:val="auto"/>
                <w:szCs w:val="21"/>
                <w:highlight w:val="none"/>
              </w:rPr>
              <w:t>合   计</w:t>
            </w:r>
          </w:p>
        </w:tc>
        <w:tc>
          <w:tcPr>
            <w:tcW w:w="12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425"/>
              </w:tabs>
              <w:kinsoku/>
              <w:wordWrap/>
              <w:overflowPunct/>
              <w:bidi w:val="0"/>
              <w:snapToGrid w:val="0"/>
              <w:spacing w:line="300" w:lineRule="exact"/>
              <w:jc w:val="center"/>
              <w:textAlignment w:val="auto"/>
              <w:rPr>
                <w:rFonts w:ascii="Times New Roman" w:hAnsi="Times New Roman"/>
                <w:color w:val="auto"/>
                <w:szCs w:val="21"/>
                <w:highlight w:val="none"/>
              </w:rPr>
            </w:pPr>
          </w:p>
        </w:tc>
      </w:tr>
    </w:tbl>
    <w:p>
      <w:pPr>
        <w:pStyle w:val="63"/>
        <w:pageBreakBefore w:val="0"/>
        <w:numPr>
          <w:ilvl w:val="4"/>
          <w:numId w:val="0"/>
        </w:numPr>
        <w:tabs>
          <w:tab w:val="left" w:pos="4195"/>
        </w:tabs>
        <w:kinsoku/>
        <w:wordWrap/>
        <w:overflowPunct/>
        <w:bidi w:val="0"/>
        <w:spacing w:line="300" w:lineRule="exact"/>
        <w:textAlignment w:val="auto"/>
        <w:rPr>
          <w:color w:val="auto"/>
          <w:highlight w:val="none"/>
        </w:rPr>
      </w:pPr>
      <w:r>
        <w:rPr>
          <w:rFonts w:hint="eastAsia" w:ascii="宋体" w:hAnsi="宋体" w:eastAsia="宋体" w:cs="宋体"/>
          <w:bCs/>
          <w:color w:val="auto"/>
          <w:sz w:val="30"/>
          <w:szCs w:val="30"/>
          <w:highlight w:val="none"/>
        </w:rPr>
        <w:t>电梯</w:t>
      </w:r>
      <w:r>
        <w:rPr>
          <w:rFonts w:hint="eastAsia" w:ascii="宋体" w:hAnsi="宋体" w:eastAsia="宋体" w:cs="宋体"/>
          <w:bCs/>
          <w:color w:val="auto"/>
          <w:sz w:val="30"/>
          <w:szCs w:val="30"/>
          <w:highlight w:val="none"/>
          <w:lang w:val="en-US" w:eastAsia="zh-CN"/>
        </w:rPr>
        <w:t>运行维护</w:t>
      </w:r>
      <w:r>
        <w:rPr>
          <w:rFonts w:hint="eastAsia" w:ascii="宋体" w:hAnsi="宋体" w:eastAsia="宋体" w:cs="宋体"/>
          <w:bCs/>
          <w:color w:val="auto"/>
          <w:sz w:val="30"/>
          <w:szCs w:val="30"/>
          <w:highlight w:val="none"/>
        </w:rPr>
        <w:t>费用补充说明：</w:t>
      </w:r>
      <w:r>
        <w:rPr>
          <w:rFonts w:hint="eastAsia" w:ascii="宋体" w:hAnsi="宋体" w:eastAsia="宋体" w:cs="宋体"/>
          <w:color w:val="auto"/>
          <w:sz w:val="30"/>
          <w:szCs w:val="30"/>
          <w:highlight w:val="none"/>
        </w:rPr>
        <w:t>本次物业管理服务采购共包括</w:t>
      </w:r>
      <w:r>
        <w:rPr>
          <w:rFonts w:hint="eastAsia" w:ascii="宋体" w:hAnsi="宋体" w:cs="宋体"/>
          <w:color w:val="auto"/>
          <w:sz w:val="30"/>
          <w:szCs w:val="30"/>
          <w:highlight w:val="none"/>
        </w:rPr>
        <w:t>3</w:t>
      </w:r>
      <w:r>
        <w:rPr>
          <w:rFonts w:hint="eastAsia" w:ascii="宋体" w:hAnsi="宋体" w:eastAsia="宋体" w:cs="宋体"/>
          <w:color w:val="auto"/>
          <w:sz w:val="30"/>
          <w:szCs w:val="30"/>
          <w:highlight w:val="none"/>
        </w:rPr>
        <w:t>台电梯运行维护服务，</w:t>
      </w:r>
      <w:r>
        <w:rPr>
          <w:rFonts w:hint="eastAsia" w:ascii="宋体" w:hAnsi="宋体" w:eastAsia="宋体" w:cs="宋体"/>
          <w:b w:val="0"/>
          <w:color w:val="auto"/>
          <w:kern w:val="2"/>
          <w:sz w:val="30"/>
          <w:szCs w:val="30"/>
          <w:highlight w:val="none"/>
        </w:rPr>
        <w:t>均为</w:t>
      </w:r>
      <w:r>
        <w:rPr>
          <w:rFonts w:hint="eastAsia" w:ascii="宋体" w:hAnsi="宋体" w:cs="宋体"/>
          <w:b w:val="0"/>
          <w:color w:val="auto"/>
          <w:kern w:val="2"/>
          <w:sz w:val="30"/>
          <w:szCs w:val="30"/>
          <w:highlight w:val="none"/>
        </w:rPr>
        <w:t>9</w:t>
      </w:r>
      <w:r>
        <w:rPr>
          <w:rFonts w:hint="eastAsia" w:ascii="宋体" w:hAnsi="宋体" w:eastAsia="宋体" w:cs="宋体"/>
          <w:b w:val="0"/>
          <w:color w:val="auto"/>
          <w:kern w:val="2"/>
          <w:sz w:val="30"/>
          <w:szCs w:val="30"/>
          <w:highlight w:val="none"/>
        </w:rPr>
        <w:t>层</w:t>
      </w:r>
      <w:r>
        <w:rPr>
          <w:rFonts w:hint="eastAsia" w:ascii="宋体" w:hAnsi="宋体" w:cs="宋体"/>
          <w:b w:val="0"/>
          <w:color w:val="auto"/>
          <w:kern w:val="2"/>
          <w:sz w:val="30"/>
          <w:szCs w:val="30"/>
          <w:highlight w:val="none"/>
        </w:rPr>
        <w:t>（含）以下</w:t>
      </w:r>
      <w:r>
        <w:rPr>
          <w:rFonts w:hint="eastAsia" w:ascii="宋体" w:hAnsi="宋体" w:eastAsia="宋体" w:cs="宋体"/>
          <w:b w:val="0"/>
          <w:color w:val="auto"/>
          <w:kern w:val="2"/>
          <w:sz w:val="30"/>
          <w:szCs w:val="30"/>
          <w:highlight w:val="none"/>
        </w:rPr>
        <w:t>电梯，电梯运行维护费标准为</w:t>
      </w:r>
      <w:r>
        <w:rPr>
          <w:rFonts w:hint="eastAsia" w:ascii="宋体" w:hAnsi="宋体" w:cs="宋体"/>
          <w:b w:val="0"/>
          <w:color w:val="auto"/>
          <w:kern w:val="2"/>
          <w:sz w:val="30"/>
          <w:szCs w:val="30"/>
          <w:highlight w:val="none"/>
        </w:rPr>
        <w:t>2.5</w:t>
      </w:r>
      <w:r>
        <w:rPr>
          <w:rFonts w:hint="eastAsia" w:ascii="宋体" w:hAnsi="宋体" w:eastAsia="宋体" w:cs="宋体"/>
          <w:b w:val="0"/>
          <w:color w:val="auto"/>
          <w:kern w:val="2"/>
          <w:sz w:val="30"/>
          <w:szCs w:val="30"/>
          <w:highlight w:val="none"/>
        </w:rPr>
        <w:t>万元/台，单年费用小计</w:t>
      </w:r>
      <w:r>
        <w:rPr>
          <w:rFonts w:hint="eastAsia" w:ascii="宋体" w:hAnsi="宋体" w:cs="宋体"/>
          <w:b w:val="0"/>
          <w:color w:val="auto"/>
          <w:kern w:val="2"/>
          <w:sz w:val="30"/>
          <w:szCs w:val="30"/>
          <w:highlight w:val="none"/>
        </w:rPr>
        <w:t>7.5</w:t>
      </w:r>
      <w:r>
        <w:rPr>
          <w:rFonts w:hint="eastAsia" w:ascii="宋体" w:hAnsi="宋体" w:eastAsia="宋体" w:cs="宋体"/>
          <w:b w:val="0"/>
          <w:color w:val="auto"/>
          <w:kern w:val="2"/>
          <w:sz w:val="30"/>
          <w:szCs w:val="30"/>
          <w:highlight w:val="none"/>
        </w:rPr>
        <w:t>万元，两年费用合</w:t>
      </w:r>
      <w:r>
        <w:rPr>
          <w:rFonts w:hint="eastAsia" w:ascii="宋体" w:hAnsi="宋体" w:cs="宋体"/>
          <w:b w:val="0"/>
          <w:color w:val="auto"/>
          <w:kern w:val="2"/>
          <w:sz w:val="30"/>
          <w:szCs w:val="30"/>
          <w:highlight w:val="none"/>
        </w:rPr>
        <w:t>计15</w:t>
      </w:r>
      <w:r>
        <w:rPr>
          <w:rFonts w:hint="eastAsia" w:ascii="宋体" w:hAnsi="宋体" w:eastAsia="宋体" w:cs="宋体"/>
          <w:b w:val="0"/>
          <w:color w:val="auto"/>
          <w:kern w:val="2"/>
          <w:sz w:val="30"/>
          <w:szCs w:val="30"/>
          <w:highlight w:val="none"/>
        </w:rPr>
        <w:t>万元，电梯运行维护费需单独报价。</w:t>
      </w:r>
    </w:p>
    <w:p>
      <w:pPr>
        <w:pageBreakBefore w:val="0"/>
        <w:kinsoku/>
        <w:wordWrap/>
        <w:overflowPunct/>
        <w:topLinePunct/>
        <w:autoSpaceDE w:val="0"/>
        <w:autoSpaceDN w:val="0"/>
        <w:bidi w:val="0"/>
        <w:spacing w:line="300" w:lineRule="exact"/>
        <w:textAlignment w:val="auto"/>
        <w:rPr>
          <w:rFonts w:ascii="Times New Roman" w:hAnsi="Times New Roman"/>
          <w:color w:val="auto"/>
          <w:szCs w:val="21"/>
          <w:highlight w:val="none"/>
        </w:rPr>
      </w:pPr>
      <w:r>
        <w:rPr>
          <w:rFonts w:ascii="Times New Roman" w:hAnsi="Times New Roman"/>
          <w:color w:val="auto"/>
          <w:szCs w:val="21"/>
          <w:highlight w:val="none"/>
        </w:rPr>
        <w:t>特别说明：</w:t>
      </w:r>
    </w:p>
    <w:p>
      <w:pPr>
        <w:pageBreakBefore w:val="0"/>
        <w:kinsoku/>
        <w:wordWrap/>
        <w:overflowPunct/>
        <w:topLinePunct/>
        <w:autoSpaceDE w:val="0"/>
        <w:autoSpaceDN w:val="0"/>
        <w:bidi w:val="0"/>
        <w:spacing w:line="3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pageBreakBefore w:val="0"/>
        <w:kinsoku/>
        <w:wordWrap/>
        <w:overflowPunct/>
        <w:topLinePunct/>
        <w:autoSpaceDE w:val="0"/>
        <w:autoSpaceDN w:val="0"/>
        <w:bidi w:val="0"/>
        <w:spacing w:line="3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pageBreakBefore w:val="0"/>
        <w:kinsoku/>
        <w:wordWrap/>
        <w:overflowPunct/>
        <w:topLinePunct/>
        <w:autoSpaceDE w:val="0"/>
        <w:autoSpaceDN w:val="0"/>
        <w:bidi w:val="0"/>
        <w:spacing w:line="3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3.本表中小计=数量×单价。</w:t>
      </w:r>
    </w:p>
    <w:p>
      <w:pPr>
        <w:pageBreakBefore w:val="0"/>
        <w:kinsoku/>
        <w:wordWrap/>
        <w:overflowPunct/>
        <w:topLinePunct/>
        <w:autoSpaceDE w:val="0"/>
        <w:autoSpaceDN w:val="0"/>
        <w:bidi w:val="0"/>
        <w:spacing w:line="3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4.本表仅供参考，可扩展。</w:t>
      </w:r>
    </w:p>
    <w:p>
      <w:pPr>
        <w:pStyle w:val="27"/>
        <w:pageBreakBefore w:val="0"/>
        <w:kinsoku/>
        <w:wordWrap/>
        <w:overflowPunct/>
        <w:bidi w:val="0"/>
        <w:spacing w:line="300" w:lineRule="exact"/>
        <w:ind w:firstLine="420" w:firstLineChars="200"/>
        <w:textAlignment w:val="auto"/>
        <w:rPr>
          <w:rFonts w:ascii="Times New Roman" w:hAnsi="Times New Roman" w:cs="Times New Roman"/>
          <w:color w:val="auto"/>
          <w:highlight w:val="none"/>
        </w:rPr>
      </w:pPr>
    </w:p>
    <w:p>
      <w:pPr>
        <w:pageBreakBefore w:val="0"/>
        <w:tabs>
          <w:tab w:val="left" w:pos="1230"/>
        </w:tabs>
        <w:kinsoku/>
        <w:wordWrap/>
        <w:overflowPunct/>
        <w:topLinePunct/>
        <w:autoSpaceDE w:val="0"/>
        <w:autoSpaceDN w:val="0"/>
        <w:bidi w:val="0"/>
        <w:adjustRightInd w:val="0"/>
        <w:snapToGrid w:val="0"/>
        <w:spacing w:line="3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（全称并加盖公章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pageBreakBefore w:val="0"/>
        <w:tabs>
          <w:tab w:val="left" w:pos="1230"/>
        </w:tabs>
        <w:kinsoku/>
        <w:wordWrap/>
        <w:overflowPunct/>
        <w:topLinePunct/>
        <w:autoSpaceDE w:val="0"/>
        <w:autoSpaceDN w:val="0"/>
        <w:bidi w:val="0"/>
        <w:adjustRightInd w:val="0"/>
        <w:snapToGrid w:val="0"/>
        <w:spacing w:line="300" w:lineRule="exact"/>
        <w:ind w:firstLine="420" w:firstLineChars="200"/>
        <w:textAlignment w:val="auto"/>
        <w:rPr>
          <w:rFonts w:ascii="Times New Roman" w:hAnsi="Times New Roman"/>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pStyle w:val="63"/>
        <w:pageBreakBefore w:val="0"/>
        <w:kinsoku/>
        <w:wordWrap/>
        <w:overflowPunct/>
        <w:bidi w:val="0"/>
        <w:spacing w:line="300" w:lineRule="exact"/>
        <w:textAlignment w:val="auto"/>
        <w:rPr>
          <w:color w:val="auto"/>
          <w:highlight w:val="none"/>
        </w:rPr>
      </w:pPr>
      <w:r>
        <w:rPr>
          <w:rFonts w:ascii="宋体" w:hAnsi="宋体" w:cs="宋体"/>
          <w:bCs/>
          <w:color w:val="auto"/>
          <w:sz w:val="36"/>
          <w:szCs w:val="36"/>
          <w:highlight w:val="none"/>
        </w:rPr>
        <w:br w:type="page"/>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宋体" w:hAnsi="宋体" w:eastAsia="宋体" w:cs="宋体"/>
          <w:b/>
          <w:bCs/>
          <w:color w:val="auto"/>
          <w:sz w:val="28"/>
          <w:szCs w:val="28"/>
          <w:highlight w:val="none"/>
        </w:rPr>
        <w:t xml:space="preserve">格式8  </w:t>
      </w:r>
      <w:r>
        <w:rPr>
          <w:rFonts w:hint="eastAsia" w:ascii="Times New Roman" w:hAnsi="Times New Roman" w:eastAsia="宋体" w:cs="宋体"/>
          <w:b/>
          <w:bCs/>
          <w:color w:val="auto"/>
          <w:sz w:val="28"/>
          <w:szCs w:val="28"/>
          <w:highlight w:val="none"/>
          <w:lang w:bidi="ar"/>
        </w:rPr>
        <w:t>授权委托书</w:t>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bidi="ar"/>
        </w:rPr>
        <w:t>8</w:t>
      </w:r>
      <w:r>
        <w:rPr>
          <w:rFonts w:ascii="Times New Roman" w:hAnsi="Times New Roman" w:eastAsia="宋体" w:cs="Times New Roman"/>
          <w:b/>
          <w:bCs/>
          <w:color w:val="auto"/>
          <w:sz w:val="28"/>
          <w:szCs w:val="28"/>
          <w:highlight w:val="none"/>
          <w:lang w:bidi="ar"/>
        </w:rPr>
        <w:t>-1</w:t>
      </w:r>
      <w:r>
        <w:rPr>
          <w:rFonts w:hint="eastAsia" w:ascii="Times New Roman" w:hAnsi="Times New Roman" w:eastAsia="宋体" w:cs="宋体"/>
          <w:b/>
          <w:bCs/>
          <w:color w:val="auto"/>
          <w:sz w:val="28"/>
          <w:szCs w:val="28"/>
          <w:highlight w:val="none"/>
          <w:lang w:bidi="ar"/>
        </w:rPr>
        <w:t>法定代表人授权委托书</w:t>
      </w:r>
    </w:p>
    <w:p>
      <w:p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Cs w:val="21"/>
          <w:highlight w:val="none"/>
          <w:lang w:bidi="ar"/>
        </w:rPr>
        <w:t>(适用于授权代表参加投标)</w:t>
      </w:r>
    </w:p>
    <w:p>
      <w:pPr>
        <w:rPr>
          <w:rFonts w:ascii="Times New Roman" w:hAnsi="Times New Roman" w:eastAsia="仿宋_GB2312" w:cs="Courier New"/>
          <w:color w:val="auto"/>
          <w:kern w:val="0"/>
          <w:sz w:val="24"/>
          <w:szCs w:val="24"/>
          <w:highlight w:val="none"/>
        </w:rPr>
      </w:pPr>
    </w:p>
    <w:p>
      <w:pPr>
        <w:spacing w:line="360" w:lineRule="auto"/>
        <w:rPr>
          <w:rFonts w:ascii="Calibri" w:hAnsi="Calibri" w:eastAsia="宋体" w:cs="Times New Roman"/>
          <w:color w:val="auto"/>
          <w:highlight w:val="none"/>
        </w:rPr>
      </w:pPr>
      <w:r>
        <w:rPr>
          <w:rFonts w:hint="eastAsia" w:ascii="Calibri" w:hAnsi="Calibri" w:eastAsia="宋体" w:cs="宋体"/>
          <w:color w:val="auto"/>
          <w:highlight w:val="none"/>
          <w:lang w:bidi="ar"/>
        </w:rPr>
        <w:t>致</w:t>
      </w:r>
      <w:r>
        <w:rPr>
          <w:rFonts w:ascii="Calibri" w:hAnsi="Calibri" w:eastAsia="宋体" w:cs="Times New Roman"/>
          <w:color w:val="auto"/>
          <w:highlight w:val="none"/>
          <w:lang w:bidi="ar"/>
        </w:rPr>
        <w:t>____________(</w:t>
      </w:r>
      <w:r>
        <w:rPr>
          <w:rFonts w:hint="eastAsia" w:ascii="Calibri" w:hAnsi="Calibri" w:eastAsia="宋体" w:cs="宋体"/>
          <w:color w:val="auto"/>
          <w:highlight w:val="none"/>
          <w:lang w:bidi="ar"/>
        </w:rPr>
        <w:t>采购人或采购代理机构</w:t>
      </w:r>
      <w:r>
        <w:rPr>
          <w:rFonts w:ascii="Calibri" w:hAnsi="Calibri" w:eastAsia="宋体" w:cs="Times New Roman"/>
          <w:color w:val="auto"/>
          <w:highlight w:val="none"/>
          <w:lang w:bidi="ar"/>
        </w:rPr>
        <w:t>)</w:t>
      </w:r>
      <w:r>
        <w:rPr>
          <w:rFonts w:hint="eastAsia" w:ascii="Calibri" w:hAnsi="Calibri" w:eastAsia="宋体" w:cs="宋体"/>
          <w:color w:val="auto"/>
          <w:highlight w:val="none"/>
          <w:lang w:bidi="ar"/>
        </w:rPr>
        <w:t>：</w:t>
      </w:r>
    </w:p>
    <w:p>
      <w:pPr>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szCs w:val="21"/>
          <w:highlight w:val="none"/>
          <w:u w:val="single"/>
          <w:lang w:bidi="ar"/>
        </w:rPr>
        <w:t xml:space="preserve">          项目</w:t>
      </w:r>
      <w:r>
        <w:rPr>
          <w:rFonts w:hint="eastAsia" w:ascii="宋体" w:hAnsi="宋体" w:eastAsia="宋体" w:cs="宋体"/>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本授权书于______年______月_____日生效，特此声明。</w:t>
      </w:r>
    </w:p>
    <w:p>
      <w:pPr>
        <w:adjustRightInd w:val="0"/>
        <w:snapToGrid w:val="0"/>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lang w:bidi="ar"/>
        </w:rPr>
        <w:t>被授权投标代表无转委托权。</w:t>
      </w:r>
    </w:p>
    <w:tbl>
      <w:tblPr>
        <w:tblStyle w:val="5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Cs w:val="21"/>
                <w:highlight w:val="none"/>
                <w:lang w:bidi="ar"/>
              </w:rPr>
              <w:t>被授权投标代表</w:t>
            </w:r>
            <w:r>
              <w:rPr>
                <w:rFonts w:hint="eastAsia" w:ascii="宋体" w:hAnsi="宋体" w:eastAsia="宋体" w:cs="宋体"/>
                <w:color w:val="auto"/>
                <w:szCs w:val="21"/>
                <w:highlight w:val="none"/>
                <w:lang w:bidi="ar"/>
              </w:rPr>
              <w:t>身份证复印件</w:t>
            </w: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tc>
      </w:tr>
    </w:tbl>
    <w:p>
      <w:pPr>
        <w:adjustRightInd w:val="0"/>
        <w:snapToGrid w:val="0"/>
        <w:spacing w:line="360" w:lineRule="auto"/>
        <w:jc w:val="left"/>
        <w:rPr>
          <w:rFonts w:hint="eastAsia" w:ascii="宋体" w:hAnsi="宋体" w:eastAsia="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投标人名称（公章）：________________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被授权投标代表联系电话：____________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日期：____________</w:t>
      </w:r>
    </w:p>
    <w:p>
      <w:pPr>
        <w:topLinePunct/>
        <w:autoSpaceDE w:val="0"/>
        <w:autoSpaceDN w:val="0"/>
        <w:adjustRightInd w:val="0"/>
        <w:snapToGrid w:val="0"/>
        <w:spacing w:line="360" w:lineRule="auto"/>
        <w:jc w:val="left"/>
        <w:rPr>
          <w:rFonts w:ascii="Times New Roman" w:hAnsi="Times New Roman" w:eastAsia="宋体" w:cs="Times New Roman"/>
          <w:color w:val="auto"/>
          <w:highlight w:val="none"/>
        </w:rPr>
      </w:pPr>
    </w:p>
    <w:p>
      <w:pPr>
        <w:topLinePunct/>
        <w:autoSpaceDE w:val="0"/>
        <w:autoSpaceDN w:val="0"/>
        <w:adjustRightInd w:val="0"/>
        <w:snapToGrid w:val="0"/>
        <w:spacing w:line="360" w:lineRule="auto"/>
        <w:jc w:val="left"/>
        <w:rPr>
          <w:rFonts w:ascii="Times New Roman" w:hAnsi="Times New Roman" w:eastAsia="宋体" w:cs="Times New Roman"/>
          <w:i/>
          <w:iCs/>
          <w:color w:val="auto"/>
          <w:highlight w:val="none"/>
        </w:rPr>
      </w:pPr>
      <w:r>
        <w:rPr>
          <w:rFonts w:hint="eastAsia" w:ascii="Times New Roman" w:hAnsi="Times New Roman" w:eastAsia="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ascii="Times New Roman" w:hAnsi="Times New Roman" w:eastAsia="宋体" w:cs="Times New Roman"/>
          <w:color w:val="auto"/>
          <w:highlight w:val="none"/>
          <w:lang w:bidi="ar"/>
        </w:rPr>
        <w:t>1.</w:t>
      </w:r>
      <w:r>
        <w:rPr>
          <w:rFonts w:hint="eastAsia" w:ascii="Times New Roman" w:hAnsi="Times New Roman" w:eastAsia="宋体" w:cs="宋体"/>
          <w:color w:val="auto"/>
          <w:highlight w:val="none"/>
          <w:lang w:bidi="ar"/>
        </w:rPr>
        <w:t>投标人如由被授权投标代表参与投标活动的，须同时提供《法定代表人授权委托书》和被授权投标代表身份证复印件</w:t>
      </w:r>
      <w:r>
        <w:rPr>
          <w:rFonts w:hint="eastAsia" w:ascii="Times New Roman" w:hAnsi="Times New Roman" w:eastAsia="宋体" w:cs="宋体"/>
          <w:bCs/>
          <w:color w:val="auto"/>
          <w:szCs w:val="21"/>
          <w:highlight w:val="none"/>
          <w:lang w:bidi="ar"/>
        </w:rPr>
        <w:t>（线上采购项目提供扫描件，下同）</w:t>
      </w:r>
      <w:r>
        <w:rPr>
          <w:rFonts w:hint="eastAsia" w:ascii="Times New Roman" w:hAnsi="Times New Roman" w:eastAsia="宋体" w:cs="宋体"/>
          <w:color w:val="auto"/>
          <w:highlight w:val="none"/>
          <w:lang w:bidi="ar"/>
        </w:rPr>
        <w:t>。《法定代表人授权委托书》应当按本格式要求加盖与投标人名称全称一致的标准公章，并签署法定代表人或被授权投标代表的全名</w:t>
      </w:r>
      <w:r>
        <w:rPr>
          <w:rFonts w:hint="eastAsia" w:ascii="Times New Roman" w:hAnsi="Times New Roman" w:eastAsia="宋体" w:cs="宋体"/>
          <w:color w:val="auto"/>
          <w:szCs w:val="21"/>
          <w:highlight w:val="none"/>
          <w:lang w:bidi="ar"/>
        </w:rPr>
        <w:t>。</w:t>
      </w:r>
      <w:r>
        <w:rPr>
          <w:rFonts w:ascii="Times New Roman" w:hAnsi="Times New Roman" w:eastAsia="宋体" w:cs="Times New Roman"/>
          <w:color w:val="auto"/>
          <w:szCs w:val="21"/>
          <w:highlight w:val="none"/>
          <w:lang w:bidi="ar"/>
        </w:rPr>
        <w:t>(</w:t>
      </w:r>
      <w:r>
        <w:rPr>
          <w:rFonts w:hint="eastAsia" w:ascii="Times New Roman" w:hAnsi="Times New Roman" w:eastAsia="宋体" w:cs="宋体"/>
          <w:color w:val="auto"/>
          <w:szCs w:val="21"/>
          <w:highlight w:val="none"/>
          <w:lang w:bidi="ar"/>
        </w:rPr>
        <w:t>线上采购项目应上传扫描件</w:t>
      </w:r>
      <w:r>
        <w:rPr>
          <w:rFonts w:ascii="Times New Roman" w:hAnsi="Times New Roman" w:eastAsia="宋体" w:cs="Times New Roman"/>
          <w:color w:val="auto"/>
          <w:szCs w:val="21"/>
          <w:highlight w:val="none"/>
          <w:lang w:bidi="ar"/>
        </w:rPr>
        <w:t>)</w:t>
      </w:r>
      <w:r>
        <w:rPr>
          <w:rFonts w:hint="eastAsia" w:ascii="Times New Roman" w:hAnsi="Times New Roman" w:eastAsia="宋体" w:cs="宋体"/>
          <w:color w:val="auto"/>
          <w:highlight w:val="none"/>
          <w:lang w:bidi="ar"/>
        </w:rPr>
        <w:t>。</w:t>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宋体" w:hAnsi="宋体" w:eastAsia="宋体" w:cs="宋体"/>
          <w:b/>
          <w:bCs/>
          <w:color w:val="auto"/>
          <w:sz w:val="36"/>
          <w:szCs w:val="36"/>
          <w:highlight w:val="none"/>
          <w:lang w:bidi="ar"/>
        </w:rPr>
        <w:br w:type="page"/>
      </w:r>
      <w:r>
        <w:rPr>
          <w:rFonts w:hint="eastAsia" w:ascii="Times New Roman" w:hAnsi="Times New Roman" w:eastAsia="宋体" w:cs="Times New Roman"/>
          <w:b/>
          <w:bCs/>
          <w:color w:val="auto"/>
          <w:sz w:val="28"/>
          <w:szCs w:val="28"/>
          <w:highlight w:val="none"/>
          <w:lang w:bidi="ar"/>
        </w:rPr>
        <w:t>8</w:t>
      </w:r>
      <w:r>
        <w:rPr>
          <w:rFonts w:ascii="Times New Roman" w:hAnsi="Times New Roman" w:eastAsia="宋体" w:cs="Times New Roman"/>
          <w:b/>
          <w:bCs/>
          <w:color w:val="auto"/>
          <w:sz w:val="28"/>
          <w:szCs w:val="28"/>
          <w:highlight w:val="none"/>
          <w:lang w:bidi="ar"/>
        </w:rPr>
        <w:t>-2</w:t>
      </w:r>
      <w:r>
        <w:rPr>
          <w:rFonts w:hint="eastAsia" w:ascii="Times New Roman" w:hAnsi="Times New Roman" w:eastAsia="宋体" w:cs="宋体"/>
          <w:b/>
          <w:bCs/>
          <w:color w:val="auto"/>
          <w:sz w:val="28"/>
          <w:szCs w:val="28"/>
          <w:highlight w:val="none"/>
          <w:lang w:bidi="ar"/>
        </w:rPr>
        <w:t>法定代表人身份证明复印件</w:t>
      </w:r>
    </w:p>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rFonts w:ascii="Calibri" w:hAnsi="Calibri" w:eastAsia="宋体" w:cs="Times New Roman"/>
          <w:color w:val="auto"/>
          <w:highlight w:val="none"/>
        </w:rPr>
      </w:pPr>
    </w:p>
    <w:tbl>
      <w:tblPr>
        <w:tblStyle w:val="5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lang w:bidi="ar"/>
              </w:rPr>
              <w:t>法定代表人身份证明复印件</w:t>
            </w: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color w:val="auto"/>
                <w:kern w:val="0"/>
                <w:sz w:val="24"/>
                <w:szCs w:val="24"/>
                <w:highlight w:val="none"/>
              </w:rPr>
            </w:pPr>
          </w:p>
        </w:tc>
      </w:tr>
    </w:tbl>
    <w:p>
      <w:pPr>
        <w:topLinePunct/>
        <w:autoSpaceDE w:val="0"/>
        <w:autoSpaceDN w:val="0"/>
        <w:adjustRightInd w:val="0"/>
        <w:snapToGrid w:val="0"/>
        <w:spacing w:line="360" w:lineRule="auto"/>
        <w:jc w:val="left"/>
        <w:rPr>
          <w:rFonts w:ascii="Calibri" w:hAnsi="Calibri" w:eastAsia="仿宋_GB2312" w:cs="Times New Roman"/>
          <w:color w:val="auto"/>
          <w:highlight w:val="none"/>
        </w:rPr>
      </w:pPr>
    </w:p>
    <w:p>
      <w:pPr>
        <w:topLinePunct/>
        <w:autoSpaceDE w:val="0"/>
        <w:autoSpaceDN w:val="0"/>
        <w:adjustRightInd w:val="0"/>
        <w:snapToGrid w:val="0"/>
        <w:spacing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投标人如由</w:t>
      </w:r>
      <w:r>
        <w:rPr>
          <w:rFonts w:hint="eastAsia" w:ascii="宋体" w:hAnsi="宋体" w:eastAsia="宋体" w:cs="宋体"/>
          <w:b/>
          <w:bCs/>
          <w:color w:val="auto"/>
          <w:highlight w:val="none"/>
          <w:lang w:bidi="ar"/>
        </w:rPr>
        <w:t>法定代表人作为投标代表参与投标活动的，仅须提供法定代表人身份证复印件</w:t>
      </w:r>
      <w:r>
        <w:rPr>
          <w:rFonts w:hint="eastAsia" w:ascii="宋体" w:hAnsi="宋体" w:eastAsia="宋体" w:cs="宋体"/>
          <w:bCs/>
          <w:color w:val="auto"/>
          <w:szCs w:val="21"/>
          <w:highlight w:val="none"/>
          <w:lang w:bidi="ar"/>
        </w:rPr>
        <w:t>（线上采购项目提供扫描件，下同）</w:t>
      </w:r>
      <w:r>
        <w:rPr>
          <w:rFonts w:hint="eastAsia" w:ascii="宋体" w:hAnsi="宋体" w:eastAsia="宋体" w:cs="宋体"/>
          <w:color w:val="auto"/>
          <w:highlight w:val="none"/>
          <w:lang w:bidi="ar"/>
        </w:rPr>
        <w:t>。</w:t>
      </w:r>
    </w:p>
    <w:p>
      <w:pPr>
        <w:ind w:firstLine="480" w:firstLineChars="200"/>
        <w:rPr>
          <w:rFonts w:ascii="Times New Roman" w:hAnsi="Times New Roman" w:eastAsia="仿宋_GB2312" w:cs="Courier New"/>
          <w:color w:val="auto"/>
          <w:kern w:val="0"/>
          <w:sz w:val="24"/>
          <w:szCs w:val="24"/>
          <w:highlight w:val="none"/>
        </w:rPr>
      </w:pPr>
    </w:p>
    <w:p>
      <w:pPr>
        <w:widowControl/>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bidi="ar"/>
        </w:rPr>
        <w:br w:type="page"/>
      </w:r>
    </w:p>
    <w:p>
      <w:pPr>
        <w:adjustRightInd w:val="0"/>
        <w:snapToGrid w:val="0"/>
        <w:spacing w:line="360" w:lineRule="auto"/>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bidi="ar"/>
        </w:rPr>
        <w:t>8</w:t>
      </w:r>
      <w:r>
        <w:rPr>
          <w:rFonts w:ascii="Times New Roman" w:hAnsi="Times New Roman" w:eastAsia="宋体" w:cs="Times New Roman"/>
          <w:b/>
          <w:bCs/>
          <w:color w:val="auto"/>
          <w:sz w:val="28"/>
          <w:szCs w:val="28"/>
          <w:highlight w:val="none"/>
          <w:lang w:bidi="ar"/>
        </w:rPr>
        <w:t>-3</w:t>
      </w:r>
      <w:r>
        <w:rPr>
          <w:rFonts w:hint="eastAsia" w:ascii="Times New Roman" w:hAnsi="Times New Roman" w:eastAsia="宋体" w:cs="宋体"/>
          <w:b/>
          <w:bCs/>
          <w:color w:val="auto"/>
          <w:sz w:val="28"/>
          <w:szCs w:val="28"/>
          <w:highlight w:val="none"/>
          <w:lang w:bidi="ar"/>
        </w:rPr>
        <w:t>自然人授权委托书</w:t>
      </w:r>
    </w:p>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(适用于自然人投标)</w:t>
      </w:r>
    </w:p>
    <w:p>
      <w:pPr>
        <w:rPr>
          <w:rFonts w:ascii="Times New Roman" w:hAnsi="Times New Roman" w:eastAsia="仿宋_GB2312" w:cs="Courier New"/>
          <w:color w:val="auto"/>
          <w:kern w:val="0"/>
          <w:sz w:val="24"/>
          <w:szCs w:val="24"/>
          <w:highlight w:val="none"/>
        </w:rPr>
      </w:pPr>
    </w:p>
    <w:p>
      <w:pPr>
        <w:spacing w:line="360" w:lineRule="auto"/>
        <w:rPr>
          <w:rFonts w:ascii="Calibri" w:hAnsi="Calibri" w:eastAsia="宋体" w:cs="Times New Roman"/>
          <w:color w:val="auto"/>
          <w:highlight w:val="none"/>
        </w:rPr>
      </w:pPr>
      <w:r>
        <w:rPr>
          <w:rFonts w:hint="eastAsia" w:ascii="Calibri" w:hAnsi="Calibri" w:eastAsia="宋体" w:cs="宋体"/>
          <w:color w:val="auto"/>
          <w:highlight w:val="none"/>
          <w:lang w:bidi="ar"/>
        </w:rPr>
        <w:t>致</w:t>
      </w:r>
      <w:r>
        <w:rPr>
          <w:rFonts w:ascii="Calibri" w:hAnsi="Calibri" w:eastAsia="宋体" w:cs="Times New Roman"/>
          <w:color w:val="auto"/>
          <w:highlight w:val="none"/>
          <w:lang w:bidi="ar"/>
        </w:rPr>
        <w:t>____________(</w:t>
      </w:r>
      <w:r>
        <w:rPr>
          <w:rFonts w:hint="eastAsia" w:ascii="Calibri" w:hAnsi="Calibri" w:eastAsia="宋体" w:cs="宋体"/>
          <w:color w:val="auto"/>
          <w:highlight w:val="none"/>
          <w:lang w:bidi="ar"/>
        </w:rPr>
        <w:t>采购人或采购代理机构</w:t>
      </w:r>
      <w:r>
        <w:rPr>
          <w:rFonts w:ascii="Calibri" w:hAnsi="Calibri" w:eastAsia="宋体" w:cs="Times New Roman"/>
          <w:color w:val="auto"/>
          <w:highlight w:val="none"/>
          <w:lang w:bidi="ar"/>
        </w:rPr>
        <w:t>)</w:t>
      </w:r>
      <w:r>
        <w:rPr>
          <w:rFonts w:hint="eastAsia" w:ascii="Calibri" w:hAnsi="Calibri" w:eastAsia="宋体" w:cs="宋体"/>
          <w:color w:val="auto"/>
          <w:highlight w:val="none"/>
          <w:lang w:bidi="ar"/>
        </w:rPr>
        <w:t>：</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本授权书声明：我</w:t>
      </w:r>
      <w:r>
        <w:rPr>
          <w:rFonts w:ascii="Calibri" w:hAnsi="Calibri" w:eastAsia="宋体" w:cs="Times New Roman"/>
          <w:color w:val="auto"/>
          <w:highlight w:val="none"/>
          <w:lang w:bidi="ar"/>
        </w:rPr>
        <w:t>________(</w:t>
      </w:r>
      <w:r>
        <w:rPr>
          <w:rFonts w:hint="eastAsia" w:ascii="Calibri" w:hAnsi="Calibri" w:eastAsia="宋体" w:cs="宋体"/>
          <w:color w:val="auto"/>
          <w:highlight w:val="none"/>
          <w:lang w:bidi="ar"/>
        </w:rPr>
        <w:t>姓名、身份证号码</w:t>
      </w:r>
      <w:r>
        <w:rPr>
          <w:rFonts w:ascii="Calibri" w:hAnsi="Calibri" w:eastAsia="宋体" w:cs="Times New Roman"/>
          <w:color w:val="auto"/>
          <w:highlight w:val="none"/>
          <w:lang w:bidi="ar"/>
        </w:rPr>
        <w:t>)</w:t>
      </w:r>
      <w:r>
        <w:rPr>
          <w:rFonts w:hint="eastAsia" w:ascii="Calibri" w:hAnsi="Calibri" w:eastAsia="宋体" w:cs="宋体"/>
          <w:color w:val="auto"/>
          <w:highlight w:val="none"/>
          <w:lang w:bidi="ar"/>
        </w:rPr>
        <w:t>系自然人，现授权委托</w:t>
      </w:r>
      <w:r>
        <w:rPr>
          <w:rFonts w:ascii="Calibri" w:hAnsi="Calibri" w:eastAsia="宋体" w:cs="Times New Roman"/>
          <w:color w:val="auto"/>
          <w:highlight w:val="none"/>
          <w:lang w:bidi="ar"/>
        </w:rPr>
        <w:t>____________(</w:t>
      </w:r>
      <w:r>
        <w:rPr>
          <w:rFonts w:hint="eastAsia" w:ascii="Calibri" w:hAnsi="Calibri" w:eastAsia="宋体" w:cs="宋体"/>
          <w:color w:val="auto"/>
          <w:highlight w:val="none"/>
          <w:lang w:bidi="ar"/>
        </w:rPr>
        <w:t>姓名、身份证号码</w:t>
      </w:r>
      <w:r>
        <w:rPr>
          <w:rFonts w:ascii="Calibri" w:hAnsi="Calibri" w:eastAsia="宋体" w:cs="Times New Roman"/>
          <w:color w:val="auto"/>
          <w:highlight w:val="none"/>
          <w:lang w:bidi="ar"/>
        </w:rPr>
        <w:t>)</w:t>
      </w:r>
      <w:r>
        <w:rPr>
          <w:rFonts w:hint="eastAsia" w:ascii="Calibri" w:hAnsi="Calibri" w:eastAsia="宋体" w:cs="宋体"/>
          <w:color w:val="auto"/>
          <w:highlight w:val="none"/>
          <w:lang w:bidi="ar"/>
        </w:rPr>
        <w:t>以本人名义参加《</w:t>
      </w:r>
      <w:r>
        <w:rPr>
          <w:rFonts w:ascii="Calibri" w:hAnsi="Calibri" w:eastAsia="宋体" w:cs="Times New Roman"/>
          <w:color w:val="auto"/>
          <w:highlight w:val="none"/>
          <w:u w:val="single"/>
          <w:lang w:bidi="ar"/>
        </w:rPr>
        <w:t xml:space="preserve">          </w:t>
      </w:r>
      <w:r>
        <w:rPr>
          <w:rFonts w:hint="eastAsia" w:ascii="Calibri" w:hAnsi="Calibri" w:eastAsia="宋体" w:cs="宋体"/>
          <w:color w:val="auto"/>
          <w:highlight w:val="none"/>
          <w:lang w:bidi="ar"/>
        </w:rPr>
        <w:t>项目》（项目编号：</w:t>
      </w:r>
      <w:r>
        <w:rPr>
          <w:rFonts w:ascii="Calibri" w:hAnsi="Calibri" w:eastAsia="宋体" w:cs="Times New Roman"/>
          <w:color w:val="auto"/>
          <w:highlight w:val="none"/>
          <w:u w:val="single"/>
          <w:lang w:bidi="ar"/>
        </w:rPr>
        <w:t xml:space="preserve">    </w:t>
      </w:r>
      <w:r>
        <w:rPr>
          <w:rFonts w:hint="eastAsia" w:ascii="Calibri" w:hAnsi="Calibri" w:eastAsia="宋体" w:cs="宋体"/>
          <w:color w:val="auto"/>
          <w:highlight w:val="none"/>
          <w:lang w:bidi="ar"/>
        </w:rPr>
        <w:t>）的投标活动，并代表本人全权办理针对上述项目的投标、签约等具体事务和签署相关文件。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本人对被授权人的签字事项负全部责任。</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授权委托代理期限：从</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年</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月</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日起至</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年</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月</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日止。</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代理人无转委托权，特此委托。</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我已在下面签字，以资证明。</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自然人签字并在签名处加盖食指指印：</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年</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月</w:t>
      </w:r>
      <w:r>
        <w:rPr>
          <w:rFonts w:hint="eastAsia" w:ascii="Calibri" w:hAnsi="Calibri" w:eastAsia="宋体" w:cs="宋体"/>
          <w:color w:val="auto"/>
          <w:highlight w:val="none"/>
          <w:u w:val="single"/>
          <w:lang w:bidi="ar"/>
        </w:rPr>
        <w:t>　　</w:t>
      </w:r>
      <w:r>
        <w:rPr>
          <w:rFonts w:hint="eastAsia" w:ascii="Calibri" w:hAnsi="Calibri" w:eastAsia="宋体" w:cs="宋体"/>
          <w:color w:val="auto"/>
          <w:highlight w:val="none"/>
          <w:lang w:bidi="ar"/>
        </w:rPr>
        <w:t>日</w:t>
      </w:r>
    </w:p>
    <w:p>
      <w:pPr>
        <w:spacing w:line="360" w:lineRule="auto"/>
        <w:ind w:firstLine="480" w:firstLineChars="200"/>
        <w:rPr>
          <w:rFonts w:hint="eastAsia" w:ascii="宋体" w:hAnsi="宋体" w:eastAsia="宋体" w:cs="宋体"/>
          <w:color w:val="auto"/>
          <w:kern w:val="0"/>
          <w:sz w:val="24"/>
          <w:szCs w:val="24"/>
          <w:highlight w:val="none"/>
        </w:rPr>
      </w:pPr>
    </w:p>
    <w:p>
      <w:pPr>
        <w:topLinePunct/>
        <w:autoSpaceDE w:val="0"/>
        <w:autoSpaceDN w:val="0"/>
        <w:adjustRightInd w:val="0"/>
        <w:snapToGrid w:val="0"/>
        <w:spacing w:line="360" w:lineRule="auto"/>
        <w:jc w:val="left"/>
        <w:rPr>
          <w:rFonts w:hint="eastAsia" w:ascii="宋体" w:hAnsi="宋体" w:eastAsia="宋体" w:cs="宋体"/>
          <w:color w:val="auto"/>
          <w:highlight w:val="none"/>
        </w:rPr>
      </w:pPr>
    </w:p>
    <w:p>
      <w:pPr>
        <w:topLinePunct/>
        <w:autoSpaceDE w:val="0"/>
        <w:autoSpaceDN w:val="0"/>
        <w:adjustRightInd w:val="0"/>
        <w:snapToGrid w:val="0"/>
        <w:spacing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投标人如由</w:t>
      </w:r>
      <w:r>
        <w:rPr>
          <w:rFonts w:hint="eastAsia" w:ascii="宋体" w:hAnsi="宋体" w:eastAsia="宋体" w:cs="宋体"/>
          <w:b/>
          <w:bCs/>
          <w:color w:val="auto"/>
          <w:highlight w:val="none"/>
          <w:lang w:bidi="ar"/>
        </w:rPr>
        <w:t>被授权人参与投标活动的，</w:t>
      </w:r>
      <w:r>
        <w:rPr>
          <w:rFonts w:hint="eastAsia" w:ascii="宋体" w:hAnsi="宋体" w:eastAsia="宋体" w:cs="宋体"/>
          <w:color w:val="auto"/>
          <w:highlight w:val="none"/>
          <w:lang w:bidi="ar"/>
        </w:rPr>
        <w:t>须提供《自然人授权委托书》，《自然人授权委托书》应当按本格式要求签字并由自然人在签名处加盖食指指印</w:t>
      </w:r>
      <w:r>
        <w:rPr>
          <w:rFonts w:hint="eastAsia" w:ascii="宋体" w:hAnsi="宋体" w:eastAsia="宋体" w:cs="宋体"/>
          <w:color w:val="auto"/>
          <w:szCs w:val="21"/>
          <w:highlight w:val="none"/>
          <w:lang w:bidi="ar"/>
        </w:rPr>
        <w:t>。</w:t>
      </w:r>
    </w:p>
    <w:p>
      <w:pPr>
        <w:widowControl/>
        <w:jc w:val="lef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br w:type="page"/>
      </w:r>
    </w:p>
    <w:p>
      <w:pPr>
        <w:adjustRightInd w:val="0"/>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格式9  </w:t>
      </w:r>
      <w:r>
        <w:rPr>
          <w:rFonts w:hint="eastAsia" w:ascii="宋体" w:hAnsi="宋体" w:eastAsia="宋体" w:cs="宋体"/>
          <w:b/>
          <w:bCs/>
          <w:color w:val="auto"/>
          <w:sz w:val="28"/>
          <w:szCs w:val="28"/>
          <w:highlight w:val="none"/>
          <w:lang w:bidi="ar"/>
        </w:rPr>
        <w:t>投标函</w:t>
      </w:r>
    </w:p>
    <w:p>
      <w:pPr>
        <w:spacing w:line="360" w:lineRule="auto"/>
        <w:rPr>
          <w:rFonts w:ascii="Calibri" w:hAnsi="Calibri" w:eastAsia="宋体" w:cs="Times New Roman"/>
          <w:color w:val="auto"/>
          <w:highlight w:val="none"/>
        </w:rPr>
      </w:pPr>
      <w:r>
        <w:rPr>
          <w:rFonts w:hint="eastAsia" w:ascii="Calibri" w:hAnsi="Calibri" w:eastAsia="宋体" w:cs="宋体"/>
          <w:color w:val="auto"/>
          <w:highlight w:val="none"/>
          <w:lang w:bidi="ar"/>
        </w:rPr>
        <w:t>致</w:t>
      </w:r>
      <w:r>
        <w:rPr>
          <w:rFonts w:ascii="Calibri" w:hAnsi="Calibri" w:eastAsia="宋体" w:cs="Times New Roman"/>
          <w:color w:val="auto"/>
          <w:highlight w:val="none"/>
          <w:lang w:bidi="ar"/>
        </w:rPr>
        <w:t>________</w:t>
      </w:r>
      <w:r>
        <w:rPr>
          <w:rFonts w:hint="eastAsia" w:ascii="Calibri" w:hAnsi="Calibri" w:eastAsia="宋体" w:cs="宋体"/>
          <w:color w:val="auto"/>
          <w:highlight w:val="none"/>
          <w:lang w:bidi="ar"/>
        </w:rPr>
        <w:t>（采购人或采购代理机构）：</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根据</w:t>
      </w:r>
      <w:r>
        <w:rPr>
          <w:rFonts w:ascii="Calibri" w:hAnsi="Calibri" w:eastAsia="宋体" w:cs="Times New Roman"/>
          <w:color w:val="auto"/>
          <w:highlight w:val="none"/>
          <w:lang w:bidi="ar"/>
        </w:rPr>
        <w:t>______</w:t>
      </w:r>
      <w:r>
        <w:rPr>
          <w:rFonts w:hint="eastAsia" w:ascii="Calibri" w:hAnsi="Calibri" w:eastAsia="宋体" w:cs="宋体"/>
          <w:color w:val="auto"/>
          <w:highlight w:val="none"/>
          <w:lang w:bidi="ar"/>
        </w:rPr>
        <w:t>（项目名称）（项目编号：</w:t>
      </w:r>
      <w:r>
        <w:rPr>
          <w:rFonts w:ascii="Calibri" w:hAnsi="Calibri" w:eastAsia="宋体" w:cs="Times New Roman"/>
          <w:color w:val="auto"/>
          <w:highlight w:val="none"/>
          <w:lang w:bidi="ar"/>
        </w:rPr>
        <w:t>______</w:t>
      </w:r>
      <w:r>
        <w:rPr>
          <w:rFonts w:hint="eastAsia" w:ascii="Calibri" w:hAnsi="Calibri" w:eastAsia="宋体" w:cs="宋体"/>
          <w:color w:val="auto"/>
          <w:highlight w:val="none"/>
          <w:lang w:bidi="ar"/>
        </w:rPr>
        <w:t>）的招标公告，</w:t>
      </w:r>
      <w:r>
        <w:rPr>
          <w:rFonts w:ascii="Calibri" w:hAnsi="Calibri" w:eastAsia="宋体" w:cs="Times New Roman"/>
          <w:color w:val="auto"/>
          <w:highlight w:val="none"/>
          <w:lang w:bidi="ar"/>
        </w:rPr>
        <w:t>______</w:t>
      </w:r>
      <w:r>
        <w:rPr>
          <w:rFonts w:hint="eastAsia" w:ascii="Calibri" w:hAnsi="Calibri" w:eastAsia="宋体" w:cs="宋体"/>
          <w:color w:val="auto"/>
          <w:highlight w:val="none"/>
          <w:lang w:bidi="ar"/>
        </w:rPr>
        <w:t>（姓名、职务）代表投标人</w:t>
      </w:r>
      <w:r>
        <w:rPr>
          <w:rFonts w:ascii="Calibri" w:hAnsi="Calibri" w:eastAsia="宋体" w:cs="Times New Roman"/>
          <w:color w:val="auto"/>
          <w:highlight w:val="none"/>
          <w:lang w:bidi="ar"/>
        </w:rPr>
        <w:t>______</w:t>
      </w:r>
      <w:r>
        <w:rPr>
          <w:rFonts w:hint="eastAsia" w:ascii="Calibri" w:hAnsi="Calibri" w:eastAsia="宋体" w:cs="宋体"/>
          <w:color w:val="auto"/>
          <w:highlight w:val="none"/>
          <w:lang w:bidi="ar"/>
        </w:rPr>
        <w:t>（投标人名称、地址）参加项目招标的有关活动。据此函，作如下承诺：</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1.</w:t>
      </w:r>
      <w:r>
        <w:rPr>
          <w:rFonts w:hint="eastAsia" w:ascii="Calibri" w:hAnsi="Calibri" w:eastAsia="宋体" w:cs="宋体"/>
          <w:color w:val="auto"/>
          <w:highlight w:val="none"/>
          <w:lang w:bidi="ar"/>
        </w:rPr>
        <w:t>同意在本项目招标文件中规定的开标日起</w:t>
      </w:r>
      <w:r>
        <w:rPr>
          <w:rFonts w:ascii="Calibri" w:hAnsi="Calibri" w:eastAsia="宋体" w:cs="Times New Roman"/>
          <w:color w:val="auto"/>
          <w:highlight w:val="none"/>
          <w:u w:val="single"/>
          <w:lang w:bidi="ar"/>
        </w:rPr>
        <w:t xml:space="preserve">    </w:t>
      </w:r>
      <w:r>
        <w:rPr>
          <w:rFonts w:hint="eastAsia" w:ascii="Calibri" w:hAnsi="Calibri" w:eastAsia="宋体" w:cs="宋体"/>
          <w:color w:val="auto"/>
          <w:highlight w:val="none"/>
          <w:lang w:bidi="ar"/>
        </w:rPr>
        <w:t>天遵守本投标文件中的承诺，且在期满之前均具有约束力。</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2.</w:t>
      </w:r>
      <w:r>
        <w:rPr>
          <w:rFonts w:hint="eastAsia" w:ascii="Calibri" w:hAnsi="Calibri" w:eastAsia="宋体" w:cs="宋体"/>
          <w:color w:val="auto"/>
          <w:highlight w:val="none"/>
          <w:lang w:bidi="ar"/>
        </w:rPr>
        <w:t>具备政府采购相关法律法规规定的参加政府采购活动的供应商应当具备的条件：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1</w:t>
      </w:r>
      <w:r>
        <w:rPr>
          <w:rFonts w:hint="eastAsia" w:ascii="Calibri" w:hAnsi="Calibri" w:eastAsia="宋体" w:cs="宋体"/>
          <w:color w:val="auto"/>
          <w:highlight w:val="none"/>
          <w:lang w:bidi="ar"/>
        </w:rPr>
        <w:t>）具有独立承担民事责任的能力；</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2</w:t>
      </w:r>
      <w:r>
        <w:rPr>
          <w:rFonts w:hint="eastAsia" w:ascii="Calibri" w:hAnsi="Calibri" w:eastAsia="宋体" w:cs="宋体"/>
          <w:color w:val="auto"/>
          <w:highlight w:val="none"/>
          <w:lang w:bidi="ar"/>
        </w:rPr>
        <w:t>）具有良好的商业信誉和健全的财务会计制度；</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3</w:t>
      </w:r>
      <w:r>
        <w:rPr>
          <w:rFonts w:hint="eastAsia" w:ascii="Calibri" w:hAnsi="Calibri" w:eastAsia="宋体" w:cs="宋体"/>
          <w:color w:val="auto"/>
          <w:highlight w:val="none"/>
          <w:lang w:bidi="ar"/>
        </w:rPr>
        <w:t>）具有履行合同所必需的设备和专业技术能力；</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4</w:t>
      </w:r>
      <w:r>
        <w:rPr>
          <w:rFonts w:hint="eastAsia" w:ascii="Calibri" w:hAnsi="Calibri" w:eastAsia="宋体" w:cs="宋体"/>
          <w:color w:val="auto"/>
          <w:highlight w:val="none"/>
          <w:lang w:bidi="ar"/>
        </w:rPr>
        <w:t>）有依法缴纳税收和社会保障资金的良好记录；</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5</w:t>
      </w:r>
      <w:r>
        <w:rPr>
          <w:rFonts w:hint="eastAsia" w:ascii="Calibri" w:hAnsi="Calibri" w:eastAsia="宋体" w:cs="宋体"/>
          <w:color w:val="auto"/>
          <w:highlight w:val="none"/>
          <w:lang w:bidi="ar"/>
        </w:rPr>
        <w:t>）参加此项采购活动前三年内，在经营活动中没有重大违法记录。</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w:t>
      </w:r>
      <w:r>
        <w:rPr>
          <w:rFonts w:ascii="Calibri" w:hAnsi="Calibri" w:eastAsia="宋体" w:cs="Times New Roman"/>
          <w:color w:val="auto"/>
          <w:highlight w:val="none"/>
          <w:lang w:bidi="ar"/>
        </w:rPr>
        <w:t>6</w:t>
      </w:r>
      <w:r>
        <w:rPr>
          <w:rFonts w:hint="eastAsia" w:ascii="Calibri" w:hAnsi="Calibri" w:eastAsia="宋体" w:cs="宋体"/>
          <w:color w:val="auto"/>
          <w:highlight w:val="none"/>
          <w:lang w:bidi="ar"/>
        </w:rPr>
        <w:t>）法律、行政法规规定的其他条件。</w:t>
      </w:r>
      <w:r>
        <w:rPr>
          <w:rFonts w:ascii="Calibri" w:hAnsi="Calibri" w:eastAsia="宋体" w:cs="Times New Roman"/>
          <w:color w:val="auto"/>
          <w:highlight w:val="none"/>
          <w:lang w:bidi="ar"/>
        </w:rPr>
        <w:t xml:space="preserve"> </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3.</w:t>
      </w:r>
      <w:r>
        <w:rPr>
          <w:rFonts w:hint="eastAsia" w:ascii="Calibri" w:hAnsi="Calibri" w:eastAsia="宋体" w:cs="宋体"/>
          <w:color w:val="auto"/>
          <w:highlight w:val="none"/>
          <w:lang w:bidi="ar"/>
        </w:rPr>
        <w:t>具备本项目招标文件中规定的其他要求和资质条件。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4.</w:t>
      </w:r>
      <w:r>
        <w:rPr>
          <w:rFonts w:hint="eastAsia" w:ascii="Calibri" w:hAnsi="Calibri" w:eastAsia="宋体" w:cs="宋体"/>
          <w:color w:val="auto"/>
          <w:highlight w:val="none"/>
          <w:lang w:bidi="ar"/>
        </w:rPr>
        <w:t>提供投标人须知规定的全部投标文件。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5.</w:t>
      </w:r>
      <w:r>
        <w:rPr>
          <w:rFonts w:hint="eastAsia" w:ascii="Calibri" w:hAnsi="Calibri" w:eastAsia="宋体" w:cs="宋体"/>
          <w:color w:val="auto"/>
          <w:highlight w:val="none"/>
          <w:lang w:bidi="ar"/>
        </w:rPr>
        <w:t>已详细审阅全部招标文件（包括招标文件澄清函），理解投标人须知的所有条款。</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6.</w:t>
      </w:r>
      <w:r>
        <w:rPr>
          <w:rFonts w:hint="eastAsia" w:ascii="Calibri" w:hAnsi="Calibri" w:eastAsia="宋体" w:cs="宋体"/>
          <w:color w:val="auto"/>
          <w:highlight w:val="none"/>
          <w:lang w:bidi="ar"/>
        </w:rPr>
        <w:t>完全理解贵方“最低报价不能作为中标的保证”的规定。</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7.</w:t>
      </w:r>
      <w:r>
        <w:rPr>
          <w:rFonts w:hint="eastAsia" w:ascii="Calibri" w:hAnsi="Calibri" w:eastAsia="宋体" w:cs="宋体"/>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8.</w:t>
      </w:r>
      <w:r>
        <w:rPr>
          <w:rFonts w:hint="eastAsia" w:ascii="Calibri" w:hAnsi="Calibri" w:eastAsia="宋体" w:cs="宋体"/>
          <w:color w:val="auto"/>
          <w:highlight w:val="none"/>
          <w:lang w:bidi="ar"/>
        </w:rPr>
        <w:t>完全满足和响应招标文件中的各项商务和技术要求，若有偏差，已在投标文件中明确说明。</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9.</w:t>
      </w:r>
      <w:r>
        <w:rPr>
          <w:rFonts w:hint="eastAsia" w:ascii="Calibri" w:hAnsi="Calibri" w:eastAsia="宋体" w:cs="宋体"/>
          <w:color w:val="auto"/>
          <w:highlight w:val="none"/>
          <w:lang w:bidi="ar"/>
        </w:rPr>
        <w:t>愿意提供任何与投标有关的数据、情况和技术资料等。若贵方需要，愿意提供一切证明材料。</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10.</w:t>
      </w:r>
      <w:r>
        <w:rPr>
          <w:rFonts w:hint="eastAsia" w:ascii="Calibri" w:hAnsi="Calibri" w:eastAsia="宋体" w:cs="宋体"/>
          <w:color w:val="auto"/>
          <w:highlight w:val="none"/>
          <w:lang w:bidi="ar"/>
        </w:rPr>
        <w:t>我方已详细审核全部投标文件、参考资料及有关附件，确认无误。</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11.</w:t>
      </w:r>
      <w:r>
        <w:rPr>
          <w:rFonts w:hint="eastAsia" w:ascii="Calibri" w:hAnsi="Calibri" w:eastAsia="宋体" w:cs="宋体"/>
          <w:color w:val="auto"/>
          <w:highlight w:val="none"/>
          <w:lang w:bidi="ar"/>
        </w:rPr>
        <w:t>对本次招标内容及与本项目有关的知识产权、技术资料、商业秘密及相关信息保密。</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lang w:bidi="ar"/>
        </w:rPr>
        <w:t>12.</w:t>
      </w:r>
      <w:r>
        <w:rPr>
          <w:rFonts w:hint="eastAsia" w:ascii="Calibri" w:hAnsi="Calibri" w:eastAsia="宋体" w:cs="宋体"/>
          <w:color w:val="auto"/>
          <w:highlight w:val="none"/>
          <w:lang w:bidi="ar"/>
        </w:rPr>
        <w:t>已知悉并承诺遵守《税务系统信息化服务商失信行为记录名单制度</w:t>
      </w:r>
      <w:r>
        <w:rPr>
          <w:rFonts w:ascii="Calibri" w:hAnsi="Calibri" w:eastAsia="宋体" w:cs="Times New Roman"/>
          <w:color w:val="auto"/>
          <w:highlight w:val="none"/>
          <w:lang w:bidi="ar"/>
        </w:rPr>
        <w:t>(</w:t>
      </w:r>
      <w:r>
        <w:rPr>
          <w:rFonts w:hint="eastAsia" w:ascii="Calibri" w:hAnsi="Calibri" w:eastAsia="宋体" w:cs="宋体"/>
          <w:color w:val="auto"/>
          <w:highlight w:val="none"/>
          <w:lang w:bidi="ar"/>
        </w:rPr>
        <w:t>试行</w:t>
      </w:r>
      <w:r>
        <w:rPr>
          <w:rFonts w:ascii="Calibri" w:hAnsi="Calibri" w:eastAsia="宋体" w:cs="Times New Roman"/>
          <w:color w:val="auto"/>
          <w:highlight w:val="none"/>
          <w:lang w:bidi="ar"/>
        </w:rPr>
        <w:t xml:space="preserve">) </w:t>
      </w:r>
      <w:r>
        <w:rPr>
          <w:rFonts w:hint="eastAsia" w:ascii="Calibri" w:hAnsi="Calibri" w:eastAsia="宋体" w:cs="宋体"/>
          <w:color w:val="auto"/>
          <w:highlight w:val="none"/>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rFonts w:ascii="Calibri" w:hAnsi="Calibri" w:eastAsia="宋体" w:cs="Times New Roman"/>
          <w:color w:val="auto"/>
          <w:highlight w:val="none"/>
          <w:lang w:bidi="ar"/>
        </w:rPr>
        <w:t>3</w:t>
      </w:r>
      <w:r>
        <w:rPr>
          <w:rFonts w:hint="eastAsia" w:ascii="Calibri" w:hAnsi="Calibri" w:eastAsia="宋体" w:cs="宋体"/>
          <w:color w:val="auto"/>
          <w:highlight w:val="none"/>
          <w:lang w:bidi="ar"/>
        </w:rPr>
        <w:t>年内限制参加税务系统政府采购活动的相关规定。</w:t>
      </w: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投标人名称（公章）：</w:t>
      </w:r>
      <w:r>
        <w:rPr>
          <w:rFonts w:ascii="Calibri" w:hAnsi="Calibri" w:eastAsia="宋体" w:cs="Times New Roman"/>
          <w:color w:val="auto"/>
          <w:highlight w:val="none"/>
          <w:lang w:bidi="ar"/>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rPr>
        <w:t>法定代表人（签字）</w:t>
      </w:r>
      <w:r>
        <w:rPr>
          <w:rFonts w:ascii="Calibri" w:hAnsi="Calibri" w:eastAsia="宋体" w:cs="Times New Roman"/>
          <w:color w:val="auto"/>
          <w:highlight w:val="none"/>
        </w:rPr>
        <w:t>/</w:t>
      </w:r>
      <w:r>
        <w:rPr>
          <w:rFonts w:hint="eastAsia" w:ascii="Calibri" w:hAnsi="Calibri" w:eastAsia="宋体" w:cs="宋体"/>
          <w:color w:val="auto"/>
          <w:highlight w:val="none"/>
        </w:rPr>
        <w:t>被授权投标代表（签字）：</w:t>
      </w:r>
      <w:r>
        <w:rPr>
          <w:rFonts w:ascii="Calibri" w:hAnsi="Calibri" w:eastAsia="宋体" w:cs="Times New Roman"/>
          <w:color w:val="auto"/>
          <w:highlight w:val="none"/>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投标人地址：</w:t>
      </w:r>
      <w:r>
        <w:rPr>
          <w:rFonts w:ascii="Calibri" w:hAnsi="Calibri" w:eastAsia="宋体" w:cs="Times New Roman"/>
          <w:color w:val="auto"/>
          <w:highlight w:val="none"/>
          <w:lang w:bidi="ar"/>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邮编：</w:t>
      </w:r>
      <w:r>
        <w:rPr>
          <w:rFonts w:ascii="Calibri" w:hAnsi="Calibri" w:eastAsia="宋体" w:cs="Times New Roman"/>
          <w:color w:val="auto"/>
          <w:highlight w:val="none"/>
          <w:lang w:bidi="ar"/>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电话：</w:t>
      </w:r>
      <w:r>
        <w:rPr>
          <w:rFonts w:ascii="Calibri" w:hAnsi="Calibri" w:eastAsia="宋体" w:cs="Times New Roman"/>
          <w:color w:val="auto"/>
          <w:highlight w:val="none"/>
          <w:lang w:bidi="ar"/>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传真：</w:t>
      </w:r>
      <w:r>
        <w:rPr>
          <w:rFonts w:ascii="Calibri" w:hAnsi="Calibri" w:eastAsia="宋体" w:cs="Times New Roman"/>
          <w:color w:val="auto"/>
          <w:highlight w:val="none"/>
          <w:lang w:bidi="ar"/>
        </w:rPr>
        <w:t>____________</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宋体"/>
          <w:color w:val="auto"/>
          <w:highlight w:val="none"/>
          <w:lang w:bidi="ar"/>
        </w:rPr>
        <w:t>日</w:t>
      </w:r>
      <w:r>
        <w:rPr>
          <w:rFonts w:ascii="Calibri" w:hAnsi="Calibri" w:eastAsia="宋体" w:cs="Times New Roman"/>
          <w:color w:val="auto"/>
          <w:highlight w:val="none"/>
          <w:lang w:bidi="ar"/>
        </w:rPr>
        <w:t xml:space="preserve">  </w:t>
      </w:r>
      <w:r>
        <w:rPr>
          <w:rFonts w:hint="eastAsia" w:ascii="Calibri" w:hAnsi="Calibri" w:eastAsia="宋体" w:cs="宋体"/>
          <w:color w:val="auto"/>
          <w:highlight w:val="none"/>
          <w:lang w:bidi="ar"/>
        </w:rPr>
        <w:t>期：</w:t>
      </w:r>
      <w:r>
        <w:rPr>
          <w:rFonts w:ascii="Calibri" w:hAnsi="Calibri" w:eastAsia="宋体" w:cs="Times New Roman"/>
          <w:color w:val="auto"/>
          <w:highlight w:val="none"/>
          <w:lang w:bidi="ar"/>
        </w:rPr>
        <w:t xml:space="preserve">____________          </w:t>
      </w:r>
    </w:p>
    <w:p>
      <w:pPr>
        <w:spacing w:line="360" w:lineRule="auto"/>
        <w:ind w:firstLine="420" w:firstLineChars="200"/>
        <w:rPr>
          <w:rFonts w:ascii="Calibri" w:hAnsi="Calibri" w:eastAsia="宋体" w:cs="Times New Roman"/>
          <w:color w:val="auto"/>
          <w:highlight w:val="none"/>
        </w:rPr>
      </w:pPr>
    </w:p>
    <w:p>
      <w:pPr>
        <w:ind w:firstLine="480" w:firstLineChars="200"/>
        <w:rPr>
          <w:rFonts w:ascii="Calibri" w:hAnsi="宋体" w:eastAsia="Times New Roman" w:cs="宋体"/>
          <w:color w:val="auto"/>
          <w:sz w:val="24"/>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特别说明：</w:t>
      </w:r>
    </w:p>
    <w:p>
      <w:pPr>
        <w:adjustRightInd w:val="0"/>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投标人应当按上述格式要求加盖与投标人名称全称一致的标准公章，并签署法定代表人或</w:t>
      </w:r>
      <w:r>
        <w:rPr>
          <w:rFonts w:hint="eastAsia" w:ascii="宋体" w:hAnsi="宋体" w:eastAsia="宋体" w:cs="宋体"/>
          <w:bCs/>
          <w:color w:val="auto"/>
          <w:szCs w:val="21"/>
          <w:highlight w:val="none"/>
          <w:lang w:bidi="ar"/>
        </w:rPr>
        <w:t>被授权投标代表</w:t>
      </w:r>
      <w:r>
        <w:rPr>
          <w:rFonts w:hint="eastAsia" w:ascii="宋体" w:hAnsi="宋体" w:eastAsia="宋体" w:cs="宋体"/>
          <w:color w:val="auto"/>
          <w:szCs w:val="21"/>
          <w:highlight w:val="none"/>
          <w:lang w:bidi="ar"/>
        </w:rPr>
        <w:t>的全名，线上采购项目应上传扫描件。</w:t>
      </w:r>
    </w:p>
    <w:p>
      <w:pPr>
        <w:widowControl/>
        <w:jc w:val="left"/>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br w:type="page"/>
      </w:r>
    </w:p>
    <w:p>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格式10  商务条款偏离表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066"/>
        <w:gridCol w:w="2045"/>
        <w:gridCol w:w="202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1112"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招标文件</w:t>
            </w:r>
          </w:p>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商务条款内容</w:t>
            </w:r>
            <w:r>
              <w:rPr>
                <w:rFonts w:hint="eastAsia" w:ascii="Times New Roman" w:hAnsi="Times New Roman" w:eastAsia="宋体" w:cs="Times New Roman"/>
                <w:b/>
                <w:color w:val="auto"/>
                <w:szCs w:val="21"/>
                <w:highlight w:val="none"/>
              </w:rPr>
              <w:t>要求</w:t>
            </w:r>
          </w:p>
        </w:tc>
        <w:tc>
          <w:tcPr>
            <w:tcW w:w="1101"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投标文件</w:t>
            </w:r>
          </w:p>
          <w:p>
            <w:pPr>
              <w:topLinePunct/>
              <w:autoSpaceDE w:val="0"/>
              <w:autoSpaceDN w:val="0"/>
              <w:spacing w:before="62" w:beforeLines="20" w:after="4"/>
              <w:jc w:val="center"/>
              <w:rPr>
                <w:rFonts w:ascii="Times New Roman" w:hAnsi="Times New Roman" w:eastAsia="宋体" w:cs="Times New Roman"/>
                <w:b/>
                <w:color w:val="auto"/>
                <w:szCs w:val="21"/>
                <w:highlight w:val="none"/>
              </w:rPr>
            </w:pPr>
            <w:bookmarkStart w:id="25" w:name="OLE_LINK6"/>
            <w:r>
              <w:rPr>
                <w:rFonts w:hint="eastAsia" w:ascii="Times New Roman" w:hAnsi="Times New Roman" w:eastAsia="宋体" w:cs="Times New Roman"/>
                <w:b/>
                <w:color w:val="auto"/>
                <w:szCs w:val="21"/>
                <w:highlight w:val="none"/>
              </w:rPr>
              <w:t>应答情况</w:t>
            </w:r>
            <w:bookmarkEnd w:id="25"/>
          </w:p>
        </w:tc>
        <w:tc>
          <w:tcPr>
            <w:tcW w:w="1090"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偏离（无/正/负）</w:t>
            </w:r>
          </w:p>
        </w:tc>
        <w:tc>
          <w:tcPr>
            <w:tcW w:w="924"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112"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101"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090"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924"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1112"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101"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090"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924"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1112"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101"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090"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924"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1112"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101"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090"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924"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tc>
        <w:tc>
          <w:tcPr>
            <w:tcW w:w="1112"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101"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1090"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c>
          <w:tcPr>
            <w:tcW w:w="924" w:type="pct"/>
            <w:tcBorders>
              <w:top w:val="single" w:color="auto" w:sz="4" w:space="0"/>
              <w:left w:val="single" w:color="auto" w:sz="4" w:space="0"/>
              <w:bottom w:val="single" w:color="auto" w:sz="4" w:space="0"/>
              <w:right w:val="single" w:color="auto" w:sz="4" w:space="0"/>
            </w:tcBorders>
            <w:noWrap/>
          </w:tcPr>
          <w:p>
            <w:pPr>
              <w:topLinePunct/>
              <w:autoSpaceDE w:val="0"/>
              <w:autoSpaceDN w:val="0"/>
              <w:spacing w:before="62" w:beforeLines="20" w:after="312"/>
              <w:jc w:val="center"/>
              <w:rPr>
                <w:rFonts w:ascii="Times New Roman" w:hAnsi="Times New Roman" w:eastAsia="宋体" w:cs="Times New Roman"/>
                <w:b/>
                <w:bCs/>
                <w:color w:val="auto"/>
                <w:szCs w:val="21"/>
                <w:highlight w:val="none"/>
              </w:rPr>
            </w:pPr>
          </w:p>
        </w:tc>
      </w:tr>
    </w:tbl>
    <w:p>
      <w:pPr>
        <w:pStyle w:val="63"/>
        <w:rPr>
          <w:color w:val="auto"/>
          <w:highlight w:val="none"/>
        </w:rPr>
      </w:pPr>
    </w:p>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bookmarkStart w:id="26" w:name="_Hlk55382356"/>
    </w:p>
    <w:p>
      <w:pPr>
        <w:ind w:firstLine="422"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bookmarkEnd w:id="26"/>
    </w:p>
    <w:p>
      <w:pPr>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rPr>
          <w:color w:val="auto"/>
          <w:highlight w:val="none"/>
        </w:rPr>
      </w:pPr>
      <w:r>
        <w:rPr>
          <w:color w:val="auto"/>
          <w:highlight w:val="none"/>
        </w:rPr>
        <w:t>3.本表可扩展。</w:t>
      </w:r>
    </w:p>
    <w:p>
      <w:pPr>
        <w:topLinePunct/>
        <w:autoSpaceDE w:val="0"/>
        <w:autoSpaceDN w:val="0"/>
        <w:spacing w:line="500" w:lineRule="exact"/>
        <w:rPr>
          <w:rFonts w:hint="eastAsia"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ascii="宋体" w:hAnsi="宋体"/>
          <w:color w:val="auto"/>
          <w:kern w:val="0"/>
          <w:szCs w:val="21"/>
          <w:highlight w:val="none"/>
        </w:rPr>
        <w:t>（全称并加盖公章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snapToGrid w:val="0"/>
        <w:spacing w:line="360" w:lineRule="auto"/>
        <w:jc w:val="center"/>
        <w:rPr>
          <w:rFonts w:hint="eastAsia" w:ascii="宋体" w:hAnsi="宋体" w:cs="宋体"/>
          <w:b/>
          <w:bCs/>
          <w:color w:val="auto"/>
          <w:sz w:val="28"/>
          <w:szCs w:val="28"/>
          <w:highlight w:val="none"/>
        </w:rPr>
      </w:pPr>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11</w:t>
      </w:r>
      <w:r>
        <w:rPr>
          <w:rFonts w:ascii="Times New Roman" w:hAnsi="Times New Roman"/>
          <w:b/>
          <w:bCs/>
          <w:color w:val="auto"/>
          <w:sz w:val="28"/>
          <w:szCs w:val="28"/>
          <w:highlight w:val="none"/>
        </w:rPr>
        <w:t xml:space="preserve">  </w:t>
      </w:r>
      <w:r>
        <w:rPr>
          <w:rFonts w:hint="eastAsia" w:ascii="宋体" w:hAnsi="宋体" w:cs="宋体"/>
          <w:b/>
          <w:bCs/>
          <w:color w:val="auto"/>
          <w:sz w:val="28"/>
          <w:szCs w:val="28"/>
          <w:highlight w:val="none"/>
          <w:lang w:bidi="ar"/>
        </w:rPr>
        <w:t>中小企业声明函</w:t>
      </w:r>
    </w:p>
    <w:p>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bidi="ar"/>
        </w:rPr>
        <w:t>中小企业声明函（服务）</w:t>
      </w:r>
    </w:p>
    <w:p>
      <w:pPr>
        <w:widowControl/>
        <w:spacing w:line="360" w:lineRule="auto"/>
        <w:ind w:firstLine="480" w:firstLineChars="200"/>
        <w:jc w:val="left"/>
        <w:rPr>
          <w:rFonts w:hint="eastAsia" w:ascii="宋体" w:hAnsi="宋体" w:cs="宋体"/>
          <w:color w:val="auto"/>
          <w:kern w:val="0"/>
          <w:sz w:val="24"/>
          <w:highlight w:val="none"/>
        </w:rPr>
      </w:pPr>
    </w:p>
    <w:p>
      <w:pPr>
        <w:pStyle w:val="9"/>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hint="eastAsia" w:ascii="Times New Roman" w:hAnsi="Times New Roman" w:cs="Times New Roman"/>
          <w:color w:val="auto"/>
          <w:kern w:val="2"/>
          <w:sz w:val="21"/>
          <w:szCs w:val="21"/>
          <w:highlight w:val="none"/>
          <w:lang w:bidi="ar"/>
        </w:rPr>
        <w:t>号）的规定，本公司（联合体）参加</w:t>
      </w:r>
      <w:r>
        <w:rPr>
          <w:rFonts w:hint="eastAsia" w:ascii="Times New Roman" w:hAnsi="Times New Roman" w:cs="Times New Roman"/>
          <w:color w:val="auto"/>
          <w:kern w:val="2"/>
          <w:sz w:val="21"/>
          <w:szCs w:val="21"/>
          <w:highlight w:val="none"/>
          <w:u w:val="single"/>
          <w:lang w:bidi="ar"/>
        </w:rPr>
        <w:t>（国家税务总局来宾市税务局）</w:t>
      </w:r>
      <w:r>
        <w:rPr>
          <w:rFonts w:hint="eastAsia" w:ascii="Times New Roman" w:hAnsi="Times New Roman" w:cs="Times New Roman"/>
          <w:color w:val="auto"/>
          <w:kern w:val="2"/>
          <w:sz w:val="21"/>
          <w:szCs w:val="21"/>
          <w:highlight w:val="none"/>
          <w:lang w:bidi="ar"/>
        </w:rPr>
        <w:t>的</w:t>
      </w:r>
      <w:r>
        <w:rPr>
          <w:rFonts w:hint="eastAsia" w:ascii="Times New Roman" w:hAnsi="Times New Roman" w:cs="Times New Roman"/>
          <w:color w:val="auto"/>
          <w:kern w:val="2"/>
          <w:sz w:val="21"/>
          <w:szCs w:val="21"/>
          <w:highlight w:val="none"/>
          <w:u w:val="single"/>
          <w:lang w:bidi="ar"/>
        </w:rPr>
        <w:t>（</w:t>
      </w:r>
      <w:r>
        <w:rPr>
          <w:rFonts w:hint="eastAsia" w:ascii="Times New Roman" w:hAnsi="Times New Roman" w:cs="Times New Roman"/>
          <w:color w:val="auto"/>
          <w:kern w:val="2"/>
          <w:sz w:val="21"/>
          <w:szCs w:val="21"/>
          <w:highlight w:val="none"/>
          <w:u w:val="single"/>
          <w:lang w:eastAsia="zh-CN" w:bidi="ar"/>
        </w:rPr>
        <w:t>国家税务总局来宾市税务局2025年物业管理服务采购项目（重）</w:t>
      </w:r>
      <w:r>
        <w:rPr>
          <w:rFonts w:hint="eastAsia" w:ascii="Times New Roman" w:hAnsi="Times New Roman" w:cs="Times New Roman"/>
          <w:color w:val="auto"/>
          <w:kern w:val="2"/>
          <w:sz w:val="21"/>
          <w:szCs w:val="21"/>
          <w:highlight w:val="none"/>
          <w:u w:val="single"/>
          <w:lang w:bidi="ar"/>
        </w:rPr>
        <w:t>）</w:t>
      </w:r>
      <w:r>
        <w:rPr>
          <w:rFonts w:hint="eastAsia" w:ascii="Times New Roman" w:hAnsi="Times New Roman" w:cs="Times New Roman"/>
          <w:color w:val="auto"/>
          <w:kern w:val="2"/>
          <w:sz w:val="21"/>
          <w:szCs w:val="21"/>
          <w:highlight w:val="none"/>
          <w:lang w:bidi="ar"/>
        </w:rPr>
        <w:t>采购活动，服务全部由符合政策要求的</w:t>
      </w:r>
      <w:r>
        <w:rPr>
          <w:rFonts w:hint="eastAsia" w:ascii="Times New Roman" w:hAnsi="Times New Roman" w:cs="Times New Roman"/>
          <w:b/>
          <w:bCs/>
          <w:color w:val="auto"/>
          <w:kern w:val="2"/>
          <w:highlight w:val="none"/>
          <w:u w:val="single"/>
          <w:lang w:bidi="ar"/>
        </w:rPr>
        <w:t>小微企业</w:t>
      </w:r>
      <w:r>
        <w:rPr>
          <w:rFonts w:hint="eastAsia" w:ascii="Times New Roman" w:hAnsi="Times New Roman" w:cs="Times New Roman"/>
          <w:color w:val="auto"/>
          <w:kern w:val="2"/>
          <w:sz w:val="21"/>
          <w:szCs w:val="21"/>
          <w:highlight w:val="none"/>
          <w:lang w:bidi="ar"/>
        </w:rPr>
        <w:t>承接。相关企业（含联合体中的中小企业、签订分包意向协议的中小企业）的具体情况如下：</w:t>
      </w:r>
    </w:p>
    <w:p>
      <w:pPr>
        <w:pStyle w:val="9"/>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u w:val="single"/>
          <w:lang w:bidi="ar"/>
        </w:rPr>
        <w:t>（</w:t>
      </w:r>
      <w:r>
        <w:rPr>
          <w:rFonts w:hint="eastAsia" w:ascii="Times New Roman" w:hAnsi="Times New Roman" w:cs="Times New Roman"/>
          <w:color w:val="auto"/>
          <w:kern w:val="2"/>
          <w:sz w:val="21"/>
          <w:szCs w:val="21"/>
          <w:highlight w:val="none"/>
          <w:u w:val="single"/>
          <w:lang w:eastAsia="zh-CN" w:bidi="ar"/>
        </w:rPr>
        <w:t>国家税务总局来宾市税务局2025年物业管理服务采购项目（重）</w:t>
      </w:r>
      <w:r>
        <w:rPr>
          <w:rFonts w:hint="eastAsia" w:ascii="Times New Roman" w:hAnsi="Times New Roman" w:cs="Times New Roman"/>
          <w:color w:val="auto"/>
          <w:kern w:val="2"/>
          <w:sz w:val="21"/>
          <w:szCs w:val="21"/>
          <w:highlight w:val="none"/>
          <w:u w:val="single"/>
          <w:lang w:bidi="ar"/>
        </w:rPr>
        <w:t>）</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color w:val="auto"/>
          <w:kern w:val="2"/>
          <w:sz w:val="21"/>
          <w:szCs w:val="21"/>
          <w:highlight w:val="none"/>
          <w:u w:val="single"/>
          <w:lang w:bidi="ar"/>
        </w:rPr>
        <w:t>（物业管理）</w:t>
      </w:r>
      <w:r>
        <w:rPr>
          <w:rFonts w:hint="eastAsia" w:ascii="Times New Roman" w:hAnsi="Times New Roman" w:cs="Times New Roman"/>
          <w:color w:val="auto"/>
          <w:kern w:val="2"/>
          <w:sz w:val="21"/>
          <w:szCs w:val="21"/>
          <w:highlight w:val="none"/>
          <w:lang w:bidi="ar"/>
        </w:rPr>
        <w:t>；承建（承接）企业为</w:t>
      </w:r>
      <w:r>
        <w:rPr>
          <w:rFonts w:hint="eastAsia" w:ascii="Times New Roman" w:hAnsi="Times New Roman" w:cs="Times New Roman"/>
          <w:i/>
          <w:iCs/>
          <w:color w:val="auto"/>
          <w:kern w:val="2"/>
          <w:sz w:val="21"/>
          <w:szCs w:val="21"/>
          <w:highlight w:val="none"/>
          <w:u w:val="single"/>
          <w:lang w:bidi="ar"/>
        </w:rPr>
        <w:t>（企业名称）</w:t>
      </w:r>
      <w:r>
        <w:rPr>
          <w:rFonts w:hint="eastAsia" w:ascii="Times New Roman" w:hAnsi="Times New Roman" w:cs="Times New Roman"/>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s="Times New Roman"/>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hint="eastAsia" w:ascii="Times New Roman" w:hAnsi="Times New Roman" w:cs="Times New Roman"/>
          <w:color w:val="auto"/>
          <w:kern w:val="2"/>
          <w:sz w:val="21"/>
          <w:szCs w:val="21"/>
          <w:highlight w:val="none"/>
          <w:lang w:bidi="ar"/>
        </w:rPr>
        <w:t>，属于</w:t>
      </w:r>
      <w:r>
        <w:rPr>
          <w:rFonts w:hint="eastAsia" w:ascii="Times New Roman" w:hAnsi="Times New Roman" w:cs="Times New Roman"/>
          <w:i/>
          <w:iCs/>
          <w:color w:val="auto"/>
          <w:kern w:val="2"/>
          <w:sz w:val="21"/>
          <w:szCs w:val="21"/>
          <w:highlight w:val="none"/>
          <w:u w:val="single"/>
          <w:lang w:bidi="ar"/>
        </w:rPr>
        <w:t>（中型企业、小型企业、微型企业）</w:t>
      </w:r>
      <w:r>
        <w:rPr>
          <w:rFonts w:hint="eastAsia" w:ascii="Times New Roman" w:hAnsi="Times New Roman" w:cs="Times New Roman"/>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9"/>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以上企业，不属于大企业的分支机构，不存在控股股东为大企业的情形，也不存在与大企业的负责人为同一人的情形。</w:t>
      </w:r>
    </w:p>
    <w:p>
      <w:pPr>
        <w:pStyle w:val="9"/>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hint="eastAsia" w:ascii="Times New Roman" w:hAnsi="Times New Roman" w:cs="Times New Roman"/>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pStyle w:val="9"/>
        <w:widowControl w:val="0"/>
        <w:snapToGrid w:val="0"/>
        <w:spacing w:before="0" w:beforeAutospacing="0" w:after="0" w:afterAutospacing="0" w:line="360" w:lineRule="auto"/>
        <w:ind w:firstLine="480" w:firstLineChars="200"/>
        <w:jc w:val="both"/>
        <w:rPr>
          <w:rFonts w:ascii="Times New Roman" w:hAnsi="Times New Roman" w:cs="Times New Roman"/>
          <w:color w:val="auto"/>
          <w:highlight w:val="none"/>
        </w:rPr>
      </w:pPr>
    </w:p>
    <w:p>
      <w:pPr>
        <w:pStyle w:val="9"/>
        <w:widowControl w:val="0"/>
        <w:snapToGrid w:val="0"/>
        <w:spacing w:before="0" w:beforeAutospacing="0" w:after="0" w:afterAutospacing="0" w:line="360" w:lineRule="auto"/>
        <w:ind w:firstLine="480" w:firstLineChars="200"/>
        <w:jc w:val="both"/>
        <w:rPr>
          <w:rFonts w:ascii="Times New Roman" w:hAnsi="Times New Roman" w:cs="Times New Roman"/>
          <w:color w:val="auto"/>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投标人</w:t>
      </w:r>
      <w:r>
        <w:rPr>
          <w:rFonts w:hint="eastAsia" w:ascii="Times New Roman" w:hAnsi="Times New Roman" w:cs="宋体"/>
          <w:color w:val="auto"/>
          <w:kern w:val="0"/>
          <w:szCs w:val="21"/>
          <w:highlight w:val="none"/>
          <w:lang w:bidi="ar"/>
        </w:rPr>
        <w:t>（全称并加盖公章</w:t>
      </w:r>
      <w:r>
        <w:rPr>
          <w:rFonts w:hint="eastAsia" w:ascii="Times New Roman" w:hAnsi="Times New Roman" w:cs="宋体"/>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日期：</w:t>
      </w:r>
      <w:r>
        <w:rPr>
          <w:rFonts w:ascii="Times New Roman" w:hAnsi="Times New Roman"/>
          <w:color w:val="auto"/>
          <w:szCs w:val="21"/>
          <w:highlight w:val="none"/>
          <w:u w:val="single"/>
          <w:lang w:bidi="ar"/>
        </w:rPr>
        <w:t xml:space="preserve">                                 </w:t>
      </w:r>
    </w:p>
    <w:p>
      <w:pPr>
        <w:pStyle w:val="9"/>
        <w:widowControl w:val="0"/>
        <w:snapToGrid w:val="0"/>
        <w:spacing w:before="0" w:beforeAutospacing="0" w:after="0" w:afterAutospacing="0" w:line="360" w:lineRule="auto"/>
        <w:ind w:firstLine="480" w:firstLineChars="200"/>
        <w:jc w:val="both"/>
        <w:rPr>
          <w:rFonts w:hint="eastAsia"/>
          <w:color w:val="auto"/>
          <w:highlight w:val="none"/>
        </w:rPr>
      </w:pPr>
    </w:p>
    <w:p>
      <w:pPr>
        <w:pStyle w:val="9"/>
        <w:widowControl w:val="0"/>
        <w:snapToGrid w:val="0"/>
        <w:spacing w:before="0" w:beforeAutospacing="0" w:after="0" w:afterAutospacing="0" w:line="360" w:lineRule="auto"/>
        <w:ind w:firstLine="480" w:firstLineChars="200"/>
        <w:jc w:val="both"/>
        <w:rPr>
          <w:rFonts w:hint="eastAsia"/>
          <w:color w:val="auto"/>
          <w:highlight w:val="none"/>
        </w:rPr>
      </w:pPr>
    </w:p>
    <w:p>
      <w:pPr>
        <w:widowControl/>
        <w:rPr>
          <w:color w:val="auto"/>
          <w:highlight w:val="none"/>
        </w:rPr>
      </w:pPr>
    </w:p>
    <w:p>
      <w:pPr>
        <w:widowControl/>
        <w:jc w:val="left"/>
        <w:rPr>
          <w:color w:val="auto"/>
          <w:highlight w:val="none"/>
        </w:rPr>
      </w:pPr>
      <w:r>
        <w:rPr>
          <w:rFonts w:hint="eastAsia" w:ascii="宋体" w:hAnsi="宋体" w:cs="宋体"/>
          <w:color w:val="auto"/>
          <w:kern w:val="0"/>
          <w:sz w:val="18"/>
          <w:szCs w:val="18"/>
          <w:highlight w:val="none"/>
          <w:lang w:bidi="ar"/>
        </w:rPr>
        <w:t>1从业人员、营业收入、资产总额填报上一年度数据，无上一年度数据的新成立企业可不填报。</w:t>
      </w:r>
    </w:p>
    <w:p>
      <w:pPr>
        <w:pStyle w:val="9"/>
        <w:widowControl w:val="0"/>
        <w:snapToGrid w:val="0"/>
        <w:spacing w:before="0" w:beforeAutospacing="0" w:after="0" w:afterAutospacing="0" w:line="360" w:lineRule="auto"/>
        <w:ind w:firstLine="480" w:firstLineChars="200"/>
        <w:jc w:val="both"/>
        <w:rPr>
          <w:rFonts w:hint="eastAsia"/>
          <w:color w:val="auto"/>
          <w:highlight w:val="none"/>
        </w:rPr>
      </w:pPr>
    </w:p>
    <w:p>
      <w:pPr>
        <w:rPr>
          <w:rFonts w:hint="eastAsia" w:ascii="Calibri" w:hAnsi="宋体" w:eastAsia="宋体" w:cs="宋体"/>
          <w:b/>
          <w:bCs/>
          <w:color w:val="auto"/>
          <w:sz w:val="28"/>
          <w:szCs w:val="28"/>
          <w:highlight w:val="none"/>
        </w:rPr>
      </w:pPr>
      <w:r>
        <w:rPr>
          <w:color w:val="auto"/>
          <w:sz w:val="24"/>
          <w:highlight w:val="none"/>
          <w:lang w:bidi="ar"/>
        </w:rPr>
        <w:br w:type="page"/>
      </w:r>
    </w:p>
    <w:p>
      <w:pPr>
        <w:rPr>
          <w:rFonts w:ascii="Calibri" w:hAnsi="Calibri" w:eastAsia="宋体" w:cs="Times New Roman"/>
          <w:color w:val="auto"/>
          <w:highlight w:val="none"/>
        </w:rPr>
      </w:pPr>
    </w:p>
    <w:p>
      <w:pPr>
        <w:pStyle w:val="27"/>
        <w:ind w:firstLine="1968" w:firstLineChars="700"/>
        <w:rPr>
          <w:rFonts w:hint="eastAsia" w:hAnsi="宋体"/>
          <w:b/>
          <w:bCs/>
          <w:color w:val="auto"/>
          <w:sz w:val="28"/>
          <w:szCs w:val="28"/>
          <w:highlight w:val="none"/>
        </w:rPr>
      </w:pPr>
      <w:r>
        <w:rPr>
          <w:rFonts w:hint="eastAsia" w:hAnsi="宋体"/>
          <w:b/>
          <w:bCs/>
          <w:color w:val="auto"/>
          <w:sz w:val="28"/>
          <w:szCs w:val="28"/>
          <w:highlight w:val="none"/>
        </w:rPr>
        <w:t>格式12  监狱企业的证明材料文件</w:t>
      </w:r>
    </w:p>
    <w:p>
      <w:pPr>
        <w:pStyle w:val="27"/>
        <w:ind w:firstLine="420" w:firstLineChars="200"/>
        <w:rPr>
          <w:rFonts w:hint="eastAsia" w:hAnsi="宋体"/>
          <w:color w:val="auto"/>
          <w:highlight w:val="none"/>
        </w:rPr>
      </w:pPr>
      <w:r>
        <w:rPr>
          <w:rFonts w:hint="eastAsia" w:hAnsi="宋体"/>
          <w:color w:val="auto"/>
          <w:highlight w:val="none"/>
        </w:rPr>
        <w:t>说明：</w:t>
      </w:r>
    </w:p>
    <w:p>
      <w:pPr>
        <w:pStyle w:val="27"/>
        <w:ind w:firstLine="420" w:firstLineChars="200"/>
        <w:rPr>
          <w:rFonts w:hint="eastAsia" w:hAnsi="宋体"/>
          <w:color w:val="auto"/>
          <w:highlight w:val="none"/>
        </w:rPr>
      </w:pPr>
      <w:r>
        <w:rPr>
          <w:rFonts w:hint="eastAsia" w:hAnsi="宋体"/>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27"/>
        <w:ind w:firstLine="420" w:firstLineChars="200"/>
        <w:rPr>
          <w:rFonts w:hint="eastAsia" w:hAnsi="宋体"/>
          <w:color w:val="auto"/>
          <w:highlight w:val="none"/>
        </w:rPr>
      </w:pPr>
      <w:r>
        <w:rPr>
          <w:rFonts w:hint="eastAsia" w:hAnsi="宋体"/>
          <w:color w:val="auto"/>
          <w:highlight w:val="none"/>
        </w:rPr>
        <w:t>2.未按上述要求提供、填写的，评标时不予以考虑。</w:t>
      </w:r>
    </w:p>
    <w:p>
      <w:pPr>
        <w:pStyle w:val="27"/>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示例略</w:t>
      </w:r>
      <w:r>
        <w:rPr>
          <w:rFonts w:hAnsi="宋体"/>
          <w:color w:val="auto"/>
          <w:highlight w:val="none"/>
        </w:rPr>
        <w:t>)</w:t>
      </w:r>
    </w:p>
    <w:p>
      <w:pPr>
        <w:rPr>
          <w:rFonts w:cs="宋体"/>
          <w:color w:val="auto"/>
          <w:sz w:val="28"/>
          <w:szCs w:val="28"/>
          <w:highlight w:val="none"/>
        </w:rPr>
      </w:pPr>
      <w:r>
        <w:rPr>
          <w:rFonts w:hint="eastAsia" w:cs="宋体"/>
          <w:color w:val="auto"/>
          <w:sz w:val="28"/>
          <w:szCs w:val="28"/>
          <w:highlight w:val="none"/>
        </w:rPr>
        <w:br w:type="page"/>
      </w:r>
    </w:p>
    <w:p>
      <w:pPr>
        <w:topLinePunct/>
        <w:autoSpaceDE w:val="0"/>
        <w:autoSpaceDN w:val="0"/>
        <w:spacing w:line="460" w:lineRule="exact"/>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格式</w:t>
      </w:r>
      <w:r>
        <w:rPr>
          <w:rFonts w:hint="eastAsia" w:ascii="Times New Roman" w:hAnsi="Times New Roman" w:eastAsia="宋体" w:cs="Times New Roman"/>
          <w:b/>
          <w:bCs/>
          <w:color w:val="auto"/>
          <w:sz w:val="28"/>
          <w:szCs w:val="28"/>
          <w:highlight w:val="none"/>
        </w:rPr>
        <w:t>13</w:t>
      </w:r>
      <w:r>
        <w:rPr>
          <w:rFonts w:ascii="Times New Roman" w:hAnsi="Times New Roman" w:eastAsia="宋体" w:cs="Times New Roman"/>
          <w:b/>
          <w:bCs/>
          <w:color w:val="auto"/>
          <w:sz w:val="28"/>
          <w:szCs w:val="28"/>
          <w:highlight w:val="none"/>
        </w:rPr>
        <w:t xml:space="preserve">  残疾人福利性单位声明函</w:t>
      </w:r>
    </w:p>
    <w:p>
      <w:pPr>
        <w:spacing w:line="588" w:lineRule="exact"/>
        <w:ind w:firstLine="444" w:firstLineChars="200"/>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本单位对上述声明的真实性负责。如有虚假，将依法承担相应责任。</w:t>
      </w:r>
    </w:p>
    <w:p>
      <w:pPr>
        <w:spacing w:line="588" w:lineRule="exact"/>
        <w:ind w:firstLine="444" w:firstLineChars="200"/>
        <w:rPr>
          <w:rFonts w:ascii="Times New Roman" w:hAnsi="Times New Roman" w:eastAsia="宋体" w:cs="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r>
        <w:rPr>
          <w:rFonts w:ascii="Times New Roman" w:hAnsi="Times New Roman" w:eastAsia="宋体" w:cs="Times New Roman"/>
          <w:color w:val="auto"/>
          <w:kern w:val="0"/>
          <w:szCs w:val="21"/>
          <w:highlight w:val="none"/>
        </w:rPr>
        <w:t>（全称并加盖公章</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 xml:space="preserve">                                 </w:t>
      </w:r>
    </w:p>
    <w:p>
      <w:pPr>
        <w:topLinePunct/>
        <w:autoSpaceDE w:val="0"/>
        <w:autoSpaceDN w:val="0"/>
        <w:spacing w:line="460" w:lineRule="exact"/>
        <w:jc w:val="center"/>
        <w:rPr>
          <w:rFonts w:ascii="Times New Roman" w:hAnsi="Times New Roman" w:eastAsia="宋体" w:cs="Times New Roman"/>
          <w:color w:val="auto"/>
          <w:spacing w:val="6"/>
          <w:szCs w:val="21"/>
          <w:highlight w:val="none"/>
        </w:rPr>
      </w:pPr>
    </w:p>
    <w:p>
      <w:pPr>
        <w:pStyle w:val="93"/>
        <w:tabs>
          <w:tab w:val="left" w:pos="420"/>
        </w:tabs>
        <w:snapToGrid w:val="0"/>
        <w:spacing w:line="460" w:lineRule="atLeast"/>
        <w:rPr>
          <w:rFonts w:ascii="Times New Roman" w:hAnsi="Times New Roman"/>
          <w:b/>
          <w:bCs/>
          <w:color w:val="auto"/>
          <w:sz w:val="28"/>
          <w:szCs w:val="28"/>
          <w:highlight w:val="none"/>
        </w:rPr>
      </w:pPr>
      <w:r>
        <w:rPr>
          <w:rFonts w:hint="eastAsia" w:cs="宋体"/>
          <w:color w:val="auto"/>
          <w:sz w:val="28"/>
          <w:szCs w:val="28"/>
          <w:highlight w:val="none"/>
        </w:rPr>
        <w:br w:type="page"/>
      </w:r>
      <w:bookmarkStart w:id="27" w:name="_Toc1615545750"/>
      <w:bookmarkStart w:id="28" w:name="_Toc680706022"/>
      <w:bookmarkStart w:id="29" w:name="_Toc681730266"/>
      <w:bookmarkStart w:id="30" w:name="_Toc1381122819"/>
      <w:bookmarkStart w:id="31" w:name="_Toc1749127877"/>
      <w:bookmarkStart w:id="32" w:name="_Toc1097421187"/>
      <w:bookmarkStart w:id="33" w:name="_Toc598152851"/>
      <w:bookmarkStart w:id="34" w:name="_Toc78504842"/>
      <w:bookmarkStart w:id="35" w:name="_Toc220361175"/>
      <w:r>
        <w:rPr>
          <w:rFonts w:ascii="Times New Roman" w:hAnsi="Times New Roman"/>
          <w:b/>
          <w:bCs/>
          <w:color w:val="auto"/>
          <w:sz w:val="28"/>
          <w:szCs w:val="28"/>
          <w:highlight w:val="none"/>
        </w:rPr>
        <w:t>格式</w:t>
      </w:r>
      <w:r>
        <w:rPr>
          <w:rFonts w:hint="eastAsia" w:ascii="Times New Roman" w:hAnsi="Times New Roman"/>
          <w:b/>
          <w:bCs/>
          <w:color w:val="auto"/>
          <w:sz w:val="28"/>
          <w:szCs w:val="28"/>
          <w:highlight w:val="none"/>
        </w:rPr>
        <w:t>14</w:t>
      </w:r>
      <w:r>
        <w:rPr>
          <w:rFonts w:ascii="Times New Roman" w:hAnsi="Times New Roman"/>
          <w:b/>
          <w:bCs/>
          <w:color w:val="auto"/>
          <w:sz w:val="28"/>
          <w:szCs w:val="28"/>
          <w:highlight w:val="none"/>
        </w:rPr>
        <w:t xml:space="preserve">  成功案例一览表</w:t>
      </w:r>
      <w:bookmarkEnd w:id="27"/>
      <w:bookmarkEnd w:id="28"/>
      <w:bookmarkEnd w:id="29"/>
      <w:bookmarkEnd w:id="30"/>
      <w:bookmarkEnd w:id="31"/>
      <w:bookmarkEnd w:id="32"/>
      <w:bookmarkEnd w:id="33"/>
      <w:bookmarkEnd w:id="34"/>
      <w:bookmarkEnd w:id="35"/>
    </w:p>
    <w:p>
      <w:pPr>
        <w:jc w:val="center"/>
        <w:rPr>
          <w:color w:val="auto"/>
          <w:highlight w:val="none"/>
        </w:rPr>
      </w:pPr>
      <w:r>
        <w:rPr>
          <w:rFonts w:hint="eastAsia"/>
          <w:color w:val="auto"/>
          <w:highlight w:val="none"/>
        </w:rPr>
        <w:t>（根据招标文件要求调整）</w:t>
      </w:r>
    </w:p>
    <w:tbl>
      <w:tblPr>
        <w:tblStyle w:val="5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投标人根据实际情况，按照第三章《评标方法及标准》进行提供</w:t>
      </w:r>
      <w:r>
        <w:rPr>
          <w:rFonts w:ascii="Times New Roman" w:hAnsi="Times New Roman" w:eastAsia="宋体" w:cs="Times New Roman"/>
          <w:color w:val="auto"/>
          <w:szCs w:val="21"/>
          <w:highlight w:val="none"/>
        </w:rPr>
        <w:t>。</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2.应提供合同复印件（线上采购项目提供扫描件，下同）。合同复印件应能清晰体现合同甲乙双方、合同时间、合同金额、合同主要内容等，并提供对方联系人及联系方式，否则不能获得相应分值。</w:t>
      </w:r>
    </w:p>
    <w:p>
      <w:pPr>
        <w:pStyle w:val="27"/>
        <w:topLinePunct/>
        <w:autoSpaceDE w:val="0"/>
        <w:autoSpaceDN w:val="0"/>
        <w:spacing w:line="460" w:lineRule="exact"/>
        <w:jc w:val="center"/>
        <w:rPr>
          <w:rFonts w:hint="eastAsia" w:hAnsi="宋体" w:cs="宋体"/>
          <w:b/>
          <w:bCs/>
          <w:color w:val="auto"/>
          <w:sz w:val="36"/>
          <w:szCs w:val="36"/>
          <w:highlight w:val="none"/>
        </w:rPr>
      </w:pPr>
    </w:p>
    <w:p>
      <w:pPr>
        <w:widowControl/>
        <w:jc w:val="left"/>
        <w:rPr>
          <w:rFonts w:ascii="Times New Roman" w:hAnsi="Times New Roman" w:eastAsia="宋体" w:cs="Times New Roman"/>
          <w:color w:val="auto"/>
          <w:szCs w:val="21"/>
          <w:highlight w:val="none"/>
          <w:u w:val="single"/>
        </w:rPr>
      </w:pPr>
    </w:p>
    <w:p>
      <w:pPr>
        <w:rPr>
          <w:rFonts w:hint="eastAsia" w:ascii="Calibri" w:hAnsi="宋体" w:eastAsia="宋体" w:cs="宋体"/>
          <w:b/>
          <w:bCs/>
          <w:color w:val="auto"/>
          <w:sz w:val="36"/>
          <w:szCs w:val="36"/>
          <w:highlight w:val="none"/>
        </w:rPr>
      </w:pPr>
    </w:p>
    <w:p>
      <w:pPr>
        <w:spacing w:line="600" w:lineRule="auto"/>
        <w:jc w:val="center"/>
        <w:rPr>
          <w:rFonts w:hint="eastAsia" w:ascii="宋体" w:hAnsi="宋体" w:eastAsia="宋体" w:cs="Times New Roman"/>
          <w:b/>
          <w:color w:val="auto"/>
          <w:kern w:val="0"/>
          <w:sz w:val="44"/>
          <w:szCs w:val="44"/>
          <w:highlight w:val="none"/>
        </w:rPr>
      </w:pPr>
    </w:p>
    <w:p>
      <w:pP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br w:type="page"/>
      </w:r>
    </w:p>
    <w:p>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投  标  文  件</w:t>
      </w:r>
    </w:p>
    <w:p>
      <w:pPr>
        <w:spacing w:line="600" w:lineRule="auto"/>
        <w:jc w:val="center"/>
        <w:rPr>
          <w:rFonts w:hint="eastAsia" w:ascii="华文中宋" w:hAnsi="华文中宋" w:eastAsia="华文中宋" w:cs="华文中宋"/>
          <w:bCs/>
          <w:color w:val="auto"/>
          <w:kern w:val="0"/>
          <w:sz w:val="32"/>
          <w:szCs w:val="32"/>
          <w:highlight w:val="none"/>
        </w:rPr>
      </w:pPr>
      <w:r>
        <w:rPr>
          <w:rFonts w:hint="eastAsia" w:ascii="华文中宋" w:hAnsi="华文中宋" w:eastAsia="华文中宋" w:cs="华文中宋"/>
          <w:bCs/>
          <w:color w:val="auto"/>
          <w:kern w:val="0"/>
          <w:sz w:val="32"/>
          <w:szCs w:val="32"/>
          <w:highlight w:val="none"/>
        </w:rPr>
        <w:t>技术部分</w:t>
      </w:r>
    </w:p>
    <w:p>
      <w:pPr>
        <w:spacing w:line="360" w:lineRule="auto"/>
        <w:jc w:val="center"/>
        <w:rPr>
          <w:rFonts w:hint="eastAsia" w:ascii="宋体" w:hAnsi="宋体" w:eastAsia="宋体" w:cs="Times New Roman"/>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pPr>
        <w:rPr>
          <w:rFonts w:hint="eastAsia" w:ascii="方正小标宋简体" w:hAnsi="方正小标宋简体" w:eastAsia="方正小标宋简体" w:cs="方正小标宋简体"/>
          <w:bCs/>
          <w:color w:val="auto"/>
          <w:kern w:val="0"/>
          <w:sz w:val="24"/>
          <w:szCs w:val="24"/>
          <w:highlight w:val="none"/>
        </w:rPr>
      </w:pPr>
    </w:p>
    <w:p>
      <w:pPr>
        <w:rPr>
          <w:rFonts w:ascii="Calibri" w:hAnsi="Calibri" w:eastAsia="宋体" w:cs="Times New Roman"/>
          <w:color w:val="auto"/>
          <w:highlight w:val="none"/>
        </w:rPr>
      </w:pP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项目名称：</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项目编号：</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所投采购包：</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480" w:firstLineChars="200"/>
        <w:jc w:val="center"/>
        <w:rPr>
          <w:rFonts w:hint="eastAsia" w:ascii="方正小标宋简体" w:hAnsi="方正小标宋简体" w:eastAsia="方正小标宋简体" w:cs="方正小标宋简体"/>
          <w:bCs/>
          <w:color w:val="auto"/>
          <w:kern w:val="0"/>
          <w:sz w:val="24"/>
          <w:szCs w:val="24"/>
          <w:highlight w:val="none"/>
        </w:rPr>
      </w:pP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投标人：</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spacing w:line="360" w:lineRule="auto"/>
        <w:ind w:left="1470" w:leftChars="700" w:firstLine="1680" w:firstLineChars="700"/>
        <w:rPr>
          <w:rFonts w:hint="eastAsia" w:ascii="方正小标宋简体" w:hAnsi="方正小标宋简体" w:eastAsia="方正小标宋简体" w:cs="方正小标宋简体"/>
          <w:bCs/>
          <w:color w:val="auto"/>
          <w:kern w:val="0"/>
          <w:sz w:val="24"/>
          <w:szCs w:val="24"/>
          <w:highlight w:val="none"/>
        </w:rPr>
      </w:pPr>
      <w:r>
        <w:rPr>
          <w:rFonts w:hint="eastAsia" w:ascii="方正小标宋简体" w:hAnsi="方正小标宋简体" w:eastAsia="方正小标宋简体" w:cs="方正小标宋简体"/>
          <w:bCs/>
          <w:color w:val="auto"/>
          <w:kern w:val="0"/>
          <w:sz w:val="24"/>
          <w:szCs w:val="24"/>
          <w:highlight w:val="none"/>
        </w:rPr>
        <w:t>日  期：</w:t>
      </w:r>
      <w:r>
        <w:rPr>
          <w:rFonts w:hint="eastAsia" w:ascii="方正小标宋简体" w:hAnsi="方正小标宋简体" w:eastAsia="方正小标宋简体" w:cs="方正小标宋简体"/>
          <w:bCs/>
          <w:color w:val="auto"/>
          <w:kern w:val="0"/>
          <w:sz w:val="24"/>
          <w:szCs w:val="24"/>
          <w:highlight w:val="none"/>
          <w:u w:val="single"/>
        </w:rPr>
        <w:t xml:space="preserve">                 </w:t>
      </w:r>
    </w:p>
    <w:p>
      <w:pPr>
        <w:widowControl/>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ascii="Times New Roman" w:hAnsi="Times New Roman" w:eastAsia="宋体" w:cs="Times New Roman"/>
          <w:b/>
          <w:bCs/>
          <w:color w:val="auto"/>
          <w:sz w:val="28"/>
          <w:szCs w:val="28"/>
          <w:highlight w:val="none"/>
        </w:rPr>
        <w:t>格式</w:t>
      </w:r>
      <w:r>
        <w:rPr>
          <w:rFonts w:hint="eastAsia" w:ascii="Times New Roman" w:hAnsi="Times New Roman" w:eastAsia="宋体" w:cs="Times New Roman"/>
          <w:b/>
          <w:bCs/>
          <w:color w:val="auto"/>
          <w:sz w:val="28"/>
          <w:szCs w:val="28"/>
          <w:highlight w:val="none"/>
        </w:rPr>
        <w:t>15</w:t>
      </w:r>
      <w:r>
        <w:rPr>
          <w:rFonts w:ascii="Times New Roman" w:hAnsi="Times New Roman" w:eastAsia="宋体" w:cs="Times New Roman"/>
          <w:b/>
          <w:bCs/>
          <w:color w:val="auto"/>
          <w:sz w:val="28"/>
          <w:szCs w:val="28"/>
          <w:highlight w:val="none"/>
        </w:rPr>
        <w:t xml:space="preserve">  技术</w:t>
      </w:r>
      <w:r>
        <w:rPr>
          <w:rFonts w:hint="eastAsia" w:ascii="Times New Roman" w:hAnsi="Times New Roman" w:eastAsia="宋体" w:cs="Times New Roman"/>
          <w:b/>
          <w:bCs/>
          <w:color w:val="auto"/>
          <w:sz w:val="28"/>
          <w:szCs w:val="28"/>
          <w:highlight w:val="none"/>
        </w:rPr>
        <w:t>条款偏离表</w:t>
      </w:r>
    </w:p>
    <w:tbl>
      <w:tblPr>
        <w:tblStyle w:val="5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5"/>
        <w:gridCol w:w="2591"/>
        <w:gridCol w:w="2062"/>
        <w:gridCol w:w="2558"/>
        <w:gridCol w:w="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1419" w:type="pct"/>
            <w:noWrap/>
            <w:vAlign w:val="center"/>
          </w:tcPr>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招标文件</w:t>
            </w:r>
          </w:p>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技术部分内容要求</w:t>
            </w:r>
          </w:p>
        </w:tc>
        <w:tc>
          <w:tcPr>
            <w:tcW w:w="1129" w:type="pct"/>
            <w:noWrap/>
            <w:vAlign w:val="center"/>
          </w:tcPr>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投标文件</w:t>
            </w:r>
          </w:p>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应答情况</w:t>
            </w:r>
          </w:p>
        </w:tc>
        <w:tc>
          <w:tcPr>
            <w:tcW w:w="1401" w:type="pct"/>
            <w:noWrap/>
            <w:vAlign w:val="center"/>
          </w:tcPr>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偏离（无/正/负）</w:t>
            </w:r>
          </w:p>
        </w:tc>
        <w:tc>
          <w:tcPr>
            <w:tcW w:w="428" w:type="pct"/>
            <w:noWrap/>
            <w:vAlign w:val="center"/>
          </w:tcPr>
          <w:p>
            <w:pPr>
              <w:adjustRightInd w:val="0"/>
              <w:snapToGrid w:val="0"/>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419" w:type="pct"/>
            <w:noWrap/>
            <w:vAlign w:val="center"/>
          </w:tcPr>
          <w:p>
            <w:pPr>
              <w:adjustRightInd w:val="0"/>
              <w:snapToGrid w:val="0"/>
              <w:ind w:left="50" w:leftChars="24" w:right="55" w:rightChars="26"/>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1419" w:type="pct"/>
            <w:noWrap/>
            <w:vAlign w:val="center"/>
          </w:tcPr>
          <w:p>
            <w:pPr>
              <w:adjustRightInd w:val="0"/>
              <w:snapToGrid w:val="0"/>
              <w:ind w:left="50" w:leftChars="24" w:right="55" w:rightChars="26"/>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1419" w:type="pct"/>
            <w:noWrap/>
            <w:vAlign w:val="center"/>
          </w:tcPr>
          <w:p>
            <w:pPr>
              <w:adjustRightInd w:val="0"/>
              <w:snapToGrid w:val="0"/>
              <w:ind w:left="50" w:leftChars="24" w:right="55" w:rightChars="26"/>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1419" w:type="pct"/>
            <w:noWrap/>
            <w:vAlign w:val="center"/>
          </w:tcPr>
          <w:p>
            <w:pPr>
              <w:adjustRightInd w:val="0"/>
              <w:snapToGrid w:val="0"/>
              <w:ind w:left="50" w:leftChars="24" w:right="55" w:rightChars="26"/>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141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2" w:type="pct"/>
            <w:noWrap/>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tc>
        <w:tc>
          <w:tcPr>
            <w:tcW w:w="141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129"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1401" w:type="pct"/>
            <w:noWrap/>
            <w:vAlign w:val="center"/>
          </w:tcPr>
          <w:p>
            <w:pPr>
              <w:adjustRightInd w:val="0"/>
              <w:snapToGrid w:val="0"/>
              <w:jc w:val="center"/>
              <w:rPr>
                <w:rFonts w:ascii="Times New Roman" w:hAnsi="Times New Roman" w:eastAsia="宋体" w:cs="Times New Roman"/>
                <w:color w:val="auto"/>
                <w:szCs w:val="21"/>
                <w:highlight w:val="none"/>
              </w:rPr>
            </w:pPr>
          </w:p>
        </w:tc>
        <w:tc>
          <w:tcPr>
            <w:tcW w:w="428" w:type="pct"/>
            <w:noWrap/>
            <w:vAlign w:val="center"/>
          </w:tcPr>
          <w:p>
            <w:pPr>
              <w:adjustRightInd w:val="0"/>
              <w:snapToGrid w:val="0"/>
              <w:jc w:val="center"/>
              <w:rPr>
                <w:rFonts w:ascii="Times New Roman" w:hAnsi="Times New Roman" w:eastAsia="宋体" w:cs="Times New Roman"/>
                <w:color w:val="auto"/>
                <w:szCs w:val="21"/>
                <w:highlight w:val="none"/>
              </w:rPr>
            </w:pPr>
          </w:p>
        </w:tc>
      </w:tr>
    </w:tbl>
    <w:p>
      <w:pPr>
        <w:topLinePunct/>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ind w:firstLine="422" w:firstLineChars="200"/>
        <w:rPr>
          <w:rFonts w:ascii="Calibri" w:hAnsi="Calibri" w:eastAsia="宋体" w:cs="Times New Roman"/>
          <w:b/>
          <w:color w:val="auto"/>
          <w:highlight w:val="none"/>
        </w:rPr>
      </w:pPr>
      <w:r>
        <w:rPr>
          <w:rFonts w:hint="eastAsia" w:ascii="Calibri" w:hAnsi="Calibri" w:eastAsia="宋体" w:cs="Times New Roman"/>
          <w:b/>
          <w:color w:val="auto"/>
          <w:highlight w:val="none"/>
        </w:rPr>
        <w:t>1.投标人应按招标文件《第六章　项目采购需求》中的技术要求，结合自身投标情况对技术条款逐条响应，未逐条响应的视为投标无效。</w:t>
      </w:r>
    </w:p>
    <w:p>
      <w:pPr>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3.本表可扩展。</w:t>
      </w:r>
    </w:p>
    <w:p>
      <w:pPr>
        <w:ind w:firstLine="420" w:firstLineChars="200"/>
        <w:rPr>
          <w:color w:val="auto"/>
          <w:highlight w:val="none"/>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p>
    <w:p>
      <w:pPr>
        <w:jc w:val="center"/>
        <w:rPr>
          <w:rFonts w:ascii="Calibri" w:hAnsi="Calibri" w:eastAsia="宋体" w:cs="Times New Roman"/>
          <w:b/>
          <w:bCs/>
          <w:color w:val="auto"/>
          <w:sz w:val="36"/>
          <w:szCs w:val="36"/>
          <w:highlight w:val="none"/>
        </w:rPr>
      </w:pPr>
      <w:r>
        <w:rPr>
          <w:rFonts w:hint="eastAsia" w:ascii="Calibri" w:hAnsi="宋体" w:eastAsia="宋体" w:cs="宋体"/>
          <w:color w:val="auto"/>
          <w:sz w:val="24"/>
          <w:highlight w:val="none"/>
        </w:rPr>
        <w:br w:type="page"/>
      </w:r>
      <w:r>
        <w:rPr>
          <w:rFonts w:hint="eastAsia" w:ascii="宋体" w:hAnsi="宋体" w:eastAsia="宋体" w:cs="Times New Roman"/>
          <w:b/>
          <w:bCs/>
          <w:color w:val="auto"/>
          <w:sz w:val="28"/>
          <w:szCs w:val="28"/>
          <w:highlight w:val="none"/>
        </w:rPr>
        <w:t>格式</w:t>
      </w:r>
      <w:r>
        <w:rPr>
          <w:rFonts w:hint="eastAsia" w:ascii="Times New Roman" w:hAnsi="Times New Roman" w:eastAsia="宋体" w:cs="Times New Roman"/>
          <w:b/>
          <w:bCs/>
          <w:color w:val="auto"/>
          <w:sz w:val="28"/>
          <w:szCs w:val="28"/>
          <w:highlight w:val="none"/>
        </w:rPr>
        <w:t xml:space="preserve">16  </w:t>
      </w:r>
      <w:r>
        <w:rPr>
          <w:rFonts w:hint="eastAsia" w:ascii="Calibri" w:hAnsi="Calibri" w:eastAsia="宋体" w:cs="Times New Roman"/>
          <w:b/>
          <w:bCs/>
          <w:color w:val="auto"/>
          <w:sz w:val="28"/>
          <w:szCs w:val="28"/>
          <w:highlight w:val="none"/>
        </w:rPr>
        <w:t>服务方案、实施方案及技术方案</w:t>
      </w:r>
    </w:p>
    <w:p>
      <w:pPr>
        <w:ind w:firstLine="420" w:firstLineChars="200"/>
        <w:rPr>
          <w:rFonts w:ascii="Calibri" w:hAnsi="Calibri" w:eastAsia="宋体" w:cs="Times New Roman"/>
          <w:color w:val="auto"/>
          <w:szCs w:val="21"/>
          <w:highlight w:val="none"/>
        </w:rPr>
      </w:pPr>
    </w:p>
    <w:p>
      <w:pPr>
        <w:adjustRightInd w:val="0"/>
        <w:snapToGrid w:val="0"/>
        <w:spacing w:line="360" w:lineRule="auto"/>
        <w:jc w:val="center"/>
        <w:rPr>
          <w:rFonts w:ascii="Calibri" w:hAnsi="Calibri" w:eastAsia="黑体" w:cs="Times New Roman"/>
          <w:color w:val="auto"/>
          <w:sz w:val="28"/>
          <w:szCs w:val="28"/>
          <w:highlight w:val="none"/>
        </w:rPr>
      </w:pPr>
      <w:r>
        <w:rPr>
          <w:rFonts w:hint="eastAsia" w:ascii="宋体" w:hAnsi="宋体" w:eastAsia="宋体" w:cs="宋体"/>
          <w:b/>
          <w:bCs/>
          <w:color w:val="auto"/>
          <w:sz w:val="28"/>
          <w:szCs w:val="28"/>
          <w:highlight w:val="none"/>
        </w:rPr>
        <w:t>服务方案说明</w:t>
      </w:r>
    </w:p>
    <w:p>
      <w:pPr>
        <w:ind w:firstLine="420" w:firstLineChars="20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服务类项目供应商应根据第六章规定编写服务方案说明。</w:t>
      </w:r>
      <w:r>
        <w:rPr>
          <w:rFonts w:hint="eastAsia" w:ascii="Times New Roman" w:hAnsi="Times New Roman" w:eastAsia="宋体" w:cs="Times New Roman"/>
          <w:color w:val="auto"/>
          <w:kern w:val="0"/>
          <w:szCs w:val="21"/>
          <w:highlight w:val="none"/>
        </w:rPr>
        <w:t>服务方案包括但不限于：</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（1）综合服务方案；</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（2）房屋的日常养护及公共设施设备日常清洁养护管理方案；</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（3）保洁绿化服务方案；</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（4）秩序维护服务方案；</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（5）突发事件应急预案；</w:t>
      </w:r>
    </w:p>
    <w:p>
      <w:pPr>
        <w:ind w:firstLine="420" w:firstLineChars="200"/>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（6）合理化建议；</w:t>
      </w:r>
    </w:p>
    <w:p>
      <w:pPr>
        <w:ind w:firstLine="420" w:firstLineChars="200"/>
        <w:rPr>
          <w:rFonts w:ascii="Calibri" w:hAnsi="Calibri" w:eastAsia="宋体" w:cs="Times New Roman"/>
          <w:color w:val="auto"/>
          <w:szCs w:val="21"/>
          <w:highlight w:val="none"/>
        </w:rPr>
      </w:pPr>
      <w:r>
        <w:rPr>
          <w:rFonts w:hint="eastAsia" w:ascii="Times New Roman" w:hAnsi="Times New Roman" w:eastAsia="宋体" w:cs="Times New Roman"/>
          <w:color w:val="auto"/>
          <w:kern w:val="0"/>
          <w:szCs w:val="21"/>
          <w:highlight w:val="none"/>
        </w:rPr>
        <w:t>（7）其他。</w:t>
      </w:r>
    </w:p>
    <w:p>
      <w:pPr>
        <w:adjustRightInd w:val="0"/>
        <w:snapToGrid w:val="0"/>
        <w:spacing w:line="360" w:lineRule="auto"/>
        <w:ind w:firstLine="723"/>
        <w:jc w:val="center"/>
        <w:rPr>
          <w:rFonts w:hint="eastAsia" w:ascii="宋体" w:hAnsi="宋体" w:eastAsia="宋体" w:cs="宋体"/>
          <w:b/>
          <w:bCs/>
          <w:color w:val="auto"/>
          <w:sz w:val="28"/>
          <w:szCs w:val="28"/>
          <w:highlight w:val="none"/>
        </w:rPr>
      </w:pPr>
    </w:p>
    <w:p>
      <w:pPr>
        <w:adjustRightInd w:val="0"/>
        <w:snapToGrid w:val="0"/>
        <w:spacing w:line="360" w:lineRule="auto"/>
        <w:ind w:firstLine="72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实施方案</w:t>
      </w:r>
    </w:p>
    <w:p>
      <w:pPr>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(示例略)</w:t>
      </w:r>
    </w:p>
    <w:p>
      <w:pPr>
        <w:ind w:firstLine="420" w:firstLineChars="200"/>
        <w:rPr>
          <w:rFonts w:ascii="Calibri" w:hAnsi="Calibri" w:eastAsia="仿宋_GB2312" w:cs="Times New Roman"/>
          <w:color w:val="auto"/>
          <w:szCs w:val="21"/>
          <w:highlight w:val="none"/>
        </w:rPr>
      </w:pPr>
    </w:p>
    <w:p>
      <w:pPr>
        <w:adjustRightInd w:val="0"/>
        <w:snapToGrid w:val="0"/>
        <w:spacing w:line="360" w:lineRule="auto"/>
        <w:ind w:firstLine="723"/>
        <w:jc w:val="center"/>
        <w:rPr>
          <w:rFonts w:hint="eastAsia" w:ascii="宋体" w:hAnsi="宋体" w:eastAsia="宋体" w:cs="宋体"/>
          <w:b/>
          <w:bCs/>
          <w:color w:val="auto"/>
          <w:sz w:val="28"/>
          <w:szCs w:val="28"/>
          <w:highlight w:val="none"/>
        </w:rPr>
      </w:pPr>
    </w:p>
    <w:p>
      <w:pPr>
        <w:adjustRightInd w:val="0"/>
        <w:snapToGrid w:val="0"/>
        <w:spacing w:line="360" w:lineRule="auto"/>
        <w:ind w:firstLine="72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技术方案</w:t>
      </w:r>
    </w:p>
    <w:p>
      <w:pPr>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示例略</w:t>
      </w:r>
      <w:r>
        <w:rPr>
          <w:rFonts w:ascii="宋体" w:hAnsi="宋体" w:eastAsia="宋体" w:cs="Times New Roman"/>
          <w:color w:val="auto"/>
          <w:kern w:val="0"/>
          <w:szCs w:val="21"/>
          <w:highlight w:val="none"/>
        </w:rPr>
        <w:t>)</w:t>
      </w:r>
    </w:p>
    <w:p>
      <w:pPr>
        <w:spacing w:line="360" w:lineRule="auto"/>
        <w:jc w:val="center"/>
        <w:rPr>
          <w:rFonts w:hint="eastAsia" w:ascii="宋体" w:hAnsi="宋体" w:eastAsia="宋体" w:cs="宋体"/>
          <w:b/>
          <w:bCs/>
          <w:color w:val="auto"/>
          <w:sz w:val="28"/>
          <w:szCs w:val="28"/>
          <w:highlight w:val="none"/>
        </w:rPr>
      </w:pPr>
      <w:r>
        <w:rPr>
          <w:rFonts w:ascii="宋体" w:hAnsi="宋体" w:eastAsia="宋体" w:cs="Times New Roman"/>
          <w:color w:val="auto"/>
          <w:kern w:val="0"/>
          <w:sz w:val="24"/>
          <w:highlight w:val="none"/>
        </w:rPr>
        <w:br w:type="page"/>
      </w:r>
      <w:r>
        <w:rPr>
          <w:rFonts w:hint="eastAsia" w:ascii="宋体" w:hAnsi="宋体" w:eastAsia="宋体" w:cs="宋体"/>
          <w:b/>
          <w:bCs/>
          <w:color w:val="auto"/>
          <w:sz w:val="28"/>
          <w:szCs w:val="28"/>
          <w:highlight w:val="none"/>
        </w:rPr>
        <w:t>格式</w:t>
      </w:r>
      <w:bookmarkStart w:id="36" w:name="_Toc231801039"/>
      <w:r>
        <w:rPr>
          <w:rFonts w:hint="eastAsia" w:ascii="Times New Roman" w:hAnsi="Times New Roman" w:eastAsia="方正小标宋简体" w:cs="Times New Roman"/>
          <w:b/>
          <w:bCs/>
          <w:color w:val="auto"/>
          <w:sz w:val="28"/>
          <w:szCs w:val="28"/>
          <w:highlight w:val="none"/>
        </w:rPr>
        <w:t xml:space="preserve">17 </w:t>
      </w:r>
      <w:r>
        <w:rPr>
          <w:rFonts w:hint="eastAsia" w:ascii="宋体" w:hAnsi="宋体" w:eastAsia="宋体" w:cs="宋体"/>
          <w:b/>
          <w:bCs/>
          <w:color w:val="auto"/>
          <w:sz w:val="28"/>
          <w:szCs w:val="28"/>
          <w:highlight w:val="none"/>
        </w:rPr>
        <w:t xml:space="preserve"> 技术力量一览表</w:t>
      </w:r>
    </w:p>
    <w:tbl>
      <w:tblPr>
        <w:tblStyle w:val="5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710"/>
        <w:gridCol w:w="950"/>
        <w:gridCol w:w="1200"/>
        <w:gridCol w:w="122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姓 名</w:t>
            </w: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资格或技能证书（有就写证书名称，无则不用写）</w:t>
            </w: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人员级别</w:t>
            </w: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工作经验（年）</w:t>
            </w: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本项目中担任职务</w:t>
            </w: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宋体"/>
                <w:snapToGrid w:val="0"/>
                <w:color w:val="auto"/>
                <w:spacing w:val="4"/>
                <w:kern w:val="0"/>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宋体"/>
                <w:snapToGrid w:val="0"/>
                <w:color w:val="auto"/>
                <w:spacing w:val="4"/>
                <w:kern w:val="0"/>
                <w:szCs w:val="21"/>
                <w:highlight w:val="none"/>
              </w:rPr>
              <w:t>工程维护员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cs="宋体"/>
                <w:snapToGrid w:val="0"/>
                <w:color w:val="auto"/>
                <w:spacing w:val="4"/>
                <w:kern w:val="0"/>
                <w:szCs w:val="21"/>
                <w:highlight w:val="none"/>
              </w:rPr>
              <w:t>保安员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cs="宋体"/>
                <w:snapToGrid w:val="0"/>
                <w:color w:val="auto"/>
                <w:spacing w:val="4"/>
                <w:kern w:val="0"/>
                <w:szCs w:val="21"/>
                <w:highlight w:val="none"/>
              </w:rPr>
              <w:t>保洁员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cs="宋体"/>
                <w:snapToGrid w:val="0"/>
                <w:color w:val="auto"/>
                <w:spacing w:val="4"/>
                <w:kern w:val="0"/>
                <w:szCs w:val="21"/>
                <w:highlight w:val="none"/>
              </w:rPr>
              <w:t>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tc>
        <w:tc>
          <w:tcPr>
            <w:tcW w:w="1356" w:type="dxa"/>
            <w:vAlign w:val="center"/>
          </w:tcPr>
          <w:p>
            <w:pPr>
              <w:adjustRightInd w:val="0"/>
              <w:jc w:val="center"/>
              <w:rPr>
                <w:rFonts w:hint="eastAsia" w:ascii="宋体" w:hAnsi="宋体" w:eastAsia="宋体" w:cs="Times New Roman"/>
                <w:color w:val="auto"/>
                <w:szCs w:val="21"/>
                <w:highlight w:val="none"/>
              </w:rPr>
            </w:pPr>
          </w:p>
        </w:tc>
        <w:tc>
          <w:tcPr>
            <w:tcW w:w="1710" w:type="dxa"/>
            <w:vAlign w:val="center"/>
          </w:tcPr>
          <w:p>
            <w:pPr>
              <w:adjustRightInd w:val="0"/>
              <w:jc w:val="center"/>
              <w:rPr>
                <w:rFonts w:hint="eastAsia" w:ascii="宋体" w:hAnsi="宋体" w:eastAsia="宋体" w:cs="Times New Roman"/>
                <w:color w:val="auto"/>
                <w:szCs w:val="21"/>
                <w:highlight w:val="none"/>
              </w:rPr>
            </w:pPr>
          </w:p>
        </w:tc>
        <w:tc>
          <w:tcPr>
            <w:tcW w:w="950" w:type="dxa"/>
            <w:vAlign w:val="center"/>
          </w:tcPr>
          <w:p>
            <w:pPr>
              <w:adjustRightInd w:val="0"/>
              <w:jc w:val="center"/>
              <w:rPr>
                <w:rFonts w:hint="eastAsia" w:ascii="宋体" w:hAnsi="宋体" w:eastAsia="宋体" w:cs="Times New Roman"/>
                <w:color w:val="auto"/>
                <w:szCs w:val="21"/>
                <w:highlight w:val="none"/>
              </w:rPr>
            </w:pPr>
          </w:p>
        </w:tc>
        <w:tc>
          <w:tcPr>
            <w:tcW w:w="1200" w:type="dxa"/>
            <w:vAlign w:val="center"/>
          </w:tcPr>
          <w:p>
            <w:pPr>
              <w:adjustRightInd w:val="0"/>
              <w:jc w:val="center"/>
              <w:rPr>
                <w:rFonts w:hint="eastAsia" w:ascii="宋体" w:hAnsi="宋体" w:eastAsia="宋体" w:cs="Times New Roman"/>
                <w:color w:val="auto"/>
                <w:szCs w:val="21"/>
                <w:highlight w:val="none"/>
              </w:rPr>
            </w:pPr>
          </w:p>
        </w:tc>
        <w:tc>
          <w:tcPr>
            <w:tcW w:w="1220" w:type="dxa"/>
            <w:vAlign w:val="center"/>
          </w:tcPr>
          <w:p>
            <w:pPr>
              <w:adjustRightInd w:val="0"/>
              <w:jc w:val="center"/>
              <w:rPr>
                <w:rFonts w:hint="eastAsia" w:ascii="宋体" w:hAnsi="宋体" w:eastAsia="宋体" w:cs="Times New Roman"/>
                <w:color w:val="auto"/>
                <w:szCs w:val="21"/>
                <w:highlight w:val="none"/>
              </w:rPr>
            </w:pPr>
          </w:p>
        </w:tc>
        <w:tc>
          <w:tcPr>
            <w:tcW w:w="1730" w:type="dxa"/>
            <w:vAlign w:val="center"/>
          </w:tcPr>
          <w:p>
            <w:pPr>
              <w:adjustRightInd w:val="0"/>
              <w:jc w:val="center"/>
              <w:rPr>
                <w:rFonts w:hint="eastAsia" w:ascii="宋体" w:hAnsi="宋体" w:eastAsia="宋体" w:cs="Times New Roman"/>
                <w:color w:val="auto"/>
                <w:szCs w:val="21"/>
                <w:highlight w:val="none"/>
              </w:rPr>
            </w:pPr>
          </w:p>
        </w:tc>
      </w:tr>
    </w:tbl>
    <w:p>
      <w:pPr>
        <w:topLinePunct/>
        <w:autoSpaceDE w:val="0"/>
        <w:autoSpaceDN w:val="0"/>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特别说明：</w:t>
      </w:r>
    </w:p>
    <w:p>
      <w:pPr>
        <w:topLinePunct/>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1.投标人须按照上述格式填写</w:t>
      </w:r>
      <w:r>
        <w:rPr>
          <w:rFonts w:hint="eastAsia" w:ascii="宋体" w:hAnsi="宋体" w:eastAsia="宋体" w:cs="宋体"/>
          <w:color w:val="auto"/>
          <w:szCs w:val="21"/>
          <w:highlight w:val="none"/>
          <w:lang w:eastAsia="zh-CN"/>
        </w:rPr>
        <w:t>拟</w:t>
      </w:r>
      <w:r>
        <w:rPr>
          <w:rFonts w:hint="eastAsia" w:ascii="宋体" w:hAnsi="宋体" w:eastAsia="宋体" w:cs="宋体"/>
          <w:color w:val="auto"/>
          <w:szCs w:val="21"/>
          <w:highlight w:val="none"/>
        </w:rPr>
        <w:t>投入本项目人员的相关信息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可根据实际调整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topLinePunct/>
        <w:autoSpaceDE w:val="0"/>
        <w:autoSpaceDN w:val="0"/>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hint="eastAsia" w:ascii="宋体" w:hAnsi="宋体" w:eastAsia="宋体" w:cs="宋体"/>
          <w:b/>
          <w:color w:val="auto"/>
          <w:szCs w:val="21"/>
          <w:highlight w:val="none"/>
        </w:rPr>
        <w:t>投标人需提供拟投入人员清单及投入人员的相关认证或资格（职称）证书或同类工作年限证明，以及技术人员与投标单位签署的劳动合同（截止本项目开标当天合同仍在有效期内）复印件。</w:t>
      </w:r>
    </w:p>
    <w:p>
      <w:pPr>
        <w:pStyle w:val="63"/>
        <w:rPr>
          <w:color w:val="auto"/>
          <w:highlight w:val="none"/>
        </w:rPr>
      </w:pPr>
    </w:p>
    <w:p>
      <w:pPr>
        <w:topLinePunct/>
        <w:autoSpaceDE w:val="0"/>
        <w:autoSpaceDN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bCs/>
          <w:color w:val="auto"/>
          <w:sz w:val="28"/>
          <w:szCs w:val="28"/>
          <w:highlight w:val="none"/>
        </w:rPr>
        <w:t>格式18  技术人员简历表（可根据实际调整）</w:t>
      </w:r>
    </w:p>
    <w:tbl>
      <w:tblPr>
        <w:tblStyle w:val="5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工作简历及主要业绩</w:t>
            </w:r>
          </w:p>
          <w:p>
            <w:pPr>
              <w:adjustRightInd w:val="0"/>
              <w:rPr>
                <w:rFonts w:hint="eastAsia" w:ascii="宋体" w:hAnsi="宋体" w:eastAsia="宋体" w:cs="宋体"/>
                <w:color w:val="auto"/>
                <w:szCs w:val="21"/>
                <w:highlight w:val="none"/>
              </w:rPr>
            </w:pPr>
          </w:p>
        </w:tc>
      </w:tr>
    </w:tbl>
    <w:p>
      <w:pPr>
        <w:topLinePunct/>
        <w:autoSpaceDE w:val="0"/>
        <w:autoSpaceDN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特别说明：投标人应提供投入本项目</w:t>
      </w:r>
      <w:r>
        <w:rPr>
          <w:rFonts w:hint="eastAsia" w:ascii="Times New Roman" w:hAnsi="Times New Roman" w:eastAsia="宋体" w:cs="Times New Roman"/>
          <w:color w:val="auto"/>
          <w:szCs w:val="21"/>
          <w:highlight w:val="none"/>
        </w:rPr>
        <w:t>技术人员</w:t>
      </w:r>
      <w:r>
        <w:rPr>
          <w:rFonts w:ascii="Times New Roman" w:hAnsi="Times New Roman" w:eastAsia="宋体" w:cs="Times New Roman"/>
          <w:color w:val="auto"/>
          <w:szCs w:val="21"/>
          <w:highlight w:val="none"/>
        </w:rPr>
        <w:t>的简历。</w:t>
      </w:r>
    </w:p>
    <w:p>
      <w:pPr>
        <w:topLinePunct/>
        <w:autoSpaceDE w:val="0"/>
        <w:autoSpaceDN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 xml:space="preserve"> </w:t>
      </w:r>
    </w:p>
    <w:p>
      <w:pPr>
        <w:widowControl/>
        <w:jc w:val="left"/>
        <w:rPr>
          <w:rFonts w:ascii="Calibri" w:hAnsi="Calibri" w:eastAsia="宋体" w:cs="Times New Roman"/>
          <w:color w:val="auto"/>
          <w:highlight w:val="none"/>
        </w:rPr>
      </w:pPr>
    </w:p>
    <w:p>
      <w:pPr>
        <w:widowControl/>
        <w:jc w:val="center"/>
        <w:rPr>
          <w:rFonts w:ascii="Calibri" w:hAnsi="Calibri" w:eastAsia="宋体" w:cs="Times New Roman"/>
          <w:b/>
          <w:bCs/>
          <w:color w:val="auto"/>
          <w:sz w:val="36"/>
          <w:szCs w:val="36"/>
          <w:highlight w:val="none"/>
        </w:rPr>
      </w:pPr>
      <w:r>
        <w:rPr>
          <w:rFonts w:ascii="宋体" w:hAnsi="宋体" w:eastAsia="宋体" w:cs="Times New Roman"/>
          <w:b/>
          <w:bCs/>
          <w:color w:val="auto"/>
          <w:sz w:val="36"/>
          <w:szCs w:val="36"/>
          <w:highlight w:val="none"/>
        </w:rPr>
        <w:br w:type="page"/>
      </w:r>
      <w:r>
        <w:rPr>
          <w:rFonts w:hint="eastAsia" w:ascii="宋体" w:hAnsi="宋体" w:eastAsia="宋体" w:cs="Times New Roman"/>
          <w:b/>
          <w:bCs/>
          <w:color w:val="auto"/>
          <w:sz w:val="28"/>
          <w:szCs w:val="28"/>
          <w:highlight w:val="none"/>
        </w:rPr>
        <w:t>格式19  投标人售后服务承诺</w:t>
      </w:r>
    </w:p>
    <w:p>
      <w:pPr>
        <w:ind w:firstLine="420" w:firstLineChars="200"/>
        <w:rPr>
          <w:rFonts w:ascii="Calibri" w:hAnsi="Calibri" w:eastAsia="宋体" w:cs="Times New Roman"/>
          <w:color w:val="auto"/>
          <w:szCs w:val="21"/>
          <w:highlight w:val="none"/>
        </w:rPr>
      </w:pPr>
    </w:p>
    <w:p>
      <w:pPr>
        <w:widowControl/>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(示例略)</w:t>
      </w:r>
    </w:p>
    <w:p>
      <w:pPr>
        <w:widowControl/>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br w:type="page"/>
      </w:r>
    </w:p>
    <w:p>
      <w:pPr>
        <w:widowControl/>
        <w:jc w:val="center"/>
        <w:rPr>
          <w:rFonts w:hint="eastAsia" w:eastAsia="宋体"/>
          <w:b/>
          <w:bCs/>
          <w:color w:val="auto"/>
          <w:sz w:val="36"/>
          <w:szCs w:val="36"/>
          <w:highlight w:val="none"/>
          <w:lang w:eastAsia="zh-CN"/>
        </w:rPr>
      </w:pPr>
      <w:r>
        <w:rPr>
          <w:rFonts w:hint="eastAsia" w:ascii="宋体" w:hAnsi="宋体"/>
          <w:b/>
          <w:bCs/>
          <w:color w:val="auto"/>
          <w:sz w:val="28"/>
          <w:szCs w:val="28"/>
          <w:highlight w:val="none"/>
        </w:rPr>
        <w:t>格式</w:t>
      </w:r>
      <w:r>
        <w:rPr>
          <w:rFonts w:hint="eastAsia" w:ascii="宋体" w:hAnsi="宋体"/>
          <w:b/>
          <w:bCs/>
          <w:color w:val="auto"/>
          <w:sz w:val="28"/>
          <w:szCs w:val="28"/>
          <w:highlight w:val="none"/>
          <w:lang w:val="en-US" w:eastAsia="zh-CN"/>
        </w:rPr>
        <w:t>20</w:t>
      </w:r>
      <w:r>
        <w:rPr>
          <w:rFonts w:hint="eastAsia" w:ascii="宋体" w:hAnsi="宋体"/>
          <w:b/>
          <w:bCs/>
          <w:color w:val="auto"/>
          <w:sz w:val="28"/>
          <w:szCs w:val="28"/>
          <w:highlight w:val="none"/>
        </w:rPr>
        <w:t xml:space="preserve">  投标人承诺</w:t>
      </w:r>
      <w:r>
        <w:rPr>
          <w:rFonts w:hint="eastAsia" w:ascii="宋体" w:hAnsi="宋体"/>
          <w:b/>
          <w:bCs/>
          <w:color w:val="auto"/>
          <w:sz w:val="28"/>
          <w:szCs w:val="28"/>
          <w:highlight w:val="none"/>
          <w:lang w:eastAsia="zh-CN"/>
        </w:rPr>
        <w:t>函</w:t>
      </w:r>
    </w:p>
    <w:p>
      <w:pPr>
        <w:keepNext w:val="0"/>
        <w:keepLines w:val="0"/>
        <w:pageBreakBefore w:val="0"/>
        <w:widowControl w:val="0"/>
        <w:kinsoku/>
        <w:wordWrap/>
        <w:overflowPunct/>
        <w:bidi w:val="0"/>
        <w:spacing w:line="42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致</w:t>
      </w:r>
      <w:r>
        <w:rPr>
          <w:rFonts w:hint="eastAsia" w:asciiTheme="minorEastAsia" w:hAnsiTheme="minorEastAsia" w:cstheme="minorEastAsia"/>
          <w:b w:val="0"/>
          <w:bCs w:val="0"/>
          <w:color w:val="auto"/>
          <w:sz w:val="21"/>
          <w:szCs w:val="21"/>
          <w:highlight w:val="none"/>
          <w:u w:val="single"/>
          <w:lang w:val="en-US" w:eastAsia="zh-CN"/>
        </w:rPr>
        <w:t>国家税务总局来宾市税务局</w:t>
      </w:r>
      <w:r>
        <w:rPr>
          <w:rFonts w:hint="eastAsia" w:asciiTheme="minorEastAsia" w:hAnsiTheme="minorEastAsia" w:eastAsiaTheme="minorEastAsia" w:cstheme="minorEastAsia"/>
          <w:b w:val="0"/>
          <w:bCs w:val="0"/>
          <w:color w:val="auto"/>
          <w:sz w:val="21"/>
          <w:szCs w:val="21"/>
          <w:highlight w:val="none"/>
        </w:rPr>
        <w:t>：</w:t>
      </w:r>
    </w:p>
    <w:p>
      <w:pPr>
        <w:pStyle w:val="16"/>
        <w:keepNext w:val="0"/>
        <w:keepLines w:val="0"/>
        <w:pageBreakBefore w:val="0"/>
        <w:widowControl w:val="0"/>
        <w:kinsoku/>
        <w:wordWrap/>
        <w:overflowPunct/>
        <w:bidi w:val="0"/>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若我公司中标，我公司在此承诺为本项目提供专业的</w:t>
      </w:r>
      <w:r>
        <w:rPr>
          <w:rFonts w:hint="eastAsia" w:asciiTheme="minorEastAsia" w:hAnsiTheme="minorEastAsia" w:eastAsiaTheme="minorEastAsia" w:cstheme="minorEastAsia"/>
          <w:b w:val="0"/>
          <w:bCs w:val="0"/>
          <w:color w:val="auto"/>
          <w:sz w:val="21"/>
          <w:szCs w:val="21"/>
          <w:highlight w:val="none"/>
          <w:lang w:val="en-US" w:eastAsia="zh-CN"/>
        </w:rPr>
        <w:t>物业管理</w:t>
      </w:r>
      <w:r>
        <w:rPr>
          <w:rFonts w:hint="eastAsia" w:asciiTheme="minorEastAsia" w:hAnsiTheme="minorEastAsia" w:eastAsiaTheme="minorEastAsia" w:cstheme="minorEastAsia"/>
          <w:b w:val="0"/>
          <w:bCs w:val="0"/>
          <w:color w:val="auto"/>
          <w:sz w:val="21"/>
          <w:szCs w:val="21"/>
          <w:highlight w:val="none"/>
          <w:lang w:eastAsia="zh-CN"/>
        </w:rPr>
        <w:t>服务，并对我司投入的</w:t>
      </w:r>
      <w:r>
        <w:rPr>
          <w:rFonts w:hint="eastAsia" w:asciiTheme="minorEastAsia" w:hAnsiTheme="minorEastAsia" w:eastAsiaTheme="minorEastAsia" w:cstheme="minorEastAsia"/>
          <w:b w:val="0"/>
          <w:bCs w:val="0"/>
          <w:color w:val="auto"/>
          <w:sz w:val="21"/>
          <w:szCs w:val="21"/>
          <w:highlight w:val="none"/>
          <w:lang w:val="en-US" w:eastAsia="zh-CN"/>
        </w:rPr>
        <w:t>物业</w:t>
      </w:r>
      <w:r>
        <w:rPr>
          <w:rFonts w:hint="eastAsia" w:asciiTheme="minorEastAsia" w:hAnsiTheme="minorEastAsia" w:eastAsiaTheme="minorEastAsia" w:cstheme="minorEastAsia"/>
          <w:b w:val="0"/>
          <w:bCs w:val="0"/>
          <w:color w:val="auto"/>
          <w:sz w:val="21"/>
          <w:szCs w:val="21"/>
          <w:highlight w:val="none"/>
          <w:lang w:eastAsia="zh-CN"/>
        </w:rPr>
        <w:t>服务人员做相关承诺，包含但不限于以下内容：</w:t>
      </w:r>
    </w:p>
    <w:p>
      <w:pPr>
        <w:pStyle w:val="16"/>
        <w:keepNext w:val="0"/>
        <w:keepLines w:val="0"/>
        <w:pageBreakBefore w:val="0"/>
        <w:widowControl w:val="0"/>
        <w:numPr>
          <w:ilvl w:val="0"/>
          <w:numId w:val="0"/>
        </w:numPr>
        <w:kinsoku/>
        <w:wordWrap/>
        <w:overflowPunct/>
        <w:bidi w:val="0"/>
        <w:spacing w:line="4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一、</w:t>
      </w:r>
      <w:r>
        <w:rPr>
          <w:rFonts w:hint="eastAsia" w:asciiTheme="minorEastAsia" w:hAnsiTheme="minorEastAsia" w:eastAsiaTheme="minorEastAsia" w:cstheme="minorEastAsia"/>
          <w:b w:val="0"/>
          <w:bCs w:val="0"/>
          <w:color w:val="auto"/>
          <w:sz w:val="21"/>
          <w:szCs w:val="21"/>
          <w:highlight w:val="none"/>
          <w:lang w:eastAsia="zh-CN"/>
        </w:rPr>
        <w:t>我司承诺为本项目投入的服务人员数量满足本项目招标文件</w:t>
      </w:r>
      <w:r>
        <w:rPr>
          <w:rFonts w:hint="eastAsia" w:asciiTheme="minorEastAsia" w:hAnsiTheme="minorEastAsia" w:eastAsiaTheme="minorEastAsia" w:cstheme="minorEastAsia"/>
          <w:color w:val="auto"/>
          <w:sz w:val="21"/>
          <w:szCs w:val="21"/>
          <w:highlight w:val="none"/>
          <w:lang w:val="zh-CN"/>
        </w:rPr>
        <w:t>《第六章项目采购需求》</w:t>
      </w:r>
      <w:r>
        <w:rPr>
          <w:rFonts w:hint="eastAsia" w:asciiTheme="minorEastAsia" w:hAnsiTheme="minorEastAsia" w:eastAsiaTheme="minorEastAsia" w:cstheme="minorEastAsia"/>
          <w:b w:val="0"/>
          <w:bCs w:val="0"/>
          <w:color w:val="auto"/>
          <w:sz w:val="21"/>
          <w:szCs w:val="21"/>
          <w:highlight w:val="none"/>
          <w:lang w:eastAsia="zh-CN"/>
        </w:rPr>
        <w:t>的配置人数要求[服务团队配备需求人数为24人（项目经理1人、工程维护员1人、保安员11人、保洁员10人、绿化员1人）］。</w:t>
      </w:r>
    </w:p>
    <w:p>
      <w:pPr>
        <w:pStyle w:val="16"/>
        <w:keepNext w:val="0"/>
        <w:keepLines w:val="0"/>
        <w:pageBreakBefore w:val="0"/>
        <w:widowControl w:val="0"/>
        <w:numPr>
          <w:ilvl w:val="0"/>
          <w:numId w:val="0"/>
        </w:numPr>
        <w:kinsoku/>
        <w:wordWrap/>
        <w:overflowPunct/>
        <w:bidi w:val="0"/>
        <w:spacing w:line="420" w:lineRule="exact"/>
        <w:ind w:left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二、</w:t>
      </w:r>
      <w:r>
        <w:rPr>
          <w:rFonts w:hint="eastAsia" w:asciiTheme="minorEastAsia" w:hAnsiTheme="minorEastAsia" w:eastAsiaTheme="minorEastAsia" w:cstheme="minorEastAsia"/>
          <w:b w:val="0"/>
          <w:bCs w:val="0"/>
          <w:color w:val="auto"/>
          <w:sz w:val="21"/>
          <w:szCs w:val="21"/>
          <w:highlight w:val="none"/>
          <w:lang w:eastAsia="zh-CN"/>
        </w:rPr>
        <w:t>我司承诺为本项目投入的</w:t>
      </w:r>
      <w:r>
        <w:rPr>
          <w:rFonts w:hint="eastAsia" w:asciiTheme="minorEastAsia" w:hAnsiTheme="minorEastAsia" w:eastAsiaTheme="minorEastAsia" w:cstheme="minorEastAsia"/>
          <w:b w:val="0"/>
          <w:bCs w:val="0"/>
          <w:color w:val="auto"/>
          <w:sz w:val="21"/>
          <w:szCs w:val="21"/>
          <w:highlight w:val="none"/>
          <w:lang w:val="en-US" w:eastAsia="zh-CN"/>
        </w:rPr>
        <w:t>物业</w:t>
      </w:r>
      <w:r>
        <w:rPr>
          <w:rFonts w:hint="eastAsia" w:asciiTheme="minorEastAsia" w:hAnsiTheme="minorEastAsia" w:eastAsiaTheme="minorEastAsia" w:cstheme="minorEastAsia"/>
          <w:b w:val="0"/>
          <w:bCs w:val="0"/>
          <w:color w:val="auto"/>
          <w:sz w:val="21"/>
          <w:szCs w:val="21"/>
          <w:highlight w:val="none"/>
          <w:lang w:eastAsia="zh-CN"/>
        </w:rPr>
        <w:t>服务人员满足本项目招标文件</w:t>
      </w:r>
      <w:r>
        <w:rPr>
          <w:rFonts w:hint="eastAsia" w:asciiTheme="minorEastAsia" w:hAnsiTheme="minorEastAsia" w:eastAsiaTheme="minorEastAsia" w:cstheme="minorEastAsia"/>
          <w:color w:val="auto"/>
          <w:sz w:val="21"/>
          <w:szCs w:val="21"/>
          <w:highlight w:val="none"/>
          <w:lang w:val="zh-CN"/>
        </w:rPr>
        <w:t>《第六章项目采购需求》</w:t>
      </w:r>
      <w:r>
        <w:rPr>
          <w:rFonts w:hint="eastAsia" w:asciiTheme="minorEastAsia" w:hAnsiTheme="minorEastAsia" w:eastAsiaTheme="minorEastAsia" w:cstheme="minorEastAsia"/>
          <w:b w:val="0"/>
          <w:bCs w:val="0"/>
          <w:color w:val="auto"/>
          <w:sz w:val="21"/>
          <w:szCs w:val="21"/>
          <w:highlight w:val="none"/>
          <w:lang w:eastAsia="zh-CN"/>
        </w:rPr>
        <w:t>的服</w:t>
      </w:r>
    </w:p>
    <w:p>
      <w:pPr>
        <w:pStyle w:val="16"/>
        <w:keepNext w:val="0"/>
        <w:keepLines w:val="0"/>
        <w:pageBreakBefore w:val="0"/>
        <w:widowControl w:val="0"/>
        <w:numPr>
          <w:ilvl w:val="0"/>
          <w:numId w:val="0"/>
        </w:numPr>
        <w:kinsoku/>
        <w:wordWrap/>
        <w:overflowPunct/>
        <w:bidi w:val="0"/>
        <w:spacing w:line="420" w:lineRule="exac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务人员要求，内容如下：</w:t>
      </w:r>
    </w:p>
    <w:p>
      <w:pPr>
        <w:pStyle w:val="16"/>
        <w:keepNext w:val="0"/>
        <w:keepLines w:val="0"/>
        <w:pageBreakBefore w:val="0"/>
        <w:widowControl w:val="0"/>
        <w:numPr>
          <w:ilvl w:val="0"/>
          <w:numId w:val="0"/>
        </w:numPr>
        <w:kinsoku/>
        <w:wordWrap/>
        <w:overflowPunct/>
        <w:bidi w:val="0"/>
        <w:spacing w:line="420" w:lineRule="exact"/>
        <w:ind w:left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1.国家税务总局来宾市税务局主办公区（17人）</w:t>
      </w:r>
    </w:p>
    <w:tbl>
      <w:tblPr>
        <w:tblStyle w:val="53"/>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160"/>
        <w:gridCol w:w="7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7"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部门</w:t>
            </w:r>
          </w:p>
        </w:tc>
        <w:tc>
          <w:tcPr>
            <w:tcW w:w="1160"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岗位</w:t>
            </w:r>
          </w:p>
        </w:tc>
        <w:tc>
          <w:tcPr>
            <w:tcW w:w="732"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人数</w:t>
            </w:r>
          </w:p>
        </w:tc>
        <w:tc>
          <w:tcPr>
            <w:tcW w:w="5253"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jc w:val="center"/>
        </w:trPr>
        <w:tc>
          <w:tcPr>
            <w:tcW w:w="1357"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b/>
                <w:bCs/>
                <w:snapToGrid w:val="0"/>
                <w:color w:val="auto"/>
                <w:kern w:val="0"/>
                <w:szCs w:val="21"/>
                <w:highlight w:val="none"/>
              </w:rPr>
              <w:t>项目管理组</w:t>
            </w:r>
          </w:p>
        </w:tc>
        <w:tc>
          <w:tcPr>
            <w:tcW w:w="1160"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732"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5253" w:type="dxa"/>
            <w:vAlign w:val="center"/>
          </w:tcPr>
          <w:p>
            <w:pPr>
              <w:spacing w:line="50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性别不限，年龄45岁（含）以下，政治上要拥护中国共产党领导，拥护中华人民共和国宪法，身体健康，大专（含）以上学历，有较强的组织和管理能力；具备五年物业管理经验，或者具备两年办公大院物业经理相关工作经历；熟悉物业管理服务法规、规范，管理员须掌握基本的电脑操作，对物业行业有全面的了解，具备独立运作并统筹安排协调物业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7" w:type="dxa"/>
            <w:shd w:val="clear" w:color="auto" w:fill="auto"/>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工程组</w:t>
            </w:r>
          </w:p>
        </w:tc>
        <w:tc>
          <w:tcPr>
            <w:tcW w:w="1160"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kern w:val="0"/>
                <w:szCs w:val="21"/>
                <w:highlight w:val="none"/>
              </w:rPr>
              <w:t>工程维护员</w:t>
            </w:r>
          </w:p>
        </w:tc>
        <w:tc>
          <w:tcPr>
            <w:tcW w:w="732" w:type="dxa"/>
            <w:shd w:val="clear" w:color="auto" w:fill="auto"/>
            <w:vAlign w:val="center"/>
          </w:tcPr>
          <w:p>
            <w:pPr>
              <w:spacing w:line="500" w:lineRule="exact"/>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1</w:t>
            </w:r>
          </w:p>
        </w:tc>
        <w:tc>
          <w:tcPr>
            <w:tcW w:w="5253"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男性，年龄50岁（含）以下，政治上要拥护中国共产党领导，拥护中华人民共和国宪法，身体健康，体检合格，中专（含）以上文化程度，熟悉水、电路控制知识，精通机械常识，并会安全操作；</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有敬业精神，能吃苦耐劳，熟悉电工操作的各项规程，持有电工作业证。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357"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b/>
                <w:bCs/>
                <w:snapToGrid w:val="0"/>
                <w:color w:val="auto"/>
                <w:kern w:val="0"/>
                <w:szCs w:val="21"/>
                <w:highlight w:val="none"/>
              </w:rPr>
              <w:t>秩序维护组</w:t>
            </w:r>
          </w:p>
        </w:tc>
        <w:tc>
          <w:tcPr>
            <w:tcW w:w="1160"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保安员</w:t>
            </w:r>
          </w:p>
        </w:tc>
        <w:tc>
          <w:tcPr>
            <w:tcW w:w="732"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5253"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性别不限，年龄55岁（含）以下，政治上要拥护中国共产党领导，拥护中华人民共和国宪法，身高1.6米（含）以上；初中（含）以上文化程度，持有保安证优先，接受过系统的治安管理培训</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；反应灵敏，身体健康、品貌端正，品行优良、纪律性强，工作认真负责，作风正派，能吃苦耐劳，无不良记录。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357"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b/>
                <w:bCs/>
                <w:snapToGrid w:val="0"/>
                <w:color w:val="auto"/>
                <w:spacing w:val="2"/>
                <w:kern w:val="0"/>
                <w:szCs w:val="21"/>
                <w:highlight w:val="none"/>
              </w:rPr>
              <w:t>保洁组</w:t>
            </w:r>
          </w:p>
        </w:tc>
        <w:tc>
          <w:tcPr>
            <w:tcW w:w="1160"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保洁员</w:t>
            </w:r>
          </w:p>
        </w:tc>
        <w:tc>
          <w:tcPr>
            <w:tcW w:w="732"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7</w:t>
            </w:r>
          </w:p>
        </w:tc>
        <w:tc>
          <w:tcPr>
            <w:tcW w:w="5253"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女性为主，政治上要拥护中国共产党领导，拥护中华人民共和国宪法，年龄50岁（含）以下，初中（含）以上文化程度，</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；身体健康；组织纪律观念强，敬业精神好，任劳任怨，工作认真细致。遵守各项规章制度，着装规范，坚守岗位，在岗时不得做与工作无关的事情。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357"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绿化组</w:t>
            </w:r>
          </w:p>
        </w:tc>
        <w:tc>
          <w:tcPr>
            <w:tcW w:w="1160"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绿化员</w:t>
            </w:r>
          </w:p>
        </w:tc>
        <w:tc>
          <w:tcPr>
            <w:tcW w:w="732"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5253"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政治上要拥护中国共产党领导，拥护中华人民共和国宪法，年龄50岁（含）以下，初中（含）以上文化程度，掌握植物病虫害防治知识，具有园林养护、花卉种植工作经验，对常用的植物及花卉生长习性了解，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17" w:type="dxa"/>
            <w:gridSpan w:val="2"/>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合计</w:t>
            </w:r>
          </w:p>
        </w:tc>
        <w:tc>
          <w:tcPr>
            <w:tcW w:w="732"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17</w:t>
            </w:r>
          </w:p>
        </w:tc>
        <w:tc>
          <w:tcPr>
            <w:tcW w:w="5253" w:type="dxa"/>
            <w:vAlign w:val="center"/>
          </w:tcPr>
          <w:p>
            <w:pPr>
              <w:spacing w:line="500" w:lineRule="exact"/>
              <w:jc w:val="center"/>
              <w:rPr>
                <w:rFonts w:hint="eastAsia" w:ascii="宋体" w:hAnsi="宋体" w:cs="宋体"/>
                <w:snapToGrid w:val="0"/>
                <w:color w:val="auto"/>
                <w:kern w:val="0"/>
                <w:szCs w:val="21"/>
                <w:highlight w:val="none"/>
              </w:rPr>
            </w:pPr>
          </w:p>
        </w:tc>
      </w:tr>
    </w:tbl>
    <w:p>
      <w:pPr>
        <w:pStyle w:val="2"/>
        <w:ind w:left="0" w:leftChars="0" w:firstLine="0" w:firstLineChars="0"/>
        <w:rPr>
          <w:rFonts w:hint="eastAsia"/>
          <w:color w:val="auto"/>
          <w:highlight w:val="none"/>
        </w:rPr>
      </w:pPr>
    </w:p>
    <w:p>
      <w:pPr>
        <w:widowControl/>
        <w:numPr>
          <w:ilvl w:val="0"/>
          <w:numId w:val="4"/>
        </w:numPr>
        <w:wordWrap w:val="0"/>
        <w:autoSpaceDE w:val="0"/>
        <w:autoSpaceDN w:val="0"/>
        <w:adjustRightInd w:val="0"/>
        <w:snapToGrid w:val="0"/>
        <w:spacing w:line="500" w:lineRule="exact"/>
        <w:ind w:firstLine="422" w:firstLineChars="200"/>
        <w:jc w:val="left"/>
        <w:textAlignment w:val="baseline"/>
        <w:rPr>
          <w:rFonts w:hint="eastAsia" w:ascii="宋体" w:hAnsi="宋体" w:cs="宋体"/>
          <w:b/>
          <w:bCs/>
          <w:snapToGrid w:val="0"/>
          <w:color w:val="auto"/>
          <w:spacing w:val="5"/>
          <w:kern w:val="0"/>
          <w:szCs w:val="21"/>
          <w:highlight w:val="none"/>
        </w:rPr>
      </w:pPr>
      <w:r>
        <w:rPr>
          <w:rFonts w:hint="eastAsia" w:ascii="宋体" w:hAnsi="宋体" w:cs="Calibri"/>
          <w:b/>
          <w:bCs/>
          <w:color w:val="auto"/>
          <w:szCs w:val="21"/>
          <w:highlight w:val="none"/>
        </w:rPr>
        <w:t>国家税务总局</w:t>
      </w:r>
      <w:r>
        <w:rPr>
          <w:rFonts w:hint="eastAsia" w:ascii="宋体" w:hAnsi="宋体" w:cs="宋体"/>
          <w:b/>
          <w:bCs/>
          <w:snapToGrid w:val="0"/>
          <w:color w:val="auto"/>
          <w:spacing w:val="7"/>
          <w:kern w:val="0"/>
          <w:szCs w:val="21"/>
          <w:highlight w:val="none"/>
        </w:rPr>
        <w:t>来宾市</w:t>
      </w:r>
      <w:r>
        <w:rPr>
          <w:rFonts w:hint="eastAsia" w:ascii="宋体" w:hAnsi="宋体" w:cs="宋体"/>
          <w:b/>
          <w:bCs/>
          <w:snapToGrid w:val="0"/>
          <w:color w:val="auto"/>
          <w:spacing w:val="5"/>
          <w:kern w:val="0"/>
          <w:szCs w:val="21"/>
          <w:highlight w:val="none"/>
        </w:rPr>
        <w:t>税务局大桥路办公区（7人）</w:t>
      </w: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p>
      <w:pPr>
        <w:pStyle w:val="2"/>
        <w:widowControl w:val="0"/>
        <w:numPr>
          <w:ilvl w:val="0"/>
          <w:numId w:val="0"/>
        </w:numPr>
        <w:spacing w:before="25" w:after="25" w:line="300" w:lineRule="auto"/>
        <w:jc w:val="both"/>
        <w:rPr>
          <w:rFonts w:hint="eastAsia"/>
          <w:color w:val="auto"/>
          <w:highlight w:val="none"/>
        </w:rPr>
      </w:pPr>
    </w:p>
    <w:tbl>
      <w:tblPr>
        <w:tblStyle w:val="53"/>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679"/>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68"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部门</w:t>
            </w:r>
          </w:p>
        </w:tc>
        <w:tc>
          <w:tcPr>
            <w:tcW w:w="1168"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岗位</w:t>
            </w:r>
          </w:p>
        </w:tc>
        <w:tc>
          <w:tcPr>
            <w:tcW w:w="679"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人数</w:t>
            </w:r>
          </w:p>
        </w:tc>
        <w:tc>
          <w:tcPr>
            <w:tcW w:w="4583"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1168"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秩序维护组</w:t>
            </w:r>
          </w:p>
        </w:tc>
        <w:tc>
          <w:tcPr>
            <w:tcW w:w="1168"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保安员</w:t>
            </w:r>
          </w:p>
        </w:tc>
        <w:tc>
          <w:tcPr>
            <w:tcW w:w="679"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4</w:t>
            </w:r>
          </w:p>
        </w:tc>
        <w:tc>
          <w:tcPr>
            <w:tcW w:w="4583"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性别不限，政治上要拥护中国共产党领导，拥护中华人民共和国宪法，年龄55岁（含）以下，身高1.6（含）米以上；初中（含）以上文化程度，持有保安证优先，接受过系统的治安管理培训</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；反应灵敏，身体健康、品貌端正，品行优良、纪律性强，工作认真负责，作风正派，能吃苦耐劳，无不良记录。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168" w:type="dxa"/>
            <w:shd w:val="clear" w:color="auto" w:fill="auto"/>
            <w:vAlign w:val="center"/>
          </w:tcPr>
          <w:p>
            <w:pPr>
              <w:spacing w:line="500" w:lineRule="exact"/>
              <w:jc w:val="center"/>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t>保洁组</w:t>
            </w:r>
          </w:p>
        </w:tc>
        <w:tc>
          <w:tcPr>
            <w:tcW w:w="1168"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保洁员</w:t>
            </w:r>
          </w:p>
        </w:tc>
        <w:tc>
          <w:tcPr>
            <w:tcW w:w="679"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3</w:t>
            </w:r>
          </w:p>
        </w:tc>
        <w:tc>
          <w:tcPr>
            <w:tcW w:w="4583"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女性为主，政治上要拥护中国共产党领导，拥护中华人民共和国宪法，年龄50岁（含）以下，初中（含）以上文化程度，</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；身体健康；组织纪律观念强，敬业精神好，任劳任怨，工作认真细致。遵守各项规章制度，着装规范，坚守岗位，在岗时不得做与工作无关的事情。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36" w:type="dxa"/>
            <w:gridSpan w:val="2"/>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合计</w:t>
            </w:r>
          </w:p>
        </w:tc>
        <w:tc>
          <w:tcPr>
            <w:tcW w:w="679"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7</w:t>
            </w:r>
          </w:p>
        </w:tc>
        <w:tc>
          <w:tcPr>
            <w:tcW w:w="4583" w:type="dxa"/>
            <w:vAlign w:val="center"/>
          </w:tcPr>
          <w:p>
            <w:pPr>
              <w:spacing w:line="500" w:lineRule="exact"/>
              <w:jc w:val="center"/>
              <w:rPr>
                <w:rFonts w:hint="eastAsia" w:ascii="宋体" w:hAnsi="宋体" w:cs="宋体"/>
                <w:snapToGrid w:val="0"/>
                <w:color w:val="auto"/>
                <w:kern w:val="0"/>
                <w:szCs w:val="21"/>
                <w:highlight w:val="none"/>
              </w:rPr>
            </w:pPr>
          </w:p>
        </w:tc>
      </w:tr>
    </w:tbl>
    <w:p>
      <w:pPr>
        <w:keepNext w:val="0"/>
        <w:keepLines w:val="0"/>
        <w:pageBreakBefore w:val="0"/>
        <w:widowControl w:val="0"/>
        <w:tabs>
          <w:tab w:val="left" w:pos="1230"/>
        </w:tabs>
        <w:kinsoku/>
        <w:wordWrap/>
        <w:overflowPunct/>
        <w:topLinePunct/>
        <w:autoSpaceDE w:val="0"/>
        <w:autoSpaceDN w:val="0"/>
        <w:bidi w:val="0"/>
        <w:adjustRightInd w:val="0"/>
        <w:snapToGrid w:val="0"/>
        <w:spacing w:line="4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line="4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w:t>
      </w:r>
      <w:r>
        <w:rPr>
          <w:rFonts w:hint="eastAsia" w:asciiTheme="minorEastAsia" w:hAnsiTheme="minorEastAsia" w:eastAsiaTheme="minorEastAsia" w:cstheme="minorEastAsia"/>
          <w:b w:val="0"/>
          <w:bCs w:val="0"/>
          <w:color w:val="auto"/>
          <w:kern w:val="0"/>
          <w:sz w:val="21"/>
          <w:szCs w:val="21"/>
          <w:highlight w:val="none"/>
        </w:rPr>
        <w:t>（全称并加盖公章</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u w:val="single"/>
        </w:rPr>
        <w:t xml:space="preserve">             </w:t>
      </w:r>
    </w:p>
    <w:p>
      <w:pPr>
        <w:keepNext w:val="0"/>
        <w:keepLines w:val="0"/>
        <w:pageBreakBefore w:val="0"/>
        <w:widowControl w:val="0"/>
        <w:tabs>
          <w:tab w:val="left" w:pos="1230"/>
        </w:tabs>
        <w:kinsoku/>
        <w:wordWrap/>
        <w:overflowPunct/>
        <w:topLinePunct/>
        <w:autoSpaceDE w:val="0"/>
        <w:autoSpaceDN w:val="0"/>
        <w:bidi w:val="0"/>
        <w:adjustRightInd w:val="0"/>
        <w:snapToGrid w:val="0"/>
        <w:spacing w:line="4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法定代表人（签字）：________________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line="4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sectPr>
          <w:pgSz w:w="11906" w:h="16838"/>
          <w:pgMar w:top="1440" w:right="1417" w:bottom="1440" w:left="1417" w:header="851" w:footer="992" w:gutter="0"/>
          <w:cols w:space="720" w:num="1"/>
          <w:titlePg/>
          <w:docGrid w:type="lines" w:linePitch="312" w:charSpace="0"/>
        </w:sectPr>
      </w:pPr>
      <w:r>
        <w:rPr>
          <w:rFonts w:hint="eastAsia" w:asciiTheme="minorEastAsia" w:hAnsiTheme="minorEastAsia" w:eastAsiaTheme="minorEastAsia" w:cstheme="minorEastAsia"/>
          <w:b w:val="0"/>
          <w:bCs w:val="0"/>
          <w:color w:val="auto"/>
          <w:sz w:val="21"/>
          <w:szCs w:val="21"/>
          <w:highlight w:val="none"/>
        </w:rPr>
        <w:t>日期：</w:t>
      </w:r>
      <w:r>
        <w:rPr>
          <w:rFonts w:hint="eastAsia" w:asciiTheme="minorEastAsia" w:hAnsiTheme="minorEastAsia" w:eastAsiaTheme="minorEastAsia" w:cstheme="minorEastAsia"/>
          <w:b w:val="0"/>
          <w:bCs w:val="0"/>
          <w:color w:val="auto"/>
          <w:sz w:val="21"/>
          <w:szCs w:val="21"/>
          <w:highlight w:val="none"/>
          <w:u w:val="single"/>
        </w:rPr>
        <w:t xml:space="preserve">                                 </w:t>
      </w:r>
    </w:p>
    <w:p>
      <w:pPr>
        <w:topLinePunct/>
        <w:autoSpaceDE w:val="0"/>
        <w:autoSpaceDN w:val="0"/>
        <w:jc w:val="both"/>
        <w:rPr>
          <w:rFonts w:hint="eastAsia" w:ascii="华文中宋" w:hAnsi="华文中宋" w:eastAsia="华文中宋" w:cs="华文中宋"/>
          <w:bCs/>
          <w:color w:val="auto"/>
          <w:sz w:val="32"/>
          <w:szCs w:val="32"/>
          <w:highlight w:val="none"/>
        </w:rPr>
      </w:pPr>
    </w:p>
    <w:p>
      <w:pPr>
        <w:topLinePunct/>
        <w:autoSpaceDE w:val="0"/>
        <w:autoSpaceDN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招 标 文 件</w:t>
      </w:r>
    </w:p>
    <w:p>
      <w:pPr>
        <w:topLinePunct/>
        <w:autoSpaceDE w:val="0"/>
        <w:autoSpaceDN w:val="0"/>
        <w:spacing w:line="60" w:lineRule="exact"/>
        <w:jc w:val="center"/>
        <w:rPr>
          <w:rFonts w:hint="eastAsia" w:ascii="华文中宋" w:hAnsi="华文中宋" w:eastAsia="华文中宋" w:cs="华文中宋"/>
          <w:bCs/>
          <w:color w:val="auto"/>
          <w:sz w:val="32"/>
          <w:szCs w:val="32"/>
          <w:highlight w:val="none"/>
        </w:rPr>
      </w:pPr>
    </w:p>
    <w:p>
      <w:pPr>
        <w:topLinePunct/>
        <w:autoSpaceDE w:val="0"/>
        <w:autoSpaceDN w:val="0"/>
        <w:snapToGrid w:val="0"/>
        <w:jc w:val="center"/>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highlight w:val="none"/>
        </w:rPr>
        <w:t>（技术部分）</w:t>
      </w:r>
    </w:p>
    <w:p>
      <w:pPr>
        <w:topLinePunct/>
        <w:autoSpaceDE w:val="0"/>
        <w:autoSpaceDN w:val="0"/>
        <w:snapToGrid w:val="0"/>
        <w:rPr>
          <w:rFonts w:hint="eastAsia" w:ascii="宋体" w:hAnsi="宋体" w:eastAsia="宋体" w:cs="Times New Roman"/>
          <w:color w:val="auto"/>
          <w:sz w:val="32"/>
          <w:szCs w:val="32"/>
          <w:highlight w:val="none"/>
        </w:rPr>
      </w:pPr>
    </w:p>
    <w:p>
      <w:pPr>
        <w:rPr>
          <w:rFonts w:hint="eastAsia" w:ascii="宋体" w:hAnsi="宋体" w:eastAsia="宋体" w:cs="Times New Roman"/>
          <w:b/>
          <w:color w:val="auto"/>
          <w:sz w:val="32"/>
          <w:szCs w:val="32"/>
          <w:highlight w:val="none"/>
        </w:rPr>
      </w:pPr>
    </w:p>
    <w:p>
      <w:pPr>
        <w:rPr>
          <w:rFonts w:hint="eastAsia" w:ascii="宋体" w:hAnsi="宋体" w:eastAsia="宋体" w:cs="Times New Roman"/>
          <w:color w:val="auto"/>
          <w:sz w:val="32"/>
          <w:szCs w:val="32"/>
          <w:highlight w:val="none"/>
        </w:rPr>
      </w:pPr>
    </w:p>
    <w:p>
      <w:pPr>
        <w:rPr>
          <w:rFonts w:ascii="Calibri" w:hAnsi="Calibri" w:eastAsia="宋体" w:cs="Times New Roman"/>
          <w:b/>
          <w:color w:val="auto"/>
          <w:szCs w:val="24"/>
          <w:highlight w:val="none"/>
        </w:rPr>
      </w:pPr>
    </w:p>
    <w:p>
      <w:pPr>
        <w:rPr>
          <w:rFonts w:ascii="Calibri" w:hAnsi="Calibri" w:eastAsia="宋体" w:cs="Times New Roman"/>
          <w:b/>
          <w:color w:val="auto"/>
          <w:szCs w:val="24"/>
          <w:highlight w:val="none"/>
        </w:rPr>
      </w:pPr>
    </w:p>
    <w:p>
      <w:pPr>
        <w:ind w:firstLine="1920" w:firstLineChars="800"/>
        <w:jc w:val="left"/>
        <w:rPr>
          <w:rFonts w:hint="eastAsia" w:ascii="方正小标宋简体" w:hAnsi="方正小标宋简体" w:eastAsia="方正小标宋简体" w:cs="方正小标宋简体"/>
          <w:color w:val="auto"/>
          <w:sz w:val="24"/>
          <w:szCs w:val="24"/>
          <w:highlight w:val="none"/>
          <w:lang w:eastAsia="zh-CN"/>
        </w:rPr>
      </w:pPr>
      <w:r>
        <w:rPr>
          <w:rFonts w:hint="eastAsia" w:ascii="方正小标宋简体" w:hAnsi="方正小标宋简体" w:eastAsia="方正小标宋简体" w:cs="方正小标宋简体"/>
          <w:color w:val="auto"/>
          <w:sz w:val="24"/>
          <w:szCs w:val="24"/>
          <w:highlight w:val="none"/>
        </w:rPr>
        <w:t>项目名称：</w:t>
      </w:r>
      <w:r>
        <w:rPr>
          <w:rFonts w:hint="eastAsia" w:ascii="方正小标宋简体" w:hAnsi="方正小标宋简体" w:eastAsia="方正小标宋简体" w:cs="方正小标宋简体"/>
          <w:color w:val="auto"/>
          <w:sz w:val="24"/>
          <w:szCs w:val="24"/>
          <w:highlight w:val="none"/>
          <w:lang w:eastAsia="zh-CN"/>
        </w:rPr>
        <w:t>国家税务总局来宾市税务局2025年物业管理服务采购项目（重）</w:t>
      </w:r>
    </w:p>
    <w:p>
      <w:pPr>
        <w:ind w:firstLine="1920" w:firstLineChars="800"/>
        <w:jc w:val="left"/>
        <w:rPr>
          <w:rFonts w:hint="eastAsia" w:ascii="方正小标宋简体" w:hAnsi="方正小标宋简体" w:eastAsia="方正小标宋简体" w:cs="方正小标宋简体"/>
          <w:color w:val="auto"/>
          <w:sz w:val="24"/>
          <w:szCs w:val="24"/>
          <w:highlight w:val="none"/>
        </w:rPr>
      </w:pPr>
    </w:p>
    <w:p>
      <w:pPr>
        <w:ind w:firstLine="1920" w:firstLineChars="800"/>
        <w:jc w:val="left"/>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项目编号：</w:t>
      </w:r>
      <w:r>
        <w:rPr>
          <w:rFonts w:hint="eastAsia" w:ascii="方正小标宋简体" w:hAnsi="方正小标宋简体" w:eastAsia="方正小标宋简体" w:cs="方正小标宋简体"/>
          <w:color w:val="auto"/>
          <w:sz w:val="24"/>
          <w:szCs w:val="24"/>
          <w:highlight w:val="none"/>
          <w:lang w:eastAsia="zh-CN"/>
        </w:rPr>
        <w:t>GX2025-DLGK-C0037-B00</w:t>
      </w:r>
      <w:r>
        <w:rPr>
          <w:rFonts w:hint="eastAsia" w:ascii="方正小标宋简体" w:hAnsi="方正小标宋简体" w:eastAsia="方正小标宋简体" w:cs="方正小标宋简体"/>
          <w:color w:val="auto"/>
          <w:sz w:val="24"/>
          <w:szCs w:val="24"/>
          <w:highlight w:val="none"/>
        </w:rPr>
        <w:t xml:space="preserve"> </w:t>
      </w:r>
    </w:p>
    <w:p>
      <w:pPr>
        <w:ind w:firstLine="1920" w:firstLineChars="800"/>
        <w:jc w:val="left"/>
        <w:rPr>
          <w:rFonts w:hint="eastAsia" w:ascii="方正小标宋简体" w:hAnsi="方正小标宋简体" w:eastAsia="方正小标宋简体" w:cs="方正小标宋简体"/>
          <w:color w:val="auto"/>
          <w:sz w:val="24"/>
          <w:szCs w:val="24"/>
          <w:highlight w:val="none"/>
        </w:rPr>
      </w:pPr>
    </w:p>
    <w:p>
      <w:pPr>
        <w:ind w:firstLine="1920" w:firstLineChars="800"/>
        <w:jc w:val="left"/>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 购 人：国家税务总局来宾市税务局</w:t>
      </w:r>
    </w:p>
    <w:p>
      <w:pPr>
        <w:ind w:firstLine="1920" w:firstLineChars="800"/>
        <w:jc w:val="left"/>
        <w:rPr>
          <w:rFonts w:hint="eastAsia" w:ascii="方正小标宋简体" w:hAnsi="方正小标宋简体" w:eastAsia="方正小标宋简体" w:cs="方正小标宋简体"/>
          <w:color w:val="auto"/>
          <w:sz w:val="24"/>
          <w:szCs w:val="24"/>
          <w:highlight w:val="none"/>
        </w:rPr>
      </w:pPr>
    </w:p>
    <w:p>
      <w:pPr>
        <w:ind w:firstLine="1920" w:firstLineChars="800"/>
        <w:jc w:val="left"/>
        <w:rPr>
          <w:rFonts w:hint="eastAsia" w:ascii="方正小标宋简体" w:hAnsi="方正小标宋简体" w:eastAsia="方正小标宋简体" w:cs="方正小标宋简体"/>
          <w:color w:val="auto"/>
          <w:sz w:val="24"/>
          <w:szCs w:val="24"/>
          <w:highlight w:val="none"/>
        </w:rPr>
      </w:pPr>
      <w:r>
        <w:rPr>
          <w:rFonts w:hint="eastAsia" w:ascii="方正小标宋简体" w:hAnsi="方正小标宋简体" w:eastAsia="方正小标宋简体" w:cs="方正小标宋简体"/>
          <w:color w:val="auto"/>
          <w:sz w:val="24"/>
          <w:szCs w:val="24"/>
          <w:highlight w:val="none"/>
        </w:rPr>
        <w:t>采购代理机构：云之龙咨询集团有限公司</w:t>
      </w:r>
    </w:p>
    <w:p>
      <w:pPr>
        <w:topLinePunct/>
        <w:autoSpaceDE w:val="0"/>
        <w:autoSpaceDN w:val="0"/>
        <w:spacing w:line="460" w:lineRule="exact"/>
        <w:rPr>
          <w:rFonts w:hint="eastAsia" w:ascii="方正小标宋简体" w:hAnsi="方正小标宋简体" w:eastAsia="方正小标宋简体" w:cs="方正小标宋简体"/>
          <w:color w:val="auto"/>
          <w:sz w:val="24"/>
          <w:szCs w:val="24"/>
          <w:highlight w:val="none"/>
        </w:rPr>
      </w:pPr>
    </w:p>
    <w:p>
      <w:pPr>
        <w:pStyle w:val="64"/>
        <w:rPr>
          <w:color w:val="auto"/>
          <w:highlight w:val="none"/>
        </w:rPr>
      </w:pPr>
    </w:p>
    <w:p>
      <w:pPr>
        <w:widowControl/>
        <w:spacing w:beforeAutospacing="1"/>
        <w:ind w:firstLine="3600" w:firstLineChars="1500"/>
        <w:rPr>
          <w:rFonts w:ascii="Calibri" w:hAnsi="Calibri" w:eastAsia="宋体" w:cs="Times New Roman"/>
          <w:color w:val="auto"/>
          <w:szCs w:val="21"/>
          <w:highlight w:val="none"/>
        </w:rPr>
      </w:pPr>
      <w:r>
        <w:rPr>
          <w:rFonts w:ascii="方正小标宋简体" w:hAnsi="方正小标宋简体" w:eastAsia="方正小标宋简体" w:cs="方正小标宋简体"/>
          <w:color w:val="auto"/>
          <w:sz w:val="24"/>
          <w:szCs w:val="24"/>
          <w:highlight w:val="none"/>
        </w:rPr>
        <w:t>202</w:t>
      </w:r>
      <w:r>
        <w:rPr>
          <w:rFonts w:hint="eastAsia" w:ascii="方正小标宋简体" w:hAnsi="方正小标宋简体" w:eastAsia="方正小标宋简体" w:cs="方正小标宋简体"/>
          <w:color w:val="auto"/>
          <w:sz w:val="24"/>
          <w:szCs w:val="24"/>
          <w:highlight w:val="none"/>
        </w:rPr>
        <w:t>5年</w:t>
      </w:r>
      <w:r>
        <w:rPr>
          <w:rFonts w:hint="eastAsia" w:ascii="方正小标宋简体" w:hAnsi="方正小标宋简体" w:eastAsia="方正小标宋简体" w:cs="方正小标宋简体"/>
          <w:color w:val="auto"/>
          <w:sz w:val="24"/>
          <w:szCs w:val="24"/>
          <w:highlight w:val="none"/>
          <w:lang w:val="en-US" w:eastAsia="zh-CN"/>
        </w:rPr>
        <w:t>6</w:t>
      </w:r>
      <w:r>
        <w:rPr>
          <w:rFonts w:hint="eastAsia" w:ascii="方正小标宋简体" w:hAnsi="方正小标宋简体" w:eastAsia="方正小标宋简体" w:cs="方正小标宋简体"/>
          <w:color w:val="auto"/>
          <w:sz w:val="24"/>
          <w:szCs w:val="24"/>
          <w:highlight w:val="none"/>
        </w:rPr>
        <w:t>月</w:t>
      </w:r>
      <w:r>
        <w:rPr>
          <w:rFonts w:hint="eastAsia" w:ascii="方正小标宋简体" w:hAnsi="方正小标宋简体" w:eastAsia="方正小标宋简体" w:cs="方正小标宋简体"/>
          <w:color w:val="auto"/>
          <w:sz w:val="24"/>
          <w:szCs w:val="24"/>
          <w:highlight w:val="none"/>
          <w:lang w:val="en-US" w:eastAsia="zh-CN"/>
        </w:rPr>
        <w:t>25</w:t>
      </w:r>
      <w:r>
        <w:rPr>
          <w:rFonts w:hint="eastAsia" w:ascii="方正小标宋简体" w:hAnsi="方正小标宋简体" w:eastAsia="方正小标宋简体" w:cs="方正小标宋简体"/>
          <w:color w:val="auto"/>
          <w:sz w:val="24"/>
          <w:szCs w:val="24"/>
          <w:highlight w:val="none"/>
        </w:rPr>
        <w:t>日</w:t>
      </w:r>
    </w:p>
    <w:p>
      <w:pPr>
        <w:widowControl/>
        <w:spacing w:beforeAutospacing="1"/>
        <w:jc w:val="left"/>
        <w:rPr>
          <w:rFonts w:ascii="Calibri" w:hAnsi="Calibri" w:eastAsia="宋体" w:cs="Times New Roman"/>
          <w:color w:val="auto"/>
          <w:szCs w:val="21"/>
          <w:highlight w:val="none"/>
        </w:rPr>
      </w:pPr>
    </w:p>
    <w:p>
      <w:pPr>
        <w:widowControl/>
        <w:spacing w:beforeAutospacing="1"/>
        <w:jc w:val="left"/>
        <w:rPr>
          <w:rFonts w:ascii="Calibri" w:hAnsi="Calibri" w:eastAsia="宋体" w:cs="Times New Roman"/>
          <w:color w:val="auto"/>
          <w:szCs w:val="21"/>
          <w:highlight w:val="none"/>
        </w:rPr>
      </w:pPr>
    </w:p>
    <w:p>
      <w:pPr>
        <w:widowControl/>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br w:type="page"/>
      </w:r>
    </w:p>
    <w:p>
      <w:pPr>
        <w:keepNext/>
        <w:keepLines/>
        <w:spacing w:before="340" w:after="330" w:line="360" w:lineRule="auto"/>
        <w:jc w:val="center"/>
        <w:outlineLvl w:val="0"/>
        <w:rPr>
          <w:rFonts w:ascii="Calibri" w:hAnsi="Calibri" w:eastAsia="黑体" w:cs="Times New Roman"/>
          <w:bCs/>
          <w:color w:val="auto"/>
          <w:kern w:val="44"/>
          <w:sz w:val="44"/>
          <w:szCs w:val="44"/>
          <w:highlight w:val="none"/>
        </w:rPr>
      </w:pPr>
      <w:bookmarkStart w:id="37" w:name="_Toc25903"/>
      <w:r>
        <w:rPr>
          <w:rFonts w:hint="eastAsia" w:ascii="Calibri" w:hAnsi="Calibri" w:eastAsia="黑体" w:cs="Times New Roman"/>
          <w:bCs/>
          <w:color w:val="auto"/>
          <w:kern w:val="44"/>
          <w:sz w:val="44"/>
          <w:szCs w:val="44"/>
          <w:highlight w:val="none"/>
        </w:rPr>
        <w:t>第六章  项目采购需求</w:t>
      </w:r>
      <w:bookmarkEnd w:id="37"/>
    </w:p>
    <w:p>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说明：</w:t>
      </w:r>
    </w:p>
    <w:p>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1.投标人提供的货物服务必须符合国家和行业标准。</w:t>
      </w:r>
    </w:p>
    <w:p>
      <w:pPr>
        <w:spacing w:line="360" w:lineRule="auto"/>
        <w:ind w:firstLine="420" w:firstLineChars="200"/>
        <w:rPr>
          <w:rFonts w:hint="eastAsia" w:ascii="Calibri" w:hAnsi="Calibri" w:eastAsia="宋体" w:cs="Times New Roman"/>
          <w:color w:val="auto"/>
          <w:szCs w:val="21"/>
          <w:highlight w:val="none"/>
          <w:lang w:eastAsia="zh-CN"/>
        </w:rPr>
      </w:pPr>
      <w:r>
        <w:rPr>
          <w:rFonts w:hint="eastAsia" w:ascii="Calibri" w:hAnsi="Calibri" w:eastAsia="宋体" w:cs="Times New Roman"/>
          <w:color w:val="auto"/>
          <w:szCs w:val="21"/>
          <w:highlight w:val="none"/>
        </w:rPr>
        <w:t>2.标“★”为实质性参数要求和条件，投标人必须满足并在投标文件中如实作出响应，否则投标无效</w:t>
      </w:r>
      <w:r>
        <w:rPr>
          <w:rFonts w:hint="eastAsia" w:ascii="Calibri" w:hAnsi="Calibri" w:eastAsia="宋体" w:cs="Times New Roman"/>
          <w:color w:val="auto"/>
          <w:szCs w:val="21"/>
          <w:highlight w:val="none"/>
          <w:lang w:eastAsia="zh-CN"/>
        </w:rPr>
        <w:t>。</w:t>
      </w:r>
    </w:p>
    <w:p>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3.投标人投标时必须在投标文件中对所有项目要求及技术需求内容、商务要求表中内容及附件内容（如有）逐条响应并一一对应。</w:t>
      </w:r>
    </w:p>
    <w:tbl>
      <w:tblPr>
        <w:tblStyle w:val="52"/>
        <w:tblW w:w="5134"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44"/>
        <w:gridCol w:w="937"/>
        <w:gridCol w:w="209"/>
        <w:gridCol w:w="618"/>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015"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widowControl/>
              <w:wordWrap w:val="0"/>
              <w:autoSpaceDE w:val="0"/>
              <w:autoSpaceDN w:val="0"/>
              <w:adjustRightInd w:val="0"/>
              <w:snapToGrid w:val="0"/>
              <w:spacing w:line="500" w:lineRule="exact"/>
              <w:jc w:val="left"/>
              <w:textAlignment w:val="baseline"/>
              <w:rPr>
                <w:rFonts w:hint="eastAsia" w:ascii="宋体" w:hAnsi="宋体" w:cs="宋体"/>
                <w:snapToGrid w:val="0"/>
                <w:color w:val="auto"/>
                <w:spacing w:val="5"/>
                <w:kern w:val="0"/>
                <w:szCs w:val="21"/>
                <w:highlight w:val="none"/>
              </w:rPr>
            </w:pPr>
            <w:r>
              <w:rPr>
                <w:rFonts w:hint="eastAsia" w:ascii="宋体" w:hAnsi="宋体" w:cs="宋体"/>
                <w:snapToGrid w:val="0"/>
                <w:color w:val="auto"/>
                <w:spacing w:val="5"/>
                <w:kern w:val="0"/>
                <w:szCs w:val="21"/>
                <w:highlight w:val="none"/>
              </w:rPr>
              <w:t>最高限价：人民币（大写）壹佰零捌万元整/年，服务期2年（¥1080000.00元/年，服务期2年）；总金额为人民币（大写）贰佰壹拾陆万元整（¥2160000.00）。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015"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widowControl/>
              <w:wordWrap w:val="0"/>
              <w:autoSpaceDE w:val="0"/>
              <w:autoSpaceDN w:val="0"/>
              <w:adjustRightInd w:val="0"/>
              <w:snapToGrid w:val="0"/>
              <w:spacing w:line="500" w:lineRule="exact"/>
              <w:jc w:val="left"/>
              <w:textAlignment w:val="baseline"/>
              <w:rPr>
                <w:rFonts w:hint="eastAsia" w:ascii="宋体" w:hAnsi="宋体" w:cs="宋体"/>
                <w:snapToGrid w:val="0"/>
                <w:color w:val="auto"/>
                <w:spacing w:val="5"/>
                <w:kern w:val="0"/>
                <w:szCs w:val="21"/>
                <w:highlight w:val="none"/>
              </w:rPr>
            </w:pPr>
            <w:r>
              <w:rPr>
                <w:rFonts w:hint="eastAsia" w:ascii="宋体" w:hAnsi="宋体" w:cs="宋体"/>
                <w:snapToGrid w:val="0"/>
                <w:color w:val="auto"/>
                <w:spacing w:val="5"/>
                <w:kern w:val="0"/>
                <w:szCs w:val="21"/>
                <w:highlight w:val="none"/>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015"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widowControl/>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一、技术参数、服务内容要求：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93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5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827"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5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数量及单位</w:t>
            </w:r>
          </w:p>
        </w:tc>
        <w:tc>
          <w:tcPr>
            <w:tcW w:w="767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5"/>
              </w:numPr>
              <w:spacing w:line="500" w:lineRule="exact"/>
              <w:jc w:val="center"/>
              <w:rPr>
                <w:rFonts w:hint="eastAsia" w:ascii="宋体" w:hAnsi="宋体" w:cs="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国家税务总局来宾市税务局2025年物业管理服务采购项目（重）</w:t>
            </w:r>
          </w:p>
        </w:tc>
        <w:tc>
          <w:tcPr>
            <w:tcW w:w="827"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
                <w:color w:val="auto"/>
                <w:szCs w:val="21"/>
                <w:highlight w:val="none"/>
              </w:rPr>
            </w:pPr>
            <w:r>
              <w:rPr>
                <w:rFonts w:ascii="宋体" w:hAnsi="宋体"/>
                <w:color w:val="auto"/>
                <w:kern w:val="0"/>
                <w:szCs w:val="21"/>
                <w:highlight w:val="none"/>
              </w:rPr>
              <w:t>1项</w:t>
            </w:r>
          </w:p>
        </w:tc>
        <w:tc>
          <w:tcPr>
            <w:tcW w:w="7676" w:type="dxa"/>
            <w:tcBorders>
              <w:top w:val="single" w:color="auto" w:sz="4" w:space="0"/>
              <w:left w:val="single" w:color="auto" w:sz="4" w:space="0"/>
              <w:right w:val="single" w:color="auto" w:sz="4" w:space="0"/>
            </w:tcBorders>
            <w:tcMar>
              <w:top w:w="13" w:type="dxa"/>
              <w:left w:w="57" w:type="dxa"/>
              <w:bottom w:w="0" w:type="dxa"/>
              <w:right w:w="57" w:type="dxa"/>
            </w:tcMar>
            <w:vAlign w:val="center"/>
          </w:tcPr>
          <w:p>
            <w:pPr>
              <w:widowControl/>
              <w:wordWrap w:val="0"/>
              <w:autoSpaceDE w:val="0"/>
              <w:autoSpaceDN w:val="0"/>
              <w:adjustRightInd w:val="0"/>
              <w:snapToGrid w:val="0"/>
              <w:spacing w:line="500" w:lineRule="exact"/>
              <w:ind w:firstLine="466" w:firstLineChars="200"/>
              <w:jc w:val="left"/>
              <w:textAlignment w:val="baseline"/>
              <w:rPr>
                <w:rFonts w:hint="eastAsia" w:ascii="宋体" w:hAnsi="宋体" w:cs="宋体"/>
                <w:b/>
                <w:bCs/>
                <w:snapToGrid w:val="0"/>
                <w:color w:val="auto"/>
                <w:spacing w:val="11"/>
                <w:kern w:val="0"/>
                <w:szCs w:val="21"/>
                <w:highlight w:val="none"/>
              </w:rPr>
            </w:pPr>
            <w:r>
              <w:rPr>
                <w:rFonts w:hint="eastAsia" w:ascii="宋体" w:hAnsi="宋体" w:cs="宋体"/>
                <w:b/>
                <w:bCs/>
                <w:snapToGrid w:val="0"/>
                <w:color w:val="auto"/>
                <w:spacing w:val="11"/>
                <w:kern w:val="0"/>
                <w:szCs w:val="21"/>
                <w:highlight w:val="none"/>
              </w:rPr>
              <w:t>一、物业管理服务范围</w:t>
            </w:r>
          </w:p>
          <w:p>
            <w:pPr>
              <w:widowControl/>
              <w:wordWrap w:val="0"/>
              <w:autoSpaceDE w:val="0"/>
              <w:autoSpaceDN w:val="0"/>
              <w:adjustRightInd w:val="0"/>
              <w:snapToGrid w:val="0"/>
              <w:spacing w:line="500" w:lineRule="exact"/>
              <w:ind w:firstLine="448" w:firstLineChars="200"/>
              <w:jc w:val="left"/>
              <w:textAlignment w:val="baseline"/>
              <w:rPr>
                <w:rFonts w:hint="eastAsia" w:ascii="宋体" w:hAnsi="宋体" w:cs="宋体"/>
                <w:snapToGrid w:val="0"/>
                <w:color w:val="auto"/>
                <w:spacing w:val="5"/>
                <w:kern w:val="0"/>
                <w:szCs w:val="21"/>
                <w:highlight w:val="none"/>
              </w:rPr>
            </w:pPr>
            <w:r>
              <w:rPr>
                <w:rFonts w:hint="eastAsia" w:ascii="宋体" w:hAnsi="宋体" w:cs="宋体"/>
                <w:snapToGrid w:val="0"/>
                <w:color w:val="auto"/>
                <w:spacing w:val="7"/>
                <w:kern w:val="0"/>
                <w:szCs w:val="21"/>
                <w:highlight w:val="none"/>
              </w:rPr>
              <w:t>（一）国家税务总局来宾市</w:t>
            </w:r>
            <w:r>
              <w:rPr>
                <w:rFonts w:hint="eastAsia" w:ascii="宋体" w:hAnsi="宋体" w:cs="宋体"/>
                <w:snapToGrid w:val="0"/>
                <w:color w:val="auto"/>
                <w:spacing w:val="5"/>
                <w:kern w:val="0"/>
                <w:szCs w:val="21"/>
                <w:highlight w:val="none"/>
              </w:rPr>
              <w:t>税务局主办公区。位于来宾市兴宾区人民路西309号，总占地（院落）面积18648㎡，其中：办公楼占地面积1900㎡，道路、空地16748㎡。该办公区有办公楼1栋，地下1层、地上9层，总建筑面积11343.68㎡。</w:t>
            </w:r>
          </w:p>
          <w:p>
            <w:pPr>
              <w:widowControl/>
              <w:wordWrap w:val="0"/>
              <w:autoSpaceDE w:val="0"/>
              <w:autoSpaceDN w:val="0"/>
              <w:adjustRightInd w:val="0"/>
              <w:snapToGrid w:val="0"/>
              <w:spacing w:line="500" w:lineRule="exact"/>
              <w:ind w:firstLine="444" w:firstLineChars="200"/>
              <w:jc w:val="left"/>
              <w:textAlignment w:val="baseline"/>
              <w:rPr>
                <w:rFonts w:hint="eastAsia" w:ascii="宋体" w:hAnsi="宋体" w:eastAsia="宋体" w:cs="宋体"/>
                <w:snapToGrid w:val="0"/>
                <w:color w:val="auto"/>
                <w:spacing w:val="6"/>
                <w:kern w:val="0"/>
                <w:szCs w:val="21"/>
                <w:highlight w:val="none"/>
              </w:rPr>
            </w:pPr>
            <w:r>
              <w:rPr>
                <w:rFonts w:hint="eastAsia" w:ascii="宋体" w:hAnsi="宋体" w:cs="宋体"/>
                <w:snapToGrid w:val="0"/>
                <w:color w:val="auto"/>
                <w:spacing w:val="6"/>
                <w:kern w:val="0"/>
                <w:szCs w:val="21"/>
                <w:highlight w:val="none"/>
              </w:rPr>
              <w:t>主要设施设备：电梯2部、空调为多联空调机组及模块式风冷热泵机组、地下立体车库、有配电房1个，水泵房1个，消防系统</w:t>
            </w:r>
            <w:r>
              <w:rPr>
                <w:rFonts w:hint="eastAsia" w:ascii="宋体" w:hAnsi="宋体" w:cs="宋体"/>
                <w:snapToGrid w:val="0"/>
                <w:color w:val="auto"/>
                <w:spacing w:val="5"/>
                <w:kern w:val="0"/>
                <w:szCs w:val="21"/>
                <w:highlight w:val="none"/>
              </w:rPr>
              <w:t>1套。</w:t>
            </w:r>
          </w:p>
          <w:p>
            <w:pPr>
              <w:widowControl/>
              <w:wordWrap w:val="0"/>
              <w:autoSpaceDE w:val="0"/>
              <w:autoSpaceDN w:val="0"/>
              <w:adjustRightInd w:val="0"/>
              <w:snapToGrid w:val="0"/>
              <w:spacing w:line="500" w:lineRule="exact"/>
              <w:ind w:firstLine="464" w:firstLineChars="200"/>
              <w:jc w:val="left"/>
              <w:textAlignment w:val="baseline"/>
              <w:rPr>
                <w:rFonts w:hint="eastAsia" w:ascii="宋体" w:hAnsi="宋体" w:eastAsia="宋体" w:cs="宋体"/>
                <w:snapToGrid w:val="0"/>
                <w:color w:val="auto"/>
                <w:spacing w:val="11"/>
                <w:kern w:val="0"/>
                <w:szCs w:val="21"/>
                <w:highlight w:val="none"/>
              </w:rPr>
            </w:pPr>
            <w:r>
              <w:rPr>
                <w:rFonts w:hint="eastAsia" w:ascii="宋体" w:hAnsi="宋体" w:cs="宋体"/>
                <w:snapToGrid w:val="0"/>
                <w:color w:val="auto"/>
                <w:spacing w:val="11"/>
                <w:kern w:val="0"/>
                <w:szCs w:val="21"/>
                <w:highlight w:val="none"/>
              </w:rPr>
              <w:t>（二）</w:t>
            </w:r>
            <w:r>
              <w:rPr>
                <w:rFonts w:hint="eastAsia" w:ascii="宋体" w:hAnsi="宋体" w:cs="宋体"/>
                <w:snapToGrid w:val="0"/>
                <w:color w:val="auto"/>
                <w:spacing w:val="7"/>
                <w:kern w:val="0"/>
                <w:szCs w:val="21"/>
                <w:highlight w:val="none"/>
              </w:rPr>
              <w:t>国家税务总局</w:t>
            </w:r>
            <w:r>
              <w:rPr>
                <w:rFonts w:hint="eastAsia" w:ascii="宋体" w:hAnsi="宋体" w:cs="宋体"/>
                <w:snapToGrid w:val="0"/>
                <w:color w:val="auto"/>
                <w:spacing w:val="11"/>
                <w:kern w:val="0"/>
                <w:szCs w:val="21"/>
                <w:highlight w:val="none"/>
              </w:rPr>
              <w:t>来宾市税务局大桥路办公区。位于</w:t>
            </w:r>
            <w:r>
              <w:rPr>
                <w:rFonts w:hint="eastAsia" w:ascii="宋体" w:hAnsi="宋体" w:cs="宋体"/>
                <w:snapToGrid w:val="0"/>
                <w:color w:val="auto"/>
                <w:spacing w:val="5"/>
                <w:kern w:val="0"/>
                <w:szCs w:val="21"/>
                <w:highlight w:val="none"/>
              </w:rPr>
              <w:t>来宾市兴宾区大桥路8</w:t>
            </w:r>
            <w:r>
              <w:rPr>
                <w:rFonts w:hint="eastAsia" w:ascii="宋体" w:hAnsi="宋体" w:cs="宋体"/>
                <w:snapToGrid w:val="0"/>
                <w:color w:val="auto"/>
                <w:spacing w:val="11"/>
                <w:kern w:val="0"/>
                <w:szCs w:val="21"/>
                <w:highlight w:val="none"/>
              </w:rPr>
              <w:t>号，</w:t>
            </w:r>
            <w:r>
              <w:rPr>
                <w:rFonts w:hint="eastAsia" w:ascii="宋体" w:hAnsi="宋体" w:cs="宋体"/>
                <w:snapToGrid w:val="0"/>
                <w:color w:val="auto"/>
                <w:spacing w:val="5"/>
                <w:kern w:val="0"/>
                <w:szCs w:val="21"/>
                <w:highlight w:val="none"/>
              </w:rPr>
              <w:t>总占地（院落）面积7319.03㎡，其中：办公楼占地面积746.72㎡，道路、空地6572.31㎡。办公区内有2栋建筑，其中：</w:t>
            </w:r>
            <w:r>
              <w:rPr>
                <w:rFonts w:hint="eastAsia" w:ascii="宋体" w:hAnsi="宋体" w:cs="宋体"/>
                <w:snapToGrid w:val="0"/>
                <w:color w:val="auto"/>
                <w:spacing w:val="11"/>
                <w:kern w:val="0"/>
                <w:szCs w:val="21"/>
                <w:highlight w:val="none"/>
              </w:rPr>
              <w:t>主办公楼建筑面积2034㎡，地上7层；附楼建筑面积1367㎡，地上4层。</w:t>
            </w:r>
          </w:p>
          <w:p>
            <w:pPr>
              <w:widowControl/>
              <w:wordWrap w:val="0"/>
              <w:autoSpaceDE w:val="0"/>
              <w:autoSpaceDN w:val="0"/>
              <w:adjustRightInd w:val="0"/>
              <w:snapToGrid w:val="0"/>
              <w:spacing w:line="500" w:lineRule="exact"/>
              <w:ind w:firstLine="444" w:firstLineChars="200"/>
              <w:jc w:val="left"/>
              <w:textAlignment w:val="baseline"/>
              <w:rPr>
                <w:rFonts w:hint="eastAsia" w:ascii="宋体" w:hAnsi="宋体" w:eastAsia="宋体" w:cs="宋体"/>
                <w:snapToGrid w:val="0"/>
                <w:color w:val="auto"/>
                <w:spacing w:val="6"/>
                <w:kern w:val="0"/>
                <w:szCs w:val="21"/>
                <w:highlight w:val="none"/>
              </w:rPr>
            </w:pPr>
            <w:r>
              <w:rPr>
                <w:rFonts w:hint="eastAsia" w:ascii="宋体" w:hAnsi="宋体" w:cs="宋体"/>
                <w:snapToGrid w:val="0"/>
                <w:color w:val="auto"/>
                <w:spacing w:val="6"/>
                <w:kern w:val="0"/>
                <w:szCs w:val="21"/>
                <w:highlight w:val="none"/>
              </w:rPr>
              <w:t>主要设施设备：电梯1部、空调为多联空调机组及模块式风冷热泵机组、地上立体车库、有配电房1个，水泵房1个，消防系统</w:t>
            </w:r>
            <w:r>
              <w:rPr>
                <w:rFonts w:hint="eastAsia" w:ascii="宋体" w:hAnsi="宋体" w:cs="宋体"/>
                <w:snapToGrid w:val="0"/>
                <w:color w:val="auto"/>
                <w:spacing w:val="5"/>
                <w:kern w:val="0"/>
                <w:szCs w:val="21"/>
                <w:highlight w:val="none"/>
              </w:rPr>
              <w:t>1套。</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spacing w:val="8"/>
                <w:kern w:val="0"/>
                <w:szCs w:val="21"/>
                <w:highlight w:val="none"/>
              </w:rPr>
              <w:t>二、物业管理服务目标</w:t>
            </w:r>
          </w:p>
          <w:p>
            <w:pPr>
              <w:widowControl/>
              <w:wordWrap w:val="0"/>
              <w:autoSpaceDE w:val="0"/>
              <w:autoSpaceDN w:val="0"/>
              <w:adjustRightInd w:val="0"/>
              <w:snapToGrid w:val="0"/>
              <w:spacing w:line="500" w:lineRule="exact"/>
              <w:ind w:firstLine="460" w:firstLineChars="200"/>
              <w:jc w:val="left"/>
              <w:textAlignment w:val="baseline"/>
              <w:rPr>
                <w:rFonts w:hint="eastAsia" w:ascii="宋体" w:hAnsi="宋体" w:cs="宋体"/>
                <w:snapToGrid w:val="0"/>
                <w:color w:val="auto"/>
                <w:spacing w:val="8"/>
                <w:kern w:val="0"/>
                <w:szCs w:val="21"/>
                <w:highlight w:val="none"/>
              </w:rPr>
            </w:pPr>
            <w:r>
              <w:rPr>
                <w:rFonts w:hint="eastAsia" w:ascii="宋体" w:hAnsi="宋体" w:cs="宋体"/>
                <w:snapToGrid w:val="0"/>
                <w:color w:val="auto"/>
                <w:spacing w:val="10"/>
                <w:kern w:val="0"/>
                <w:szCs w:val="21"/>
                <w:highlight w:val="none"/>
              </w:rPr>
              <w:t>为采购人工作人员创造高效、便捷、安全、卫生的办公</w:t>
            </w:r>
            <w:r>
              <w:rPr>
                <w:rFonts w:hint="eastAsia" w:ascii="宋体" w:hAnsi="宋体" w:cs="宋体"/>
                <w:snapToGrid w:val="0"/>
                <w:color w:val="auto"/>
                <w:spacing w:val="9"/>
                <w:kern w:val="0"/>
                <w:szCs w:val="21"/>
                <w:highlight w:val="none"/>
              </w:rPr>
              <w:t>环境，为外来人员创</w:t>
            </w:r>
            <w:r>
              <w:rPr>
                <w:rFonts w:hint="eastAsia" w:ascii="宋体" w:hAnsi="宋体" w:cs="宋体"/>
                <w:snapToGrid w:val="0"/>
                <w:color w:val="auto"/>
                <w:spacing w:val="8"/>
                <w:kern w:val="0"/>
                <w:szCs w:val="21"/>
                <w:highlight w:val="none"/>
              </w:rPr>
              <w:t>造文明、舒适、温馨的办事环境。服务应达到的相应指标要求，全体物业服务人员统一着装，佩戴统一标志，仪表端庄、大</w:t>
            </w:r>
            <w:r>
              <w:rPr>
                <w:rFonts w:hint="eastAsia" w:ascii="宋体" w:hAnsi="宋体" w:cs="宋体"/>
                <w:snapToGrid w:val="0"/>
                <w:color w:val="auto"/>
                <w:spacing w:val="10"/>
                <w:kern w:val="0"/>
                <w:szCs w:val="21"/>
                <w:highlight w:val="none"/>
              </w:rPr>
              <w:t>方，衣着整洁，表情自然和蔼、亲切；对业主一视同仁；接待时主动、</w:t>
            </w:r>
            <w:r>
              <w:rPr>
                <w:rFonts w:hint="eastAsia" w:ascii="宋体" w:hAnsi="宋体" w:cs="宋体"/>
                <w:snapToGrid w:val="0"/>
                <w:color w:val="auto"/>
                <w:spacing w:val="9"/>
                <w:kern w:val="0"/>
                <w:szCs w:val="21"/>
                <w:highlight w:val="none"/>
              </w:rPr>
              <w:t>热情、规范；迎送接待业主</w:t>
            </w:r>
            <w:r>
              <w:rPr>
                <w:rFonts w:hint="eastAsia" w:ascii="宋体" w:hAnsi="宋体" w:cs="宋体"/>
                <w:snapToGrid w:val="0"/>
                <w:color w:val="auto"/>
                <w:spacing w:val="10"/>
                <w:kern w:val="0"/>
                <w:szCs w:val="21"/>
                <w:highlight w:val="none"/>
              </w:rPr>
              <w:t>和来访人员时，用语准确，称呼恰当，问候亲切，语气诚恳，耐心细致</w:t>
            </w:r>
            <w:r>
              <w:rPr>
                <w:rFonts w:hint="eastAsia" w:ascii="宋体" w:hAnsi="宋体" w:cs="宋体"/>
                <w:snapToGrid w:val="0"/>
                <w:color w:val="auto"/>
                <w:spacing w:val="9"/>
                <w:kern w:val="0"/>
                <w:szCs w:val="21"/>
                <w:highlight w:val="none"/>
              </w:rPr>
              <w:t>；使用文明用语，不使用服</w:t>
            </w:r>
            <w:r>
              <w:rPr>
                <w:rFonts w:hint="eastAsia" w:ascii="宋体" w:hAnsi="宋体" w:cs="宋体"/>
                <w:snapToGrid w:val="0"/>
                <w:color w:val="auto"/>
                <w:spacing w:val="8"/>
                <w:kern w:val="0"/>
                <w:szCs w:val="21"/>
                <w:highlight w:val="none"/>
              </w:rPr>
              <w:t>务忌语。物业管理服务应达到以下指标：</w:t>
            </w:r>
          </w:p>
          <w:p>
            <w:pPr>
              <w:widowControl/>
              <w:wordWrap w:val="0"/>
              <w:autoSpaceDE w:val="0"/>
              <w:autoSpaceDN w:val="0"/>
              <w:adjustRightInd w:val="0"/>
              <w:snapToGrid w:val="0"/>
              <w:spacing w:line="500" w:lineRule="exact"/>
              <w:ind w:firstLine="452" w:firstLineChars="200"/>
              <w:jc w:val="left"/>
              <w:textAlignment w:val="baseline"/>
              <w:rPr>
                <w:rFonts w:hint="eastAsia" w:ascii="宋体" w:hAnsi="宋体" w:cs="宋体"/>
                <w:snapToGrid w:val="0"/>
                <w:color w:val="auto"/>
                <w:spacing w:val="6"/>
                <w:kern w:val="0"/>
                <w:szCs w:val="21"/>
                <w:highlight w:val="none"/>
              </w:rPr>
            </w:pPr>
            <w:r>
              <w:rPr>
                <w:rFonts w:hint="eastAsia" w:ascii="宋体" w:hAnsi="宋体" w:cs="宋体"/>
                <w:snapToGrid w:val="0"/>
                <w:color w:val="auto"/>
                <w:spacing w:val="8"/>
                <w:kern w:val="0"/>
                <w:szCs w:val="21"/>
                <w:highlight w:val="none"/>
              </w:rPr>
              <w:t>1.杜绝火灾责任事故和其他安全事故；</w:t>
            </w:r>
            <w:r>
              <w:rPr>
                <w:rFonts w:hint="eastAsia" w:ascii="宋体" w:hAnsi="宋体" w:cs="宋体"/>
                <w:snapToGrid w:val="0"/>
                <w:color w:val="auto"/>
                <w:spacing w:val="11"/>
                <w:kern w:val="0"/>
                <w:szCs w:val="21"/>
                <w:highlight w:val="none"/>
              </w:rPr>
              <w:t>2.环境卫生、清洁率达99%；3.</w:t>
            </w:r>
            <w:r>
              <w:rPr>
                <w:rFonts w:hint="eastAsia" w:ascii="宋体" w:hAnsi="宋体" w:cs="宋体"/>
                <w:snapToGrid w:val="0"/>
                <w:color w:val="auto"/>
                <w:spacing w:val="6"/>
                <w:kern w:val="0"/>
                <w:szCs w:val="21"/>
                <w:highlight w:val="none"/>
              </w:rPr>
              <w:t>消防设备设施完好率100%；4.房屋、门窗完好率99%；</w:t>
            </w:r>
            <w:r>
              <w:rPr>
                <w:rFonts w:hint="eastAsia" w:ascii="宋体" w:hAnsi="宋体" w:cs="宋体"/>
                <w:snapToGrid w:val="0"/>
                <w:color w:val="auto"/>
                <w:spacing w:val="11"/>
                <w:kern w:val="0"/>
                <w:szCs w:val="21"/>
                <w:highlight w:val="none"/>
              </w:rPr>
              <w:t>5.车库设备完好率98%；</w:t>
            </w:r>
            <w:r>
              <w:rPr>
                <w:rFonts w:hint="eastAsia" w:ascii="宋体" w:hAnsi="宋体" w:cs="宋体"/>
                <w:snapToGrid w:val="0"/>
                <w:color w:val="auto"/>
                <w:spacing w:val="7"/>
                <w:kern w:val="0"/>
                <w:szCs w:val="21"/>
                <w:highlight w:val="none"/>
              </w:rPr>
              <w:t>6</w:t>
            </w:r>
            <w:r>
              <w:rPr>
                <w:rFonts w:hint="eastAsia" w:ascii="宋体" w:hAnsi="宋体" w:cs="宋体"/>
                <w:snapToGrid w:val="0"/>
                <w:color w:val="auto"/>
                <w:spacing w:val="6"/>
                <w:kern w:val="0"/>
                <w:szCs w:val="21"/>
                <w:highlight w:val="none"/>
              </w:rPr>
              <w:t>.零星维修、报修及时率100%，返修率≤1%；7.服务有效投诉≤5%，处理率100%；</w:t>
            </w:r>
            <w:r>
              <w:rPr>
                <w:rFonts w:hint="eastAsia" w:ascii="宋体" w:hAnsi="宋体" w:cs="宋体"/>
                <w:snapToGrid w:val="0"/>
                <w:color w:val="auto"/>
                <w:spacing w:val="11"/>
                <w:kern w:val="0"/>
                <w:szCs w:val="21"/>
                <w:highlight w:val="none"/>
              </w:rPr>
              <w:t>8.每季度对物业管理服务满意度抽样调查，满意率达95%以上，对不满意的情况进行分析并及</w:t>
            </w:r>
            <w:r>
              <w:rPr>
                <w:rFonts w:hint="eastAsia" w:ascii="宋体" w:hAnsi="宋体" w:cs="宋体"/>
                <w:snapToGrid w:val="0"/>
                <w:color w:val="auto"/>
                <w:spacing w:val="2"/>
                <w:kern w:val="0"/>
                <w:szCs w:val="21"/>
                <w:highlight w:val="none"/>
              </w:rPr>
              <w:t>时整改。</w:t>
            </w:r>
          </w:p>
          <w:p>
            <w:pPr>
              <w:widowControl/>
              <w:wordWrap w:val="0"/>
              <w:autoSpaceDE w:val="0"/>
              <w:autoSpaceDN w:val="0"/>
              <w:adjustRightInd w:val="0"/>
              <w:snapToGrid w:val="0"/>
              <w:spacing w:line="500" w:lineRule="exact"/>
              <w:ind w:firstLine="446"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6"/>
                <w:kern w:val="0"/>
                <w:szCs w:val="21"/>
                <w:highlight w:val="none"/>
              </w:rPr>
              <w:t>三、物业管理服务具体要求</w:t>
            </w:r>
          </w:p>
          <w:p>
            <w:pPr>
              <w:widowControl/>
              <w:wordWrap w:val="0"/>
              <w:autoSpaceDE w:val="0"/>
              <w:autoSpaceDN w:val="0"/>
              <w:adjustRightInd w:val="0"/>
              <w:snapToGrid w:val="0"/>
              <w:spacing w:line="500" w:lineRule="exact"/>
              <w:ind w:firstLine="438"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4"/>
                <w:kern w:val="0"/>
                <w:szCs w:val="21"/>
                <w:highlight w:val="none"/>
              </w:rPr>
              <w:t>（一）综合服务。</w:t>
            </w:r>
            <w:r>
              <w:rPr>
                <w:rFonts w:hint="eastAsia" w:ascii="宋体" w:hAnsi="宋体" w:cs="宋体"/>
                <w:snapToGrid w:val="0"/>
                <w:color w:val="auto"/>
                <w:spacing w:val="4"/>
                <w:kern w:val="0"/>
                <w:szCs w:val="21"/>
                <w:highlight w:val="none"/>
              </w:rPr>
              <w:t>履行物业服务管理职能，提供相应保障服务</w:t>
            </w:r>
            <w:r>
              <w:rPr>
                <w:rFonts w:hint="eastAsia" w:ascii="宋体" w:hAnsi="宋体" w:cs="宋体"/>
                <w:snapToGrid w:val="0"/>
                <w:color w:val="auto"/>
                <w:spacing w:val="7"/>
                <w:kern w:val="0"/>
                <w:szCs w:val="21"/>
                <w:highlight w:val="none"/>
              </w:rPr>
              <w:t>包括但不限于：</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1.建立投诉处理机制：建立物业管理服务投诉渠道，如投诉电话、微信号、意见箱等，公布投诉处理流程等；设立每天24小时服务热线电话及24小时值班，及时接受采购人和职工的投诉反映，并及时解决所反映的问题；对受理的投诉，应核实情况，及时处理并对采购人和职工提出的投诉进行答复；属于物业服务责任的，应向业主道歉，及时处理或纠正；不属于物业服务责任的，应耐心做好解释工作并提供必要的帮助；受理、处理投诉应留存记录。</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2.客户意见征集和处理：建立健全调查制度、调查问卷、回访统计表、原因分析及更改措施记录。回访调查表、调查问卷应为收录用户签名的原始记录；回访：迁入、维修及投诉处理完毕后均应进行回访，并留有回访调查表、回访统计表；综合满意度调查：每年至少一次，向客户采用走访、问卷调查等形式，开展物业管理服务满意度调查，并对调查结果进行分析，持续改进；及时反馈客户动态信息：客户日常反馈的意见应及时处理，并留有记录；建设物业服务评价平台，满足与用户意见交流、接受用户评价、接纳用户合理建议工作。</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3.物业档案资料管理。档案和资料的管理包括：采购人档案、设备设施档案、清洁卫生管理档案、室内外绿化管理档案、供应商人事管理及人员培训档案以及具体的管理方案、工作计划等资料档案，所有资料档案做到保存完整，管理完善，交接手续完备，检索方便准确，符合有关标准。</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4.对各办公室内的日常使用物资配送、发放。</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5.对办公区域清理出来可利旧的杂物、旧物品和其他物品，按采购人要求协助进行暂时保管。</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6.对废纸、废塑料品、废电池及废灯具等废旧物品进行定点回收及清理搬运。</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7.按要求协助做好办公区重大节日、重大活动等氛围营造及宣传标语制作、张贴等。</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8.配合采购人做好公共机构节能减排工作，合理设定启动办公区感应灯的时间，每天晚上22点对办公区进行巡查，关闭楼道及卫生间灯。</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9.物业服务人员能自觉维护公众利益，遵守办公区的各项管理规定。</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10.项目经理每天对各楼层巡查不少于两次，发现问题及时整改，提升服务质量。</w:t>
            </w:r>
          </w:p>
          <w:p>
            <w:pPr>
              <w:pStyle w:val="9"/>
              <w:widowControl w:val="0"/>
              <w:spacing w:before="0" w:beforeAutospacing="0" w:after="0" w:afterAutospacing="0" w:line="500" w:lineRule="exact"/>
              <w:ind w:firstLine="420" w:firstLineChars="200"/>
              <w:jc w:val="both"/>
              <w:rPr>
                <w:rStyle w:val="55"/>
                <w:rFonts w:hint="eastAsia"/>
                <w:b w:val="0"/>
                <w:color w:val="auto"/>
                <w:kern w:val="2"/>
                <w:sz w:val="21"/>
                <w:szCs w:val="21"/>
                <w:highlight w:val="none"/>
              </w:rPr>
            </w:pPr>
            <w:r>
              <w:rPr>
                <w:rStyle w:val="55"/>
                <w:rFonts w:hint="eastAsia"/>
                <w:b w:val="0"/>
                <w:color w:val="auto"/>
                <w:kern w:val="2"/>
                <w:sz w:val="21"/>
                <w:szCs w:val="21"/>
                <w:highlight w:val="none"/>
              </w:rPr>
              <w:t>11.配合采购人做好充电桩、节能减排、固定资产管理。</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eastAsia="宋体" w:cs="宋体"/>
                <w:snapToGrid w:val="0"/>
                <w:color w:val="auto"/>
                <w:kern w:val="0"/>
                <w:szCs w:val="21"/>
                <w:highlight w:val="none"/>
              </w:rPr>
            </w:pPr>
            <w:r>
              <w:rPr>
                <w:rFonts w:hint="eastAsia" w:ascii="宋体" w:hAnsi="宋体" w:cs="宋体"/>
                <w:b/>
                <w:bCs/>
                <w:snapToGrid w:val="0"/>
                <w:color w:val="auto"/>
                <w:spacing w:val="8"/>
                <w:kern w:val="0"/>
                <w:szCs w:val="21"/>
                <w:highlight w:val="none"/>
              </w:rPr>
              <w:t>（二）公共设施设备日常管理养护。</w:t>
            </w:r>
            <w:r>
              <w:rPr>
                <w:rFonts w:hint="eastAsia" w:ascii="宋体" w:hAnsi="宋体" w:cs="宋体"/>
                <w:snapToGrid w:val="0"/>
                <w:color w:val="auto"/>
                <w:spacing w:val="8"/>
                <w:kern w:val="0"/>
                <w:szCs w:val="21"/>
                <w:highlight w:val="none"/>
              </w:rPr>
              <w:t>包括但不仅限于：公共的上下水管道、落水管；公共照明；楼内消防系统；供配电系统；中央空调；充电桩；二次加压供水系统；设备机房；监控及安防系统；电梯系统等。具体要求如下：</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spacing w:val="7"/>
                <w:kern w:val="0"/>
                <w:szCs w:val="21"/>
                <w:highlight w:val="none"/>
              </w:rPr>
            </w:pPr>
            <w:r>
              <w:rPr>
                <w:rFonts w:hint="eastAsia" w:ascii="宋体" w:hAnsi="宋体" w:cs="宋体"/>
                <w:b/>
                <w:bCs/>
                <w:snapToGrid w:val="0"/>
                <w:color w:val="auto"/>
                <w:spacing w:val="8"/>
                <w:kern w:val="0"/>
                <w:szCs w:val="21"/>
                <w:highlight w:val="none"/>
              </w:rPr>
              <w:t>1.供电设备监控管理维护：</w:t>
            </w:r>
            <w:r>
              <w:rPr>
                <w:rFonts w:hint="eastAsia" w:ascii="宋体" w:hAnsi="宋体" w:cs="宋体"/>
                <w:snapToGrid w:val="0"/>
                <w:color w:val="auto"/>
                <w:spacing w:val="8"/>
                <w:kern w:val="0"/>
                <w:szCs w:val="21"/>
                <w:highlight w:val="none"/>
              </w:rPr>
              <w:t>办公楼（区）供电系统、高低压电器设备、电线电缆、电器照明装置、避雷检测等日常管理、清洁、养护及维修，</w:t>
            </w:r>
            <w:r>
              <w:rPr>
                <w:rFonts w:hint="eastAsia" w:ascii="宋体" w:hAnsi="宋体" w:cs="宋体"/>
                <w:b/>
                <w:bCs/>
                <w:snapToGrid w:val="0"/>
                <w:color w:val="auto"/>
                <w:spacing w:val="8"/>
                <w:kern w:val="0"/>
                <w:szCs w:val="21"/>
                <w:highlight w:val="none"/>
              </w:rPr>
              <w:t>年检费用、单次花费金额不高于500元的维护及维修费用由中标人承担。</w:t>
            </w:r>
            <w:r>
              <w:rPr>
                <w:rFonts w:hint="eastAsia" w:ascii="宋体" w:hAnsi="宋体" w:cs="宋体"/>
                <w:snapToGrid w:val="0"/>
                <w:color w:val="auto"/>
                <w:spacing w:val="8"/>
                <w:kern w:val="0"/>
                <w:szCs w:val="21"/>
                <w:highlight w:val="none"/>
              </w:rPr>
              <w:t>供电设备监控维护具体要求如下：</w:t>
            </w:r>
            <w:r>
              <w:rPr>
                <w:rFonts w:hint="eastAsia" w:cs="Calibri"/>
                <w:snapToGrid w:val="0"/>
                <w:color w:val="auto"/>
                <w:spacing w:val="8"/>
                <w:kern w:val="0"/>
                <w:szCs w:val="21"/>
                <w:highlight w:val="none"/>
              </w:rPr>
              <w:t>（1）</w:t>
            </w:r>
            <w:r>
              <w:rPr>
                <w:rFonts w:hint="eastAsia" w:ascii="宋体" w:hAnsi="宋体" w:cs="宋体"/>
                <w:snapToGrid w:val="0"/>
                <w:color w:val="auto"/>
                <w:spacing w:val="8"/>
                <w:kern w:val="0"/>
                <w:szCs w:val="21"/>
                <w:highlight w:val="none"/>
              </w:rPr>
              <w:t>加强对各弱电系统的检查维护，确保</w:t>
            </w:r>
            <w:r>
              <w:rPr>
                <w:rFonts w:hint="eastAsia" w:ascii="宋体" w:hAnsi="宋体" w:cs="宋体"/>
                <w:snapToGrid w:val="0"/>
                <w:color w:val="auto"/>
                <w:spacing w:val="7"/>
                <w:kern w:val="0"/>
                <w:szCs w:val="21"/>
                <w:highlight w:val="none"/>
              </w:rPr>
              <w:t>每天24小时正常工作。</w:t>
            </w:r>
            <w:r>
              <w:rPr>
                <w:rFonts w:hint="eastAsia" w:ascii="宋体" w:hAnsi="宋体" w:cs="宋体"/>
                <w:snapToGrid w:val="0"/>
                <w:color w:val="auto"/>
                <w:spacing w:val="9"/>
                <w:kern w:val="0"/>
                <w:szCs w:val="21"/>
                <w:highlight w:val="none"/>
              </w:rPr>
              <w:t>（2）发现系统故障或隐患，应在</w:t>
            </w:r>
            <w:r>
              <w:rPr>
                <w:rFonts w:hint="eastAsia" w:ascii="宋体" w:hAnsi="宋体" w:cs="宋体"/>
                <w:b/>
                <w:bCs/>
                <w:snapToGrid w:val="0"/>
                <w:color w:val="auto"/>
                <w:spacing w:val="9"/>
                <w:kern w:val="0"/>
                <w:szCs w:val="21"/>
                <w:highlight w:val="none"/>
              </w:rPr>
              <w:t>1小时内</w:t>
            </w:r>
            <w:r>
              <w:rPr>
                <w:rFonts w:hint="eastAsia" w:ascii="宋体" w:hAnsi="宋体" w:cs="宋体"/>
                <w:snapToGrid w:val="0"/>
                <w:color w:val="auto"/>
                <w:spacing w:val="9"/>
                <w:kern w:val="0"/>
                <w:szCs w:val="21"/>
                <w:highlight w:val="none"/>
              </w:rPr>
              <w:t>到达现场进行抢修，照明装置随坏随修；不定期组</w:t>
            </w:r>
            <w:r>
              <w:rPr>
                <w:rFonts w:hint="eastAsia" w:ascii="宋体" w:hAnsi="宋体" w:cs="宋体"/>
                <w:snapToGrid w:val="0"/>
                <w:color w:val="auto"/>
                <w:spacing w:val="8"/>
                <w:kern w:val="0"/>
                <w:szCs w:val="21"/>
                <w:highlight w:val="none"/>
              </w:rPr>
              <w:t>织发电系统应急抢修演练，确保供电系统每天24小时正</w:t>
            </w:r>
            <w:r>
              <w:rPr>
                <w:rFonts w:hint="eastAsia" w:ascii="宋体" w:hAnsi="宋体" w:cs="宋体"/>
                <w:snapToGrid w:val="0"/>
                <w:color w:val="auto"/>
                <w:spacing w:val="7"/>
                <w:kern w:val="0"/>
                <w:szCs w:val="21"/>
                <w:highlight w:val="none"/>
              </w:rPr>
              <w:t>常运行。</w:t>
            </w:r>
            <w:r>
              <w:rPr>
                <w:rFonts w:hint="eastAsia" w:ascii="宋体" w:hAnsi="宋体" w:cs="宋体"/>
                <w:snapToGrid w:val="0"/>
                <w:color w:val="auto"/>
                <w:spacing w:val="9"/>
                <w:kern w:val="0"/>
                <w:szCs w:val="21"/>
                <w:highlight w:val="none"/>
              </w:rPr>
              <w:t>（3）</w:t>
            </w:r>
            <w:r>
              <w:rPr>
                <w:rFonts w:hint="eastAsia" w:ascii="宋体" w:hAnsi="宋体" w:cs="宋体"/>
                <w:snapToGrid w:val="0"/>
                <w:color w:val="auto"/>
                <w:spacing w:val="7"/>
                <w:kern w:val="0"/>
                <w:szCs w:val="21"/>
                <w:highlight w:val="none"/>
              </w:rPr>
              <w:t>加强对监控观察室、监控摄像头、对讲机等监控系统的巡查，确保每天24小时系统无故障等。</w:t>
            </w:r>
          </w:p>
          <w:p>
            <w:pPr>
              <w:widowControl/>
              <w:wordWrap w:val="0"/>
              <w:autoSpaceDE w:val="0"/>
              <w:autoSpaceDN w:val="0"/>
              <w:adjustRightInd w:val="0"/>
              <w:snapToGrid w:val="0"/>
              <w:spacing w:line="500" w:lineRule="exact"/>
              <w:ind w:firstLine="45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7"/>
                <w:kern w:val="0"/>
                <w:szCs w:val="21"/>
                <w:highlight w:val="none"/>
              </w:rPr>
              <w:t>2.给排水系统管理维护：</w:t>
            </w:r>
            <w:r>
              <w:rPr>
                <w:rFonts w:hint="eastAsia" w:ascii="宋体" w:hAnsi="宋体" w:cs="宋体"/>
                <w:snapToGrid w:val="0"/>
                <w:color w:val="auto"/>
                <w:spacing w:val="11"/>
                <w:kern w:val="0"/>
                <w:szCs w:val="21"/>
                <w:highlight w:val="none"/>
              </w:rPr>
              <w:t>（1）配合采购人对水箱、上下水道、阀门、管道、落水管、水泵、二次加压供</w:t>
            </w:r>
            <w:r>
              <w:rPr>
                <w:rFonts w:hint="eastAsia" w:ascii="宋体" w:hAnsi="宋体" w:cs="宋体"/>
                <w:snapToGrid w:val="0"/>
                <w:color w:val="auto"/>
                <w:spacing w:val="10"/>
                <w:kern w:val="0"/>
                <w:szCs w:val="21"/>
                <w:highlight w:val="none"/>
              </w:rPr>
              <w:t>水等系统和设备进</w:t>
            </w:r>
            <w:r>
              <w:rPr>
                <w:rFonts w:hint="eastAsia" w:ascii="宋体" w:hAnsi="宋体" w:cs="宋体"/>
                <w:snapToGrid w:val="0"/>
                <w:color w:val="auto"/>
                <w:spacing w:val="6"/>
                <w:kern w:val="0"/>
                <w:szCs w:val="21"/>
                <w:highlight w:val="none"/>
              </w:rPr>
              <w:t>行日常维护、运行管理、零星维修等，确保</w:t>
            </w:r>
            <w:r>
              <w:rPr>
                <w:rFonts w:hint="eastAsia" w:ascii="宋体" w:hAnsi="宋体" w:cs="宋体"/>
                <w:snapToGrid w:val="0"/>
                <w:color w:val="auto"/>
                <w:spacing w:val="9"/>
                <w:kern w:val="0"/>
                <w:szCs w:val="21"/>
                <w:highlight w:val="none"/>
              </w:rPr>
              <w:t>设备、阀门、管道工作正常、无跑冒滴漏。</w:t>
            </w:r>
            <w:r>
              <w:rPr>
                <w:rFonts w:hint="eastAsia" w:ascii="宋体" w:hAnsi="宋体" w:cs="宋体"/>
                <w:b/>
                <w:bCs/>
                <w:snapToGrid w:val="0"/>
                <w:color w:val="auto"/>
                <w:spacing w:val="9"/>
                <w:kern w:val="0"/>
                <w:szCs w:val="21"/>
                <w:highlight w:val="none"/>
              </w:rPr>
              <w:t>单次花费金额不高于500元的维护及维修费用由中标人承担。</w:t>
            </w:r>
            <w:r>
              <w:rPr>
                <w:rFonts w:hint="eastAsia" w:ascii="宋体" w:hAnsi="宋体" w:cs="宋体"/>
                <w:snapToGrid w:val="0"/>
                <w:color w:val="auto"/>
                <w:spacing w:val="9"/>
                <w:kern w:val="0"/>
                <w:szCs w:val="21"/>
                <w:highlight w:val="none"/>
              </w:rPr>
              <w:t>（2）协助采购人建立用水、供水管理制度、积极协助用户安排合理的用水和节水计划。（3）设备、阀门、管道工作正常、无跑冒滴漏。（4）</w:t>
            </w:r>
            <w:r>
              <w:rPr>
                <w:rFonts w:hint="eastAsia" w:ascii="宋体" w:hAnsi="宋体" w:cs="宋体"/>
                <w:snapToGrid w:val="0"/>
                <w:color w:val="auto"/>
                <w:spacing w:val="11"/>
                <w:kern w:val="0"/>
                <w:szCs w:val="21"/>
                <w:highlight w:val="none"/>
              </w:rPr>
              <w:t>按照高压水泵、水池、水箱的管理规定，水池、水箱清洁卫生，周围无污染</w:t>
            </w:r>
            <w:r>
              <w:rPr>
                <w:rFonts w:hint="eastAsia" w:ascii="宋体" w:hAnsi="宋体" w:cs="宋体"/>
                <w:snapToGrid w:val="0"/>
                <w:color w:val="auto"/>
                <w:spacing w:val="10"/>
                <w:kern w:val="0"/>
                <w:szCs w:val="21"/>
                <w:highlight w:val="none"/>
              </w:rPr>
              <w:t>隐患，无二次污</w:t>
            </w:r>
            <w:r>
              <w:rPr>
                <w:rFonts w:hint="eastAsia" w:ascii="宋体" w:hAnsi="宋体" w:cs="宋体"/>
                <w:snapToGrid w:val="0"/>
                <w:color w:val="auto"/>
                <w:spacing w:val="-2"/>
                <w:kern w:val="0"/>
                <w:szCs w:val="21"/>
                <w:highlight w:val="none"/>
              </w:rPr>
              <w:t>染。（5）</w:t>
            </w:r>
            <w:r>
              <w:rPr>
                <w:rFonts w:hint="eastAsia" w:ascii="宋体" w:hAnsi="宋体" w:cs="宋体"/>
                <w:snapToGrid w:val="0"/>
                <w:color w:val="auto"/>
                <w:spacing w:val="9"/>
                <w:kern w:val="0"/>
                <w:szCs w:val="21"/>
                <w:highlight w:val="none"/>
              </w:rPr>
              <w:t>每年不少于2次对生活水池进行检验及清洗。（6）遇紧急情况，限水、停水按规定时间通知采购人（使用人）。（7）排水系统通畅，汛期道路无积水，地下室、车库、设备房无积水、浸泡发生。（8）</w:t>
            </w:r>
            <w:r>
              <w:rPr>
                <w:rFonts w:hint="eastAsia" w:ascii="宋体" w:hAnsi="宋体" w:cs="宋体"/>
                <w:snapToGrid w:val="0"/>
                <w:color w:val="auto"/>
                <w:spacing w:val="7"/>
                <w:kern w:val="0"/>
                <w:szCs w:val="21"/>
                <w:highlight w:val="none"/>
              </w:rPr>
              <w:t>加强日常巡查，建立巡查台账，明确人员责任。发现各种水管和水龙头漏水、滴水情况，</w:t>
            </w:r>
            <w:r>
              <w:rPr>
                <w:rFonts w:hint="eastAsia" w:ascii="宋体" w:hAnsi="宋体" w:cs="宋体"/>
                <w:snapToGrid w:val="0"/>
                <w:color w:val="auto"/>
                <w:spacing w:val="9"/>
                <w:kern w:val="0"/>
                <w:szCs w:val="21"/>
                <w:highlight w:val="none"/>
              </w:rPr>
              <w:t>及时维修处理；制定事故应急处理预案，严禁发生大面积泡水、泛水，长时间停水问题。</w:t>
            </w:r>
            <w:r>
              <w:rPr>
                <w:rFonts w:hint="eastAsia" w:ascii="宋体" w:hAnsi="宋体" w:cs="宋体"/>
                <w:snapToGrid w:val="0"/>
                <w:color w:val="auto"/>
                <w:spacing w:val="7"/>
                <w:kern w:val="0"/>
                <w:szCs w:val="21"/>
                <w:highlight w:val="none"/>
              </w:rPr>
              <w:t>（9）发现突发故障，维修人员应当在</w:t>
            </w:r>
            <w:r>
              <w:rPr>
                <w:rFonts w:hint="eastAsia" w:ascii="宋体" w:hAnsi="宋体" w:cs="宋体"/>
                <w:b/>
                <w:bCs/>
                <w:snapToGrid w:val="0"/>
                <w:color w:val="auto"/>
                <w:spacing w:val="7"/>
                <w:kern w:val="0"/>
                <w:szCs w:val="21"/>
                <w:highlight w:val="none"/>
              </w:rPr>
              <w:t>10分钟内</w:t>
            </w:r>
            <w:r>
              <w:rPr>
                <w:rFonts w:hint="eastAsia" w:ascii="宋体" w:hAnsi="宋体" w:cs="宋体"/>
                <w:snapToGrid w:val="0"/>
                <w:color w:val="auto"/>
                <w:spacing w:val="7"/>
                <w:kern w:val="0"/>
                <w:szCs w:val="21"/>
                <w:highlight w:val="none"/>
              </w:rPr>
              <w:t>到达现场进行抢修，重大故障及时报告采购人并协助处</w:t>
            </w:r>
            <w:r>
              <w:rPr>
                <w:rFonts w:hint="eastAsia" w:ascii="宋体" w:hAnsi="宋体" w:cs="宋体"/>
                <w:snapToGrid w:val="0"/>
                <w:color w:val="auto"/>
                <w:spacing w:val="-1"/>
                <w:kern w:val="0"/>
                <w:szCs w:val="21"/>
                <w:highlight w:val="none"/>
              </w:rPr>
              <w:t>理。</w:t>
            </w:r>
          </w:p>
          <w:p>
            <w:pPr>
              <w:widowControl/>
              <w:wordWrap w:val="0"/>
              <w:autoSpaceDE w:val="0"/>
              <w:autoSpaceDN w:val="0"/>
              <w:adjustRightInd w:val="0"/>
              <w:snapToGrid w:val="0"/>
              <w:spacing w:line="500" w:lineRule="exact"/>
              <w:ind w:firstLine="45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7"/>
                <w:kern w:val="0"/>
                <w:szCs w:val="21"/>
                <w:highlight w:val="none"/>
              </w:rPr>
              <w:t>3.消防系统管理维护：</w:t>
            </w:r>
            <w:r>
              <w:rPr>
                <w:rFonts w:hint="eastAsia" w:ascii="宋体" w:hAnsi="宋体" w:cs="宋体"/>
                <w:snapToGrid w:val="0"/>
                <w:color w:val="auto"/>
                <w:spacing w:val="11"/>
                <w:kern w:val="0"/>
                <w:szCs w:val="21"/>
                <w:highlight w:val="none"/>
              </w:rPr>
              <w:t>（1）加强对消防栓，消防柜、灭火器、消防控制台、消防管道、烟感器、淋头</w:t>
            </w:r>
            <w:r>
              <w:rPr>
                <w:rFonts w:hint="eastAsia" w:ascii="宋体" w:hAnsi="宋体" w:cs="宋体"/>
                <w:snapToGrid w:val="0"/>
                <w:color w:val="auto"/>
                <w:spacing w:val="10"/>
                <w:kern w:val="0"/>
                <w:szCs w:val="21"/>
                <w:highlight w:val="none"/>
              </w:rPr>
              <w:t>、安全出口等消防</w:t>
            </w:r>
            <w:r>
              <w:rPr>
                <w:rFonts w:hint="eastAsia" w:ascii="宋体" w:hAnsi="宋体" w:cs="宋体"/>
                <w:snapToGrid w:val="0"/>
                <w:color w:val="auto"/>
                <w:spacing w:val="8"/>
                <w:kern w:val="0"/>
                <w:szCs w:val="21"/>
                <w:highlight w:val="none"/>
              </w:rPr>
              <w:t>系统和设备的检查巡查，进行日常养护及运行</w:t>
            </w:r>
            <w:r>
              <w:rPr>
                <w:rFonts w:hint="eastAsia" w:ascii="宋体" w:hAnsi="宋体" w:cs="宋体"/>
                <w:snapToGrid w:val="0"/>
                <w:color w:val="auto"/>
                <w:spacing w:val="7"/>
                <w:kern w:val="0"/>
                <w:szCs w:val="21"/>
                <w:highlight w:val="none"/>
              </w:rPr>
              <w:t>管理等，建立巡查工作台账，确保每天24小时系统无</w:t>
            </w:r>
            <w:r>
              <w:rPr>
                <w:rFonts w:hint="eastAsia" w:ascii="宋体" w:hAnsi="宋体" w:cs="宋体"/>
                <w:snapToGrid w:val="0"/>
                <w:color w:val="auto"/>
                <w:spacing w:val="4"/>
                <w:kern w:val="0"/>
                <w:szCs w:val="21"/>
                <w:highlight w:val="none"/>
              </w:rPr>
              <w:t>故障等</w:t>
            </w:r>
            <w:r>
              <w:rPr>
                <w:rFonts w:hint="eastAsia" w:ascii="宋体" w:hAnsi="宋体" w:cs="宋体"/>
                <w:snapToGrid w:val="0"/>
                <w:color w:val="auto"/>
                <w:spacing w:val="6"/>
                <w:kern w:val="0"/>
                <w:szCs w:val="21"/>
                <w:highlight w:val="none"/>
              </w:rPr>
              <w:t>。</w:t>
            </w:r>
            <w:r>
              <w:rPr>
                <w:rFonts w:hint="eastAsia" w:ascii="宋体" w:hAnsi="宋体" w:cs="宋体"/>
                <w:b/>
                <w:bCs/>
                <w:snapToGrid w:val="0"/>
                <w:color w:val="auto"/>
                <w:spacing w:val="6"/>
                <w:kern w:val="0"/>
                <w:szCs w:val="21"/>
                <w:highlight w:val="none"/>
              </w:rPr>
              <w:t>年检费用、单次花费金额不高于500元的维护及维修费用由中标人承担。</w:t>
            </w:r>
            <w:r>
              <w:rPr>
                <w:rFonts w:hint="eastAsia" w:ascii="宋体" w:hAnsi="宋体" w:cs="宋体"/>
                <w:snapToGrid w:val="0"/>
                <w:color w:val="auto"/>
                <w:spacing w:val="10"/>
                <w:kern w:val="0"/>
                <w:szCs w:val="21"/>
                <w:highlight w:val="none"/>
              </w:rPr>
              <w:t>（2）加强消防监控系统管理，建立视频信息调阅、拷贝、复制审批登记制度未经采购人批准，任何单位和个人不得调阅、拷贝、复制视频信息。</w:t>
            </w:r>
            <w:r>
              <w:rPr>
                <w:rFonts w:hint="eastAsia" w:ascii="宋体" w:hAnsi="宋体" w:cs="宋体"/>
                <w:snapToGrid w:val="0"/>
                <w:color w:val="auto"/>
                <w:spacing w:val="7"/>
                <w:kern w:val="0"/>
                <w:szCs w:val="21"/>
                <w:highlight w:val="none"/>
              </w:rPr>
              <w:t>（3）</w:t>
            </w:r>
            <w:r>
              <w:rPr>
                <w:rFonts w:hint="eastAsia" w:ascii="宋体" w:hAnsi="宋体" w:cs="宋体"/>
                <w:snapToGrid w:val="0"/>
                <w:color w:val="auto"/>
                <w:spacing w:val="10"/>
                <w:kern w:val="0"/>
                <w:szCs w:val="21"/>
                <w:highlight w:val="none"/>
              </w:rPr>
              <w:t>消防系统要进行维修保养，采购人聘用专业维保机构，发现消防系统存在安全隐患时，必须由专业维保机构维护保养，严禁非专业人员操作。（4）组织开展消防法规及消防知识的宣传教育，明确各区域防火责任人，确保责任人掌握消防设施设备的使用方法并能及时处理各种问题。</w:t>
            </w:r>
            <w:r>
              <w:rPr>
                <w:rFonts w:hint="eastAsia" w:cs="Calibri"/>
                <w:snapToGrid w:val="0"/>
                <w:color w:val="auto"/>
                <w:spacing w:val="7"/>
                <w:kern w:val="0"/>
                <w:szCs w:val="21"/>
                <w:highlight w:val="none"/>
              </w:rPr>
              <w:t>（5）</w:t>
            </w:r>
            <w:r>
              <w:rPr>
                <w:rFonts w:hint="eastAsia" w:ascii="宋体" w:hAnsi="宋体" w:cs="宋体"/>
                <w:snapToGrid w:val="0"/>
                <w:color w:val="auto"/>
                <w:spacing w:val="11"/>
                <w:kern w:val="0"/>
                <w:szCs w:val="21"/>
                <w:highlight w:val="none"/>
              </w:rPr>
              <w:t>制定突发火灾应急预案，在明显处设立消防疏散示意图。照明设施、引路</w:t>
            </w:r>
            <w:r>
              <w:rPr>
                <w:rFonts w:hint="eastAsia" w:ascii="宋体" w:hAnsi="宋体" w:cs="宋体"/>
                <w:snapToGrid w:val="0"/>
                <w:color w:val="auto"/>
                <w:spacing w:val="10"/>
                <w:kern w:val="0"/>
                <w:szCs w:val="21"/>
                <w:highlight w:val="none"/>
              </w:rPr>
              <w:t>标志完好，紧急</w:t>
            </w:r>
            <w:r>
              <w:rPr>
                <w:rFonts w:hint="eastAsia" w:ascii="宋体" w:hAnsi="宋体" w:cs="宋体"/>
                <w:snapToGrid w:val="0"/>
                <w:color w:val="auto"/>
                <w:spacing w:val="11"/>
                <w:kern w:val="0"/>
                <w:szCs w:val="21"/>
                <w:highlight w:val="none"/>
              </w:rPr>
              <w:t>疏散通道畅通无阻。所有通往楼梯前室与楼梯间的防火门应保持闭合</w:t>
            </w:r>
            <w:r>
              <w:rPr>
                <w:rFonts w:hint="eastAsia" w:ascii="宋体" w:hAnsi="宋体" w:cs="宋体"/>
                <w:snapToGrid w:val="0"/>
                <w:color w:val="auto"/>
                <w:spacing w:val="10"/>
                <w:kern w:val="0"/>
                <w:szCs w:val="21"/>
                <w:highlight w:val="none"/>
              </w:rPr>
              <w:t>但不能上锁，走道内的防火分</w:t>
            </w:r>
            <w:r>
              <w:rPr>
                <w:rFonts w:hint="eastAsia" w:ascii="宋体" w:hAnsi="宋体" w:cs="宋体"/>
                <w:snapToGrid w:val="0"/>
                <w:color w:val="auto"/>
                <w:spacing w:val="7"/>
                <w:kern w:val="0"/>
                <w:szCs w:val="21"/>
                <w:highlight w:val="none"/>
              </w:rPr>
              <w:t>区之间的防火门应保持闭合但不能上锁。走道上设置有门禁的门应确保在紧急情况时随时可以打开；</w:t>
            </w:r>
            <w:r>
              <w:rPr>
                <w:rFonts w:hint="eastAsia" w:ascii="宋体" w:hAnsi="宋体" w:cs="宋体"/>
                <w:snapToGrid w:val="0"/>
                <w:color w:val="auto"/>
                <w:spacing w:val="11"/>
                <w:kern w:val="0"/>
                <w:szCs w:val="21"/>
                <w:highlight w:val="none"/>
              </w:rPr>
              <w:t>所有强弱电井道与空调机房的防火门应保持闭合且上锁；底层所有通</w:t>
            </w:r>
            <w:r>
              <w:rPr>
                <w:rFonts w:hint="eastAsia" w:ascii="宋体" w:hAnsi="宋体" w:cs="宋体"/>
                <w:snapToGrid w:val="0"/>
                <w:color w:val="auto"/>
                <w:spacing w:val="10"/>
                <w:kern w:val="0"/>
                <w:szCs w:val="21"/>
                <w:highlight w:val="none"/>
              </w:rPr>
              <w:t>往室外的疏散门在紧急情况时</w:t>
            </w:r>
            <w:r>
              <w:rPr>
                <w:rFonts w:hint="eastAsia" w:ascii="宋体" w:hAnsi="宋体" w:cs="宋体"/>
                <w:snapToGrid w:val="0"/>
                <w:color w:val="auto"/>
                <w:spacing w:val="7"/>
                <w:kern w:val="0"/>
                <w:szCs w:val="21"/>
                <w:highlight w:val="none"/>
              </w:rPr>
              <w:t>随时可以打开。</w:t>
            </w:r>
            <w:r>
              <w:rPr>
                <w:rFonts w:hint="eastAsia" w:ascii="宋体" w:hAnsi="宋体" w:cs="宋体"/>
                <w:snapToGrid w:val="0"/>
                <w:color w:val="auto"/>
                <w:spacing w:val="10"/>
                <w:kern w:val="0"/>
                <w:szCs w:val="21"/>
                <w:highlight w:val="none"/>
              </w:rPr>
              <w:t>（6）严格落实用电管理规定，严禁私接电源、插座，办公区内无火灾安全隐患，消防设备完好率达到100%。</w:t>
            </w:r>
            <w:r>
              <w:rPr>
                <w:rFonts w:hint="eastAsia" w:ascii="宋体" w:hAnsi="宋体" w:cs="宋体"/>
                <w:snapToGrid w:val="0"/>
                <w:color w:val="auto"/>
                <w:spacing w:val="11"/>
                <w:kern w:val="0"/>
                <w:szCs w:val="21"/>
                <w:highlight w:val="none"/>
              </w:rPr>
              <w:t>（7）加强巡查检查，配合采购人到各办公室及重点场所排</w:t>
            </w:r>
            <w:r>
              <w:rPr>
                <w:rFonts w:hint="eastAsia" w:ascii="宋体" w:hAnsi="宋体" w:cs="宋体"/>
                <w:snapToGrid w:val="0"/>
                <w:color w:val="auto"/>
                <w:spacing w:val="10"/>
                <w:kern w:val="0"/>
                <w:szCs w:val="21"/>
                <w:highlight w:val="none"/>
              </w:rPr>
              <w:t>查安全隐患；</w:t>
            </w:r>
            <w:r>
              <w:rPr>
                <w:rFonts w:hint="eastAsia" w:ascii="宋体" w:hAnsi="宋体" w:cs="宋体"/>
                <w:snapToGrid w:val="0"/>
                <w:color w:val="auto"/>
                <w:spacing w:val="11"/>
                <w:kern w:val="0"/>
                <w:szCs w:val="21"/>
                <w:highlight w:val="none"/>
              </w:rPr>
              <w:t>遇有火灾隐患或苗头，要第一时间处理；遇突</w:t>
            </w:r>
            <w:r>
              <w:rPr>
                <w:rFonts w:hint="eastAsia" w:ascii="宋体" w:hAnsi="宋体" w:cs="宋体"/>
                <w:snapToGrid w:val="0"/>
                <w:color w:val="auto"/>
                <w:spacing w:val="10"/>
                <w:kern w:val="0"/>
                <w:szCs w:val="21"/>
                <w:highlight w:val="none"/>
              </w:rPr>
              <w:t>发火灾事故，立</w:t>
            </w:r>
            <w:r>
              <w:rPr>
                <w:rFonts w:hint="eastAsia" w:ascii="宋体" w:hAnsi="宋体" w:cs="宋体"/>
                <w:snapToGrid w:val="0"/>
                <w:color w:val="auto"/>
                <w:spacing w:val="7"/>
                <w:kern w:val="0"/>
                <w:szCs w:val="21"/>
                <w:highlight w:val="none"/>
              </w:rPr>
              <w:t>即拨打119报警，并采取措施开展救援，并第一时间向采购人报告。</w:t>
            </w:r>
            <w:r>
              <w:rPr>
                <w:rFonts w:hint="eastAsia" w:ascii="宋体" w:hAnsi="宋体" w:cs="宋体"/>
                <w:snapToGrid w:val="0"/>
                <w:color w:val="auto"/>
                <w:spacing w:val="1"/>
                <w:kern w:val="0"/>
                <w:szCs w:val="21"/>
                <w:highlight w:val="none"/>
              </w:rPr>
              <w:t>（8）每月开展消防培训一次；新员工培训后方能上岗，做到遇火情、紧急险情能有效控制和处理；每月开展消防设备安全检查一次；配合采购人到各处室及重点场所排查安全隐患，发放消防安全知识宣传页，宣传季节性应注意的消防安全知识。</w:t>
            </w:r>
          </w:p>
          <w:p>
            <w:pPr>
              <w:pStyle w:val="62"/>
              <w:spacing w:line="500" w:lineRule="exact"/>
              <w:ind w:firstLine="422" w:firstLineChars="200"/>
              <w:rPr>
                <w:color w:val="auto"/>
                <w:sz w:val="21"/>
                <w:szCs w:val="21"/>
                <w:highlight w:val="none"/>
              </w:rPr>
            </w:pPr>
            <w:r>
              <w:rPr>
                <w:rFonts w:hint="eastAsia"/>
                <w:b/>
                <w:bCs/>
                <w:color w:val="auto"/>
                <w:sz w:val="21"/>
                <w:szCs w:val="21"/>
                <w:highlight w:val="none"/>
              </w:rPr>
              <w:t>4.中央空调系统管理维护</w:t>
            </w:r>
            <w:r>
              <w:rPr>
                <w:rFonts w:hint="eastAsia"/>
                <w:color w:val="auto"/>
                <w:sz w:val="21"/>
                <w:szCs w:val="21"/>
                <w:highlight w:val="none"/>
              </w:rPr>
              <w:t>：（1）配合采购人做好对空调、新风、除尘、采气装置、各类风口、自动控制等空气调节系统和设备进行清洁、日常维护、零星维修等。</w:t>
            </w:r>
            <w:r>
              <w:rPr>
                <w:rFonts w:hint="eastAsia"/>
                <w:b/>
                <w:bCs/>
                <w:color w:val="auto"/>
                <w:sz w:val="21"/>
                <w:szCs w:val="21"/>
                <w:highlight w:val="none"/>
              </w:rPr>
              <w:t>年检费用、单次花费金额不高于500元的维护及维修费用由中标人承担。</w:t>
            </w:r>
            <w:r>
              <w:rPr>
                <w:rFonts w:hint="eastAsia"/>
                <w:color w:val="auto"/>
                <w:sz w:val="21"/>
                <w:szCs w:val="21"/>
                <w:highlight w:val="none"/>
              </w:rPr>
              <w:t>（2）加强巡查巡检，发现简单故障要第一时间维修，无法处理的问题应在10分钟内报告采购人，确保空调系统每天24小时正常运转。（3）空调由采购人聘用专业维保机构进行维修保养，严禁非专业人员操作。（4）遇突发故障，维修人员应在</w:t>
            </w:r>
            <w:r>
              <w:rPr>
                <w:rFonts w:hint="eastAsia"/>
                <w:b/>
                <w:bCs/>
                <w:color w:val="auto"/>
                <w:sz w:val="21"/>
                <w:szCs w:val="21"/>
                <w:highlight w:val="none"/>
              </w:rPr>
              <w:t>10分钟内</w:t>
            </w:r>
            <w:r>
              <w:rPr>
                <w:rFonts w:hint="eastAsia"/>
                <w:color w:val="auto"/>
                <w:sz w:val="21"/>
                <w:szCs w:val="21"/>
                <w:highlight w:val="none"/>
              </w:rPr>
              <w:t>到达现场进行抢修，发现重大故障及时报告。</w:t>
            </w:r>
          </w:p>
          <w:p>
            <w:pPr>
              <w:widowControl/>
              <w:wordWrap w:val="0"/>
              <w:autoSpaceDE w:val="0"/>
              <w:autoSpaceDN w:val="0"/>
              <w:adjustRightInd w:val="0"/>
              <w:snapToGrid w:val="0"/>
              <w:spacing w:line="500" w:lineRule="exact"/>
              <w:ind w:firstLine="434" w:firstLineChars="200"/>
              <w:jc w:val="left"/>
              <w:textAlignment w:val="baseline"/>
              <w:rPr>
                <w:rFonts w:hint="eastAsia" w:ascii="宋体" w:hAnsi="宋体" w:eastAsia="宋体" w:cs="宋体"/>
                <w:snapToGrid w:val="0"/>
                <w:color w:val="auto"/>
                <w:kern w:val="0"/>
                <w:szCs w:val="21"/>
                <w:highlight w:val="none"/>
              </w:rPr>
            </w:pPr>
            <w:r>
              <w:rPr>
                <w:rFonts w:hint="eastAsia" w:ascii="宋体" w:hAnsi="宋体" w:cs="宋体"/>
                <w:b/>
                <w:bCs/>
                <w:snapToGrid w:val="0"/>
                <w:color w:val="auto"/>
                <w:spacing w:val="3"/>
                <w:kern w:val="0"/>
                <w:szCs w:val="21"/>
                <w:highlight w:val="none"/>
              </w:rPr>
              <w:t>5.电梯运行维护：</w:t>
            </w:r>
            <w:r>
              <w:rPr>
                <w:rFonts w:hint="eastAsia" w:ascii="宋体" w:hAnsi="宋体" w:cs="宋体"/>
                <w:snapToGrid w:val="0"/>
                <w:color w:val="auto"/>
                <w:spacing w:val="3"/>
                <w:kern w:val="0"/>
                <w:szCs w:val="21"/>
                <w:highlight w:val="none"/>
              </w:rPr>
              <w:t>（1）按照要求做好电梯的日常维护保养、保洁、运行管理。（2）保持安全设施齐全，通风、散热、照明及附属设施完好，轿厢、机房保持整洁，电梯轿厢每天至少擦拭2次，电梯地面每天至少拖扫2次，电梯门厅及轿厢每周上油保养至少3次。（3）配合采购人做好电梯检测、电梯年检、日常维修保养等工作，费用由中标人承担，建立日常电梯运行的巡检、维护台账。（4）电梯由专业维修人员维修保养</w:t>
            </w:r>
            <w:r>
              <w:rPr>
                <w:rFonts w:hint="eastAsia" w:ascii="宋体" w:hAnsi="宋体" w:cs="宋体"/>
                <w:b/>
                <w:bCs/>
                <w:snapToGrid w:val="0"/>
                <w:color w:val="auto"/>
                <w:spacing w:val="3"/>
                <w:kern w:val="0"/>
                <w:szCs w:val="21"/>
                <w:highlight w:val="none"/>
              </w:rPr>
              <w:t>（如中标人需将电梯运行维护服务分包，则应满足商务要求“三、其他要求→★</w:t>
            </w:r>
            <w:r>
              <w:rPr>
                <w:rFonts w:hint="eastAsia" w:ascii="宋体" w:hAnsi="宋体" w:cs="宋体"/>
                <w:b/>
                <w:bCs/>
                <w:snapToGrid w:val="0"/>
                <w:color w:val="auto"/>
                <w:spacing w:val="3"/>
                <w:kern w:val="0"/>
                <w:szCs w:val="21"/>
                <w:highlight w:val="none"/>
                <w:lang w:val="en-US" w:eastAsia="zh-CN"/>
              </w:rPr>
              <w:t>2.分包要求</w:t>
            </w:r>
            <w:r>
              <w:rPr>
                <w:rFonts w:hint="eastAsia" w:ascii="宋体" w:hAnsi="宋体" w:cs="宋体"/>
                <w:b/>
                <w:bCs/>
                <w:snapToGrid w:val="0"/>
                <w:color w:val="auto"/>
                <w:spacing w:val="3"/>
                <w:kern w:val="0"/>
                <w:szCs w:val="21"/>
                <w:highlight w:val="none"/>
              </w:rPr>
              <w:t>”中列明的要求）</w:t>
            </w:r>
            <w:r>
              <w:rPr>
                <w:rFonts w:hint="eastAsia" w:ascii="宋体" w:hAnsi="宋体" w:cs="宋体"/>
                <w:snapToGrid w:val="0"/>
                <w:color w:val="auto"/>
                <w:spacing w:val="3"/>
                <w:kern w:val="0"/>
                <w:szCs w:val="21"/>
                <w:highlight w:val="none"/>
              </w:rPr>
              <w:t>，严禁非专业人员操作。（5）遇有电梯故障，须在10分钟内到达现场进行查看、报修、抢修，并及时恢复正常状态。</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spacing w:val="8"/>
                <w:kern w:val="0"/>
                <w:szCs w:val="21"/>
                <w:highlight w:val="none"/>
              </w:rPr>
              <w:t>6.房屋建筑日常养护：</w:t>
            </w:r>
            <w:r>
              <w:rPr>
                <w:rFonts w:hint="eastAsia" w:ascii="宋体" w:hAnsi="宋体" w:cs="宋体"/>
                <w:snapToGrid w:val="0"/>
                <w:color w:val="auto"/>
                <w:spacing w:val="8"/>
                <w:kern w:val="0"/>
                <w:szCs w:val="21"/>
                <w:highlight w:val="none"/>
              </w:rPr>
              <w:t>包括建筑结构、屋面、外墙面、屋顶、大堂、公共门厅、走廊、过道、楼梯间、门窗、附属道路、沟渠、水池、井、停车场、洗车场等日常清洁、养护及管理、定期检查房屋安全状况、完善记录，及时向采购人报告发现问题并提供解决方案供采购人决策参考，遇紧急情况时，采取必要的应急措施。</w:t>
            </w:r>
          </w:p>
          <w:p>
            <w:pPr>
              <w:widowControl/>
              <w:wordWrap w:val="0"/>
              <w:autoSpaceDE w:val="0"/>
              <w:autoSpaceDN w:val="0"/>
              <w:adjustRightInd w:val="0"/>
              <w:snapToGrid w:val="0"/>
              <w:spacing w:line="500" w:lineRule="exact"/>
              <w:ind w:firstLine="462"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0"/>
                <w:kern w:val="0"/>
                <w:szCs w:val="21"/>
                <w:highlight w:val="none"/>
              </w:rPr>
              <w:t>（三）公共</w:t>
            </w:r>
            <w:r>
              <w:rPr>
                <w:rFonts w:hint="eastAsia" w:ascii="宋体" w:hAnsi="宋体" w:cs="宋体"/>
                <w:b/>
                <w:bCs/>
                <w:snapToGrid w:val="0"/>
                <w:color w:val="auto"/>
                <w:kern w:val="0"/>
                <w:szCs w:val="21"/>
                <w:highlight w:val="none"/>
              </w:rPr>
              <w:t>秩序维护服务</w:t>
            </w:r>
            <w:r>
              <w:rPr>
                <w:rFonts w:hint="eastAsia" w:ascii="宋体" w:hAnsi="宋体" w:cs="宋体"/>
                <w:b/>
                <w:bCs/>
                <w:snapToGrid w:val="0"/>
                <w:color w:val="auto"/>
                <w:spacing w:val="10"/>
                <w:kern w:val="0"/>
                <w:szCs w:val="21"/>
                <w:highlight w:val="none"/>
              </w:rPr>
              <w:t>。</w:t>
            </w:r>
            <w:r>
              <w:rPr>
                <w:rFonts w:hint="eastAsia" w:ascii="宋体" w:hAnsi="宋体" w:cs="宋体"/>
                <w:snapToGrid w:val="0"/>
                <w:color w:val="auto"/>
                <w:spacing w:val="10"/>
                <w:kern w:val="0"/>
                <w:szCs w:val="21"/>
                <w:highlight w:val="none"/>
              </w:rPr>
              <w:t>办公楼（区）门卫和日常巡逻、防盗等报警监控运行管理，车辆、道路及公共秩序维护，防汛、治安及其他突发事件处理等，</w:t>
            </w:r>
            <w:r>
              <w:rPr>
                <w:rFonts w:hint="eastAsia" w:ascii="宋体" w:hAnsi="宋体" w:cs="宋体"/>
                <w:b/>
                <w:bCs/>
                <w:snapToGrid w:val="0"/>
                <w:color w:val="auto"/>
                <w:spacing w:val="10"/>
                <w:kern w:val="0"/>
                <w:szCs w:val="21"/>
                <w:highlight w:val="none"/>
              </w:rPr>
              <w:t>日常秩序维护所购买的对讲机、安保服装、照明灯、应急包等材料费用由中标人承担。</w:t>
            </w:r>
            <w:r>
              <w:rPr>
                <w:rFonts w:hint="eastAsia" w:ascii="宋体" w:hAnsi="宋体" w:cs="宋体"/>
                <w:snapToGrid w:val="0"/>
                <w:color w:val="auto"/>
                <w:spacing w:val="10"/>
                <w:kern w:val="0"/>
                <w:szCs w:val="21"/>
                <w:highlight w:val="none"/>
              </w:rPr>
              <w:t>具体要求如下：</w:t>
            </w:r>
          </w:p>
          <w:p>
            <w:pPr>
              <w:widowControl/>
              <w:wordWrap w:val="0"/>
              <w:autoSpaceDE w:val="0"/>
              <w:autoSpaceDN w:val="0"/>
              <w:adjustRightInd w:val="0"/>
              <w:snapToGrid w:val="0"/>
              <w:spacing w:line="500" w:lineRule="exact"/>
              <w:ind w:firstLine="466"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1"/>
                <w:kern w:val="0"/>
                <w:szCs w:val="21"/>
                <w:highlight w:val="none"/>
              </w:rPr>
              <w:t>1.门卫管理：</w:t>
            </w:r>
            <w:r>
              <w:rPr>
                <w:rFonts w:hint="eastAsia" w:ascii="宋体" w:hAnsi="宋体" w:eastAsia="宋体" w:cs="宋体"/>
                <w:bCs/>
                <w:color w:val="auto"/>
                <w:szCs w:val="21"/>
                <w:highlight w:val="none"/>
              </w:rPr>
              <w:t>（1）着装整齐，仪容仪表端正，维持办公楼大门秩序，疏导交通车辆，指引楼内方位；做到</w:t>
            </w:r>
            <w:r>
              <w:rPr>
                <w:rFonts w:hint="eastAsia" w:ascii="宋体" w:hAnsi="宋体" w:cs="宋体"/>
                <w:snapToGrid w:val="0"/>
                <w:color w:val="auto"/>
                <w:spacing w:val="11"/>
                <w:kern w:val="0"/>
                <w:szCs w:val="21"/>
                <w:highlight w:val="none"/>
              </w:rPr>
              <w:t>24小时值守，</w:t>
            </w:r>
            <w:r>
              <w:rPr>
                <w:rFonts w:hint="eastAsia" w:ascii="宋体" w:hAnsi="宋体" w:eastAsia="宋体" w:cs="宋体"/>
                <w:bCs/>
                <w:color w:val="auto"/>
                <w:szCs w:val="21"/>
                <w:highlight w:val="none"/>
              </w:rPr>
              <w:t>要求在指定范围、定点站岗，严禁脱岗。</w:t>
            </w:r>
            <w:r>
              <w:rPr>
                <w:rFonts w:hint="eastAsia" w:ascii="宋体" w:hAnsi="宋体" w:eastAsia="宋体" w:cs="宋体"/>
                <w:snapToGrid w:val="0"/>
                <w:color w:val="auto"/>
                <w:spacing w:val="11"/>
                <w:kern w:val="0"/>
                <w:szCs w:val="21"/>
                <w:highlight w:val="none"/>
              </w:rPr>
              <w:t>（2）</w:t>
            </w:r>
            <w:r>
              <w:rPr>
                <w:rFonts w:hint="eastAsia" w:ascii="宋体" w:hAnsi="宋体" w:cs="宋体"/>
                <w:snapToGrid w:val="0"/>
                <w:color w:val="auto"/>
                <w:spacing w:val="11"/>
                <w:kern w:val="0"/>
                <w:szCs w:val="21"/>
                <w:highlight w:val="none"/>
              </w:rPr>
              <w:t>做好来访登记工作，对进入局机关大院及办公楼及后勤辅助用房来访人员实行有效控制，来访人员必须说明访问部门（工作人员姓名和经电话确认），出示身份证或其他有效证件，填写来访登记表，并如实回答保安员的询问，离开时注销登记，登记资料必须归档保存，保安员因安全或其他原因认为有必要时，可随时把来访者带离办公区域。（3）上班时应集中精力，不干私活，不喝酒，不睡岗，上班期间不得做与工作无关的事情。（4）杜绝外来推销、废品收购等闲杂人员、闲散及衣冠不整人员、可疑人员和危险物品进入办公楼（区）内；大件物品搬出必须持采购人有关部门的准许证明并进行核对，准许证明归档保存。</w:t>
            </w:r>
            <w:r>
              <w:rPr>
                <w:rFonts w:hint="eastAsia" w:ascii="宋体" w:hAnsi="宋体" w:cs="宋体"/>
                <w:snapToGrid w:val="0"/>
                <w:color w:val="auto"/>
                <w:spacing w:val="8"/>
                <w:kern w:val="0"/>
                <w:szCs w:val="21"/>
                <w:highlight w:val="none"/>
              </w:rPr>
              <w:t>（5）严格执行门卫管理制度并做好交班工作。</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8"/>
                <w:kern w:val="0"/>
                <w:szCs w:val="21"/>
                <w:highlight w:val="none"/>
              </w:rPr>
              <w:t>2.秩序维护管理：</w:t>
            </w:r>
            <w:r>
              <w:rPr>
                <w:rFonts w:hint="eastAsia" w:ascii="宋体" w:hAnsi="宋体" w:cs="宋体"/>
                <w:snapToGrid w:val="0"/>
                <w:color w:val="auto"/>
                <w:spacing w:val="8"/>
                <w:kern w:val="0"/>
                <w:szCs w:val="21"/>
                <w:highlight w:val="none"/>
              </w:rPr>
              <w:t>（1）24小时定时和不定时对办公楼、物流库区及后勤辅助用房各部位进行巡视检查，发现办公楼及后勤辅助用房内电、水、门窗、消防设施等不关闭或不安全的因素的，应及时采取补救措施，并于按规定逐级上报。（2）安全防控采用固定岗、巡逻岗，统筹安排“徒步”巡查时间，徒步巡查周期，根据办公楼的建筑，后勤辅助用房功能布局，合理制定室内外保安员巡查路线，对节假日期间、晚上和人多时加强巡查次数，每班巡查次数不得少于4次，巡查必须填写《巡查情况记录表》，记录表必须归档保存。（3）遇突发性治安、消防事件时，应根据实际情况，第一时间向物业管理公司或安全保卫部门和采购人报告并报警。熟悉辖区内治安环境情况，会掌握使用治安、消防的报警电话和消防设备。</w:t>
            </w:r>
            <w:r>
              <w:rPr>
                <w:rFonts w:hint="eastAsia" w:ascii="宋体" w:hAnsi="宋体" w:eastAsia="宋体" w:cs="宋体"/>
                <w:snapToGrid w:val="0"/>
                <w:color w:val="auto"/>
                <w:spacing w:val="8"/>
                <w:kern w:val="0"/>
                <w:szCs w:val="21"/>
                <w:highlight w:val="none"/>
              </w:rPr>
              <w:t>（4）</w:t>
            </w:r>
            <w:r>
              <w:rPr>
                <w:rFonts w:hint="eastAsia" w:ascii="宋体" w:hAnsi="宋体" w:cs="宋体"/>
                <w:snapToGrid w:val="0"/>
                <w:color w:val="auto"/>
                <w:spacing w:val="11"/>
                <w:kern w:val="0"/>
                <w:szCs w:val="21"/>
                <w:highlight w:val="none"/>
              </w:rPr>
              <w:t>秩序维护人员要统一执勤着装、统一执勤标准、统一执</w:t>
            </w:r>
            <w:r>
              <w:rPr>
                <w:rFonts w:hint="eastAsia" w:ascii="宋体" w:hAnsi="宋体" w:cs="宋体"/>
                <w:snapToGrid w:val="0"/>
                <w:color w:val="auto"/>
                <w:spacing w:val="10"/>
                <w:kern w:val="0"/>
                <w:szCs w:val="21"/>
                <w:highlight w:val="none"/>
              </w:rPr>
              <w:t>勤动作，保持执勤威严，并</w:t>
            </w:r>
            <w:r>
              <w:rPr>
                <w:rFonts w:hint="eastAsia" w:ascii="宋体" w:hAnsi="宋体" w:cs="宋体"/>
                <w:snapToGrid w:val="0"/>
                <w:color w:val="auto"/>
                <w:spacing w:val="7"/>
                <w:kern w:val="0"/>
                <w:szCs w:val="21"/>
                <w:highlight w:val="none"/>
              </w:rPr>
              <w:t>做到服务态度良好。</w:t>
            </w:r>
            <w:r>
              <w:rPr>
                <w:rFonts w:hint="eastAsia" w:ascii="宋体" w:hAnsi="宋体" w:eastAsia="宋体" w:cs="宋体"/>
                <w:snapToGrid w:val="0"/>
                <w:color w:val="auto"/>
                <w:spacing w:val="7"/>
                <w:kern w:val="0"/>
                <w:szCs w:val="21"/>
                <w:highlight w:val="none"/>
              </w:rPr>
              <w:t>（5）</w:t>
            </w:r>
            <w:r>
              <w:rPr>
                <w:rFonts w:hint="eastAsia" w:ascii="宋体" w:hAnsi="宋体" w:cs="宋体"/>
                <w:snapToGrid w:val="0"/>
                <w:color w:val="auto"/>
                <w:spacing w:val="8"/>
                <w:kern w:val="0"/>
                <w:szCs w:val="21"/>
                <w:highlight w:val="none"/>
              </w:rPr>
              <w:t>组织对办公区域道路弯道、交叉路口、楼梯台阶、易发事故等处设置安全标</w:t>
            </w:r>
            <w:r>
              <w:rPr>
                <w:rFonts w:hint="eastAsia" w:ascii="宋体" w:hAnsi="宋体" w:cs="宋体"/>
                <w:snapToGrid w:val="0"/>
                <w:color w:val="auto"/>
                <w:spacing w:val="7"/>
                <w:kern w:val="0"/>
                <w:szCs w:val="21"/>
                <w:highlight w:val="none"/>
              </w:rPr>
              <w:t>识，并及时组织引导与设施维护。（6）积极协助主办部门做好重大活动、重大会议等秩序维护与保障工作，全力保障重大活动与重大会议顺利进行。（7）物业服务人员不得勾结或私自放行他人占用公家房产或公共资源。</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spacing w:val="8"/>
                <w:kern w:val="0"/>
                <w:szCs w:val="21"/>
                <w:highlight w:val="none"/>
              </w:rPr>
            </w:pPr>
            <w:r>
              <w:rPr>
                <w:rFonts w:hint="eastAsia" w:ascii="宋体" w:hAnsi="宋体" w:cs="宋体"/>
                <w:b/>
                <w:bCs/>
                <w:snapToGrid w:val="0"/>
                <w:color w:val="auto"/>
                <w:spacing w:val="8"/>
                <w:kern w:val="0"/>
                <w:szCs w:val="21"/>
                <w:highlight w:val="none"/>
              </w:rPr>
              <w:t>3.监控管理：</w:t>
            </w:r>
            <w:r>
              <w:rPr>
                <w:rFonts w:hint="eastAsia" w:ascii="宋体" w:hAnsi="宋体" w:cs="宋体"/>
                <w:snapToGrid w:val="0"/>
                <w:color w:val="auto"/>
                <w:spacing w:val="8"/>
                <w:kern w:val="0"/>
                <w:szCs w:val="21"/>
                <w:highlight w:val="none"/>
              </w:rPr>
              <w:t>（1）负责监控室的保安员应严格遵守监控室的各项规章制度，掌握闭路监控系统的工作原理和操作规程，熟悉各种按键的功能和操作。（2）上班时间监视办公楼及后勤辅助用房各出口、走廊和周围的情况，并做好值班记录。密切监视各视屏点，发现可疑情况立即报告项目经理。能够处理的要及时处理，不能处理的，要及时报警，并保护好现场。</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8"/>
                <w:kern w:val="0"/>
                <w:szCs w:val="21"/>
                <w:highlight w:val="none"/>
              </w:rPr>
              <w:t>4.车辆管理：</w:t>
            </w:r>
            <w:r>
              <w:rPr>
                <w:rFonts w:hint="eastAsia" w:ascii="宋体" w:hAnsi="宋体" w:cs="宋体"/>
                <w:snapToGrid w:val="0"/>
                <w:color w:val="auto"/>
                <w:spacing w:val="8"/>
                <w:kern w:val="0"/>
                <w:szCs w:val="21"/>
                <w:highlight w:val="none"/>
              </w:rPr>
              <w:t>（1）对进出办公楼及后勤辅助用房的车辆进行分类登记、属于局机关的公务及执法车辆统一用固定卡进行管理，属于干部职工私家车辆按车辆识别系统进行管理，外来车辆进出机关办公大院实行凭卡出入管理，通过发放临时卡进出办公区域。（2）引导车辆有序停放，车头统一朝外，不压线，不得将车辆停放在交通路口、绿化地、人行道或消防通道，</w:t>
            </w:r>
            <w:r>
              <w:rPr>
                <w:rFonts w:hint="eastAsia" w:ascii="宋体" w:hAnsi="宋体" w:cs="宋体"/>
                <w:snapToGrid w:val="0"/>
                <w:color w:val="auto"/>
                <w:spacing w:val="9"/>
                <w:kern w:val="0"/>
                <w:szCs w:val="21"/>
                <w:highlight w:val="none"/>
              </w:rPr>
              <w:t>及时纠正各种乱停乱放问题。</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8"/>
                <w:kern w:val="0"/>
                <w:szCs w:val="21"/>
                <w:highlight w:val="none"/>
              </w:rPr>
              <w:t>（四）环境卫生与保洁服务。</w:t>
            </w:r>
            <w:r>
              <w:rPr>
                <w:rFonts w:hint="eastAsia" w:ascii="宋体" w:hAnsi="宋体" w:cs="宋体"/>
                <w:snapToGrid w:val="0"/>
                <w:color w:val="auto"/>
                <w:spacing w:val="11"/>
                <w:kern w:val="0"/>
                <w:szCs w:val="21"/>
                <w:highlight w:val="none"/>
              </w:rPr>
              <w:t>办公楼（区）内大厅、过道、楼梯、天台电梯间、卫生间、茶水间、公共活动场所楼宇外墙等所有公共部位，办公区域道路、停车场（库）等所有公共场地及“门前三包”区域的日常清洁、消毒、杀虫、灭鼠、垃圾清远、管道疏通、化粪池清理。</w:t>
            </w:r>
            <w:r>
              <w:rPr>
                <w:rFonts w:hint="eastAsia" w:ascii="宋体" w:hAnsi="宋体" w:cs="宋体"/>
                <w:b/>
                <w:bCs/>
                <w:snapToGrid w:val="0"/>
                <w:color w:val="auto"/>
                <w:spacing w:val="11"/>
                <w:kern w:val="0"/>
                <w:szCs w:val="21"/>
                <w:highlight w:val="none"/>
              </w:rPr>
              <w:t>办公垃圾等废弃物的分类及清理、杀虫、灭鼠、管道疏通、化粪池清理、日常卫生工具等费用支出由中标人承担。清洁易耗品中的卫生间用卷筒纸、擦手纸、洗手液、洗洁精和各办公室内工作人员用的垃圾桶、垃圾袋、茶水桶等办公用品由采购人提供。日常卫生用具、清洁所需手套、抹布、拖把、扫把等工具由中标人自行购买。</w:t>
            </w:r>
            <w:r>
              <w:rPr>
                <w:rFonts w:hint="eastAsia" w:ascii="宋体" w:hAnsi="宋体" w:cs="宋体"/>
                <w:snapToGrid w:val="0"/>
                <w:color w:val="auto"/>
                <w:spacing w:val="9"/>
                <w:kern w:val="0"/>
                <w:szCs w:val="21"/>
                <w:highlight w:val="none"/>
              </w:rPr>
              <w:t>具体要求如下：</w:t>
            </w:r>
          </w:p>
          <w:p>
            <w:pPr>
              <w:widowControl/>
              <w:wordWrap w:val="0"/>
              <w:autoSpaceDE w:val="0"/>
              <w:autoSpaceDN w:val="0"/>
              <w:adjustRightInd w:val="0"/>
              <w:snapToGrid w:val="0"/>
              <w:spacing w:line="500" w:lineRule="exact"/>
              <w:ind w:firstLine="438" w:firstLineChars="200"/>
              <w:jc w:val="left"/>
              <w:textAlignment w:val="baseline"/>
              <w:rPr>
                <w:rFonts w:hint="eastAsia" w:ascii="宋体" w:hAnsi="宋体" w:cs="宋体"/>
                <w:snapToGrid w:val="0"/>
                <w:color w:val="auto"/>
                <w:spacing w:val="4"/>
                <w:kern w:val="0"/>
                <w:szCs w:val="21"/>
                <w:highlight w:val="none"/>
              </w:rPr>
            </w:pPr>
            <w:r>
              <w:rPr>
                <w:rFonts w:hint="eastAsia" w:ascii="宋体" w:hAnsi="宋体" w:cs="宋体"/>
                <w:b/>
                <w:bCs/>
                <w:snapToGrid w:val="0"/>
                <w:color w:val="auto"/>
                <w:spacing w:val="4"/>
                <w:kern w:val="0"/>
                <w:szCs w:val="21"/>
                <w:highlight w:val="none"/>
              </w:rPr>
              <w:t>1.办公场所室内保洁。</w:t>
            </w:r>
            <w:r>
              <w:rPr>
                <w:rFonts w:hint="eastAsia" w:ascii="宋体" w:hAnsi="宋体" w:cs="宋体"/>
                <w:snapToGrid w:val="0"/>
                <w:color w:val="auto"/>
                <w:spacing w:val="4"/>
                <w:kern w:val="0"/>
                <w:szCs w:val="21"/>
                <w:highlight w:val="none"/>
              </w:rPr>
              <w:t>（1）局领导办公室：每天固定清洁2次（上午下午各1次），办公桌擦拭要求无明显的灰尘、污渍、蜘蛛网；地板湿拖无积水，垃圾桶清理保持无杂物；（2）各科室办公室：每天固定清洁1次，擦拭办公桌、湿拖地板、清理垃圾桶；（3）会议室、茶水间：每天固定清洁1次，整洁干净。同时根据特定情况不定期进行清洁。</w:t>
            </w:r>
          </w:p>
          <w:p>
            <w:pPr>
              <w:widowControl/>
              <w:wordWrap w:val="0"/>
              <w:autoSpaceDE w:val="0"/>
              <w:autoSpaceDN w:val="0"/>
              <w:adjustRightInd w:val="0"/>
              <w:snapToGrid w:val="0"/>
              <w:spacing w:line="500" w:lineRule="exact"/>
              <w:ind w:firstLine="438" w:firstLineChars="200"/>
              <w:jc w:val="left"/>
              <w:textAlignment w:val="baseline"/>
              <w:rPr>
                <w:rFonts w:hint="eastAsia" w:ascii="宋体" w:hAnsi="宋体" w:cs="宋体"/>
                <w:snapToGrid w:val="0"/>
                <w:color w:val="auto"/>
                <w:spacing w:val="4"/>
                <w:kern w:val="0"/>
                <w:szCs w:val="21"/>
                <w:highlight w:val="none"/>
              </w:rPr>
            </w:pPr>
            <w:r>
              <w:rPr>
                <w:rFonts w:hint="eastAsia" w:ascii="宋体" w:hAnsi="宋体" w:cs="宋体"/>
                <w:b/>
                <w:bCs/>
                <w:snapToGrid w:val="0"/>
                <w:color w:val="auto"/>
                <w:spacing w:val="4"/>
                <w:kern w:val="0"/>
                <w:szCs w:val="21"/>
                <w:highlight w:val="none"/>
              </w:rPr>
              <w:t>2.办公场所公共区域保洁。</w:t>
            </w:r>
            <w:r>
              <w:rPr>
                <w:rFonts w:hint="eastAsia" w:ascii="宋体" w:hAnsi="宋体" w:eastAsia="宋体" w:cs="宋体"/>
                <w:snapToGrid w:val="0"/>
                <w:color w:val="auto"/>
                <w:spacing w:val="4"/>
                <w:kern w:val="0"/>
                <w:szCs w:val="21"/>
                <w:highlight w:val="none"/>
              </w:rPr>
              <w:t>（1）</w:t>
            </w:r>
            <w:r>
              <w:rPr>
                <w:rFonts w:hint="eastAsia" w:ascii="宋体" w:hAnsi="宋体" w:cs="宋体"/>
                <w:snapToGrid w:val="0"/>
                <w:color w:val="auto"/>
                <w:spacing w:val="4"/>
                <w:kern w:val="0"/>
                <w:szCs w:val="21"/>
                <w:highlight w:val="none"/>
              </w:rPr>
              <w:t>办公楼大堂保洁：每天保持地面常规清洁2次（其中湿拖1次），公共门窗每天檫抹1次，电动伸缩门每周擦抹1次；</w:t>
            </w:r>
            <w:r>
              <w:rPr>
                <w:rFonts w:hint="eastAsia" w:ascii="宋体" w:hAnsi="宋体" w:eastAsia="宋体" w:cs="宋体"/>
                <w:snapToGrid w:val="0"/>
                <w:color w:val="auto"/>
                <w:spacing w:val="4"/>
                <w:kern w:val="0"/>
                <w:szCs w:val="21"/>
                <w:highlight w:val="none"/>
              </w:rPr>
              <w:t>（2）</w:t>
            </w:r>
            <w:r>
              <w:rPr>
                <w:rFonts w:hint="eastAsia" w:ascii="宋体" w:hAnsi="宋体" w:cs="宋体"/>
                <w:snapToGrid w:val="0"/>
                <w:color w:val="auto"/>
                <w:spacing w:val="4"/>
                <w:kern w:val="0"/>
                <w:szCs w:val="21"/>
                <w:highlight w:val="none"/>
              </w:rPr>
              <w:t>公共楼道：楼道每天湿拖1次，楼梯扶手每天檫1次；</w:t>
            </w:r>
            <w:r>
              <w:rPr>
                <w:rFonts w:hint="eastAsia" w:ascii="宋体" w:hAnsi="宋体" w:eastAsia="宋体" w:cs="宋体"/>
                <w:snapToGrid w:val="0"/>
                <w:color w:val="auto"/>
                <w:spacing w:val="4"/>
                <w:kern w:val="0"/>
                <w:szCs w:val="21"/>
                <w:highlight w:val="none"/>
              </w:rPr>
              <w:t>（3）电梯：</w:t>
            </w:r>
            <w:r>
              <w:rPr>
                <w:rFonts w:hint="eastAsia" w:ascii="宋体" w:hAnsi="宋体" w:cs="宋体"/>
                <w:snapToGrid w:val="0"/>
                <w:color w:val="auto"/>
                <w:spacing w:val="10"/>
                <w:kern w:val="0"/>
                <w:szCs w:val="21"/>
                <w:highlight w:val="none"/>
              </w:rPr>
              <w:t>轿厢、机房保持</w:t>
            </w:r>
            <w:r>
              <w:rPr>
                <w:rFonts w:hint="eastAsia" w:ascii="宋体" w:hAnsi="宋体" w:cs="宋体"/>
                <w:snapToGrid w:val="0"/>
                <w:color w:val="auto"/>
                <w:spacing w:val="9"/>
                <w:kern w:val="0"/>
                <w:szCs w:val="21"/>
                <w:highlight w:val="none"/>
              </w:rPr>
              <w:t>整洁，电梯轿厢每</w:t>
            </w:r>
            <w:r>
              <w:rPr>
                <w:rFonts w:hint="eastAsia" w:ascii="宋体" w:hAnsi="宋体" w:cs="宋体"/>
                <w:snapToGrid w:val="0"/>
                <w:color w:val="auto"/>
                <w:spacing w:val="6"/>
                <w:kern w:val="0"/>
                <w:szCs w:val="21"/>
                <w:highlight w:val="none"/>
              </w:rPr>
              <w:t>天至少擦拭2次，电梯地面每天至少拖扫2次；</w:t>
            </w:r>
            <w:r>
              <w:rPr>
                <w:rFonts w:hint="eastAsia" w:ascii="宋体" w:hAnsi="宋体" w:eastAsia="宋体" w:cs="宋体"/>
                <w:snapToGrid w:val="0"/>
                <w:color w:val="auto"/>
                <w:spacing w:val="6"/>
                <w:kern w:val="0"/>
                <w:szCs w:val="21"/>
                <w:highlight w:val="none"/>
              </w:rPr>
              <w:t>（4）</w:t>
            </w:r>
            <w:r>
              <w:rPr>
                <w:rFonts w:hint="eastAsia" w:ascii="宋体" w:hAnsi="宋体" w:cs="宋体"/>
                <w:snapToGrid w:val="0"/>
                <w:color w:val="auto"/>
                <w:spacing w:val="4"/>
                <w:kern w:val="0"/>
                <w:szCs w:val="21"/>
                <w:highlight w:val="none"/>
              </w:rPr>
              <w:t>公共卫生间每天清洁2次，上午下午各1次；</w:t>
            </w:r>
            <w:r>
              <w:rPr>
                <w:rFonts w:hint="eastAsia" w:ascii="宋体" w:hAnsi="宋体" w:eastAsia="宋体" w:cs="宋体"/>
                <w:snapToGrid w:val="0"/>
                <w:color w:val="auto"/>
                <w:spacing w:val="4"/>
                <w:kern w:val="0"/>
                <w:szCs w:val="21"/>
                <w:highlight w:val="none"/>
              </w:rPr>
              <w:t>（5）</w:t>
            </w:r>
            <w:r>
              <w:rPr>
                <w:rFonts w:hint="eastAsia" w:ascii="宋体" w:hAnsi="宋体" w:cs="宋体"/>
                <w:snapToGrid w:val="0"/>
                <w:color w:val="auto"/>
                <w:spacing w:val="4"/>
                <w:kern w:val="0"/>
                <w:szCs w:val="21"/>
                <w:highlight w:val="none"/>
              </w:rPr>
              <w:t>停车场：每天清洁1次，并根据实际情况不定期进行清洁；</w:t>
            </w:r>
            <w:r>
              <w:rPr>
                <w:rFonts w:hint="eastAsia" w:ascii="宋体" w:hAnsi="宋体" w:eastAsia="宋体" w:cs="宋体"/>
                <w:snapToGrid w:val="0"/>
                <w:color w:val="auto"/>
                <w:spacing w:val="5"/>
                <w:kern w:val="0"/>
                <w:szCs w:val="21"/>
                <w:highlight w:val="none"/>
              </w:rPr>
              <w:t>（6）</w:t>
            </w:r>
            <w:r>
              <w:rPr>
                <w:rFonts w:hint="eastAsia" w:ascii="宋体" w:hAnsi="宋体" w:cs="宋体"/>
                <w:snapToGrid w:val="0"/>
                <w:color w:val="auto"/>
                <w:spacing w:val="4"/>
                <w:kern w:val="0"/>
                <w:szCs w:val="21"/>
                <w:highlight w:val="none"/>
              </w:rPr>
              <w:t>大桥路办公区附属楼周转住房公共区域每天湿拖1次，楼梯扶手每天檫抹1次。</w:t>
            </w:r>
          </w:p>
          <w:p>
            <w:pPr>
              <w:widowControl/>
              <w:wordWrap w:val="0"/>
              <w:autoSpaceDE w:val="0"/>
              <w:autoSpaceDN w:val="0"/>
              <w:adjustRightInd w:val="0"/>
              <w:snapToGrid w:val="0"/>
              <w:spacing w:line="500" w:lineRule="exact"/>
              <w:ind w:firstLine="438" w:firstLineChars="200"/>
              <w:jc w:val="left"/>
              <w:textAlignment w:val="baseline"/>
              <w:rPr>
                <w:rFonts w:hint="eastAsia" w:ascii="宋体" w:hAnsi="宋体" w:cs="宋体"/>
                <w:snapToGrid w:val="0"/>
                <w:color w:val="auto"/>
                <w:spacing w:val="4"/>
                <w:kern w:val="0"/>
                <w:szCs w:val="21"/>
                <w:highlight w:val="none"/>
              </w:rPr>
            </w:pPr>
            <w:r>
              <w:rPr>
                <w:rFonts w:hint="eastAsia" w:ascii="宋体" w:hAnsi="宋体" w:cs="宋体"/>
                <w:b/>
                <w:bCs/>
                <w:snapToGrid w:val="0"/>
                <w:color w:val="auto"/>
                <w:spacing w:val="4"/>
                <w:kern w:val="0"/>
                <w:szCs w:val="21"/>
                <w:highlight w:val="none"/>
              </w:rPr>
              <w:t>3.办公楼外围庭院公共区域保洁。</w:t>
            </w:r>
            <w:r>
              <w:rPr>
                <w:rFonts w:hint="eastAsia" w:ascii="宋体" w:hAnsi="宋体" w:eastAsia="宋体" w:cs="宋体"/>
                <w:snapToGrid w:val="0"/>
                <w:color w:val="auto"/>
                <w:spacing w:val="4"/>
                <w:kern w:val="0"/>
                <w:szCs w:val="21"/>
                <w:highlight w:val="none"/>
              </w:rPr>
              <w:t>（1）</w:t>
            </w:r>
            <w:r>
              <w:rPr>
                <w:rFonts w:hint="eastAsia" w:ascii="宋体" w:hAnsi="宋体" w:cs="宋体"/>
                <w:snapToGrid w:val="0"/>
                <w:color w:val="auto"/>
                <w:spacing w:val="4"/>
                <w:kern w:val="0"/>
                <w:szCs w:val="21"/>
                <w:highlight w:val="none"/>
              </w:rPr>
              <w:t>办公楼外围庭院公共区域保洁：每天固定清洁（清扫）2次，上午下午各1次；其他时间巡回保洁，巡回检查、清捡垃圾。要求地面无明显的泥沙、树叶、污渍、积水及垃圾杂物。</w:t>
            </w:r>
            <w:r>
              <w:rPr>
                <w:rFonts w:hint="eastAsia" w:ascii="宋体" w:hAnsi="宋体" w:eastAsia="宋体" w:cs="宋体"/>
                <w:snapToGrid w:val="0"/>
                <w:color w:val="auto"/>
                <w:spacing w:val="4"/>
                <w:kern w:val="0"/>
                <w:szCs w:val="21"/>
                <w:highlight w:val="none"/>
              </w:rPr>
              <w:t>（2）</w:t>
            </w:r>
            <w:r>
              <w:rPr>
                <w:rFonts w:hint="eastAsia" w:ascii="宋体" w:hAnsi="宋体" w:cs="宋体"/>
                <w:snapToGrid w:val="0"/>
                <w:color w:val="auto"/>
                <w:spacing w:val="4"/>
                <w:kern w:val="0"/>
                <w:szCs w:val="21"/>
                <w:highlight w:val="none"/>
              </w:rPr>
              <w:t>庭院垃圾清理：生活垃圾在每天早晨8时前清理完毕；垃圾桶要保持每天清洗1次；圾做到日产日清，垃圾桶做到无明显污渍及异味。</w:t>
            </w:r>
            <w:r>
              <w:rPr>
                <w:rFonts w:hint="eastAsia" w:ascii="宋体" w:hAnsi="宋体" w:eastAsia="宋体" w:cs="宋体"/>
                <w:snapToGrid w:val="0"/>
                <w:color w:val="auto"/>
                <w:spacing w:val="4"/>
                <w:kern w:val="0"/>
                <w:szCs w:val="21"/>
                <w:highlight w:val="none"/>
              </w:rPr>
              <w:t>（</w:t>
            </w:r>
            <w:r>
              <w:rPr>
                <w:rFonts w:hint="eastAsia" w:ascii="宋体" w:hAnsi="宋体" w:cs="宋体"/>
                <w:snapToGrid w:val="0"/>
                <w:color w:val="auto"/>
                <w:spacing w:val="4"/>
                <w:kern w:val="0"/>
                <w:szCs w:val="21"/>
                <w:highlight w:val="none"/>
              </w:rPr>
              <w:t>3</w:t>
            </w:r>
            <w:r>
              <w:rPr>
                <w:rFonts w:hint="eastAsia" w:ascii="宋体" w:hAnsi="宋体" w:eastAsia="宋体" w:cs="宋体"/>
                <w:snapToGrid w:val="0"/>
                <w:color w:val="auto"/>
                <w:spacing w:val="4"/>
                <w:kern w:val="0"/>
                <w:szCs w:val="21"/>
                <w:highlight w:val="none"/>
              </w:rPr>
              <w:t>）排水沟：</w:t>
            </w:r>
            <w:r>
              <w:rPr>
                <w:rFonts w:hint="eastAsia" w:ascii="宋体" w:hAnsi="宋体" w:cs="宋体"/>
                <w:snapToGrid w:val="0"/>
                <w:color w:val="auto"/>
                <w:spacing w:val="8"/>
                <w:kern w:val="0"/>
                <w:szCs w:val="21"/>
                <w:highlight w:val="none"/>
              </w:rPr>
              <w:t>每月定期组织管道疏导工作并根据天气状况，及时清理排水沟渠及排污管道，保</w:t>
            </w:r>
            <w:r>
              <w:rPr>
                <w:rFonts w:hint="eastAsia" w:ascii="宋体" w:hAnsi="宋体" w:cs="宋体"/>
                <w:snapToGrid w:val="0"/>
                <w:color w:val="auto"/>
                <w:spacing w:val="7"/>
                <w:kern w:val="0"/>
                <w:szCs w:val="21"/>
                <w:highlight w:val="none"/>
              </w:rPr>
              <w:t>持地下管</w:t>
            </w:r>
            <w:r>
              <w:rPr>
                <w:rFonts w:hint="eastAsia" w:ascii="宋体" w:hAnsi="宋体" w:cs="宋体"/>
                <w:snapToGrid w:val="0"/>
                <w:color w:val="auto"/>
                <w:spacing w:val="5"/>
                <w:kern w:val="0"/>
                <w:szCs w:val="21"/>
                <w:highlight w:val="none"/>
              </w:rPr>
              <w:t>道畅通；（4）化粪池：</w:t>
            </w:r>
            <w:r>
              <w:rPr>
                <w:rFonts w:hint="eastAsia" w:ascii="宋体" w:hAnsi="宋体" w:cs="宋体"/>
                <w:snapToGrid w:val="0"/>
                <w:color w:val="auto"/>
                <w:spacing w:val="9"/>
                <w:kern w:val="0"/>
                <w:szCs w:val="21"/>
                <w:highlight w:val="none"/>
              </w:rPr>
              <w:t>不定期检查化粪池情况，每年不少于2次清理化粪池，保持良好环境卫生。</w:t>
            </w:r>
          </w:p>
          <w:p>
            <w:pPr>
              <w:widowControl/>
              <w:wordWrap w:val="0"/>
              <w:autoSpaceDE w:val="0"/>
              <w:autoSpaceDN w:val="0"/>
              <w:adjustRightInd w:val="0"/>
              <w:snapToGrid w:val="0"/>
              <w:spacing w:line="500" w:lineRule="exact"/>
              <w:ind w:firstLine="438" w:firstLineChars="200"/>
              <w:jc w:val="left"/>
              <w:textAlignment w:val="baseline"/>
              <w:rPr>
                <w:color w:val="auto"/>
                <w:highlight w:val="none"/>
              </w:rPr>
            </w:pPr>
            <w:r>
              <w:rPr>
                <w:rFonts w:hint="eastAsia" w:ascii="宋体" w:hAnsi="宋体" w:cs="宋体"/>
                <w:b/>
                <w:bCs/>
                <w:snapToGrid w:val="0"/>
                <w:color w:val="auto"/>
                <w:spacing w:val="4"/>
                <w:kern w:val="0"/>
                <w:szCs w:val="21"/>
                <w:highlight w:val="none"/>
              </w:rPr>
              <w:t>4.环境卫生与保洁服务的其他要求：</w:t>
            </w:r>
            <w:r>
              <w:rPr>
                <w:rFonts w:hint="eastAsia" w:ascii="宋体" w:hAnsi="宋体" w:eastAsia="宋体" w:cs="宋体"/>
                <w:snapToGrid w:val="0"/>
                <w:color w:val="auto"/>
                <w:spacing w:val="4"/>
                <w:kern w:val="0"/>
                <w:szCs w:val="21"/>
                <w:highlight w:val="none"/>
              </w:rPr>
              <w:t>（1）</w:t>
            </w:r>
            <w:r>
              <w:rPr>
                <w:rFonts w:hint="eastAsia" w:ascii="宋体" w:hAnsi="宋体" w:cs="宋体"/>
                <w:snapToGrid w:val="0"/>
                <w:color w:val="auto"/>
                <w:spacing w:val="8"/>
                <w:kern w:val="0"/>
                <w:szCs w:val="21"/>
                <w:highlight w:val="none"/>
              </w:rPr>
              <w:t>室内卫生使用的清洁剂、除锈剂、光亮剂、消毒液等化工液体要符合质量要</w:t>
            </w:r>
            <w:r>
              <w:rPr>
                <w:rFonts w:hint="eastAsia" w:ascii="宋体" w:hAnsi="宋体" w:cs="宋体"/>
                <w:snapToGrid w:val="0"/>
                <w:color w:val="auto"/>
                <w:spacing w:val="7"/>
                <w:kern w:val="0"/>
                <w:szCs w:val="21"/>
                <w:highlight w:val="none"/>
              </w:rPr>
              <w:t>求，卫生间的</w:t>
            </w:r>
            <w:r>
              <w:rPr>
                <w:rFonts w:hint="eastAsia" w:ascii="宋体" w:hAnsi="宋体" w:cs="宋体"/>
                <w:snapToGrid w:val="0"/>
                <w:color w:val="auto"/>
                <w:spacing w:val="8"/>
                <w:kern w:val="0"/>
                <w:szCs w:val="21"/>
                <w:highlight w:val="none"/>
              </w:rPr>
              <w:t>卫生纸及洗手液按要求及时更换；</w:t>
            </w:r>
            <w:r>
              <w:rPr>
                <w:rFonts w:hint="eastAsia" w:ascii="宋体" w:hAnsi="宋体" w:eastAsia="宋体" w:cs="宋体"/>
                <w:snapToGrid w:val="0"/>
                <w:color w:val="auto"/>
                <w:spacing w:val="8"/>
                <w:kern w:val="0"/>
                <w:szCs w:val="21"/>
                <w:highlight w:val="none"/>
              </w:rPr>
              <w:t>（2）</w:t>
            </w:r>
            <w:r>
              <w:rPr>
                <w:rFonts w:hint="eastAsia" w:ascii="宋体" w:hAnsi="宋体" w:cs="宋体"/>
                <w:snapToGrid w:val="0"/>
                <w:color w:val="auto"/>
                <w:spacing w:val="5"/>
                <w:kern w:val="0"/>
                <w:szCs w:val="21"/>
                <w:highlight w:val="none"/>
              </w:rPr>
              <w:t>清洁工具分区分类定点摆放，整齐、干净；保洁员要节约、爱护</w:t>
            </w:r>
            <w:r>
              <w:rPr>
                <w:rFonts w:hint="eastAsia" w:ascii="宋体" w:hAnsi="宋体" w:cs="宋体"/>
                <w:snapToGrid w:val="0"/>
                <w:color w:val="auto"/>
                <w:spacing w:val="4"/>
                <w:kern w:val="0"/>
                <w:szCs w:val="21"/>
                <w:highlight w:val="none"/>
              </w:rPr>
              <w:t>保洁工具，不得随意损坏、</w:t>
            </w:r>
            <w:r>
              <w:rPr>
                <w:rFonts w:hint="eastAsia" w:ascii="宋体" w:hAnsi="宋体" w:cs="宋体"/>
                <w:snapToGrid w:val="0"/>
                <w:color w:val="auto"/>
                <w:spacing w:val="11"/>
                <w:kern w:val="0"/>
                <w:szCs w:val="21"/>
                <w:highlight w:val="none"/>
              </w:rPr>
              <w:t>丢弃；卫生保洁要注意节约用水，做到人离水关；在清扫外围区域</w:t>
            </w:r>
            <w:r>
              <w:rPr>
                <w:rFonts w:hint="eastAsia" w:ascii="宋体" w:hAnsi="宋体" w:cs="宋体"/>
                <w:snapToGrid w:val="0"/>
                <w:color w:val="auto"/>
                <w:spacing w:val="10"/>
                <w:kern w:val="0"/>
                <w:szCs w:val="21"/>
                <w:highlight w:val="none"/>
              </w:rPr>
              <w:t>时注意行人车辆，有安全作业</w:t>
            </w:r>
            <w:r>
              <w:rPr>
                <w:rFonts w:hint="eastAsia" w:ascii="宋体" w:hAnsi="宋体" w:cs="宋体"/>
                <w:snapToGrid w:val="0"/>
                <w:color w:val="auto"/>
                <w:spacing w:val="7"/>
                <w:kern w:val="0"/>
                <w:szCs w:val="21"/>
                <w:highlight w:val="none"/>
              </w:rPr>
              <w:t>标识，确保作业安全；</w:t>
            </w:r>
            <w:r>
              <w:rPr>
                <w:rFonts w:hint="eastAsia" w:ascii="宋体" w:hAnsi="宋体" w:eastAsia="宋体" w:cs="宋体"/>
                <w:snapToGrid w:val="0"/>
                <w:color w:val="auto"/>
                <w:spacing w:val="7"/>
                <w:kern w:val="0"/>
                <w:szCs w:val="21"/>
                <w:highlight w:val="none"/>
              </w:rPr>
              <w:t>（3）</w:t>
            </w:r>
            <w:r>
              <w:rPr>
                <w:rFonts w:hint="eastAsia" w:ascii="宋体" w:hAnsi="宋体" w:cs="宋体"/>
                <w:snapToGrid w:val="0"/>
                <w:color w:val="auto"/>
                <w:spacing w:val="8"/>
                <w:kern w:val="0"/>
                <w:szCs w:val="21"/>
                <w:highlight w:val="none"/>
              </w:rPr>
              <w:t>垃圾清运方面，保洁员在作业中产生的所有垃圾必须倒入指定位置，所有生</w:t>
            </w:r>
            <w:r>
              <w:rPr>
                <w:rFonts w:hint="eastAsia" w:ascii="宋体" w:hAnsi="宋体" w:cs="宋体"/>
                <w:snapToGrid w:val="0"/>
                <w:color w:val="auto"/>
                <w:spacing w:val="7"/>
                <w:kern w:val="0"/>
                <w:szCs w:val="21"/>
                <w:highlight w:val="none"/>
              </w:rPr>
              <w:t>活垃圾必</w:t>
            </w:r>
            <w:r>
              <w:rPr>
                <w:rFonts w:hint="eastAsia" w:ascii="宋体" w:hAnsi="宋体" w:cs="宋体"/>
                <w:snapToGrid w:val="0"/>
                <w:color w:val="auto"/>
                <w:spacing w:val="6"/>
                <w:kern w:val="0"/>
                <w:szCs w:val="21"/>
                <w:highlight w:val="none"/>
              </w:rPr>
              <w:t>须做到日产日清，不得在管理区域内私自焚烧或随意倒放，垃圾箱外侧表面清洁、内侧无残</w:t>
            </w:r>
            <w:r>
              <w:rPr>
                <w:rFonts w:hint="eastAsia" w:ascii="宋体" w:hAnsi="宋体" w:cs="宋体"/>
                <w:snapToGrid w:val="0"/>
                <w:color w:val="auto"/>
                <w:spacing w:val="5"/>
                <w:kern w:val="0"/>
                <w:szCs w:val="21"/>
                <w:highlight w:val="none"/>
              </w:rPr>
              <w:t>留物；装</w:t>
            </w:r>
            <w:r>
              <w:rPr>
                <w:rFonts w:hint="eastAsia" w:ascii="宋体" w:hAnsi="宋体" w:cs="宋体"/>
                <w:snapToGrid w:val="0"/>
                <w:color w:val="auto"/>
                <w:spacing w:val="9"/>
                <w:kern w:val="0"/>
                <w:szCs w:val="21"/>
                <w:highlight w:val="none"/>
              </w:rPr>
              <w:t>修垃圾必须集中堆放，定期清运并进行消毒杀菌，不影响交通，不影响环境。</w:t>
            </w:r>
            <w:r>
              <w:rPr>
                <w:rFonts w:hint="eastAsia" w:ascii="宋体" w:hAnsi="宋体" w:eastAsia="宋体" w:cs="宋体"/>
                <w:snapToGrid w:val="0"/>
                <w:color w:val="auto"/>
                <w:spacing w:val="9"/>
                <w:kern w:val="0"/>
                <w:szCs w:val="21"/>
                <w:highlight w:val="none"/>
              </w:rPr>
              <w:t>（4）</w:t>
            </w:r>
            <w:r>
              <w:rPr>
                <w:rFonts w:hint="eastAsia" w:ascii="宋体" w:hAnsi="宋体" w:cs="宋体"/>
                <w:snapToGrid w:val="0"/>
                <w:color w:val="auto"/>
                <w:spacing w:val="4"/>
                <w:kern w:val="0"/>
                <w:szCs w:val="21"/>
                <w:highlight w:val="none"/>
              </w:rPr>
              <w:t>做好环境消毒及除“四害”工作，特殊时期根据采购人要求加大消杀力度；</w:t>
            </w:r>
            <w:r>
              <w:rPr>
                <w:rFonts w:hint="eastAsia" w:ascii="宋体" w:hAnsi="宋体" w:cs="宋体"/>
                <w:snapToGrid w:val="0"/>
                <w:color w:val="auto"/>
                <w:spacing w:val="9"/>
                <w:kern w:val="0"/>
                <w:szCs w:val="21"/>
                <w:highlight w:val="none"/>
              </w:rPr>
              <w:t>药品成分符合国家规范要求，安全、环保、无异</w:t>
            </w:r>
            <w:r>
              <w:rPr>
                <w:rFonts w:hint="eastAsia" w:ascii="宋体" w:hAnsi="宋体" w:cs="宋体"/>
                <w:snapToGrid w:val="0"/>
                <w:color w:val="auto"/>
                <w:spacing w:val="8"/>
                <w:kern w:val="0"/>
                <w:szCs w:val="21"/>
                <w:highlight w:val="none"/>
              </w:rPr>
              <w:t>味。（5）重要岗位的保洁人员要求：无违法犯罪记录，思想端正，人员相对固定，并签订保密协议；清洁时要确保两人同时在岗。</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8"/>
                <w:kern w:val="0"/>
                <w:szCs w:val="21"/>
                <w:highlight w:val="none"/>
              </w:rPr>
              <w:t>（五）庭院绿化养护服务。</w:t>
            </w:r>
            <w:r>
              <w:rPr>
                <w:rFonts w:hint="eastAsia" w:ascii="宋体" w:hAnsi="宋体" w:cs="宋体"/>
                <w:snapToGrid w:val="0"/>
                <w:color w:val="auto"/>
                <w:spacing w:val="8"/>
                <w:kern w:val="0"/>
                <w:szCs w:val="21"/>
                <w:highlight w:val="none"/>
              </w:rPr>
              <w:t>办公楼（区）外围各类植株进行整形修剪、土壤、水肥管理和病虫害综合治理等日常养护，绿化带、盆株的日常清洁和绿化生产垃圾的清运，办公楼（区）门前规定区域绿地的养护管理等。</w:t>
            </w:r>
            <w:r>
              <w:rPr>
                <w:rFonts w:hint="eastAsia" w:ascii="宋体" w:hAnsi="宋体" w:cs="宋体"/>
                <w:b/>
                <w:bCs/>
                <w:snapToGrid w:val="0"/>
                <w:color w:val="auto"/>
                <w:spacing w:val="8"/>
                <w:kern w:val="0"/>
                <w:szCs w:val="21"/>
                <w:highlight w:val="none"/>
              </w:rPr>
              <w:t>绿化生产垃圾的清运费用由中标人负责；下列项目单次花费金额不高于500元的由中标人承担：除草机耗材、修剪机耗材、肥料、杀虫药剂等材料费用；各类高大植株绿化整形修剪所产生的费用由采购人承担。</w:t>
            </w:r>
            <w:r>
              <w:rPr>
                <w:rFonts w:hint="eastAsia" w:ascii="宋体" w:hAnsi="宋体" w:cs="宋体"/>
                <w:snapToGrid w:val="0"/>
                <w:color w:val="auto"/>
                <w:spacing w:val="9"/>
                <w:kern w:val="0"/>
                <w:szCs w:val="21"/>
                <w:highlight w:val="none"/>
              </w:rPr>
              <w:t>具体要求如下：</w:t>
            </w:r>
          </w:p>
          <w:p>
            <w:pPr>
              <w:widowControl/>
              <w:wordWrap w:val="0"/>
              <w:autoSpaceDE w:val="0"/>
              <w:autoSpaceDN w:val="0"/>
              <w:adjustRightInd w:val="0"/>
              <w:snapToGrid w:val="0"/>
              <w:spacing w:line="500" w:lineRule="exact"/>
              <w:ind w:firstLine="458" w:firstLineChars="200"/>
              <w:jc w:val="left"/>
              <w:textAlignment w:val="baseline"/>
              <w:rPr>
                <w:rFonts w:hint="eastAsia" w:ascii="宋体" w:hAnsi="宋体" w:cs="宋体"/>
                <w:snapToGrid w:val="0"/>
                <w:color w:val="auto"/>
                <w:spacing w:val="9"/>
                <w:kern w:val="0"/>
                <w:szCs w:val="21"/>
                <w:highlight w:val="none"/>
              </w:rPr>
            </w:pPr>
            <w:r>
              <w:rPr>
                <w:rFonts w:hint="eastAsia" w:ascii="宋体" w:hAnsi="宋体" w:cs="宋体"/>
                <w:b/>
                <w:bCs/>
                <w:snapToGrid w:val="0"/>
                <w:color w:val="auto"/>
                <w:spacing w:val="9"/>
                <w:kern w:val="0"/>
                <w:szCs w:val="21"/>
                <w:highlight w:val="none"/>
              </w:rPr>
              <w:t>1.花草养护：</w:t>
            </w:r>
            <w:r>
              <w:rPr>
                <w:rFonts w:hint="eastAsia" w:ascii="宋体" w:hAnsi="宋体" w:eastAsia="宋体" w:cs="宋体"/>
                <w:snapToGrid w:val="0"/>
                <w:color w:val="auto"/>
                <w:spacing w:val="9"/>
                <w:kern w:val="0"/>
                <w:szCs w:val="21"/>
                <w:highlight w:val="none"/>
              </w:rPr>
              <w:t>（1)</w:t>
            </w:r>
            <w:r>
              <w:rPr>
                <w:rFonts w:hint="eastAsia" w:ascii="宋体" w:hAnsi="宋体" w:cs="宋体"/>
                <w:snapToGrid w:val="0"/>
                <w:color w:val="auto"/>
                <w:spacing w:val="9"/>
                <w:kern w:val="0"/>
                <w:szCs w:val="21"/>
                <w:highlight w:val="none"/>
              </w:rPr>
              <w:t>维护物业服务范围公共区域内树木、花带，按管理作业程序对花草树木定期进行培土、季节施肥、浇水、中耕除草和防治病虫害</w:t>
            </w:r>
            <w:r>
              <w:rPr>
                <w:rFonts w:hint="eastAsia" w:ascii="宋体" w:hAnsi="宋体" w:cs="宋体"/>
                <w:snapToGrid w:val="0"/>
                <w:color w:val="auto"/>
                <w:spacing w:val="8"/>
                <w:kern w:val="0"/>
                <w:szCs w:val="21"/>
                <w:highlight w:val="none"/>
              </w:rPr>
              <w:t>。(2)定期松土施肥，根据花木生长期，花木品种和培植需要，定期对绿化地土壤</w:t>
            </w:r>
            <w:r>
              <w:rPr>
                <w:rFonts w:hint="eastAsia" w:ascii="宋体" w:hAnsi="宋体" w:cs="宋体"/>
                <w:snapToGrid w:val="0"/>
                <w:color w:val="auto"/>
                <w:spacing w:val="7"/>
                <w:kern w:val="0"/>
                <w:szCs w:val="21"/>
                <w:highlight w:val="none"/>
              </w:rPr>
              <w:t>进行松土和施</w:t>
            </w:r>
            <w:r>
              <w:rPr>
                <w:rFonts w:hint="eastAsia" w:ascii="宋体" w:hAnsi="宋体" w:cs="宋体"/>
                <w:snapToGrid w:val="0"/>
                <w:color w:val="auto"/>
                <w:spacing w:val="8"/>
                <w:kern w:val="0"/>
                <w:szCs w:val="21"/>
                <w:highlight w:val="none"/>
              </w:rPr>
              <w:t>肥，确保花木长势良好。</w:t>
            </w:r>
            <w:r>
              <w:rPr>
                <w:rFonts w:hint="eastAsia" w:ascii="宋体" w:hAnsi="宋体" w:eastAsia="宋体" w:cs="宋体"/>
                <w:snapToGrid w:val="0"/>
                <w:color w:val="auto"/>
                <w:spacing w:val="8"/>
                <w:kern w:val="0"/>
                <w:szCs w:val="21"/>
                <w:highlight w:val="none"/>
              </w:rPr>
              <w:t>（3）</w:t>
            </w:r>
            <w:r>
              <w:rPr>
                <w:rFonts w:hint="eastAsia" w:ascii="宋体" w:hAnsi="宋体" w:cs="宋体"/>
                <w:snapToGrid w:val="0"/>
                <w:color w:val="auto"/>
                <w:spacing w:val="9"/>
                <w:kern w:val="0"/>
                <w:szCs w:val="21"/>
                <w:highlight w:val="none"/>
              </w:rPr>
              <w:t>及时铲除绿地、空地、屋顶、车棚、天台等处的杂草、杂物、青</w:t>
            </w:r>
            <w:r>
              <w:rPr>
                <w:rFonts w:hint="eastAsia" w:ascii="宋体" w:hAnsi="宋体" w:cs="宋体"/>
                <w:snapToGrid w:val="0"/>
                <w:color w:val="auto"/>
                <w:spacing w:val="8"/>
                <w:kern w:val="0"/>
                <w:szCs w:val="21"/>
                <w:highlight w:val="none"/>
              </w:rPr>
              <w:t>苔。</w:t>
            </w:r>
            <w:r>
              <w:rPr>
                <w:rFonts w:hint="eastAsia" w:ascii="宋体" w:hAnsi="宋体" w:eastAsia="宋体" w:cs="宋体"/>
                <w:snapToGrid w:val="0"/>
                <w:color w:val="auto"/>
                <w:spacing w:val="8"/>
                <w:kern w:val="0"/>
                <w:szCs w:val="21"/>
                <w:highlight w:val="none"/>
              </w:rPr>
              <w:t>（4）</w:t>
            </w:r>
            <w:r>
              <w:rPr>
                <w:rFonts w:hint="eastAsia" w:ascii="宋体" w:hAnsi="宋体" w:cs="宋体"/>
                <w:snapToGrid w:val="0"/>
                <w:color w:val="auto"/>
                <w:spacing w:val="8"/>
                <w:kern w:val="0"/>
                <w:szCs w:val="21"/>
                <w:highlight w:val="none"/>
              </w:rPr>
              <w:t>喷洒农药要安排在节假日，对喷洒农药的植物，要挂牌警示，防止农药中</w:t>
            </w:r>
            <w:r>
              <w:rPr>
                <w:rFonts w:hint="eastAsia" w:ascii="宋体" w:hAnsi="宋体" w:cs="宋体"/>
                <w:snapToGrid w:val="0"/>
                <w:color w:val="auto"/>
                <w:spacing w:val="7"/>
                <w:kern w:val="0"/>
                <w:szCs w:val="21"/>
                <w:highlight w:val="none"/>
              </w:rPr>
              <w:t>毒。</w:t>
            </w:r>
            <w:r>
              <w:rPr>
                <w:rFonts w:hint="eastAsia" w:ascii="宋体" w:hAnsi="宋体" w:eastAsia="宋体" w:cs="宋体"/>
                <w:snapToGrid w:val="0"/>
                <w:color w:val="auto"/>
                <w:spacing w:val="7"/>
                <w:kern w:val="0"/>
                <w:szCs w:val="21"/>
                <w:highlight w:val="none"/>
              </w:rPr>
              <w:t>（5）</w:t>
            </w:r>
            <w:r>
              <w:rPr>
                <w:rFonts w:hint="eastAsia" w:ascii="宋体" w:hAnsi="宋体" w:cs="宋体"/>
                <w:snapToGrid w:val="0"/>
                <w:color w:val="auto"/>
                <w:spacing w:val="9"/>
                <w:kern w:val="0"/>
                <w:szCs w:val="21"/>
                <w:highlight w:val="none"/>
              </w:rPr>
              <w:t>定期检查绿化草坪完好情况、花草树木生长情况，并做好详细记录；当暴风雨、台风来临前，提前做好树木稳固工作。</w:t>
            </w:r>
          </w:p>
          <w:p>
            <w:pPr>
              <w:widowControl/>
              <w:wordWrap w:val="0"/>
              <w:autoSpaceDE w:val="0"/>
              <w:autoSpaceDN w:val="0"/>
              <w:adjustRightInd w:val="0"/>
              <w:snapToGrid w:val="0"/>
              <w:spacing w:line="500" w:lineRule="exact"/>
              <w:ind w:firstLine="458"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9"/>
                <w:kern w:val="0"/>
                <w:szCs w:val="21"/>
                <w:highlight w:val="none"/>
              </w:rPr>
              <w:t>2.庭院绿化：</w:t>
            </w:r>
            <w:r>
              <w:rPr>
                <w:rFonts w:hint="eastAsia" w:ascii="宋体" w:hAnsi="宋体" w:cs="宋体"/>
                <w:snapToGrid w:val="0"/>
                <w:color w:val="auto"/>
                <w:spacing w:val="9"/>
                <w:kern w:val="0"/>
                <w:szCs w:val="21"/>
                <w:highlight w:val="none"/>
              </w:rPr>
              <w:t>（1）及时对庭院内花草、乔木等进行修枝剪型，保持绿化的清洁，保证不留杂草、杂物、不死苗，当天及时清理枯枝落叶，做好补栽、补种工作。</w:t>
            </w:r>
            <w:r>
              <w:rPr>
                <w:rFonts w:hint="eastAsia" w:ascii="宋体" w:hAnsi="宋体" w:eastAsia="宋体" w:cs="宋体"/>
                <w:snapToGrid w:val="0"/>
                <w:color w:val="auto"/>
                <w:spacing w:val="9"/>
                <w:kern w:val="0"/>
                <w:szCs w:val="21"/>
                <w:highlight w:val="none"/>
              </w:rPr>
              <w:t>（2）</w:t>
            </w:r>
            <w:r>
              <w:rPr>
                <w:rFonts w:hint="eastAsia" w:ascii="宋体" w:hAnsi="宋体" w:cs="宋体"/>
                <w:snapToGrid w:val="0"/>
                <w:color w:val="auto"/>
                <w:spacing w:val="8"/>
                <w:kern w:val="0"/>
                <w:szCs w:val="21"/>
                <w:highlight w:val="none"/>
              </w:rPr>
              <w:t>修剪绿化带、草地及景观树根据树木形态、观赏效果、树木</w:t>
            </w:r>
            <w:r>
              <w:rPr>
                <w:rFonts w:hint="eastAsia" w:ascii="宋体" w:hAnsi="宋体" w:cs="宋体"/>
                <w:snapToGrid w:val="0"/>
                <w:color w:val="auto"/>
                <w:spacing w:val="7"/>
                <w:kern w:val="0"/>
                <w:szCs w:val="21"/>
                <w:highlight w:val="none"/>
              </w:rPr>
              <w:t>品种和生长情</w:t>
            </w:r>
            <w:r>
              <w:rPr>
                <w:rFonts w:hint="eastAsia" w:ascii="宋体" w:hAnsi="宋体" w:cs="宋体"/>
                <w:snapToGrid w:val="0"/>
                <w:color w:val="auto"/>
                <w:spacing w:val="11"/>
                <w:kern w:val="0"/>
                <w:szCs w:val="21"/>
                <w:highlight w:val="none"/>
              </w:rPr>
              <w:t>况等因素定期进行修剪整形。</w:t>
            </w:r>
            <w:r>
              <w:rPr>
                <w:rFonts w:hint="eastAsia" w:ascii="宋体" w:hAnsi="宋体" w:eastAsia="宋体" w:cs="宋体"/>
                <w:snapToGrid w:val="0"/>
                <w:color w:val="auto"/>
                <w:spacing w:val="11"/>
                <w:kern w:val="0"/>
                <w:szCs w:val="21"/>
                <w:highlight w:val="none"/>
              </w:rPr>
              <w:t>（3）</w:t>
            </w:r>
            <w:r>
              <w:rPr>
                <w:rFonts w:hint="eastAsia" w:ascii="宋体" w:hAnsi="宋体" w:cs="宋体"/>
                <w:snapToGrid w:val="0"/>
                <w:color w:val="auto"/>
                <w:spacing w:val="11"/>
                <w:kern w:val="0"/>
                <w:szCs w:val="21"/>
                <w:highlight w:val="none"/>
              </w:rPr>
              <w:t>及时清理树枝、树叶、枯枝、杂草等，</w:t>
            </w:r>
            <w:r>
              <w:rPr>
                <w:rFonts w:hint="eastAsia" w:ascii="宋体" w:hAnsi="宋体" w:cs="宋体"/>
                <w:snapToGrid w:val="0"/>
                <w:color w:val="auto"/>
                <w:spacing w:val="10"/>
                <w:kern w:val="0"/>
                <w:szCs w:val="21"/>
                <w:highlight w:val="none"/>
              </w:rPr>
              <w:t>配合采购人对高大植株每年</w:t>
            </w:r>
            <w:r>
              <w:rPr>
                <w:rFonts w:hint="eastAsia" w:ascii="宋体" w:hAnsi="宋体" w:cs="宋体"/>
                <w:snapToGrid w:val="0"/>
                <w:color w:val="auto"/>
                <w:spacing w:val="8"/>
                <w:kern w:val="0"/>
                <w:szCs w:val="21"/>
                <w:highlight w:val="none"/>
              </w:rPr>
              <w:t>至少修剪一次，做好安全防范工作。</w:t>
            </w:r>
            <w:r>
              <w:rPr>
                <w:rFonts w:hint="eastAsia" w:ascii="宋体" w:hAnsi="宋体" w:eastAsia="宋体" w:cs="宋体"/>
                <w:snapToGrid w:val="0"/>
                <w:color w:val="auto"/>
                <w:spacing w:val="8"/>
                <w:kern w:val="0"/>
                <w:szCs w:val="21"/>
                <w:highlight w:val="none"/>
              </w:rPr>
              <w:t>（4）</w:t>
            </w:r>
            <w:r>
              <w:rPr>
                <w:rFonts w:hint="eastAsia" w:ascii="宋体" w:hAnsi="宋体" w:cs="宋体"/>
                <w:snapToGrid w:val="0"/>
                <w:color w:val="auto"/>
                <w:spacing w:val="8"/>
                <w:kern w:val="0"/>
                <w:szCs w:val="21"/>
                <w:highlight w:val="none"/>
              </w:rPr>
              <w:t>不定期清除病虫害，</w:t>
            </w:r>
            <w:r>
              <w:rPr>
                <w:rFonts w:hint="eastAsia" w:ascii="宋体" w:hAnsi="宋体" w:cs="宋体"/>
                <w:snapToGrid w:val="0"/>
                <w:color w:val="auto"/>
                <w:spacing w:val="7"/>
                <w:kern w:val="0"/>
                <w:szCs w:val="21"/>
                <w:highlight w:val="none"/>
              </w:rPr>
              <w:t>避免</w:t>
            </w:r>
            <w:r>
              <w:rPr>
                <w:rFonts w:hint="eastAsia" w:ascii="宋体" w:hAnsi="宋体" w:cs="宋体"/>
                <w:snapToGrid w:val="0"/>
                <w:color w:val="auto"/>
                <w:spacing w:val="9"/>
                <w:kern w:val="0"/>
                <w:szCs w:val="21"/>
                <w:highlight w:val="none"/>
              </w:rPr>
              <w:t>办公区内花木因病虫害而导致的枯萎问</w:t>
            </w:r>
            <w:r>
              <w:rPr>
                <w:rFonts w:hint="eastAsia" w:ascii="宋体" w:hAnsi="宋体" w:cs="宋体"/>
                <w:snapToGrid w:val="0"/>
                <w:color w:val="auto"/>
                <w:spacing w:val="8"/>
                <w:kern w:val="0"/>
                <w:szCs w:val="21"/>
                <w:highlight w:val="none"/>
              </w:rPr>
              <w:t>题。</w:t>
            </w:r>
          </w:p>
          <w:p>
            <w:pPr>
              <w:widowControl/>
              <w:wordWrap w:val="0"/>
              <w:autoSpaceDE w:val="0"/>
              <w:autoSpaceDN w:val="0"/>
              <w:adjustRightInd w:val="0"/>
              <w:snapToGrid w:val="0"/>
              <w:spacing w:line="500" w:lineRule="exact"/>
              <w:ind w:firstLine="438" w:firstLineChars="200"/>
              <w:jc w:val="left"/>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4"/>
                <w:kern w:val="0"/>
                <w:szCs w:val="21"/>
                <w:highlight w:val="none"/>
              </w:rPr>
              <w:t>（六）与本物业管理服务相关的其他要求</w:t>
            </w:r>
          </w:p>
          <w:p>
            <w:pPr>
              <w:widowControl/>
              <w:wordWrap w:val="0"/>
              <w:autoSpaceDE w:val="0"/>
              <w:autoSpaceDN w:val="0"/>
              <w:adjustRightInd w:val="0"/>
              <w:snapToGrid w:val="0"/>
              <w:spacing w:line="500" w:lineRule="exact"/>
              <w:ind w:firstLine="456" w:firstLineChars="200"/>
              <w:jc w:val="left"/>
              <w:textAlignment w:val="baseline"/>
              <w:rPr>
                <w:rFonts w:hint="eastAsia" w:ascii="宋体" w:hAnsi="宋体" w:cs="宋体"/>
                <w:snapToGrid w:val="0"/>
                <w:color w:val="auto"/>
                <w:spacing w:val="7"/>
                <w:kern w:val="0"/>
                <w:szCs w:val="21"/>
                <w:highlight w:val="none"/>
              </w:rPr>
            </w:pPr>
            <w:r>
              <w:rPr>
                <w:rFonts w:hint="eastAsia" w:ascii="宋体" w:hAnsi="宋体" w:cs="宋体"/>
                <w:snapToGrid w:val="0"/>
                <w:color w:val="auto"/>
                <w:spacing w:val="9"/>
                <w:kern w:val="0"/>
                <w:szCs w:val="21"/>
                <w:highlight w:val="none"/>
              </w:rPr>
              <w:t>1.严格履行管理责任：中标人要根据采购人相关工作要求，做好物业管理综合治理等方面</w:t>
            </w:r>
            <w:r>
              <w:rPr>
                <w:rFonts w:hint="eastAsia" w:ascii="宋体" w:hAnsi="宋体" w:cs="宋体"/>
                <w:snapToGrid w:val="0"/>
                <w:color w:val="auto"/>
                <w:spacing w:val="8"/>
                <w:kern w:val="0"/>
                <w:szCs w:val="21"/>
                <w:highlight w:val="none"/>
              </w:rPr>
              <w:t>的工作，做到四个“不”：（1）</w:t>
            </w:r>
            <w:r>
              <w:rPr>
                <w:rFonts w:hint="eastAsia" w:ascii="宋体" w:hAnsi="宋体" w:cs="宋体"/>
                <w:snapToGrid w:val="0"/>
                <w:color w:val="auto"/>
                <w:spacing w:val="7"/>
                <w:kern w:val="0"/>
                <w:szCs w:val="21"/>
                <w:highlight w:val="none"/>
              </w:rPr>
              <w:t>不发生因管理责任引发的秩序安全事件；（2）不发生因管理责任引发的消防安全事件；（3）不发生因管理责任引发的设备安全事件；（4）不发生因管理责任引发的信息安全事件。</w:t>
            </w:r>
          </w:p>
          <w:p>
            <w:pPr>
              <w:widowControl/>
              <w:wordWrap w:val="0"/>
              <w:autoSpaceDE w:val="0"/>
              <w:autoSpaceDN w:val="0"/>
              <w:adjustRightInd w:val="0"/>
              <w:snapToGrid w:val="0"/>
              <w:spacing w:line="500" w:lineRule="exact"/>
              <w:ind w:firstLine="456" w:firstLineChars="200"/>
              <w:jc w:val="left"/>
              <w:textAlignment w:val="baseline"/>
              <w:rPr>
                <w:rFonts w:hint="eastAsia" w:ascii="宋体" w:hAnsi="宋体" w:eastAsia="宋体" w:cs="宋体"/>
                <w:snapToGrid w:val="0"/>
                <w:color w:val="auto"/>
                <w:kern w:val="0"/>
                <w:szCs w:val="21"/>
                <w:highlight w:val="none"/>
              </w:rPr>
            </w:pPr>
            <w:r>
              <w:rPr>
                <w:rFonts w:hint="eastAsia" w:ascii="宋体" w:hAnsi="宋体" w:cs="宋体"/>
                <w:snapToGrid w:val="0"/>
                <w:color w:val="auto"/>
                <w:spacing w:val="9"/>
                <w:kern w:val="0"/>
                <w:szCs w:val="21"/>
                <w:highlight w:val="none"/>
              </w:rPr>
              <w:t>2.做好应急管理。根据采购人实际制定相应的突发事件（包括但不限于出现灾害性天气、突发火灾、停电、供水管</w:t>
            </w:r>
            <w:r>
              <w:rPr>
                <w:rFonts w:hint="eastAsia" w:ascii="宋体" w:hAnsi="宋体" w:cs="宋体"/>
                <w:snapToGrid w:val="0"/>
                <w:color w:val="auto"/>
                <w:spacing w:val="10"/>
                <w:kern w:val="0"/>
                <w:szCs w:val="21"/>
                <w:highlight w:val="none"/>
              </w:rPr>
              <w:t>道爆裂、燃气管道泄露、突发治安或刑事事件等）应急预案。重大事件时</w:t>
            </w:r>
            <w:r>
              <w:rPr>
                <w:rFonts w:hint="eastAsia" w:ascii="宋体" w:hAnsi="宋体" w:cs="宋体"/>
                <w:snapToGrid w:val="0"/>
                <w:color w:val="auto"/>
                <w:spacing w:val="9"/>
                <w:kern w:val="0"/>
                <w:szCs w:val="21"/>
                <w:highlight w:val="none"/>
              </w:rPr>
              <w:t>期、重大自然灾害期间启动应急管理预案，做好定全稳定和防灾减灾工作。</w:t>
            </w:r>
          </w:p>
          <w:p>
            <w:pPr>
              <w:widowControl/>
              <w:wordWrap w:val="0"/>
              <w:autoSpaceDE w:val="0"/>
              <w:autoSpaceDN w:val="0"/>
              <w:adjustRightInd w:val="0"/>
              <w:snapToGrid w:val="0"/>
              <w:spacing w:line="500" w:lineRule="exact"/>
              <w:ind w:firstLine="448" w:firstLineChars="200"/>
              <w:jc w:val="left"/>
              <w:textAlignment w:val="baseline"/>
              <w:rPr>
                <w:rFonts w:hint="eastAsia" w:ascii="宋体" w:hAnsi="宋体" w:cs="宋体"/>
                <w:snapToGrid w:val="0"/>
                <w:color w:val="auto"/>
                <w:spacing w:val="10"/>
                <w:kern w:val="0"/>
                <w:szCs w:val="21"/>
                <w:highlight w:val="none"/>
              </w:rPr>
            </w:pPr>
            <w:r>
              <w:rPr>
                <w:rFonts w:hint="eastAsia" w:ascii="宋体" w:hAnsi="宋体" w:cs="宋体"/>
                <w:snapToGrid w:val="0"/>
                <w:color w:val="auto"/>
                <w:spacing w:val="7"/>
                <w:kern w:val="0"/>
                <w:szCs w:val="21"/>
                <w:highlight w:val="none"/>
              </w:rPr>
              <w:t>3.规范服务。</w:t>
            </w:r>
            <w:r>
              <w:rPr>
                <w:rFonts w:hint="eastAsia" w:ascii="宋体" w:hAnsi="宋体" w:cs="宋体"/>
                <w:snapToGrid w:val="0"/>
                <w:color w:val="auto"/>
                <w:spacing w:val="11"/>
                <w:kern w:val="0"/>
                <w:szCs w:val="21"/>
                <w:highlight w:val="none"/>
              </w:rPr>
              <w:t>中标人要在遵守采购人制订的各项管理制度基础上开展</w:t>
            </w:r>
            <w:r>
              <w:rPr>
                <w:rFonts w:hint="eastAsia" w:ascii="宋体" w:hAnsi="宋体" w:cs="宋体"/>
                <w:snapToGrid w:val="0"/>
                <w:color w:val="auto"/>
                <w:spacing w:val="10"/>
                <w:kern w:val="0"/>
                <w:szCs w:val="21"/>
                <w:highlight w:val="none"/>
              </w:rPr>
              <w:t>物业管理服务，包括不限于办公大院管理、车辆停放管理、用水用电管理、消防安全管理、生活垃圾分类管理等相关制度（详见附件3）。</w:t>
            </w:r>
          </w:p>
          <w:p>
            <w:pPr>
              <w:widowControl/>
              <w:wordWrap w:val="0"/>
              <w:autoSpaceDE w:val="0"/>
              <w:autoSpaceDN w:val="0"/>
              <w:adjustRightInd w:val="0"/>
              <w:snapToGrid w:val="0"/>
              <w:spacing w:line="500" w:lineRule="exact"/>
              <w:ind w:firstLine="464" w:firstLineChars="200"/>
              <w:jc w:val="left"/>
              <w:textAlignment w:val="baseline"/>
              <w:rPr>
                <w:rFonts w:hint="eastAsia" w:ascii="宋体" w:hAnsi="宋体" w:cs="宋体"/>
                <w:snapToGrid w:val="0"/>
                <w:color w:val="auto"/>
                <w:spacing w:val="11"/>
                <w:kern w:val="0"/>
                <w:szCs w:val="21"/>
                <w:highlight w:val="none"/>
              </w:rPr>
            </w:pPr>
            <w:r>
              <w:rPr>
                <w:rFonts w:hint="eastAsia" w:ascii="宋体" w:hAnsi="宋体" w:cs="宋体"/>
                <w:snapToGrid w:val="0"/>
                <w:color w:val="auto"/>
                <w:spacing w:val="11"/>
                <w:kern w:val="0"/>
                <w:szCs w:val="21"/>
                <w:highlight w:val="none"/>
              </w:rPr>
              <w:t>投标人应根据本项目物业服务内容及要求提供开展物业服务时的服务承诺、职责以及要求等物业管理规范性制度。中标人进场服务后，需及时将相关服务承诺、职责及管理制度在相应位置明示。</w:t>
            </w:r>
          </w:p>
          <w:p>
            <w:pPr>
              <w:widowControl/>
              <w:wordWrap w:val="0"/>
              <w:autoSpaceDE w:val="0"/>
              <w:autoSpaceDN w:val="0"/>
              <w:adjustRightInd w:val="0"/>
              <w:snapToGrid w:val="0"/>
              <w:spacing w:line="500" w:lineRule="exact"/>
              <w:ind w:firstLine="444" w:firstLineChars="200"/>
              <w:jc w:val="left"/>
              <w:textAlignment w:val="baseline"/>
              <w:rPr>
                <w:color w:val="auto"/>
                <w:highlight w:val="none"/>
              </w:rPr>
            </w:pPr>
            <w:r>
              <w:rPr>
                <w:rFonts w:hint="eastAsia" w:ascii="宋体" w:hAnsi="宋体" w:cs="宋体"/>
                <w:snapToGrid w:val="0"/>
                <w:color w:val="auto"/>
                <w:spacing w:val="6"/>
                <w:kern w:val="0"/>
                <w:szCs w:val="21"/>
                <w:highlight w:val="none"/>
              </w:rPr>
              <w:t>4.绿色物业管理。配合采购人开展节能减排相关工作：</w:t>
            </w:r>
            <w:r>
              <w:rPr>
                <w:rFonts w:hint="eastAsia" w:ascii="宋体" w:hAnsi="宋体" w:cs="宋体"/>
                <w:snapToGrid w:val="0"/>
                <w:color w:val="auto"/>
                <w:spacing w:val="8"/>
                <w:kern w:val="0"/>
                <w:szCs w:val="21"/>
                <w:highlight w:val="none"/>
              </w:rPr>
              <w:t>（1）节能方面，基于办公楼的能耗组成、能耗设备及运行规律、能耗特点等，进行用</w:t>
            </w:r>
            <w:r>
              <w:rPr>
                <w:rFonts w:hint="eastAsia" w:ascii="宋体" w:hAnsi="宋体" w:cs="宋体"/>
                <w:snapToGrid w:val="0"/>
                <w:color w:val="auto"/>
                <w:spacing w:val="7"/>
                <w:kern w:val="0"/>
                <w:szCs w:val="21"/>
                <w:highlight w:val="none"/>
              </w:rPr>
              <w:t>能分析，查找</w:t>
            </w:r>
            <w:r>
              <w:rPr>
                <w:rFonts w:hint="eastAsia" w:ascii="宋体" w:hAnsi="宋体" w:cs="宋体"/>
                <w:snapToGrid w:val="0"/>
                <w:color w:val="auto"/>
                <w:spacing w:val="9"/>
                <w:kern w:val="0"/>
                <w:szCs w:val="21"/>
                <w:highlight w:val="none"/>
              </w:rPr>
              <w:t>存在问题与漏洞，提出针对主要耗能对象制定节能改造方案，报采购人同意后实施。</w:t>
            </w:r>
            <w:r>
              <w:rPr>
                <w:rFonts w:hint="eastAsia" w:ascii="宋体" w:hAnsi="宋体" w:cs="宋体"/>
                <w:snapToGrid w:val="0"/>
                <w:color w:val="auto"/>
                <w:spacing w:val="7"/>
                <w:kern w:val="0"/>
                <w:szCs w:val="21"/>
                <w:highlight w:val="none"/>
              </w:rPr>
              <w:t>（2）节水方面，利用节水技术和设施，杜绝“跑、冒、滴、漏”现象，制订节水措施及方案，报采购人同意后实施。</w:t>
            </w:r>
          </w:p>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spacing w:val="8"/>
                <w:kern w:val="0"/>
                <w:szCs w:val="21"/>
                <w:highlight w:val="none"/>
              </w:rPr>
              <w:t>四、物业管理服务组织及人员配置要求</w:t>
            </w:r>
          </w:p>
          <w:p>
            <w:pPr>
              <w:widowControl/>
              <w:wordWrap w:val="0"/>
              <w:autoSpaceDE w:val="0"/>
              <w:autoSpaceDN w:val="0"/>
              <w:adjustRightInd w:val="0"/>
              <w:snapToGrid w:val="0"/>
              <w:spacing w:line="500" w:lineRule="exact"/>
              <w:ind w:firstLine="456"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spacing w:val="9"/>
                <w:kern w:val="0"/>
                <w:szCs w:val="21"/>
                <w:highlight w:val="none"/>
              </w:rPr>
              <w:t>（一）中标人在项目进场服务前须对所有服务人员进行健康体检，体检合格，无</w:t>
            </w:r>
            <w:r>
              <w:rPr>
                <w:rFonts w:hint="eastAsia" w:ascii="宋体" w:hAnsi="宋体" w:cs="宋体"/>
                <w:snapToGrid w:val="0"/>
                <w:color w:val="auto"/>
                <w:spacing w:val="8"/>
                <w:kern w:val="0"/>
                <w:szCs w:val="21"/>
                <w:highlight w:val="none"/>
              </w:rPr>
              <w:t>传染疾病及精神</w:t>
            </w:r>
            <w:r>
              <w:rPr>
                <w:rFonts w:hint="eastAsia" w:ascii="宋体" w:hAnsi="宋体" w:cs="宋体"/>
                <w:snapToGrid w:val="0"/>
                <w:color w:val="auto"/>
                <w:spacing w:val="16"/>
                <w:kern w:val="0"/>
                <w:szCs w:val="21"/>
                <w:highlight w:val="none"/>
              </w:rPr>
              <w:t>病等不能控制自己行为能力的疾病病史，将体检报告</w:t>
            </w:r>
            <w:r>
              <w:rPr>
                <w:rFonts w:hint="eastAsia" w:ascii="宋体" w:hAnsi="宋体" w:cs="宋体"/>
                <w:snapToGrid w:val="0"/>
                <w:color w:val="auto"/>
                <w:spacing w:val="15"/>
                <w:kern w:val="0"/>
                <w:szCs w:val="21"/>
                <w:highlight w:val="none"/>
              </w:rPr>
              <w:t>交采购人核对无误后，方能进场开展服务。</w:t>
            </w:r>
          </w:p>
          <w:p>
            <w:pPr>
              <w:widowControl/>
              <w:wordWrap w:val="0"/>
              <w:autoSpaceDE w:val="0"/>
              <w:autoSpaceDN w:val="0"/>
              <w:adjustRightInd w:val="0"/>
              <w:snapToGrid w:val="0"/>
              <w:spacing w:line="500" w:lineRule="exact"/>
              <w:ind w:firstLine="460" w:firstLineChars="200"/>
              <w:jc w:val="left"/>
              <w:textAlignment w:val="baseline"/>
              <w:rPr>
                <w:rFonts w:hint="eastAsia" w:ascii="宋体" w:hAnsi="宋体" w:cs="宋体"/>
                <w:snapToGrid w:val="0"/>
                <w:color w:val="auto"/>
                <w:spacing w:val="10"/>
                <w:kern w:val="0"/>
                <w:szCs w:val="21"/>
                <w:highlight w:val="none"/>
              </w:rPr>
            </w:pPr>
            <w:r>
              <w:rPr>
                <w:rFonts w:hint="eastAsia" w:ascii="宋体" w:hAnsi="宋体" w:cs="宋体"/>
                <w:snapToGrid w:val="0"/>
                <w:color w:val="auto"/>
                <w:spacing w:val="10"/>
                <w:kern w:val="0"/>
                <w:szCs w:val="21"/>
                <w:highlight w:val="none"/>
              </w:rPr>
              <w:t>（二）提供的服务人员不得存在以下情形：（1）年龄不符合劳动法规定的；（2）不具备岗位需求的身体条件的；（3）有违法犯罪记录的；（4）被开除中国共产党党籍的；（5）被开除公职或者因违规违纪被解除劳动合同、聘用合同和聘任合同的；（6）被依法列为失信联合惩戒对象的；（7）有关法律、法规规定的其他情形。</w:t>
            </w:r>
          </w:p>
          <w:p>
            <w:pPr>
              <w:widowControl/>
              <w:wordWrap w:val="0"/>
              <w:autoSpaceDE w:val="0"/>
              <w:autoSpaceDN w:val="0"/>
              <w:adjustRightInd w:val="0"/>
              <w:snapToGrid w:val="0"/>
              <w:spacing w:line="500" w:lineRule="exact"/>
              <w:ind w:firstLine="46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spacing w:val="10"/>
                <w:kern w:val="0"/>
                <w:szCs w:val="21"/>
                <w:highlight w:val="none"/>
              </w:rPr>
              <w:t>（三）服务人员在工作中应当自觉遵守国家法律、法规和采购人的规定，服从采购人的管理，遵守职业道德，爱岗敬业，忠于职守，礼貌待人，热情服务，文明用语。无违法犯罪记录，具备相关专业知识或技能。</w:t>
            </w:r>
          </w:p>
          <w:p>
            <w:pPr>
              <w:widowControl/>
              <w:wordWrap w:val="0"/>
              <w:autoSpaceDE w:val="0"/>
              <w:autoSpaceDN w:val="0"/>
              <w:adjustRightInd w:val="0"/>
              <w:snapToGrid w:val="0"/>
              <w:spacing w:line="500" w:lineRule="exact"/>
              <w:ind w:firstLine="508" w:firstLineChars="200"/>
              <w:jc w:val="left"/>
              <w:textAlignment w:val="baseline"/>
              <w:rPr>
                <w:rFonts w:hint="eastAsia" w:ascii="宋体" w:hAnsi="宋体" w:cs="宋体"/>
                <w:snapToGrid w:val="0"/>
                <w:color w:val="auto"/>
                <w:spacing w:val="10"/>
                <w:kern w:val="0"/>
                <w:szCs w:val="21"/>
                <w:highlight w:val="yellow"/>
              </w:rPr>
            </w:pPr>
            <w:r>
              <w:rPr>
                <w:rFonts w:hint="eastAsia" w:ascii="宋体" w:hAnsi="宋体" w:cs="宋体"/>
                <w:snapToGrid w:val="0"/>
                <w:color w:val="auto"/>
                <w:spacing w:val="22"/>
                <w:kern w:val="0"/>
                <w:szCs w:val="21"/>
                <w:highlight w:val="yellow"/>
              </w:rPr>
              <w:t>（四）中标人须依据《中华人民共和国劳动合同法》、《中华人民共和国劳动法》及相关法律法规履行对拟投入本项目服务人员的法定义务，依法与服务人员签订劳动合同，办理用工手续，依法为服务人员发放工资报酬，缴纳五险，承担自合同履行日之后所产生的劳动关系风险费用，如服务人员与中标供应商发生劳动纠纷的，供应商自行负责，与采购人</w:t>
            </w:r>
            <w:r>
              <w:rPr>
                <w:rFonts w:hint="eastAsia" w:ascii="宋体" w:hAnsi="宋体" w:cs="宋体"/>
                <w:snapToGrid w:val="0"/>
                <w:color w:val="auto"/>
                <w:spacing w:val="10"/>
                <w:kern w:val="0"/>
                <w:szCs w:val="21"/>
                <w:highlight w:val="yellow"/>
              </w:rPr>
              <w:t>无关。</w:t>
            </w:r>
            <w:bookmarkStart w:id="40" w:name="_GoBack"/>
            <w:bookmarkEnd w:id="40"/>
          </w:p>
          <w:p>
            <w:pPr>
              <w:widowControl/>
              <w:wordWrap w:val="0"/>
              <w:autoSpaceDE w:val="0"/>
              <w:autoSpaceDN w:val="0"/>
              <w:adjustRightInd w:val="0"/>
              <w:snapToGrid w:val="0"/>
              <w:spacing w:line="500" w:lineRule="exact"/>
              <w:ind w:firstLine="460" w:firstLineChars="200"/>
              <w:jc w:val="left"/>
              <w:textAlignment w:val="baseline"/>
              <w:rPr>
                <w:rFonts w:hint="eastAsia" w:ascii="宋体" w:hAnsi="宋体" w:eastAsia="宋体" w:cs="宋体"/>
                <w:snapToGrid w:val="0"/>
                <w:color w:val="auto"/>
                <w:spacing w:val="22"/>
                <w:kern w:val="0"/>
                <w:szCs w:val="21"/>
                <w:highlight w:val="none"/>
              </w:rPr>
            </w:pPr>
            <w:r>
              <w:rPr>
                <w:rFonts w:hint="eastAsia" w:ascii="宋体" w:hAnsi="宋体" w:cs="宋体"/>
                <w:snapToGrid w:val="0"/>
                <w:color w:val="auto"/>
                <w:spacing w:val="10"/>
                <w:kern w:val="0"/>
                <w:szCs w:val="21"/>
                <w:highlight w:val="none"/>
              </w:rPr>
              <w:t>（五）中</w:t>
            </w:r>
            <w:r>
              <w:rPr>
                <w:rFonts w:hint="eastAsia" w:ascii="宋体" w:hAnsi="宋体" w:eastAsia="宋体" w:cs="宋体"/>
                <w:snapToGrid w:val="0"/>
                <w:color w:val="auto"/>
                <w:spacing w:val="22"/>
                <w:kern w:val="0"/>
                <w:szCs w:val="21"/>
                <w:highlight w:val="none"/>
              </w:rPr>
              <w:t>标人不得擅自占用和改变公用设施的使用功能，如需完善或扩建，须与采购人协商，经采购人同意后方可实施。</w:t>
            </w:r>
            <w:r>
              <w:rPr>
                <w:rFonts w:hint="eastAsia" w:ascii="宋体" w:hAnsi="宋体" w:cs="宋体"/>
                <w:snapToGrid w:val="0"/>
                <w:color w:val="auto"/>
                <w:spacing w:val="22"/>
                <w:kern w:val="0"/>
                <w:szCs w:val="21"/>
                <w:highlight w:val="none"/>
              </w:rPr>
              <w:t>除允许分包的</w:t>
            </w:r>
            <w:r>
              <w:rPr>
                <w:rFonts w:hint="eastAsia" w:ascii="宋体" w:hAnsi="宋体" w:eastAsia="宋体" w:cs="宋体"/>
                <w:snapToGrid w:val="0"/>
                <w:color w:val="auto"/>
                <w:spacing w:val="22"/>
                <w:kern w:val="0"/>
                <w:szCs w:val="21"/>
                <w:highlight w:val="none"/>
              </w:rPr>
              <w:t>服务项目</w:t>
            </w:r>
            <w:r>
              <w:rPr>
                <w:rFonts w:hint="eastAsia" w:ascii="宋体" w:hAnsi="宋体" w:cs="宋体"/>
                <w:snapToGrid w:val="0"/>
                <w:color w:val="auto"/>
                <w:spacing w:val="22"/>
                <w:kern w:val="0"/>
                <w:szCs w:val="21"/>
                <w:highlight w:val="none"/>
              </w:rPr>
              <w:t>外，其余服务</w:t>
            </w:r>
            <w:r>
              <w:rPr>
                <w:rFonts w:hint="eastAsia" w:ascii="宋体" w:hAnsi="宋体" w:eastAsia="宋体" w:cs="宋体"/>
                <w:snapToGrid w:val="0"/>
                <w:color w:val="auto"/>
                <w:spacing w:val="22"/>
                <w:kern w:val="0"/>
                <w:szCs w:val="21"/>
                <w:highlight w:val="none"/>
              </w:rPr>
              <w:t>不得转包或承包给他人管理。</w:t>
            </w:r>
          </w:p>
          <w:p>
            <w:pPr>
              <w:widowControl/>
              <w:wordWrap w:val="0"/>
              <w:autoSpaceDE w:val="0"/>
              <w:autoSpaceDN w:val="0"/>
              <w:adjustRightInd w:val="0"/>
              <w:snapToGrid w:val="0"/>
              <w:spacing w:line="500" w:lineRule="exact"/>
              <w:ind w:firstLine="508" w:firstLineChars="200"/>
              <w:jc w:val="left"/>
              <w:textAlignment w:val="baseline"/>
              <w:rPr>
                <w:rFonts w:hint="eastAsia" w:ascii="宋体" w:hAnsi="宋体" w:cs="宋体"/>
                <w:snapToGrid w:val="0"/>
                <w:color w:val="auto"/>
                <w:spacing w:val="22"/>
                <w:kern w:val="0"/>
                <w:szCs w:val="21"/>
                <w:highlight w:val="none"/>
              </w:rPr>
            </w:pPr>
            <w:r>
              <w:rPr>
                <w:rFonts w:hint="eastAsia" w:ascii="宋体" w:hAnsi="宋体" w:cs="宋体"/>
                <w:snapToGrid w:val="0"/>
                <w:color w:val="auto"/>
                <w:spacing w:val="22"/>
                <w:kern w:val="0"/>
                <w:szCs w:val="21"/>
                <w:highlight w:val="none"/>
              </w:rPr>
              <w:t xml:space="preserve">（六）本项目物业主管的人事任免或调整，须报采购人同意后方可执行。中标人根据采购方需求对各区域人员进行合理调配。对于工作疲沓，责任心不强、不服从管理出现工作失误的物业管理服务人员，采购人可建议调整，中标人在1个月内进行调整。 </w:t>
            </w:r>
          </w:p>
          <w:p>
            <w:pPr>
              <w:widowControl/>
              <w:wordWrap w:val="0"/>
              <w:autoSpaceDE w:val="0"/>
              <w:autoSpaceDN w:val="0"/>
              <w:adjustRightInd w:val="0"/>
              <w:snapToGrid w:val="0"/>
              <w:spacing w:line="500" w:lineRule="exact"/>
              <w:ind w:firstLine="508" w:firstLineChars="200"/>
              <w:jc w:val="left"/>
              <w:textAlignment w:val="baseline"/>
              <w:rPr>
                <w:rFonts w:hint="eastAsia" w:ascii="宋体" w:hAnsi="宋体" w:cs="宋体"/>
                <w:snapToGrid w:val="0"/>
                <w:color w:val="auto"/>
                <w:spacing w:val="22"/>
                <w:kern w:val="0"/>
                <w:szCs w:val="21"/>
                <w:highlight w:val="none"/>
              </w:rPr>
            </w:pPr>
            <w:r>
              <w:rPr>
                <w:rFonts w:hint="eastAsia" w:ascii="宋体" w:hAnsi="宋体" w:cs="宋体"/>
                <w:snapToGrid w:val="0"/>
                <w:color w:val="auto"/>
                <w:spacing w:val="22"/>
                <w:kern w:val="0"/>
                <w:szCs w:val="21"/>
                <w:highlight w:val="none"/>
              </w:rPr>
              <w:t>（七）中标人的项目经理须每天与采购人进行业务交流沟通，分管本项目的公司负责人须每季度与采购人进行业务交流沟通，中标人的法定代表人应每半年与采购人进行业务交流沟通。</w:t>
            </w:r>
          </w:p>
          <w:p>
            <w:pPr>
              <w:widowControl/>
              <w:wordWrap w:val="0"/>
              <w:autoSpaceDE w:val="0"/>
              <w:autoSpaceDN w:val="0"/>
              <w:adjustRightInd w:val="0"/>
              <w:snapToGrid w:val="0"/>
              <w:spacing w:line="500" w:lineRule="exact"/>
              <w:ind w:firstLine="436" w:firstLineChars="200"/>
              <w:jc w:val="left"/>
              <w:textAlignment w:val="baseline"/>
              <w:rPr>
                <w:rFonts w:hint="eastAsia" w:ascii="宋体" w:hAnsi="宋体" w:cs="宋体"/>
                <w:snapToGrid w:val="0"/>
                <w:color w:val="auto"/>
                <w:spacing w:val="25"/>
                <w:kern w:val="0"/>
                <w:szCs w:val="21"/>
                <w:highlight w:val="none"/>
              </w:rPr>
            </w:pPr>
            <w:r>
              <w:rPr>
                <w:rFonts w:hint="eastAsia" w:ascii="宋体" w:hAnsi="宋体" w:cs="宋体"/>
                <w:snapToGrid w:val="0"/>
                <w:color w:val="auto"/>
                <w:spacing w:val="4"/>
                <w:kern w:val="0"/>
                <w:szCs w:val="21"/>
                <w:highlight w:val="none"/>
              </w:rPr>
              <w:t>（八）</w:t>
            </w:r>
            <w:r>
              <w:rPr>
                <w:rFonts w:hint="eastAsia" w:ascii="宋体" w:hAnsi="宋体" w:cs="宋体"/>
                <w:snapToGrid w:val="0"/>
                <w:color w:val="auto"/>
                <w:spacing w:val="25"/>
                <w:kern w:val="0"/>
                <w:szCs w:val="21"/>
                <w:highlight w:val="none"/>
              </w:rPr>
              <w:t>物业服务人数不足要求且不及时补充的，采购人有权扣减相应的物业服务费用。</w:t>
            </w:r>
          </w:p>
          <w:p>
            <w:pPr>
              <w:widowControl/>
              <w:wordWrap w:val="0"/>
              <w:autoSpaceDE w:val="0"/>
              <w:autoSpaceDN w:val="0"/>
              <w:adjustRightInd w:val="0"/>
              <w:snapToGrid w:val="0"/>
              <w:spacing w:line="500" w:lineRule="exact"/>
              <w:ind w:firstLine="436" w:firstLineChars="200"/>
              <w:jc w:val="left"/>
              <w:textAlignment w:val="baseline"/>
              <w:rPr>
                <w:rFonts w:hint="eastAsia" w:ascii="宋体" w:hAnsi="宋体" w:cs="宋体"/>
                <w:b/>
                <w:bCs/>
                <w:snapToGrid w:val="0"/>
                <w:color w:val="auto"/>
                <w:spacing w:val="4"/>
                <w:kern w:val="0"/>
                <w:szCs w:val="21"/>
                <w:highlight w:val="none"/>
                <w:lang w:eastAsia="zh-CN"/>
              </w:rPr>
            </w:pPr>
            <w:r>
              <w:rPr>
                <w:rFonts w:hint="eastAsia" w:ascii="宋体" w:hAnsi="宋体" w:cs="宋体"/>
                <w:snapToGrid w:val="0"/>
                <w:color w:val="auto"/>
                <w:spacing w:val="4"/>
                <w:kern w:val="0"/>
                <w:szCs w:val="21"/>
                <w:highlight w:val="none"/>
              </w:rPr>
              <w:t>★（九）服务团队配备需求人数为24人（项目经理1人、工程维护员1人、保安员11人、保洁员10人、绿化员1人）</w:t>
            </w:r>
            <w:r>
              <w:rPr>
                <w:rFonts w:hint="eastAsia" w:ascii="宋体" w:hAnsi="宋体" w:cs="宋体"/>
                <w:snapToGrid w:val="0"/>
                <w:color w:val="auto"/>
                <w:spacing w:val="4"/>
                <w:kern w:val="0"/>
                <w:szCs w:val="21"/>
                <w:highlight w:val="none"/>
                <w:lang w:eastAsia="zh-CN"/>
              </w:rPr>
              <w:t>。</w:t>
            </w:r>
            <w:r>
              <w:rPr>
                <w:rFonts w:hint="eastAsia" w:ascii="宋体" w:hAnsi="宋体" w:cs="宋体"/>
                <w:b/>
                <w:bCs/>
                <w:snapToGrid w:val="0"/>
                <w:color w:val="auto"/>
                <w:spacing w:val="4"/>
                <w:kern w:val="0"/>
                <w:szCs w:val="21"/>
                <w:highlight w:val="none"/>
                <w:lang w:eastAsia="zh-CN"/>
              </w:rPr>
              <w:t>供应商在投标文件中提供承诺函（承诺内容包含但不限于中标后拟投入的服务人员数量、年龄、学历、</w:t>
            </w:r>
            <w:r>
              <w:rPr>
                <w:rFonts w:hint="eastAsia" w:ascii="宋体" w:hAnsi="宋体" w:cs="宋体"/>
                <w:b/>
                <w:bCs/>
                <w:snapToGrid w:val="0"/>
                <w:color w:val="auto"/>
                <w:spacing w:val="4"/>
                <w:kern w:val="0"/>
                <w:szCs w:val="21"/>
                <w:highlight w:val="none"/>
                <w:lang w:val="en-US" w:eastAsia="zh-CN"/>
              </w:rPr>
              <w:t>相关工作经验</w:t>
            </w:r>
            <w:r>
              <w:rPr>
                <w:rFonts w:hint="eastAsia" w:ascii="宋体" w:hAnsi="宋体" w:cs="宋体"/>
                <w:b/>
                <w:bCs/>
                <w:snapToGrid w:val="0"/>
                <w:color w:val="auto"/>
                <w:spacing w:val="4"/>
                <w:kern w:val="0"/>
                <w:szCs w:val="21"/>
                <w:highlight w:val="none"/>
                <w:lang w:eastAsia="zh-CN"/>
              </w:rPr>
              <w:t>均满足采购需求）。</w:t>
            </w:r>
          </w:p>
          <w:p>
            <w:pPr>
              <w:widowControl/>
              <w:wordWrap w:val="0"/>
              <w:autoSpaceDE w:val="0"/>
              <w:autoSpaceDN w:val="0"/>
              <w:adjustRightInd w:val="0"/>
              <w:snapToGrid w:val="0"/>
              <w:spacing w:line="500" w:lineRule="exact"/>
              <w:ind w:firstLine="436" w:firstLineChars="200"/>
              <w:jc w:val="left"/>
              <w:textAlignment w:val="baseline"/>
              <w:rPr>
                <w:rFonts w:hint="eastAsia" w:ascii="宋体" w:hAnsi="宋体" w:cs="宋体"/>
                <w:b/>
                <w:bCs/>
                <w:snapToGrid w:val="0"/>
                <w:color w:val="auto"/>
                <w:spacing w:val="12"/>
                <w:kern w:val="0"/>
                <w:szCs w:val="21"/>
                <w:highlight w:val="none"/>
              </w:rPr>
            </w:pPr>
            <w:r>
              <w:rPr>
                <w:rFonts w:hint="eastAsia" w:ascii="宋体" w:hAnsi="宋体" w:cs="宋体"/>
                <w:snapToGrid w:val="0"/>
                <w:color w:val="auto"/>
                <w:spacing w:val="4"/>
                <w:kern w:val="0"/>
                <w:szCs w:val="21"/>
                <w:highlight w:val="none"/>
                <w:lang w:eastAsia="zh-CN"/>
              </w:rPr>
              <w:t>（</w:t>
            </w:r>
            <w:r>
              <w:rPr>
                <w:rFonts w:hint="eastAsia" w:ascii="宋体" w:hAnsi="宋体" w:cs="宋体"/>
                <w:snapToGrid w:val="0"/>
                <w:color w:val="auto"/>
                <w:spacing w:val="4"/>
                <w:kern w:val="0"/>
                <w:szCs w:val="21"/>
                <w:highlight w:val="none"/>
                <w:lang w:val="en-US" w:eastAsia="zh-CN"/>
              </w:rPr>
              <w:t>十）物业服务人员</w:t>
            </w:r>
            <w:r>
              <w:rPr>
                <w:rFonts w:hint="eastAsia" w:ascii="宋体" w:hAnsi="宋体" w:cs="宋体"/>
                <w:snapToGrid w:val="0"/>
                <w:color w:val="auto"/>
                <w:spacing w:val="12"/>
                <w:kern w:val="0"/>
                <w:szCs w:val="21"/>
                <w:highlight w:val="none"/>
              </w:rPr>
              <w:t>具体要求如下：</w:t>
            </w:r>
          </w:p>
          <w:p>
            <w:pPr>
              <w:widowControl/>
              <w:wordWrap w:val="0"/>
              <w:autoSpaceDE w:val="0"/>
              <w:autoSpaceDN w:val="0"/>
              <w:adjustRightInd w:val="0"/>
              <w:snapToGrid w:val="0"/>
              <w:spacing w:line="500" w:lineRule="exact"/>
              <w:ind w:firstLine="470" w:firstLineChars="200"/>
              <w:jc w:val="left"/>
              <w:textAlignment w:val="baseline"/>
              <w:rPr>
                <w:rFonts w:hint="eastAsia" w:ascii="宋体" w:hAnsi="宋体" w:cs="宋体"/>
                <w:b/>
                <w:bCs/>
                <w:snapToGrid w:val="0"/>
                <w:color w:val="auto"/>
                <w:spacing w:val="12"/>
                <w:kern w:val="0"/>
                <w:szCs w:val="21"/>
                <w:highlight w:val="none"/>
              </w:rPr>
            </w:pPr>
            <w:r>
              <w:rPr>
                <w:rFonts w:hint="eastAsia" w:ascii="宋体" w:hAnsi="宋体" w:cs="宋体"/>
                <w:b/>
                <w:bCs/>
                <w:snapToGrid w:val="0"/>
                <w:color w:val="auto"/>
                <w:spacing w:val="12"/>
                <w:kern w:val="0"/>
                <w:szCs w:val="21"/>
                <w:highlight w:val="none"/>
              </w:rPr>
              <w:t>1.</w:t>
            </w:r>
            <w:r>
              <w:rPr>
                <w:rFonts w:hint="eastAsia" w:ascii="宋体" w:hAnsi="宋体" w:cs="Calibri"/>
                <w:b/>
                <w:bCs/>
                <w:color w:val="auto"/>
                <w:szCs w:val="21"/>
                <w:highlight w:val="none"/>
              </w:rPr>
              <w:t>国家税务总局</w:t>
            </w:r>
            <w:r>
              <w:rPr>
                <w:rFonts w:hint="eastAsia" w:ascii="宋体" w:hAnsi="宋体" w:cs="宋体"/>
                <w:b/>
                <w:bCs/>
                <w:snapToGrid w:val="0"/>
                <w:color w:val="auto"/>
                <w:spacing w:val="7"/>
                <w:kern w:val="0"/>
                <w:szCs w:val="21"/>
                <w:highlight w:val="none"/>
              </w:rPr>
              <w:t>来宾市</w:t>
            </w:r>
            <w:r>
              <w:rPr>
                <w:rFonts w:hint="eastAsia" w:ascii="宋体" w:hAnsi="宋体" w:cs="宋体"/>
                <w:b/>
                <w:bCs/>
                <w:snapToGrid w:val="0"/>
                <w:color w:val="auto"/>
                <w:spacing w:val="5"/>
                <w:kern w:val="0"/>
                <w:szCs w:val="21"/>
                <w:highlight w:val="none"/>
              </w:rPr>
              <w:t>税务局主办公区（17人）</w:t>
            </w:r>
          </w:p>
          <w:tbl>
            <w:tblPr>
              <w:tblStyle w:val="53"/>
              <w:tblW w:w="7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160"/>
              <w:gridCol w:w="732"/>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57"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部门</w:t>
                  </w:r>
                </w:p>
              </w:tc>
              <w:tc>
                <w:tcPr>
                  <w:tcW w:w="1160"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岗位</w:t>
                  </w:r>
                </w:p>
              </w:tc>
              <w:tc>
                <w:tcPr>
                  <w:tcW w:w="732"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人数</w:t>
                  </w:r>
                </w:p>
              </w:tc>
              <w:tc>
                <w:tcPr>
                  <w:tcW w:w="3990"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7"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b/>
                      <w:bCs/>
                      <w:snapToGrid w:val="0"/>
                      <w:color w:val="auto"/>
                      <w:kern w:val="0"/>
                      <w:szCs w:val="21"/>
                      <w:highlight w:val="none"/>
                    </w:rPr>
                    <w:t>项目管理组</w:t>
                  </w:r>
                </w:p>
              </w:tc>
              <w:tc>
                <w:tcPr>
                  <w:tcW w:w="1160"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732"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3990" w:type="dxa"/>
                  <w:vAlign w:val="center"/>
                </w:tcPr>
                <w:p>
                  <w:pPr>
                    <w:spacing w:line="50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性别不限，年龄45岁（含）以下，政治上要拥护中国共产党领导，拥护中华人民共和国宪法，身体健康，大专（含）以上学历，有较强的组织和管理能力；具备五年物业管理经验，或者具备两年办公大院物业经理相关工作经历；熟悉物业管理服务法规、规范，管理员须掌握基本的电脑操作，对物业行业有全面的了解，具备独立运作并统筹安排协调物业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57" w:type="dxa"/>
                  <w:shd w:val="clear" w:color="auto" w:fill="auto"/>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工程组</w:t>
                  </w:r>
                </w:p>
              </w:tc>
              <w:tc>
                <w:tcPr>
                  <w:tcW w:w="1160"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kern w:val="0"/>
                      <w:szCs w:val="21"/>
                      <w:highlight w:val="none"/>
                    </w:rPr>
                    <w:t>工程维护员</w:t>
                  </w:r>
                </w:p>
              </w:tc>
              <w:tc>
                <w:tcPr>
                  <w:tcW w:w="732" w:type="dxa"/>
                  <w:shd w:val="clear" w:color="auto" w:fill="auto"/>
                  <w:vAlign w:val="center"/>
                </w:tcPr>
                <w:p>
                  <w:pPr>
                    <w:spacing w:line="500" w:lineRule="exact"/>
                    <w:jc w:val="center"/>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1</w:t>
                  </w:r>
                </w:p>
              </w:tc>
              <w:tc>
                <w:tcPr>
                  <w:tcW w:w="3990"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男性，年龄50岁（含）以下，政治上要拥护中国共产党领导，拥护中华人民共和国宪法，身体健康，体检合格，中专（含）以上文化程度，熟悉水、电路控制知识，精通机械常识，并会安全操作；</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有敬业精神，能吃苦耐劳，熟悉电工操作的各项规程，持有电工作业证。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1357"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b/>
                      <w:bCs/>
                      <w:snapToGrid w:val="0"/>
                      <w:color w:val="auto"/>
                      <w:kern w:val="0"/>
                      <w:szCs w:val="21"/>
                      <w:highlight w:val="none"/>
                    </w:rPr>
                    <w:t>秩序维护组</w:t>
                  </w:r>
                </w:p>
              </w:tc>
              <w:tc>
                <w:tcPr>
                  <w:tcW w:w="1160"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保安员</w:t>
                  </w:r>
                </w:p>
              </w:tc>
              <w:tc>
                <w:tcPr>
                  <w:tcW w:w="732"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3990"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性别不限，年龄55岁（含）以下，政治上要拥护中国共产党领导，拥护中华人民共和国宪法，身高1.6米（含）以上；初中（含）以上文化程度，持有保安证优先，接受过系统的治安管理培训</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；反应灵敏，身体健康、品貌端正，品行优良、纪律性强，工作认真负责，作风正派，能吃苦耐劳，无不良记录。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1357"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b/>
                      <w:bCs/>
                      <w:snapToGrid w:val="0"/>
                      <w:color w:val="auto"/>
                      <w:spacing w:val="2"/>
                      <w:kern w:val="0"/>
                      <w:szCs w:val="21"/>
                      <w:highlight w:val="none"/>
                    </w:rPr>
                    <w:t>保洁组</w:t>
                  </w:r>
                </w:p>
              </w:tc>
              <w:tc>
                <w:tcPr>
                  <w:tcW w:w="1160"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保洁员</w:t>
                  </w:r>
                </w:p>
              </w:tc>
              <w:tc>
                <w:tcPr>
                  <w:tcW w:w="732"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7</w:t>
                  </w:r>
                </w:p>
              </w:tc>
              <w:tc>
                <w:tcPr>
                  <w:tcW w:w="3990"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女性为主，政治上要拥护中国共产党领导，拥护中华人民共和国宪法，年龄50岁（含）以下，初中（含）以上文化程度，</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；身体健康；组织纪律观念强，敬业精神好，任劳任怨，工作认真细致。遵守各项规章制度，着装规范，坚守岗位，在岗时不得做与工作无关的事情。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357"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绿化组</w:t>
                  </w:r>
                </w:p>
              </w:tc>
              <w:tc>
                <w:tcPr>
                  <w:tcW w:w="1160"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绿化员</w:t>
                  </w:r>
                </w:p>
              </w:tc>
              <w:tc>
                <w:tcPr>
                  <w:tcW w:w="732"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3990"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政治上要拥护中国共产党领导，拥护中华人民共和国宪法，年龄50岁（含）以下，初中（含）以上文化程度，掌握植物病虫害防治知识，具有园林养护、花卉种植工作经验，对常用的植物及花卉生长习性了解，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17" w:type="dxa"/>
                  <w:gridSpan w:val="2"/>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合计</w:t>
                  </w:r>
                </w:p>
              </w:tc>
              <w:tc>
                <w:tcPr>
                  <w:tcW w:w="732"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17</w:t>
                  </w:r>
                </w:p>
              </w:tc>
              <w:tc>
                <w:tcPr>
                  <w:tcW w:w="3990" w:type="dxa"/>
                  <w:vAlign w:val="center"/>
                </w:tcPr>
                <w:p>
                  <w:pPr>
                    <w:spacing w:line="500" w:lineRule="exact"/>
                    <w:jc w:val="center"/>
                    <w:rPr>
                      <w:rFonts w:hint="eastAsia" w:ascii="宋体" w:hAnsi="宋体" w:cs="宋体"/>
                      <w:snapToGrid w:val="0"/>
                      <w:color w:val="auto"/>
                      <w:kern w:val="0"/>
                      <w:szCs w:val="21"/>
                      <w:highlight w:val="none"/>
                    </w:rPr>
                  </w:pPr>
                </w:p>
              </w:tc>
            </w:tr>
          </w:tbl>
          <w:p>
            <w:pPr>
              <w:widowControl/>
              <w:wordWrap w:val="0"/>
              <w:autoSpaceDE w:val="0"/>
              <w:autoSpaceDN w:val="0"/>
              <w:adjustRightInd w:val="0"/>
              <w:snapToGrid w:val="0"/>
              <w:spacing w:line="500" w:lineRule="exact"/>
              <w:ind w:firstLine="422" w:firstLineChars="200"/>
              <w:jc w:val="left"/>
              <w:textAlignment w:val="baseline"/>
              <w:rPr>
                <w:rFonts w:hint="eastAsia" w:ascii="宋体" w:hAnsi="宋体" w:cs="宋体"/>
                <w:b/>
                <w:bCs/>
                <w:color w:val="auto"/>
                <w:szCs w:val="21"/>
                <w:highlight w:val="none"/>
              </w:rPr>
            </w:pPr>
          </w:p>
          <w:p>
            <w:pPr>
              <w:widowControl/>
              <w:wordWrap w:val="0"/>
              <w:autoSpaceDE w:val="0"/>
              <w:autoSpaceDN w:val="0"/>
              <w:adjustRightInd w:val="0"/>
              <w:snapToGrid w:val="0"/>
              <w:spacing w:line="500" w:lineRule="exact"/>
              <w:ind w:firstLine="422" w:firstLineChars="200"/>
              <w:jc w:val="left"/>
              <w:textAlignment w:val="baseline"/>
              <w:rPr>
                <w:rFonts w:hint="eastAsia" w:ascii="宋体" w:hAnsi="宋体" w:cs="宋体"/>
                <w:b/>
                <w:bCs/>
                <w:snapToGrid w:val="0"/>
                <w:color w:val="auto"/>
                <w:spacing w:val="12"/>
                <w:kern w:val="0"/>
                <w:szCs w:val="21"/>
                <w:highlight w:val="none"/>
              </w:rPr>
            </w:pPr>
            <w:r>
              <w:rPr>
                <w:rFonts w:hint="eastAsia" w:ascii="宋体" w:hAnsi="宋体" w:cs="宋体"/>
                <w:b/>
                <w:bCs/>
                <w:color w:val="auto"/>
                <w:szCs w:val="21"/>
                <w:highlight w:val="none"/>
              </w:rPr>
              <w:t>2.</w:t>
            </w:r>
            <w:r>
              <w:rPr>
                <w:rFonts w:hint="eastAsia" w:ascii="宋体" w:hAnsi="宋体" w:cs="Calibri"/>
                <w:b/>
                <w:bCs/>
                <w:color w:val="auto"/>
                <w:szCs w:val="21"/>
                <w:highlight w:val="none"/>
              </w:rPr>
              <w:t>国家税务总局</w:t>
            </w:r>
            <w:r>
              <w:rPr>
                <w:rFonts w:hint="eastAsia" w:ascii="宋体" w:hAnsi="宋体" w:cs="宋体"/>
                <w:b/>
                <w:bCs/>
                <w:snapToGrid w:val="0"/>
                <w:color w:val="auto"/>
                <w:spacing w:val="7"/>
                <w:kern w:val="0"/>
                <w:szCs w:val="21"/>
                <w:highlight w:val="none"/>
              </w:rPr>
              <w:t>来宾市</w:t>
            </w:r>
            <w:r>
              <w:rPr>
                <w:rFonts w:hint="eastAsia" w:ascii="宋体" w:hAnsi="宋体" w:cs="宋体"/>
                <w:b/>
                <w:bCs/>
                <w:snapToGrid w:val="0"/>
                <w:color w:val="auto"/>
                <w:spacing w:val="5"/>
                <w:kern w:val="0"/>
                <w:szCs w:val="21"/>
                <w:highlight w:val="none"/>
              </w:rPr>
              <w:t>税务局大桥路办公区（7人）</w:t>
            </w:r>
          </w:p>
          <w:tbl>
            <w:tblPr>
              <w:tblStyle w:val="53"/>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679"/>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68"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部门</w:t>
                  </w:r>
                </w:p>
              </w:tc>
              <w:tc>
                <w:tcPr>
                  <w:tcW w:w="1168"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岗位</w:t>
                  </w:r>
                </w:p>
              </w:tc>
              <w:tc>
                <w:tcPr>
                  <w:tcW w:w="679"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人数</w:t>
                  </w:r>
                </w:p>
              </w:tc>
              <w:tc>
                <w:tcPr>
                  <w:tcW w:w="3704" w:type="dxa"/>
                  <w:vAlign w:val="center"/>
                </w:tcPr>
                <w:p>
                  <w:pPr>
                    <w:spacing w:line="500" w:lineRule="exact"/>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1168" w:type="dxa"/>
                  <w:vAlign w:val="center"/>
                </w:tcPr>
                <w:p>
                  <w:pPr>
                    <w:spacing w:line="500" w:lineRule="exact"/>
                    <w:jc w:val="center"/>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秩序维护组</w:t>
                  </w:r>
                </w:p>
              </w:tc>
              <w:tc>
                <w:tcPr>
                  <w:tcW w:w="1168"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保安员</w:t>
                  </w:r>
                </w:p>
              </w:tc>
              <w:tc>
                <w:tcPr>
                  <w:tcW w:w="679" w:type="dxa"/>
                  <w:vAlign w:val="center"/>
                </w:tcPr>
                <w:p>
                  <w:pPr>
                    <w:spacing w:line="500" w:lineRule="exact"/>
                    <w:jc w:val="center"/>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4</w:t>
                  </w:r>
                </w:p>
              </w:tc>
              <w:tc>
                <w:tcPr>
                  <w:tcW w:w="3704" w:type="dxa"/>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性别不限，政治上要拥护中国共产党领导，拥护中华人民共和国宪法，年龄55岁（含）以下，身高1.6（含）米以上；初中（含）以上文化程度，持有保安证优先，接受过系统的治安管理培训</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；反应灵敏，身体健康、品貌端正，品行优良、纪律性强，工作认真负责，作风正派，能吃苦耐劳，无不良记录。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168" w:type="dxa"/>
                  <w:shd w:val="clear" w:color="auto" w:fill="auto"/>
                  <w:vAlign w:val="center"/>
                </w:tcPr>
                <w:p>
                  <w:pPr>
                    <w:spacing w:line="500" w:lineRule="exact"/>
                    <w:jc w:val="center"/>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t>保洁组</w:t>
                  </w:r>
                </w:p>
              </w:tc>
              <w:tc>
                <w:tcPr>
                  <w:tcW w:w="1168"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保洁员</w:t>
                  </w:r>
                </w:p>
              </w:tc>
              <w:tc>
                <w:tcPr>
                  <w:tcW w:w="679" w:type="dxa"/>
                  <w:shd w:val="clear" w:color="auto" w:fill="auto"/>
                  <w:vAlign w:val="center"/>
                </w:tcPr>
                <w:p>
                  <w:pPr>
                    <w:spacing w:line="500" w:lineRule="exact"/>
                    <w:jc w:val="center"/>
                    <w:rPr>
                      <w:rFonts w:hint="eastAsia" w:ascii="宋体" w:hAnsi="宋体" w:eastAsia="宋体" w:cs="宋体"/>
                      <w:snapToGrid w:val="0"/>
                      <w:color w:val="auto"/>
                      <w:szCs w:val="21"/>
                      <w:highlight w:val="none"/>
                    </w:rPr>
                  </w:pPr>
                  <w:r>
                    <w:rPr>
                      <w:rFonts w:hint="eastAsia" w:ascii="宋体" w:hAnsi="宋体" w:cs="宋体"/>
                      <w:snapToGrid w:val="0"/>
                      <w:color w:val="auto"/>
                      <w:szCs w:val="21"/>
                      <w:highlight w:val="none"/>
                    </w:rPr>
                    <w:t>3</w:t>
                  </w:r>
                </w:p>
              </w:tc>
              <w:tc>
                <w:tcPr>
                  <w:tcW w:w="3704" w:type="dxa"/>
                  <w:shd w:val="clear" w:color="auto" w:fill="auto"/>
                  <w:vAlign w:val="center"/>
                </w:tcPr>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女性为主，政治上要拥护中国共产党领导，拥护中华人民共和国宪法，年龄50岁（含）以下，初中（含）以上文化程度，</w:t>
                  </w:r>
                  <w:r>
                    <w:rPr>
                      <w:rFonts w:hint="eastAsia" w:ascii="宋体" w:hAnsi="宋体" w:cs="宋体"/>
                      <w:snapToGrid w:val="0"/>
                      <w:color w:val="auto"/>
                      <w:kern w:val="0"/>
                      <w:szCs w:val="21"/>
                      <w:highlight w:val="none"/>
                      <w:lang w:val="en-US" w:eastAsia="zh-CN"/>
                    </w:rPr>
                    <w:t>有一定相关工作经验</w:t>
                  </w:r>
                  <w:r>
                    <w:rPr>
                      <w:rFonts w:hint="eastAsia" w:ascii="宋体" w:hAnsi="宋体" w:cs="宋体"/>
                      <w:snapToGrid w:val="0"/>
                      <w:color w:val="auto"/>
                      <w:kern w:val="0"/>
                      <w:szCs w:val="21"/>
                      <w:highlight w:val="none"/>
                    </w:rPr>
                    <w:t>；身体健康；组织纪律观念强，敬业精神好，任劳任怨，工作认真细致。遵守各项规章制度，着装规范，坚守岗位，在岗时不得做与工作无关的事情。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36" w:type="dxa"/>
                  <w:gridSpan w:val="2"/>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合计</w:t>
                  </w:r>
                </w:p>
              </w:tc>
              <w:tc>
                <w:tcPr>
                  <w:tcW w:w="679" w:type="dxa"/>
                  <w:vAlign w:val="center"/>
                </w:tcPr>
                <w:p>
                  <w:pPr>
                    <w:spacing w:line="500" w:lineRule="exact"/>
                    <w:jc w:val="center"/>
                    <w:rPr>
                      <w:rFonts w:hint="eastAsia" w:ascii="宋体" w:hAnsi="宋体" w:eastAsia="宋体" w:cs="宋体"/>
                      <w:b/>
                      <w:bCs/>
                      <w:snapToGrid w:val="0"/>
                      <w:color w:val="auto"/>
                      <w:kern w:val="0"/>
                      <w:szCs w:val="21"/>
                      <w:highlight w:val="none"/>
                    </w:rPr>
                  </w:pPr>
                  <w:r>
                    <w:rPr>
                      <w:rFonts w:hint="eastAsia" w:ascii="宋体" w:hAnsi="宋体" w:cs="宋体"/>
                      <w:b/>
                      <w:bCs/>
                      <w:snapToGrid w:val="0"/>
                      <w:color w:val="auto"/>
                      <w:kern w:val="0"/>
                      <w:szCs w:val="21"/>
                      <w:highlight w:val="none"/>
                    </w:rPr>
                    <w:t>7</w:t>
                  </w:r>
                </w:p>
              </w:tc>
              <w:tc>
                <w:tcPr>
                  <w:tcW w:w="3704" w:type="dxa"/>
                  <w:vAlign w:val="center"/>
                </w:tcPr>
                <w:p>
                  <w:pPr>
                    <w:spacing w:line="500" w:lineRule="exact"/>
                    <w:jc w:val="center"/>
                    <w:rPr>
                      <w:rFonts w:hint="eastAsia" w:ascii="宋体" w:hAnsi="宋体" w:cs="宋体"/>
                      <w:snapToGrid w:val="0"/>
                      <w:color w:val="auto"/>
                      <w:kern w:val="0"/>
                      <w:szCs w:val="21"/>
                      <w:highlight w:val="none"/>
                    </w:rPr>
                  </w:pPr>
                </w:p>
              </w:tc>
            </w:tr>
          </w:tbl>
          <w:p>
            <w:pPr>
              <w:widowControl/>
              <w:wordWrap w:val="0"/>
              <w:autoSpaceDE w:val="0"/>
              <w:autoSpaceDN w:val="0"/>
              <w:adjustRightInd w:val="0"/>
              <w:snapToGrid w:val="0"/>
              <w:spacing w:line="500" w:lineRule="exact"/>
              <w:ind w:firstLine="454" w:firstLineChars="200"/>
              <w:jc w:val="left"/>
              <w:textAlignment w:val="baseline"/>
              <w:rPr>
                <w:rFonts w:hint="eastAsia" w:ascii="宋体" w:hAnsi="宋体" w:cs="宋体"/>
                <w:b/>
                <w:bCs/>
                <w:snapToGrid w:val="0"/>
                <w:color w:val="auto"/>
                <w:spacing w:val="8"/>
                <w:kern w:val="0"/>
                <w:szCs w:val="21"/>
                <w:highlight w:val="none"/>
              </w:rPr>
            </w:pPr>
            <w:r>
              <w:rPr>
                <w:rFonts w:hint="eastAsia" w:ascii="宋体" w:hAnsi="宋体" w:cs="宋体"/>
                <w:b/>
                <w:bCs/>
                <w:snapToGrid w:val="0"/>
                <w:color w:val="auto"/>
                <w:spacing w:val="8"/>
                <w:kern w:val="0"/>
                <w:szCs w:val="21"/>
                <w:highlight w:val="none"/>
              </w:rPr>
              <w:t>五、物业管理服务条件保障</w:t>
            </w:r>
          </w:p>
          <w:p>
            <w:pPr>
              <w:widowControl/>
              <w:wordWrap w:val="0"/>
              <w:autoSpaceDE w:val="0"/>
              <w:autoSpaceDN w:val="0"/>
              <w:adjustRightInd w:val="0"/>
              <w:snapToGrid w:val="0"/>
              <w:spacing w:line="500" w:lineRule="exact"/>
              <w:ind w:firstLine="452" w:firstLineChars="200"/>
              <w:jc w:val="left"/>
              <w:textAlignment w:val="baseline"/>
              <w:rPr>
                <w:rFonts w:hint="eastAsia" w:ascii="宋体" w:hAnsi="宋体" w:cs="宋体"/>
                <w:snapToGrid w:val="0"/>
                <w:color w:val="auto"/>
                <w:kern w:val="0"/>
                <w:szCs w:val="21"/>
                <w:highlight w:val="none"/>
                <w:u w:val="single"/>
              </w:rPr>
            </w:pPr>
            <w:r>
              <w:rPr>
                <w:rFonts w:hint="eastAsia" w:ascii="宋体" w:hAnsi="宋体" w:cs="宋体"/>
                <w:snapToGrid w:val="0"/>
                <w:color w:val="auto"/>
                <w:spacing w:val="8"/>
                <w:kern w:val="0"/>
                <w:szCs w:val="21"/>
                <w:highlight w:val="none"/>
              </w:rPr>
              <w:t>采购人配备物业管理服务办公室1间，位于主办公</w:t>
            </w:r>
            <w:r>
              <w:rPr>
                <w:rFonts w:hint="eastAsia" w:ascii="宋体" w:hAnsi="宋体" w:cs="宋体"/>
                <w:snapToGrid w:val="0"/>
                <w:color w:val="auto"/>
                <w:spacing w:val="7"/>
                <w:kern w:val="0"/>
                <w:szCs w:val="21"/>
                <w:highlight w:val="none"/>
              </w:rPr>
              <w:t>区3楼。</w:t>
            </w:r>
          </w:p>
          <w:p>
            <w:pPr>
              <w:widowControl/>
              <w:wordWrap w:val="0"/>
              <w:autoSpaceDE w:val="0"/>
              <w:autoSpaceDN w:val="0"/>
              <w:adjustRightInd w:val="0"/>
              <w:snapToGrid w:val="0"/>
              <w:spacing w:line="500" w:lineRule="exact"/>
              <w:ind w:firstLine="45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7"/>
                <w:kern w:val="0"/>
                <w:szCs w:val="21"/>
                <w:highlight w:val="none"/>
              </w:rPr>
              <w:t>六、物业管理服务考核办法</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1.采购人采取每月定期（详见附件1《来宾市税务局物业管理服务__月份定期考核评分表》）及不定期（详见附件2《来宾市税务局物业管理服务日常考核检查情况表》）方式对中标人进行考核。</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2.采购人按月对中标人物业服务工作进行综合考核，考核结论分为“优”“良”“中”“差”4档，其中：“优”为总分 95 分（含 95 分）以上，“良”为总分 90 分（含 90 分）-95 分（不含 95 分），“中”为总分 85 分（含 85 分）-90分（不含 90分），“差”为总分85 分（不含 85 分）以下。</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综合考核评定结果为“优”的，不扣所属月份的物业服务费用；综合考核评定结果为“良”的，扣应付物业服务费的 1%（取整到元）；综合考核评定结果为“中”的，扣应付物业服务费的 2%（取整到元）；综合考核评定结果为“差”的，扣应付物业服务费的 5%（取整到元）。累计三次考核结论为“差”，或由于中标人责任，在合同履行期间发生安全责任事故造成人员或财产损失的，采购人有权单方面解除合同。</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对中标人的服务质量不定期抽查，检查记录经双方签字确认后保存在采购人处。采购人有权根据检查结果，按附件2《来宾市税务局物业管理服务日常考核检查情况表》对中标人实施扣款，并下达书面整改通知责令中标人限期整改。中标人应派人参加每月考核，采购人发现问题则当场告知。中标人应根据考核发现问题，自采购人当场告知后5个工作日内提出整改意见，及时落实整改。</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费用按月结算。考核结果经采购人、中标人双方确认后的10个工作日内，中标人根据考核结果将请款函以及同等金额、合法有效的增值税发票提交给采购人，采购人在收到付款申请、合格发票后10个工作日内支付上月物业服务费到合同约定的中标供应商账户；采购人未收到付款申请及合格发票的，有权不予支付相应款项，并不承担延迟付款责任。</w:t>
            </w:r>
          </w:p>
          <w:p>
            <w:pPr>
              <w:widowControl/>
              <w:overflowPunct w:val="0"/>
              <w:autoSpaceDE w:val="0"/>
              <w:autoSpaceDN w:val="0"/>
              <w:adjustRightInd w:val="0"/>
              <w:snapToGrid w:val="0"/>
              <w:spacing w:line="500" w:lineRule="exact"/>
              <w:ind w:firstLine="420" w:firstLineChars="200"/>
              <w:jc w:val="left"/>
              <w:textAlignment w:val="baseline"/>
              <w:rPr>
                <w:rFonts w:hint="eastAsia" w:ascii="宋体" w:hAnsi="宋体"/>
                <w:color w:val="auto"/>
                <w:szCs w:val="21"/>
                <w:highlight w:val="none"/>
              </w:rPr>
            </w:pPr>
            <w:r>
              <w:rPr>
                <w:rFonts w:hint="eastAsia" w:ascii="宋体" w:hAnsi="宋体" w:eastAsia="宋体" w:cs="宋体"/>
                <w:color w:val="auto"/>
                <w:szCs w:val="21"/>
                <w:highlight w:val="none"/>
              </w:rPr>
              <w:t>当月实际支付物业服务费=应付上月物业服务费-上月定期考核扣款-未支付的不定期考核扣款。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015"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left"/>
              <w:rPr>
                <w:rFonts w:hint="eastAsia" w:ascii="宋体" w:hAnsi="宋体" w:cs="宋体"/>
                <w:b/>
                <w:color w:val="auto"/>
                <w:szCs w:val="21"/>
                <w:highlight w:val="none"/>
              </w:rPr>
            </w:pPr>
            <w:r>
              <w:rPr>
                <w:rFonts w:hint="eastAsia" w:ascii="宋体" w:hAnsi="宋体" w:cs="Calibri"/>
                <w:color w:val="auto"/>
                <w:szCs w:val="21"/>
                <w:highlight w:val="none"/>
              </w:rPr>
              <w:t>★</w:t>
            </w:r>
            <w:r>
              <w:rPr>
                <w:rFonts w:hint="eastAsia" w:ascii="宋体" w:hAnsi="宋体" w:cs="宋体"/>
                <w:b/>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Arial"/>
                <w:color w:val="auto"/>
                <w:szCs w:val="21"/>
                <w:highlight w:val="none"/>
              </w:rPr>
            </w:pPr>
            <w:r>
              <w:rPr>
                <w:rFonts w:hint="eastAsia" w:ascii="宋体" w:hAnsi="宋体" w:cs="Arial"/>
                <w:color w:val="auto"/>
                <w:szCs w:val="21"/>
                <w:highlight w:val="none"/>
              </w:rPr>
              <w:t>合同签订</w:t>
            </w:r>
          </w:p>
          <w:p>
            <w:pPr>
              <w:snapToGrid w:val="0"/>
              <w:spacing w:line="500" w:lineRule="exact"/>
              <w:jc w:val="center"/>
              <w:rPr>
                <w:rFonts w:hint="eastAsia" w:ascii="宋体" w:hAnsi="宋体" w:cs="Calibri"/>
                <w:color w:val="auto"/>
                <w:szCs w:val="21"/>
                <w:highlight w:val="none"/>
              </w:rPr>
            </w:pPr>
            <w:r>
              <w:rPr>
                <w:rFonts w:hint="eastAsia" w:ascii="宋体" w:hAnsi="宋体" w:cs="Arial"/>
                <w:color w:val="auto"/>
                <w:szCs w:val="21"/>
                <w:highlight w:val="none"/>
              </w:rPr>
              <w:t>日期</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jc w:val="left"/>
              <w:rPr>
                <w:rFonts w:hint="eastAsia" w:ascii="宋体" w:hAnsi="宋体" w:cs="Calibri"/>
                <w:color w:val="auto"/>
                <w:szCs w:val="21"/>
                <w:highlight w:val="none"/>
              </w:rPr>
            </w:pPr>
            <w:r>
              <w:rPr>
                <w:rFonts w:ascii="宋体" w:hAnsi="宋体" w:cs="Arial"/>
                <w:color w:val="auto"/>
                <w:szCs w:val="21"/>
                <w:highlight w:val="none"/>
              </w:rPr>
              <w:t>中标</w:t>
            </w:r>
            <w:r>
              <w:rPr>
                <w:rFonts w:hint="eastAsia" w:ascii="宋体" w:hAnsi="宋体" w:cs="Arial"/>
                <w:color w:val="auto"/>
                <w:szCs w:val="21"/>
                <w:highlight w:val="none"/>
              </w:rPr>
              <w:t>通知书发出后25日内。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Calibri"/>
                <w:color w:val="auto"/>
                <w:szCs w:val="21"/>
                <w:highlight w:val="none"/>
              </w:rPr>
            </w:pPr>
            <w:r>
              <w:rPr>
                <w:rFonts w:hint="eastAsia" w:ascii="宋体" w:hAnsi="宋体" w:cs="Calibri"/>
                <w:color w:val="auto"/>
                <w:szCs w:val="21"/>
                <w:highlight w:val="none"/>
              </w:rPr>
              <w:t>合同履约时间、服务地点</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rPr>
                <w:rFonts w:hint="eastAsia" w:ascii="宋体" w:hAnsi="宋体"/>
                <w:color w:val="auto"/>
                <w:szCs w:val="21"/>
                <w:highlight w:val="none"/>
              </w:rPr>
            </w:pPr>
            <w:r>
              <w:rPr>
                <w:rFonts w:hint="eastAsia" w:ascii="宋体" w:hAnsi="宋体" w:cs="Calibri"/>
                <w:color w:val="auto"/>
                <w:szCs w:val="21"/>
                <w:highlight w:val="none"/>
              </w:rPr>
              <w:t>1.合同履约时间：以合同签订的具体履行时间为准，合同期限2年</w:t>
            </w:r>
            <w:r>
              <w:rPr>
                <w:rFonts w:hint="eastAsia" w:ascii="宋体" w:hAnsi="宋体"/>
                <w:color w:val="auto"/>
                <w:szCs w:val="21"/>
                <w:highlight w:val="none"/>
              </w:rPr>
              <w:t>。</w:t>
            </w:r>
          </w:p>
          <w:p>
            <w:pPr>
              <w:spacing w:line="500" w:lineRule="exact"/>
              <w:ind w:firstLine="420" w:firstLineChars="200"/>
              <w:rPr>
                <w:rFonts w:hint="eastAsia" w:ascii="宋体" w:hAnsi="宋体" w:cs="Calibri"/>
                <w:color w:val="auto"/>
                <w:szCs w:val="21"/>
                <w:highlight w:val="none"/>
              </w:rPr>
            </w:pPr>
            <w:r>
              <w:rPr>
                <w:rFonts w:hint="eastAsia" w:ascii="宋体" w:hAnsi="宋体" w:cs="Calibri"/>
                <w:color w:val="auto"/>
                <w:szCs w:val="21"/>
                <w:highlight w:val="none"/>
              </w:rPr>
              <w:t>2.服务地点：（1）国家税务总局</w:t>
            </w:r>
            <w:r>
              <w:rPr>
                <w:rFonts w:hint="eastAsia" w:ascii="宋体" w:hAnsi="宋体" w:cs="宋体"/>
                <w:snapToGrid w:val="0"/>
                <w:color w:val="auto"/>
                <w:spacing w:val="7"/>
                <w:kern w:val="0"/>
                <w:szCs w:val="21"/>
                <w:highlight w:val="none"/>
              </w:rPr>
              <w:t>来宾市</w:t>
            </w:r>
            <w:r>
              <w:rPr>
                <w:rFonts w:hint="eastAsia" w:ascii="宋体" w:hAnsi="宋体" w:cs="宋体"/>
                <w:snapToGrid w:val="0"/>
                <w:color w:val="auto"/>
                <w:spacing w:val="5"/>
                <w:kern w:val="0"/>
                <w:szCs w:val="21"/>
                <w:highlight w:val="none"/>
              </w:rPr>
              <w:t>税务局主办公区（来宾市兴宾区人民路西309号）；</w:t>
            </w:r>
            <w:r>
              <w:rPr>
                <w:rFonts w:hint="eastAsia" w:ascii="宋体" w:hAnsi="宋体" w:cs="Calibri"/>
                <w:color w:val="auto"/>
                <w:szCs w:val="21"/>
                <w:highlight w:val="none"/>
              </w:rPr>
              <w:t>（2）</w:t>
            </w:r>
            <w:r>
              <w:rPr>
                <w:rFonts w:hint="eastAsia" w:ascii="宋体" w:hAnsi="宋体" w:cs="宋体"/>
                <w:snapToGrid w:val="0"/>
                <w:color w:val="auto"/>
                <w:spacing w:val="7"/>
                <w:kern w:val="0"/>
                <w:szCs w:val="21"/>
                <w:highlight w:val="none"/>
              </w:rPr>
              <w:t>国家税务总局</w:t>
            </w:r>
            <w:r>
              <w:rPr>
                <w:rFonts w:hint="eastAsia" w:ascii="宋体" w:hAnsi="宋体" w:cs="宋体"/>
                <w:snapToGrid w:val="0"/>
                <w:color w:val="auto"/>
                <w:spacing w:val="11"/>
                <w:kern w:val="0"/>
                <w:szCs w:val="21"/>
                <w:highlight w:val="none"/>
              </w:rPr>
              <w:t>来宾市税务局大桥路办公区（</w:t>
            </w:r>
            <w:r>
              <w:rPr>
                <w:rFonts w:hint="eastAsia" w:ascii="宋体" w:hAnsi="宋体" w:cs="宋体"/>
                <w:snapToGrid w:val="0"/>
                <w:color w:val="auto"/>
                <w:spacing w:val="5"/>
                <w:kern w:val="0"/>
                <w:szCs w:val="21"/>
                <w:highlight w:val="none"/>
              </w:rPr>
              <w:t>来宾市兴宾区大桥路8</w:t>
            </w:r>
            <w:r>
              <w:rPr>
                <w:rFonts w:hint="eastAsia" w:ascii="宋体" w:hAnsi="宋体" w:cs="宋体"/>
                <w:snapToGrid w:val="0"/>
                <w:color w:val="auto"/>
                <w:spacing w:val="11"/>
                <w:kern w:val="0"/>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Calibri"/>
                <w:color w:val="auto"/>
                <w:szCs w:val="21"/>
                <w:highlight w:val="none"/>
              </w:rPr>
            </w:pPr>
            <w:r>
              <w:rPr>
                <w:rFonts w:hint="eastAsia" w:ascii="宋体" w:hAnsi="宋体" w:cs="Calibri"/>
                <w:color w:val="auto"/>
                <w:szCs w:val="21"/>
                <w:highlight w:val="none"/>
              </w:rPr>
              <w:t>报价要求</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（一）物业管理服务费包含以下1至11所列项目费用及物业管理所发生的一切成本利润的总和：</w:t>
            </w:r>
          </w:p>
          <w:p>
            <w:pPr>
              <w:spacing w:line="500" w:lineRule="exact"/>
              <w:ind w:firstLine="420" w:firstLineChars="200"/>
              <w:jc w:val="left"/>
              <w:rPr>
                <w:rFonts w:hint="eastAsia" w:ascii="宋体" w:hAnsi="宋体" w:cs="宋体"/>
                <w:snapToGrid w:val="0"/>
                <w:color w:val="auto"/>
                <w:kern w:val="0"/>
                <w:szCs w:val="21"/>
                <w:highlight w:val="none"/>
              </w:rPr>
            </w:pPr>
            <w:r>
              <w:rPr>
                <w:rFonts w:hint="eastAsia" w:ascii="宋体" w:hAnsi="宋体" w:eastAsia="宋体" w:cs="宋体"/>
                <w:color w:val="auto"/>
                <w:highlight w:val="none"/>
              </w:rPr>
              <w:t>1.员工工资；2.行政办公费用；3.服装费用；4.公共清洁卫生管理和耗品费；5.公共设施、设备运行、维修、维护费用；6.绿化管理和养护费；7.保险（公众责任</w:t>
            </w:r>
            <w:r>
              <w:rPr>
                <w:rFonts w:hint="eastAsia" w:ascii="宋体" w:hAnsi="宋体" w:cs="宋体"/>
                <w:snapToGrid w:val="0"/>
                <w:color w:val="auto"/>
                <w:kern w:val="0"/>
                <w:szCs w:val="21"/>
                <w:highlight w:val="none"/>
              </w:rPr>
              <w:t>险等）；8.利润；9.国家法定税费；10.其他不可预见费；11.投标人认为需要列入的其他费用。</w:t>
            </w:r>
          </w:p>
          <w:p>
            <w:pPr>
              <w:spacing w:line="5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（二）其他报价说明</w:t>
            </w:r>
          </w:p>
          <w:p>
            <w:pPr>
              <w:spacing w:line="500" w:lineRule="exact"/>
              <w:ind w:firstLine="422" w:firstLineChars="200"/>
              <w:jc w:val="left"/>
              <w:rPr>
                <w:color w:val="auto"/>
                <w:highlight w:val="none"/>
              </w:rPr>
            </w:pPr>
            <w:r>
              <w:rPr>
                <w:rFonts w:hint="eastAsia" w:ascii="宋体" w:hAnsi="宋体" w:eastAsia="宋体" w:cs="宋体"/>
                <w:b/>
                <w:bCs/>
                <w:color w:val="auto"/>
                <w:highlight w:val="none"/>
              </w:rPr>
              <w:t>电梯</w:t>
            </w:r>
            <w:r>
              <w:rPr>
                <w:rFonts w:hint="eastAsia" w:ascii="宋体" w:hAnsi="宋体" w:eastAsia="宋体" w:cs="宋体"/>
                <w:b/>
                <w:bCs/>
                <w:color w:val="auto"/>
                <w:highlight w:val="none"/>
                <w:lang w:val="en-US" w:eastAsia="zh-CN"/>
              </w:rPr>
              <w:t>运行维护</w:t>
            </w:r>
            <w:r>
              <w:rPr>
                <w:rFonts w:hint="eastAsia" w:ascii="宋体" w:hAnsi="宋体" w:eastAsia="宋体" w:cs="宋体"/>
                <w:b/>
                <w:bCs/>
                <w:color w:val="auto"/>
                <w:highlight w:val="none"/>
              </w:rPr>
              <w:t>费补充说明：</w:t>
            </w:r>
            <w:r>
              <w:rPr>
                <w:rFonts w:hint="eastAsia" w:ascii="宋体" w:hAnsi="宋体" w:eastAsia="宋体" w:cs="宋体"/>
                <w:color w:val="auto"/>
                <w:highlight w:val="none"/>
              </w:rPr>
              <w:t>本次物业管理服务采购共包括</w:t>
            </w:r>
            <w:r>
              <w:rPr>
                <w:rFonts w:hint="eastAsia" w:ascii="宋体" w:hAnsi="宋体" w:cs="宋体"/>
                <w:color w:val="auto"/>
                <w:highlight w:val="none"/>
              </w:rPr>
              <w:t>3</w:t>
            </w:r>
            <w:r>
              <w:rPr>
                <w:rFonts w:hint="eastAsia" w:ascii="宋体" w:hAnsi="宋体" w:eastAsia="宋体" w:cs="宋体"/>
                <w:color w:val="auto"/>
                <w:highlight w:val="none"/>
              </w:rPr>
              <w:t>台电梯运行维护服务，均为</w:t>
            </w:r>
            <w:r>
              <w:rPr>
                <w:rFonts w:hint="eastAsia" w:ascii="宋体" w:hAnsi="宋体" w:cs="宋体"/>
                <w:color w:val="auto"/>
                <w:highlight w:val="none"/>
              </w:rPr>
              <w:t>9</w:t>
            </w:r>
            <w:r>
              <w:rPr>
                <w:rFonts w:hint="eastAsia" w:ascii="宋体" w:hAnsi="宋体" w:eastAsia="宋体" w:cs="宋体"/>
                <w:color w:val="auto"/>
                <w:highlight w:val="none"/>
              </w:rPr>
              <w:t>层</w:t>
            </w:r>
            <w:r>
              <w:rPr>
                <w:rFonts w:hint="eastAsia" w:ascii="宋体" w:hAnsi="宋体" w:cs="宋体"/>
                <w:color w:val="auto"/>
                <w:highlight w:val="none"/>
              </w:rPr>
              <w:t>（含）以下</w:t>
            </w:r>
            <w:r>
              <w:rPr>
                <w:rFonts w:hint="eastAsia" w:ascii="宋体" w:hAnsi="宋体" w:eastAsia="宋体" w:cs="宋体"/>
                <w:color w:val="auto"/>
                <w:highlight w:val="none"/>
              </w:rPr>
              <w:t>电梯，电梯运行维护费标准为</w:t>
            </w:r>
            <w:r>
              <w:rPr>
                <w:rFonts w:hint="eastAsia" w:ascii="宋体" w:hAnsi="宋体" w:cs="宋体"/>
                <w:color w:val="auto"/>
                <w:highlight w:val="none"/>
              </w:rPr>
              <w:t>2.5</w:t>
            </w:r>
            <w:r>
              <w:rPr>
                <w:rFonts w:hint="eastAsia" w:ascii="宋体" w:hAnsi="宋体" w:eastAsia="宋体" w:cs="宋体"/>
                <w:color w:val="auto"/>
                <w:highlight w:val="none"/>
              </w:rPr>
              <w:t>万元/台，单年费用小计</w:t>
            </w:r>
            <w:r>
              <w:rPr>
                <w:rFonts w:hint="eastAsia" w:ascii="宋体" w:hAnsi="宋体" w:cs="宋体"/>
                <w:color w:val="auto"/>
                <w:highlight w:val="none"/>
              </w:rPr>
              <w:t>7.5</w:t>
            </w:r>
            <w:r>
              <w:rPr>
                <w:rFonts w:hint="eastAsia" w:ascii="宋体" w:hAnsi="宋体" w:eastAsia="宋体" w:cs="宋体"/>
                <w:color w:val="auto"/>
                <w:highlight w:val="none"/>
              </w:rPr>
              <w:t>万元，两年费用合</w:t>
            </w:r>
            <w:r>
              <w:rPr>
                <w:rFonts w:hint="eastAsia" w:ascii="宋体" w:hAnsi="宋体" w:cs="宋体"/>
                <w:color w:val="auto"/>
                <w:highlight w:val="none"/>
              </w:rPr>
              <w:t>计15</w:t>
            </w:r>
            <w:r>
              <w:rPr>
                <w:rFonts w:hint="eastAsia" w:ascii="宋体" w:hAnsi="宋体" w:eastAsia="宋体" w:cs="宋体"/>
                <w:color w:val="auto"/>
                <w:highlight w:val="none"/>
              </w:rPr>
              <w:t>万元，电梯运行维护费需单独报价。如果采购人计划更换部分电梯，电梯投入使用后，若质保期内出现质量问题由电梯供应商免费维修，因此质保期内的电梯运维费用应在物业服务费据实核减。综上所述，若实际提供运行维护服务的电梯不足</w:t>
            </w:r>
            <w:r>
              <w:rPr>
                <w:rFonts w:hint="eastAsia" w:ascii="宋体" w:hAnsi="宋体" w:cs="宋体"/>
                <w:color w:val="auto"/>
                <w:highlight w:val="none"/>
              </w:rPr>
              <w:t>3</w:t>
            </w:r>
            <w:r>
              <w:rPr>
                <w:rFonts w:hint="eastAsia" w:ascii="宋体" w:hAnsi="宋体" w:eastAsia="宋体" w:cs="宋体"/>
                <w:color w:val="auto"/>
                <w:highlight w:val="none"/>
              </w:rPr>
              <w:t>台，则按月扣减未运维电梯费用（每台电梯每月运维费用*未运维电梯台数）。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Calibri"/>
                <w:color w:val="auto"/>
                <w:szCs w:val="21"/>
                <w:highlight w:val="none"/>
              </w:rPr>
            </w:pPr>
            <w:r>
              <w:rPr>
                <w:rFonts w:hint="eastAsia" w:ascii="宋体" w:hAnsi="宋体" w:cs="Arial"/>
                <w:color w:val="auto"/>
                <w:szCs w:val="21"/>
                <w:highlight w:val="none"/>
              </w:rPr>
              <w:t>付款方式</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1.采购人采取每月定期（详见附件1《来宾市税务局物业管理服务__月份定期考核评分表》）及不定期（详见附件2《来宾市税务局物业管理服务日常考核检查情况表》）方式对中标人进行考核。</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2.采购人按月对中标人物业服务工作进行综合考核，考核结论分为“优”“良”“中”“差”4档，其中：“优”为总分 95 分（含 95 分）以上，“良”为总分 90 分（含 90 分）-95 分（不含 95 分），“中”为总分 85 分（含 85 分）-90分（不含 90分），“差”为总分85 分（不含 85 分）以下。</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综合考核评定结果为“优”的，不扣所属月份的物业服务费用；综合考核评定结果为“良”的，扣应付物业服务费的 1%（取整到元）；综合考核评定结果为“中”的，扣应付物业服务费的 2%（取整到元）；综合考核评定结果为“差”的，扣应付物业服务费的 5%（取整到元）。累计三次考核结论为“差”，或由于中标人责任，在合同履行期间发生安全责任事故造成人员或财产损失的，采购人有权单方面解除合同。</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3.采购人对中标人的服务质量不定期抽查，检查记录经双方签字确认后保存在采购人处。采购人有权根据检查结果，按附件2《来宾市税务局物业管理服务日常考核检查情况表》对中标人实施扣款，并下达书面整改通知责令中标人限期整改。中标人应派人参加每月考核，采购人发现问题则当场告知。中标人应根据考核发现问题，自采购人当场告知后5个工作日内提出整改意见，及时落实整改。</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4.服务费用按月结算。考核结果经采购人、中标人双方确认后的10个工作日内，中标人根据考核结果将请款函以及同等金额、合法有效的增值税发票提交给采购人，采购人在收到付款申请、合格发票后10个工作日内支付上月物业服务费到合同约定的中标供应商账户；采购人未收到付款申请及合格发票的，有权不予支付相应款项，并不承担延迟付款责任。</w:t>
            </w:r>
          </w:p>
          <w:p>
            <w:pPr>
              <w:widowControl/>
              <w:spacing w:line="500" w:lineRule="exact"/>
              <w:ind w:firstLine="420" w:firstLineChars="200"/>
              <w:jc w:val="left"/>
              <w:rPr>
                <w:rFonts w:hint="eastAsia" w:ascii="宋体" w:hAnsi="宋体" w:cs="Calibri"/>
                <w:color w:val="auto"/>
                <w:szCs w:val="21"/>
                <w:highlight w:val="none"/>
              </w:rPr>
            </w:pPr>
            <w:r>
              <w:rPr>
                <w:rFonts w:hint="eastAsia" w:ascii="宋体" w:hAnsi="宋体" w:cs="Calibri"/>
                <w:color w:val="auto"/>
                <w:szCs w:val="21"/>
                <w:highlight w:val="none"/>
              </w:rPr>
              <w:t>当月实际支付物业服务费=应付上月物业服务费-上月定期考核扣款-未支付的不定期考核扣款。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Arial"/>
                <w:color w:val="auto"/>
                <w:szCs w:val="21"/>
                <w:highlight w:val="none"/>
              </w:rPr>
            </w:pPr>
            <w:r>
              <w:rPr>
                <w:rFonts w:hint="eastAsia" w:ascii="宋体" w:hAnsi="宋体"/>
                <w:color w:val="auto"/>
                <w:szCs w:val="21"/>
                <w:highlight w:val="none"/>
              </w:rPr>
              <w:t>验收方式及标准</w:t>
            </w:r>
          </w:p>
        </w:tc>
        <w:tc>
          <w:tcPr>
            <w:tcW w:w="8294" w:type="dxa"/>
            <w:gridSpan w:val="2"/>
            <w:tcBorders>
              <w:top w:val="single" w:color="auto" w:sz="4" w:space="0"/>
              <w:left w:val="single" w:color="auto" w:sz="4" w:space="0"/>
              <w:bottom w:val="single" w:color="auto" w:sz="4" w:space="0"/>
              <w:right w:val="single" w:color="auto" w:sz="4" w:space="0"/>
            </w:tcBorders>
          </w:tcPr>
          <w:p>
            <w:pPr>
              <w:widowControl/>
              <w:spacing w:line="500" w:lineRule="exac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1.项目验收工作由采购人按照内部验收的有关制度和流程组织开展。</w:t>
            </w:r>
          </w:p>
          <w:p>
            <w:pPr>
              <w:widowControl/>
              <w:spacing w:line="380" w:lineRule="exact"/>
              <w:ind w:firstLine="420" w:firstLineChars="200"/>
              <w:jc w:val="left"/>
              <w:rPr>
                <w:rFonts w:hint="eastAsia" w:ascii="宋体" w:hAnsi="宋体" w:cs="Arial"/>
                <w:color w:val="auto"/>
                <w:szCs w:val="21"/>
                <w:highlight w:val="none"/>
              </w:rPr>
            </w:pPr>
            <w:r>
              <w:rPr>
                <w:rFonts w:hint="eastAsia" w:ascii="宋体" w:hAnsi="宋体" w:cs="Arial"/>
                <w:b w:val="0"/>
                <w:bCs w:val="0"/>
                <w:color w:val="auto"/>
                <w:szCs w:val="21"/>
                <w:highlight w:val="none"/>
              </w:rPr>
              <w:t>2.中标人在服务期结束后5个工作日内向采购人提出验收申请，</w:t>
            </w:r>
            <w:r>
              <w:rPr>
                <w:rFonts w:hint="eastAsia" w:ascii="宋体" w:hAnsi="宋体" w:cs="Arial"/>
                <w:color w:val="auto"/>
                <w:szCs w:val="21"/>
                <w:highlight w:val="none"/>
              </w:rPr>
              <w:t>采购人负责审核是否满足项目验收条件。满足验收条件后，予以启动项目验收程序。</w:t>
            </w:r>
          </w:p>
          <w:p>
            <w:pPr>
              <w:widowControl/>
              <w:spacing w:line="380" w:lineRule="exac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（1）项目验收条件</w:t>
            </w:r>
          </w:p>
          <w:p>
            <w:pPr>
              <w:widowControl/>
              <w:spacing w:line="380" w:lineRule="exac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本招标文件中包含的服务需求内容按期完成。</w:t>
            </w:r>
          </w:p>
          <w:p>
            <w:pPr>
              <w:widowControl/>
              <w:spacing w:line="380" w:lineRule="exac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服务响应、服务流程、服务质量、服务成果以及组织管理和项目文档满足本招标文件的规定要求。</w:t>
            </w:r>
          </w:p>
          <w:p>
            <w:pPr>
              <w:widowControl/>
              <w:spacing w:line="380" w:lineRule="exact"/>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（2）项目验收标准</w:t>
            </w:r>
          </w:p>
          <w:p>
            <w:pPr>
              <w:widowControl/>
              <w:spacing w:line="380" w:lineRule="exact"/>
              <w:ind w:firstLine="420" w:firstLineChars="200"/>
              <w:jc w:val="left"/>
              <w:rPr>
                <w:rFonts w:hint="eastAsia" w:ascii="宋体" w:hAnsi="宋体" w:eastAsia="宋体" w:cs="Arial"/>
                <w:color w:val="auto"/>
                <w:szCs w:val="21"/>
                <w:highlight w:val="none"/>
              </w:rPr>
            </w:pPr>
            <w:r>
              <w:rPr>
                <w:rFonts w:hint="eastAsia" w:ascii="宋体" w:hAnsi="宋体" w:cs="Arial"/>
                <w:color w:val="auto"/>
                <w:szCs w:val="21"/>
                <w:highlight w:val="none"/>
              </w:rPr>
              <w:t>采购人以本招标文件中相关内容为依据，作为项目验收标准。中标人是否按照本招标需求书中定义的各项服务内容和服务管理开展各项工作，工作流程和结果是否符合采购人质量管理要求，是否在规定时间内提交相关工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015"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utoSpaceDE w:val="0"/>
              <w:autoSpaceDN w:val="0"/>
              <w:adjustRightInd w:val="0"/>
              <w:spacing w:line="500" w:lineRule="exact"/>
              <w:rPr>
                <w:rFonts w:hint="eastAsia" w:ascii="宋体" w:hAnsi="宋体" w:cs="宋体"/>
                <w:b/>
                <w:color w:val="auto"/>
                <w:szCs w:val="21"/>
                <w:highlight w:val="none"/>
              </w:rPr>
            </w:pPr>
            <w:r>
              <w:rPr>
                <w:rFonts w:ascii="宋体" w:hAnsi="宋体" w:cs="宋体"/>
                <w:b/>
                <w:color w:val="auto"/>
                <w:szCs w:val="21"/>
                <w:highlight w:val="none"/>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utoSpaceDE w:val="0"/>
              <w:autoSpaceDN w:val="0"/>
              <w:adjustRightInd w:val="0"/>
              <w:spacing w:line="50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其他要求</w:t>
            </w:r>
          </w:p>
        </w:tc>
        <w:tc>
          <w:tcPr>
            <w:tcW w:w="82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投标人建立相关的标准化管理体系、创建绿色企业、提供绿色物业管理服务、切实保护企业从业人员的职业健康、职业安全等合法权益，采用标准化的管理方式为采购人提供优质的物业管理服务，节能减排，同时确保对采购人、社会更负责任。</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（二）投标人近三年内具有综合性物业管理服务的经验。</w:t>
            </w:r>
          </w:p>
          <w:p>
            <w:pPr>
              <w:autoSpaceDE w:val="0"/>
              <w:autoSpaceDN w:val="0"/>
              <w:adjustRightInd w:val="0"/>
              <w:spacing w:line="380" w:lineRule="exact"/>
              <w:ind w:firstLine="420" w:firstLineChars="200"/>
              <w:rPr>
                <w:rFonts w:hint="eastAsia" w:ascii="宋体" w:hAnsi="宋体" w:eastAsia="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）投标人可以根据项目要求，在投标文件中提供包括但不限于：</w:t>
            </w:r>
            <w:r>
              <w:rPr>
                <w:rFonts w:hint="eastAsia" w:ascii="宋体" w:hAnsi="宋体" w:cs="宋体"/>
                <w:color w:val="auto"/>
                <w:szCs w:val="21"/>
                <w:highlight w:val="none"/>
                <w:lang w:val="zh-CN"/>
              </w:rPr>
              <w:t>综合服务方案、房屋的日常养护及公共设施设备日常清洁养护管理方案、保洁绿化服务方案</w:t>
            </w:r>
            <w:r>
              <w:rPr>
                <w:rFonts w:hint="eastAsia" w:ascii="宋体" w:hAnsi="宋体" w:cs="宋体"/>
                <w:color w:val="auto"/>
                <w:szCs w:val="21"/>
                <w:highlight w:val="none"/>
              </w:rPr>
              <w:t>、秩序维护</w:t>
            </w:r>
            <w:r>
              <w:rPr>
                <w:rFonts w:hint="eastAsia" w:ascii="宋体" w:hAnsi="宋体" w:cs="宋体"/>
                <w:color w:val="auto"/>
                <w:szCs w:val="21"/>
                <w:highlight w:val="none"/>
                <w:lang w:val="zh-CN"/>
              </w:rPr>
              <w:t>服务方</w:t>
            </w:r>
            <w:r>
              <w:rPr>
                <w:rFonts w:hint="eastAsia" w:ascii="宋体" w:hAnsi="宋体" w:cs="宋体"/>
                <w:color w:val="auto"/>
                <w:szCs w:val="21"/>
                <w:highlight w:val="none"/>
              </w:rPr>
              <w:t>案、</w:t>
            </w:r>
            <w:r>
              <w:rPr>
                <w:rFonts w:hint="eastAsia" w:ascii="宋体" w:hAnsi="宋体" w:cs="宋体"/>
                <w:color w:val="auto"/>
                <w:szCs w:val="21"/>
                <w:highlight w:val="none"/>
                <w:lang w:val="zh-CN"/>
              </w:rPr>
              <w:t>突发事件应急预案、相关证书、成功案例、技术力量</w:t>
            </w:r>
            <w:r>
              <w:rPr>
                <w:rFonts w:hint="eastAsia" w:ascii="宋体" w:hAnsi="宋体" w:cs="宋体"/>
                <w:color w:val="auto"/>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utoSpaceDE w:val="0"/>
              <w:autoSpaceDN w:val="0"/>
              <w:adjustRightInd w:val="0"/>
              <w:spacing w:line="380" w:lineRule="exact"/>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2</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hint="eastAsia" w:ascii="宋体" w:hAnsi="宋体" w:eastAsiaTheme="minorEastAsia" w:cstheme="minorBidi"/>
                <w:color w:val="auto"/>
                <w:kern w:val="2"/>
                <w:sz w:val="21"/>
                <w:szCs w:val="21"/>
                <w:highlight w:val="none"/>
                <w:lang w:val="en-US" w:eastAsia="zh-CN" w:bidi="ar-SA"/>
              </w:rPr>
            </w:pPr>
            <w:r>
              <w:rPr>
                <w:rFonts w:hint="eastAsia" w:ascii="宋体" w:hAnsi="宋体" w:cs="Calibri"/>
                <w:color w:val="auto"/>
                <w:szCs w:val="21"/>
                <w:highlight w:val="none"/>
              </w:rPr>
              <w:t>★</w:t>
            </w:r>
            <w:r>
              <w:rPr>
                <w:rFonts w:hint="eastAsia" w:ascii="宋体" w:hAnsi="宋体" w:cstheme="minorBidi"/>
                <w:color w:val="auto"/>
                <w:szCs w:val="21"/>
                <w:highlight w:val="none"/>
              </w:rPr>
              <w:t>分包</w:t>
            </w:r>
            <w:r>
              <w:rPr>
                <w:rFonts w:hint="eastAsia" w:ascii="宋体" w:hAnsi="宋体" w:cstheme="minorBidi"/>
                <w:color w:val="auto"/>
                <w:szCs w:val="21"/>
                <w:highlight w:val="none"/>
                <w:lang w:val="en-US" w:eastAsia="zh-CN"/>
              </w:rPr>
              <w:t>要求</w:t>
            </w:r>
          </w:p>
        </w:tc>
        <w:tc>
          <w:tcPr>
            <w:tcW w:w="8294"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可以分包的内容</w:t>
            </w:r>
            <w:r>
              <w:rPr>
                <w:rFonts w:hint="eastAsia" w:ascii="宋体" w:hAnsi="宋体" w:cs="宋体"/>
                <w:color w:val="auto"/>
                <w:szCs w:val="21"/>
                <w:highlight w:val="none"/>
                <w:lang w:val="en-US" w:eastAsia="zh-CN"/>
              </w:rPr>
              <w:t>及要求</w:t>
            </w:r>
            <w:r>
              <w:rPr>
                <w:rFonts w:hint="eastAsia" w:ascii="宋体" w:hAnsi="宋体" w:cs="宋体"/>
                <w:color w:val="auto"/>
                <w:szCs w:val="21"/>
                <w:highlight w:val="none"/>
              </w:rPr>
              <w:t>：</w:t>
            </w:r>
          </w:p>
          <w:p>
            <w:pPr>
              <w:numPr>
                <w:ilvl w:val="0"/>
                <w:numId w:val="0"/>
              </w:numPr>
              <w:autoSpaceDE w:val="0"/>
              <w:autoSpaceDN w:val="0"/>
              <w:adjustRightInd w:val="0"/>
              <w:spacing w:line="3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r>
              <w:rPr>
                <w:rFonts w:hint="eastAsia" w:ascii="宋体" w:hAnsi="宋体" w:cs="宋体"/>
                <w:color w:val="auto"/>
                <w:szCs w:val="21"/>
                <w:highlight w:val="none"/>
              </w:rPr>
              <w:t>本章节“三、物业管理服务具体要求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（二）公共设施设备日常管理养护</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5.电梯运行维护”的服务内容可以分包</w:t>
            </w:r>
            <w:r>
              <w:rPr>
                <w:rFonts w:hint="eastAsia" w:ascii="宋体" w:hAnsi="宋体" w:cs="宋体"/>
                <w:color w:val="auto"/>
                <w:szCs w:val="21"/>
                <w:highlight w:val="none"/>
                <w:lang w:eastAsia="zh-CN"/>
              </w:rPr>
              <w:t>。</w:t>
            </w:r>
          </w:p>
          <w:p>
            <w:pPr>
              <w:autoSpaceDE w:val="0"/>
              <w:autoSpaceDN w:val="0"/>
              <w:adjustRightInd w:val="0"/>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）如中标人对“电梯运行维护”的服务内容不进行分包的，中标人应具有以下资质之一：</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1.具有有效的行政主管部门颁发的《中华人民共和国特种设备生产许可证》[许可项目：电梯制造（含安装、修理、改造），许可子项目：曳引驱动乘客电梯（B级或以上）]；</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2.具有有效的行政主管部门颁发的《中华人民共和国特种设备生产许可证》[许可项目：电梯安装（含修理），许可子项目：曳引驱动乘客电梯（B级或以上）]；</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3.具有有效的行政主管部门颁发的《中华人民共和国特种设备制造许可证》（电梯）（旧证）或《中华人民共和国特种设备安装改造维修许可证》（电梯）（旧证）,且许可范围满足第1或2点要求。</w:t>
            </w:r>
          </w:p>
          <w:p>
            <w:pPr>
              <w:autoSpaceDE w:val="0"/>
              <w:autoSpaceDN w:val="0"/>
              <w:adjustRightInd w:val="0"/>
              <w:spacing w:line="380" w:lineRule="exact"/>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rPr>
              <w:t>注：须在投标文件“商务部分”中“三、其他文件及资料”提供以上证书扫描件；未按要求提供者，投标文件无效。</w:t>
            </w:r>
          </w:p>
          <w:p>
            <w:pPr>
              <w:autoSpaceDE w:val="0"/>
              <w:autoSpaceDN w:val="0"/>
              <w:adjustRightInd w:val="0"/>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如中标人对“电梯运行维护”的服务内容进行分包：</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1.分包供应商是符合政策要求的</w:t>
            </w:r>
            <w:r>
              <w:rPr>
                <w:rFonts w:hint="eastAsia" w:ascii="宋体" w:hAnsi="宋体" w:cs="宋体"/>
                <w:b/>
                <w:bCs/>
                <w:color w:val="auto"/>
                <w:sz w:val="24"/>
                <w:szCs w:val="24"/>
                <w:highlight w:val="none"/>
                <w:u w:val="single"/>
              </w:rPr>
              <w:t>小微企业或监狱企业或残疾人福利性单位</w:t>
            </w:r>
            <w:r>
              <w:rPr>
                <w:rFonts w:hint="eastAsia" w:ascii="宋体" w:hAnsi="宋体" w:cs="宋体"/>
                <w:color w:val="auto"/>
                <w:szCs w:val="21"/>
                <w:highlight w:val="none"/>
              </w:rPr>
              <w:t>；如中标人为</w:t>
            </w:r>
            <w:r>
              <w:rPr>
                <w:rFonts w:hint="eastAsia" w:ascii="宋体" w:hAnsi="宋体" w:cs="宋体"/>
                <w:b/>
                <w:bCs/>
                <w:color w:val="auto"/>
                <w:sz w:val="24"/>
                <w:szCs w:val="24"/>
                <w:highlight w:val="none"/>
                <w:u w:val="single"/>
              </w:rPr>
              <w:t>小微企业，不得将合同分包给大中型企业</w:t>
            </w:r>
            <w:r>
              <w:rPr>
                <w:rFonts w:hint="eastAsia" w:ascii="宋体" w:hAnsi="宋体" w:cs="宋体"/>
                <w:color w:val="auto"/>
                <w:szCs w:val="21"/>
                <w:highlight w:val="none"/>
              </w:rPr>
              <w:t>。</w:t>
            </w:r>
          </w:p>
          <w:p>
            <w:pPr>
              <w:autoSpaceDE w:val="0"/>
              <w:autoSpaceDN w:val="0"/>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分包供应商具有以下资质之一：①具有有效的行政主管部门颁发的《中华人民共和国特种设备生产许可证》[许可项目：电梯制造（含安装、修理、改造），许可子项目：曳引驱动乘客电梯（B级或以上）]；②具有有效的行政主管部门颁发的《中华人民共和国特种设备生产许可证》[许可项目：电梯安装（含修理），许可子项目：曳引驱动乘客电梯（B级或以上）]；③具有有效的行政主管部门颁发的《中华人民共和国特种设备制造许可证》（电梯）（旧证）或《中华人民共和国特种设备安装改造维修许可证》（电梯）（旧证）,且许可范围满足第①或②点要求；</w:t>
            </w:r>
          </w:p>
          <w:p>
            <w:pPr>
              <w:autoSpaceDE w:val="0"/>
              <w:autoSpaceDN w:val="0"/>
              <w:adjustRightInd w:val="0"/>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注：如投标人对“电梯运行维护”的服务内容进行分包，须在投标文件“商务部分”中“三、其他文件及资料”提供拟分包的公司营业执照复印件，</w:t>
            </w:r>
            <w:r>
              <w:rPr>
                <w:rFonts w:hint="eastAsia" w:ascii="宋体" w:hAnsi="宋体" w:cs="宋体"/>
                <w:b/>
                <w:bCs/>
                <w:color w:val="auto"/>
                <w:szCs w:val="21"/>
                <w:highlight w:val="none"/>
                <w:lang w:val="en-US" w:eastAsia="zh-CN"/>
              </w:rPr>
              <w:t>该</w:t>
            </w:r>
            <w:r>
              <w:rPr>
                <w:rFonts w:hint="eastAsia" w:ascii="宋体" w:hAnsi="宋体" w:cs="宋体"/>
                <w:b/>
                <w:bCs/>
                <w:color w:val="auto"/>
                <w:szCs w:val="21"/>
                <w:highlight w:val="none"/>
              </w:rPr>
              <w:t>公司以上证书复印件（其中一个证书即可）；未按要求提供者，投标无效。</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ascii="宋体" w:hAnsi="宋体" w:cs="宋体"/>
                <w:color w:val="auto"/>
                <w:szCs w:val="21"/>
                <w:highlight w:val="none"/>
              </w:rPr>
              <w:t>分包供应商不得再次分包；</w:t>
            </w:r>
          </w:p>
          <w:p>
            <w:pPr>
              <w:autoSpaceDE w:val="0"/>
              <w:autoSpaceDN w:val="0"/>
              <w:adjustRightInd w:val="0"/>
              <w:spacing w:line="380" w:lineRule="exact"/>
              <w:ind w:firstLine="420" w:firstLineChars="200"/>
              <w:rPr>
                <w:rFonts w:hint="eastAsia" w:ascii="宋体" w:hAnsi="宋体" w:eastAsiaTheme="minorEastAsia" w:cstheme="minorBidi"/>
                <w:color w:val="auto"/>
                <w:kern w:val="2"/>
                <w:sz w:val="21"/>
                <w:szCs w:val="21"/>
                <w:highlight w:val="none"/>
                <w:lang w:val="en-US" w:eastAsia="zh-CN" w:bidi="ar-SA"/>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中标人应就分包内容向采购人负责，并与分包供应商就分包内容向采购人承担连带责任。</w:t>
            </w:r>
          </w:p>
        </w:tc>
      </w:tr>
    </w:tbl>
    <w:p>
      <w:pPr>
        <w:wordWrap w:val="0"/>
        <w:autoSpaceDE w:val="0"/>
        <w:autoSpaceDN w:val="0"/>
        <w:adjustRightInd w:val="0"/>
        <w:snapToGrid w:val="0"/>
        <w:spacing w:before="149" w:line="500" w:lineRule="exact"/>
        <w:ind w:left="8" w:firstLine="431"/>
        <w:jc w:val="left"/>
        <w:textAlignment w:val="baseline"/>
        <w:rPr>
          <w:rFonts w:hint="eastAsia" w:ascii="宋体" w:hAnsi="宋体" w:cs="宋体"/>
          <w:b/>
          <w:bCs/>
          <w:color w:val="auto"/>
          <w:sz w:val="30"/>
          <w:szCs w:val="30"/>
          <w:highlight w:val="none"/>
        </w:rPr>
      </w:pPr>
      <w:r>
        <w:rPr>
          <w:rFonts w:ascii="仿宋" w:hAnsi="仿宋" w:eastAsia="仿宋" w:cs="仿宋"/>
          <w:b/>
          <w:bCs/>
          <w:snapToGrid w:val="0"/>
          <w:color w:val="auto"/>
          <w:spacing w:val="8"/>
          <w:kern w:val="0"/>
          <w:sz w:val="24"/>
          <w:szCs w:val="24"/>
          <w:highlight w:val="none"/>
        </w:rPr>
        <w:br w:type="page"/>
      </w:r>
    </w:p>
    <w:p>
      <w:pPr>
        <w:spacing w:line="500" w:lineRule="exact"/>
        <w:ind w:firstLine="602" w:firstLineChars="200"/>
        <w:rPr>
          <w:b/>
          <w:bCs/>
          <w:color w:val="auto"/>
          <w:sz w:val="30"/>
          <w:szCs w:val="30"/>
          <w:highlight w:val="none"/>
        </w:rPr>
      </w:pPr>
      <w:r>
        <w:rPr>
          <w:rFonts w:hint="eastAsia" w:ascii="宋体" w:hAnsi="宋体" w:cs="宋体"/>
          <w:b/>
          <w:bCs/>
          <w:color w:val="auto"/>
          <w:sz w:val="30"/>
          <w:szCs w:val="30"/>
          <w:highlight w:val="none"/>
        </w:rPr>
        <w:t>附件1</w:t>
      </w:r>
      <w:r>
        <w:rPr>
          <w:rFonts w:hint="eastAsia" w:ascii="宋体" w:hAnsi="宋体" w:eastAsia="宋体" w:cs="宋体"/>
          <w:b/>
          <w:bCs/>
          <w:color w:val="auto"/>
          <w:sz w:val="30"/>
          <w:szCs w:val="30"/>
          <w:highlight w:val="none"/>
        </w:rPr>
        <w:t>：</w:t>
      </w:r>
      <w:r>
        <w:rPr>
          <w:rFonts w:hint="eastAsia"/>
          <w:b/>
          <w:bCs/>
          <w:color w:val="auto"/>
          <w:sz w:val="30"/>
          <w:szCs w:val="30"/>
          <w:highlight w:val="none"/>
        </w:rPr>
        <w:t>来宾市税务局物业管理服务__月份定期考核评分表</w:t>
      </w:r>
    </w:p>
    <w:p>
      <w:pPr>
        <w:spacing w:line="500" w:lineRule="exact"/>
        <w:ind w:firstLine="1807" w:firstLineChars="600"/>
        <w:rPr>
          <w:b/>
          <w:bCs/>
          <w:color w:val="auto"/>
          <w:sz w:val="30"/>
          <w:szCs w:val="30"/>
          <w:highlight w:val="none"/>
        </w:rPr>
      </w:pPr>
      <w:r>
        <w:rPr>
          <w:rFonts w:hint="eastAsia"/>
          <w:b/>
          <w:bCs/>
          <w:color w:val="auto"/>
          <w:sz w:val="30"/>
          <w:szCs w:val="30"/>
          <w:highlight w:val="none"/>
        </w:rPr>
        <w:t xml:space="preserve">                    </w:t>
      </w:r>
      <w:r>
        <w:rPr>
          <w:rFonts w:hint="eastAsia"/>
          <w:b/>
          <w:bCs/>
          <w:color w:val="auto"/>
          <w:sz w:val="28"/>
          <w:szCs w:val="28"/>
          <w:highlight w:val="none"/>
        </w:rPr>
        <w:t>年  月   日</w:t>
      </w:r>
    </w:p>
    <w:tbl>
      <w:tblPr>
        <w:tblStyle w:val="53"/>
        <w:tblpPr w:leftFromText="180" w:rightFromText="180" w:vertAnchor="text"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233"/>
        <w:gridCol w:w="675"/>
        <w:gridCol w:w="21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序号</w:t>
            </w:r>
          </w:p>
        </w:tc>
        <w:tc>
          <w:tcPr>
            <w:tcW w:w="3233" w:type="dxa"/>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考核内容</w:t>
            </w:r>
          </w:p>
        </w:tc>
        <w:tc>
          <w:tcPr>
            <w:tcW w:w="675" w:type="dxa"/>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分值</w:t>
            </w:r>
          </w:p>
        </w:tc>
        <w:tc>
          <w:tcPr>
            <w:tcW w:w="2170" w:type="dxa"/>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考核细则</w:t>
            </w:r>
          </w:p>
        </w:tc>
        <w:tc>
          <w:tcPr>
            <w:tcW w:w="885" w:type="dxa"/>
          </w:tcPr>
          <w:p>
            <w:pPr>
              <w:jc w:val="center"/>
              <w:rPr>
                <w:rFonts w:hint="eastAsia" w:eastAsiaTheme="minorEastAsia"/>
                <w:b/>
                <w:bCs/>
                <w:color w:val="auto"/>
                <w:highlight w:val="none"/>
                <w:vertAlign w:val="baseline"/>
                <w:lang w:eastAsia="zh-CN"/>
              </w:rPr>
            </w:pPr>
            <w:r>
              <w:rPr>
                <w:rFonts w:hint="eastAsia"/>
                <w:b/>
                <w:bCs/>
                <w:color w:val="auto"/>
                <w:highlight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77" w:type="dxa"/>
            <w:vMerge w:val="restart"/>
          </w:tcPr>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lang w:eastAsia="zh-CN"/>
              </w:rPr>
              <w:t>一、基础管理（</w:t>
            </w:r>
            <w:r>
              <w:rPr>
                <w:rFonts w:hint="eastAsia" w:ascii="宋体" w:hAnsi="宋体" w:eastAsia="宋体" w:cs="宋体"/>
                <w:color w:val="auto"/>
                <w:highlight w:val="none"/>
                <w:vertAlign w:val="baseline"/>
                <w:lang w:val="en-US" w:eastAsia="zh-CN"/>
              </w:rPr>
              <w:t>20分</w:t>
            </w:r>
            <w:r>
              <w:rPr>
                <w:rFonts w:hint="eastAsia" w:ascii="宋体" w:hAnsi="宋体" w:eastAsia="宋体" w:cs="宋体"/>
                <w:color w:val="auto"/>
                <w:highlight w:val="none"/>
                <w:vertAlign w:val="baseline"/>
                <w:lang w:eastAsia="zh-CN"/>
              </w:rPr>
              <w:t>）</w:t>
            </w: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1、物业档案资料齐全，建立各项检查制度及台账，设立服务电话，接受业主和使用人对物业管理服务报修、求助、问询、投诉等。</w:t>
            </w:r>
          </w:p>
          <w:p>
            <w:pPr>
              <w:keepNext w:val="0"/>
              <w:keepLines w:val="0"/>
              <w:widowControl/>
              <w:suppressLineNumbers w:val="0"/>
              <w:jc w:val="left"/>
              <w:rPr>
                <w:rFonts w:hint="eastAsia" w:ascii="宋体" w:hAnsi="宋体" w:eastAsia="宋体" w:cs="宋体"/>
                <w:color w:val="auto"/>
                <w:highlight w:val="none"/>
                <w:vertAlign w:val="baseline"/>
              </w:rPr>
            </w:pP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 5分，每发现一项不齐全或不完善扣 0.5 分</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highlight w:val="none"/>
                <w:vertAlign w:val="baseline"/>
                <w:lang w:val="en-US" w:eastAsia="zh-CN"/>
              </w:rPr>
              <w:t>2、</w:t>
            </w:r>
            <w:r>
              <w:rPr>
                <w:rFonts w:hint="eastAsia" w:ascii="宋体" w:hAnsi="宋体" w:eastAsia="宋体" w:cs="宋体"/>
                <w:color w:val="auto"/>
                <w:kern w:val="0"/>
                <w:sz w:val="20"/>
                <w:szCs w:val="20"/>
                <w:highlight w:val="none"/>
                <w:lang w:val="en-US" w:eastAsia="zh-CN" w:bidi="ar"/>
              </w:rPr>
              <w:t xml:space="preserve">建立 24 小时值班制度，无失窃、被盗、被劫及打架斗殴、责任火灾事件发生，所管理物业公共秩序良好。 </w:t>
            </w:r>
          </w:p>
          <w:p>
            <w:pPr>
              <w:keepNext w:val="0"/>
              <w:keepLines w:val="0"/>
              <w:widowControl/>
              <w:suppressLineNumbers w:val="0"/>
              <w:jc w:val="left"/>
              <w:rPr>
                <w:rFonts w:hint="eastAsia" w:ascii="宋体" w:hAnsi="宋体" w:eastAsia="宋体" w:cs="宋体"/>
                <w:color w:val="auto"/>
                <w:highlight w:val="none"/>
              </w:rPr>
            </w:pPr>
          </w:p>
          <w:p>
            <w:pPr>
              <w:keepNext w:val="0"/>
              <w:keepLines w:val="0"/>
              <w:widowControl/>
              <w:suppressLineNumbers w:val="0"/>
              <w:jc w:val="left"/>
              <w:rPr>
                <w:rFonts w:hint="eastAsia" w:ascii="宋体" w:hAnsi="宋体" w:eastAsia="宋体" w:cs="宋体"/>
                <w:color w:val="auto"/>
                <w:highlight w:val="none"/>
                <w:vertAlign w:val="baseline"/>
                <w:lang w:val="en-US" w:eastAsia="zh-CN"/>
              </w:rPr>
            </w:pP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6</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 6 分，没有值班制度扣 2 分，每出现 1 次事故扣2分，扣完为止</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highlight w:val="none"/>
                <w:vertAlign w:val="baseline"/>
                <w:lang w:val="en-US" w:eastAsia="zh-CN"/>
              </w:rPr>
              <w:t>3、</w:t>
            </w:r>
            <w:r>
              <w:rPr>
                <w:rFonts w:hint="eastAsia" w:ascii="宋体" w:hAnsi="宋体" w:eastAsia="宋体" w:cs="宋体"/>
                <w:color w:val="auto"/>
                <w:kern w:val="0"/>
                <w:sz w:val="20"/>
                <w:szCs w:val="20"/>
                <w:highlight w:val="none"/>
                <w:lang w:val="en-US" w:eastAsia="zh-CN" w:bidi="ar"/>
              </w:rPr>
              <w:t>定期向业主和使用人发放物业管理服务工作征求意见单，对合理的建议及时整改满意率达 90%以上。</w:t>
            </w:r>
          </w:p>
          <w:p>
            <w:pPr>
              <w:keepNext w:val="0"/>
              <w:keepLines w:val="0"/>
              <w:widowControl/>
              <w:suppressLineNumbers w:val="0"/>
              <w:jc w:val="left"/>
              <w:rPr>
                <w:rFonts w:hint="eastAsia" w:ascii="宋体" w:hAnsi="宋体" w:eastAsia="宋体" w:cs="宋体"/>
                <w:color w:val="auto"/>
                <w:highlight w:val="none"/>
                <w:vertAlign w:val="baseline"/>
                <w:lang w:val="en-US" w:eastAsia="zh-CN"/>
              </w:rPr>
            </w:pP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5</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 5分，不符合0 分</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highlight w:val="none"/>
                <w:vertAlign w:val="baseline"/>
                <w:lang w:val="en-US" w:eastAsia="zh-CN"/>
              </w:rPr>
              <w:t>4、</w:t>
            </w:r>
            <w:r>
              <w:rPr>
                <w:rFonts w:hint="eastAsia" w:ascii="宋体" w:hAnsi="宋体" w:eastAsia="宋体" w:cs="宋体"/>
                <w:color w:val="auto"/>
                <w:kern w:val="0"/>
                <w:sz w:val="20"/>
                <w:szCs w:val="20"/>
                <w:highlight w:val="none"/>
                <w:lang w:val="en-US" w:eastAsia="zh-CN" w:bidi="ar"/>
              </w:rPr>
              <w:t xml:space="preserve">物业服务人员能自觉维护公众利益， 维护大楼的各项管理规定。宣传大楼管理、卫生、治安、消防等方面的知识。 </w:t>
            </w:r>
          </w:p>
          <w:p>
            <w:pPr>
              <w:keepNext w:val="0"/>
              <w:keepLines w:val="0"/>
              <w:widowControl/>
              <w:suppressLineNumbers w:val="0"/>
              <w:jc w:val="left"/>
              <w:rPr>
                <w:rFonts w:hint="eastAsia" w:ascii="宋体" w:hAnsi="宋体" w:eastAsia="宋体" w:cs="宋体"/>
                <w:color w:val="auto"/>
                <w:highlight w:val="none"/>
              </w:rPr>
            </w:pPr>
          </w:p>
          <w:p>
            <w:pPr>
              <w:keepNext w:val="0"/>
              <w:keepLines w:val="0"/>
              <w:widowControl/>
              <w:suppressLineNumbers w:val="0"/>
              <w:jc w:val="left"/>
              <w:rPr>
                <w:rFonts w:hint="eastAsia" w:ascii="宋体" w:hAnsi="宋体" w:eastAsia="宋体" w:cs="宋体"/>
                <w:color w:val="auto"/>
                <w:highlight w:val="none"/>
                <w:vertAlign w:val="baseline"/>
                <w:lang w:val="en-US" w:eastAsia="zh-CN"/>
              </w:rPr>
            </w:pP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符合得4 分，基本符合 2 分，不符 合 0 分</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restart"/>
          </w:tcPr>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p>
          <w:p>
            <w:pPr>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lang w:eastAsia="zh-CN"/>
              </w:rPr>
              <w:t>二、共用设施设备管理（</w:t>
            </w:r>
            <w:r>
              <w:rPr>
                <w:rFonts w:hint="eastAsia" w:ascii="宋体" w:hAnsi="宋体" w:eastAsia="宋体" w:cs="宋体"/>
                <w:color w:val="auto"/>
                <w:highlight w:val="none"/>
                <w:vertAlign w:val="baseline"/>
                <w:lang w:val="en-US" w:eastAsia="zh-CN"/>
              </w:rPr>
              <w:t>19分</w:t>
            </w:r>
            <w:r>
              <w:rPr>
                <w:rFonts w:hint="eastAsia" w:ascii="宋体" w:hAnsi="宋体" w:eastAsia="宋体" w:cs="宋体"/>
                <w:color w:val="auto"/>
                <w:highlight w:val="none"/>
                <w:vertAlign w:val="baseline"/>
                <w:lang w:eastAsia="zh-CN"/>
              </w:rPr>
              <w:t>）</w:t>
            </w: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1、制订设备安全运行、岗位责任制、定 期巡回捡查、维护保养、运行记录管理、 维修档案等管理制度，并严格执行。</w:t>
            </w:r>
          </w:p>
          <w:p>
            <w:pPr>
              <w:keepNext w:val="0"/>
              <w:keepLines w:val="0"/>
              <w:widowControl/>
              <w:suppressLineNumbers w:val="0"/>
              <w:jc w:val="left"/>
              <w:rPr>
                <w:rFonts w:hint="eastAsia" w:ascii="宋体" w:hAnsi="宋体" w:eastAsia="宋体" w:cs="宋体"/>
                <w:color w:val="auto"/>
                <w:highlight w:val="none"/>
                <w:vertAlign w:val="baseline"/>
                <w:lang w:val="en-US" w:eastAsia="zh-CN"/>
              </w:rPr>
            </w:pPr>
          </w:p>
        </w:tc>
        <w:tc>
          <w:tcPr>
            <w:tcW w:w="675" w:type="dxa"/>
          </w:tcPr>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符合得 2分，如发现一处不符合扣 0.2 分 </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 </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2、设备及机房环境整治、无杂物、灰尘、 无鼠、虫害发生、机房环境符合设备要求 。</w:t>
            </w:r>
          </w:p>
          <w:p>
            <w:pPr>
              <w:keepNext w:val="0"/>
              <w:keepLines w:val="0"/>
              <w:widowControl/>
              <w:suppressLineNumbers w:val="0"/>
              <w:jc w:val="left"/>
              <w:rPr>
                <w:rFonts w:hint="eastAsia" w:ascii="宋体" w:hAnsi="宋体" w:eastAsia="宋体" w:cs="宋体"/>
                <w:color w:val="auto"/>
                <w:highlight w:val="none"/>
                <w:vertAlign w:val="baseline"/>
                <w:lang w:val="en-US" w:eastAsia="zh-CN"/>
              </w:rPr>
            </w:pP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符合得 2分，如发现一处不符合扣 0.2 分 </w:t>
            </w:r>
          </w:p>
          <w:p>
            <w:pPr>
              <w:rPr>
                <w:rFonts w:hint="eastAsia" w:ascii="宋体" w:hAnsi="宋体" w:eastAsia="宋体" w:cs="宋体"/>
                <w:color w:val="auto"/>
                <w:highlight w:val="none"/>
                <w:vertAlign w:val="baseline"/>
              </w:rPr>
            </w:pP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0"/>
                <w:sz w:val="20"/>
                <w:szCs w:val="20"/>
                <w:highlight w:val="none"/>
                <w:lang w:val="en-US" w:eastAsia="zh-CN" w:bidi="ar"/>
              </w:rPr>
              <w:t>3、供电设备监控管理维护：加强对各弱电系统的检查维护，确保每天24小时正常工作；发现系统故障或隐患，应在1小时内到达现场进行抢修，照明装置随坏随修；</w:t>
            </w: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2170" w:type="dxa"/>
          </w:tcPr>
          <w:p>
            <w:pP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符合得 3分，如发现一处不符合扣 0.2 分</w:t>
            </w: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4、给排水系统管理维护：每年不少于2次对生活水池进行检验及清洗。排水系统通畅，汛期道路无积水，地下室、车库、设备房无积水、浸泡发生；发现突发故障，维修人员应当在10分钟内到达现场进行抢修，重大故障及时报告并协助处理。</w:t>
            </w: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2170" w:type="dxa"/>
          </w:tcPr>
          <w:p>
            <w:pP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符合得 3分，如发现一处不符合扣 0.2 分</w:t>
            </w: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5、消防系统管理维护：组织开展消防法规及消防知识的宣传教育，明确各区域防火责任人，确保责任人掌握消防设施设备的使用方法并能及时处理各种问题；严格落实用电管理规定，严禁私接电源、插座，办公区内无火灾安全隐患。加强巡查检查，配合单位到各办公室及重点场所排查安全隐患；遇有火灾隐患或苗头，要第一时间处理；遇突发火灾事故，立即拨打119报警，并采取措施开展救援，并第一时间向采购人报告。</w:t>
            </w: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2170" w:type="dxa"/>
          </w:tcPr>
          <w:p>
            <w:pP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符合得 3分，如发现一处不符合扣 0.2 分</w:t>
            </w: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6、中央空调系统管理维护：加强巡查巡检，发现简单故障要第一时间维修，无法处理的问题应在10分钟内报告采购人，确保空调系统每天24小时正常运转；空调由采购人聘用专业维保机构进行维修保养，严禁非专业人员操作；遇突发故障，维修人员应在10分钟内到达现场进行抢修，发现重大故障及时报告。</w:t>
            </w:r>
          </w:p>
        </w:tc>
        <w:tc>
          <w:tcPr>
            <w:tcW w:w="675" w:type="dxa"/>
          </w:tcPr>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p>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2170" w:type="dxa"/>
          </w:tcPr>
          <w:p>
            <w:pP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符合得 3分，如发现一处不符合扣 0.2 分</w:t>
            </w: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rPr>
                <w:rFonts w:hint="eastAsia" w:ascii="宋体" w:hAnsi="宋体" w:eastAsia="宋体" w:cs="宋体"/>
                <w:color w:val="auto"/>
                <w:highlight w:val="none"/>
                <w:vertAlign w:val="baseline"/>
              </w:rPr>
            </w:pPr>
          </w:p>
        </w:tc>
        <w:tc>
          <w:tcPr>
            <w:tcW w:w="3233" w:type="dxa"/>
          </w:tcPr>
          <w:p>
            <w:pPr>
              <w:keepNext w:val="0"/>
              <w:keepLines w:val="0"/>
              <w:widowControl/>
              <w:suppressLineNumbers w:val="0"/>
              <w:jc w:val="left"/>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7、电梯运行管理维护：按照要求做好电梯的日常维护保养、保洁、运行管理；保持安全设施齐全，通风、散热、照明及附属设施完好，轿厢、机房保持整洁，电梯轿厢每天至少擦拭2次，电梯地面每天至少拖扫2次，电梯门厅及轿厢每周上油保养至少3次；电梯由专业维修人员维修保养，严禁非专业人员操作；遇有电梯故障，须在10分钟内到达现场进行查看、报修、抢修，并及时恢复正常状态。</w:t>
            </w:r>
          </w:p>
        </w:tc>
        <w:tc>
          <w:tcPr>
            <w:tcW w:w="675" w:type="dxa"/>
          </w:tcPr>
          <w:p>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p>
        </w:tc>
        <w:tc>
          <w:tcPr>
            <w:tcW w:w="2170" w:type="dxa"/>
          </w:tcPr>
          <w:p>
            <w:pPr>
              <w:rPr>
                <w:rFonts w:hint="eastAsia" w:ascii="宋体" w:hAnsi="宋体" w:eastAsia="宋体" w:cs="宋体"/>
                <w:color w:val="auto"/>
                <w:highlight w:val="none"/>
                <w:vertAlign w:val="baseline"/>
              </w:rPr>
            </w:pPr>
            <w:r>
              <w:rPr>
                <w:rFonts w:hint="eastAsia" w:ascii="宋体" w:hAnsi="宋体" w:eastAsia="宋体" w:cs="宋体"/>
                <w:color w:val="auto"/>
                <w:kern w:val="0"/>
                <w:sz w:val="20"/>
                <w:szCs w:val="20"/>
                <w:highlight w:val="none"/>
                <w:lang w:val="en-US" w:eastAsia="zh-CN" w:bidi="ar"/>
              </w:rPr>
              <w:t>符合得 3分，如发现一处不符合扣 0.2 分</w:t>
            </w:r>
          </w:p>
        </w:tc>
        <w:tc>
          <w:tcPr>
            <w:tcW w:w="885" w:type="dxa"/>
          </w:tcPr>
          <w:p>
            <w:pPr>
              <w:rPr>
                <w:rFonts w:hint="eastAsia" w:ascii="宋体" w:hAnsi="宋体" w:eastAsia="宋体" w:cs="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restart"/>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1"/>
                <w:szCs w:val="21"/>
                <w:highlight w:val="none"/>
                <w:lang w:val="en-US" w:eastAsia="zh-CN" w:bidi="ar"/>
              </w:rPr>
              <w:t>三、保安及车辆管理（16分）</w:t>
            </w: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1、有专业保安队伍，实行 24 小时值班制度，保安人员熟悉工作区的环境，文明值勤，训练有素，言语规范，认真负责。 </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符合得  4分，无专业保安队伍扣 1 分，值班记录等不规范每处扣0.2 分 </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2、对来访人员必须询问登记并核实证件，离开时注销登记，登记资料必须归档保存。</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来访记录完整得4分，不完整或无记录得 0 分</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3、严禁外来推销、废品收购等闲杂人员、闲散及衣冠不整人员、可疑人员和危险物品进入办公楼（区）内；大件物品搬出必须持采购人有关部门的准许证明并进行核对，准许证明归档保存。</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符合 得4分，不按要求执行或执行不到位的得1分</w:t>
            </w: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4、对进出办公楼的车辆实行凭卡出入管理；引导车辆有序停放；公共通道、消防通道严禁停车。</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 4分，基本符合 2 分，不符合 0 分</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restart"/>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1"/>
                <w:szCs w:val="21"/>
                <w:highlight w:val="none"/>
                <w:lang w:val="en-US" w:eastAsia="zh-CN" w:bidi="ar"/>
              </w:rPr>
              <w:t>四、巡逻及监控管理（15分）</w:t>
            </w: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1、巡逻人员24小时不定时对办公楼各部位进行巡视检查，并做好登记。</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符合得5分，基本符合 2 分，不符合 0 分</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2、下班、晚上检查办公室门、窗是否关好，如发现有不关好门窗的现象，应立即补救并做好记录同时向采购人报告；每班巡查次数不得少于4次并记录归档。</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2170" w:type="dxa"/>
          </w:tcPr>
          <w:p>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kern w:val="0"/>
                <w:sz w:val="20"/>
                <w:szCs w:val="20"/>
                <w:highlight w:val="none"/>
                <w:lang w:val="en-US" w:eastAsia="zh-CN" w:bidi="ar"/>
              </w:rPr>
              <w:t>符合得5分，基本符合 2 分，每少一次巡查扣1分，扣完为止</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3、全天候密切监视各视屏点，发现可疑情况立即报告项目经理。能够处理的要及时处理，不能处理的，要及时报警，并保护好现场。</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符合得5分，不符合 0 分</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restart"/>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1"/>
                <w:szCs w:val="21"/>
                <w:highlight w:val="none"/>
                <w:lang w:val="en-US" w:eastAsia="zh-CN" w:bidi="ar"/>
              </w:rPr>
              <w:t>五、环境卫生管理（20分）</w:t>
            </w: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1、清洁卫生实行责任制，有专职的清洁 人员和明确的责任范围，实行标准化清洁保洁。</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符合得4分，未实行责任制的扣 0.5，无专职 清洁人员和责 任范围的扣 0.3，未实行标准化保洁的扣 0.2</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2、办公综合楼、招待所及后勤辅助用房外围公共区域的清扫每天清扫两次（上下午各进行一次）</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kern w:val="0"/>
                <w:sz w:val="20"/>
                <w:szCs w:val="20"/>
                <w:highlight w:val="none"/>
                <w:lang w:val="en-US" w:eastAsia="zh-CN" w:bidi="ar"/>
              </w:rPr>
              <w:t>符合得4分，每少一次清扫扣1分，扣完为止</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办公综合楼、招待所及后勤辅助用房室内公共区域清洁卫生管理。大堂保洁——地面常规每天清洁两次清扫（其中湿拖一次），公共门窗每天檫抹一次；公共楼道清洁——楼道每天湿拖一次，楼梯扶手每天檫抹一次；公共厕所的清洁——每天清洁两次；办公室内部——每天清洁两次。</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kern w:val="0"/>
                <w:sz w:val="20"/>
                <w:szCs w:val="20"/>
                <w:highlight w:val="none"/>
                <w:lang w:val="en-US" w:eastAsia="zh-CN" w:bidi="ar"/>
              </w:rPr>
              <w:t>符合得4分，每少一次清扫扣1分，有明显的灰尘、污渍、蜘蛛网、积水及垃圾杂物、厕所严重异味的，每发现一处扣1分，扣完为止</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4、招待所外的区域每天清洁两次，招待所内定期进行清扫。</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kern w:val="0"/>
                <w:sz w:val="20"/>
                <w:szCs w:val="20"/>
                <w:highlight w:val="none"/>
                <w:lang w:val="en-US" w:eastAsia="zh-CN" w:bidi="ar"/>
              </w:rPr>
              <w:t>符合得4分，每少一次清扫扣1分，有明显的灰尘、污渍、蜘蛛网、垃圾杂物的，每发现一处扣1分，扣完为止</w:t>
            </w:r>
          </w:p>
          <w:p>
            <w:pPr>
              <w:keepNext w:val="0"/>
              <w:keepLines w:val="0"/>
              <w:widowControl/>
              <w:suppressLineNumbers w:val="0"/>
              <w:jc w:val="left"/>
              <w:rPr>
                <w:rFonts w:hint="eastAsia" w:ascii="宋体" w:hAnsi="宋体" w:eastAsia="宋体" w:cs="宋体"/>
                <w:color w:val="auto"/>
                <w:highlight w:val="none"/>
                <w:lang w:val="en-US"/>
              </w:rPr>
            </w:pP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5、垃圾的清理。生活垃圾做到日产日清，垃圾桶做到无严重污渍，无严重异味。生活垃圾——每天早晨8：00前清理完毕；垃圾桶——每天清洗一次。</w:t>
            </w: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2170"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符合得4分，不按时完成清理一次扣1分，未达到垃圾日产日清的一次扣1分，扣完为止</w:t>
            </w: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restart"/>
          </w:tcPr>
          <w:p>
            <w:pPr>
              <w:keepNext w:val="0"/>
              <w:keepLines w:val="0"/>
              <w:widowControl/>
              <w:suppressLineNumbers w:val="0"/>
              <w:jc w:val="left"/>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六、绿化管理（10分）</w:t>
            </w: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1、绿地无改变使用用途和破坏、践踏、 占用现象</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符合得5分，基本符合 2 分，不符合 0 分</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2、花草树木长势良好，修剪整齐美观，无病虫害，无折损现象，无斑秃</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符合得3分，长势不好扣 2.0，其它每发现一 </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处不符合扣 0.2</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vMerge w:val="continue"/>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3、绿地无纸屑、烟头、石块等杂物</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67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2170" w:type="dxa"/>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val="en-US" w:eastAsia="zh-CN" w:bidi="ar"/>
              </w:rPr>
              <w:t xml:space="preserve">符合得2分，每发现一处不符合扣0.2 </w:t>
            </w:r>
          </w:p>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7" w:type="dxa"/>
          </w:tcPr>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tc>
        <w:tc>
          <w:tcPr>
            <w:tcW w:w="3233" w:type="dxa"/>
          </w:tcPr>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总分</w:t>
            </w:r>
          </w:p>
        </w:tc>
        <w:tc>
          <w:tcPr>
            <w:tcW w:w="675" w:type="dxa"/>
          </w:tcPr>
          <w:p>
            <w:pPr>
              <w:keepNext w:val="0"/>
              <w:keepLines w:val="0"/>
              <w:widowControl/>
              <w:suppressLineNumbers w:val="0"/>
              <w:jc w:val="left"/>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100</w:t>
            </w:r>
          </w:p>
        </w:tc>
        <w:tc>
          <w:tcPr>
            <w:tcW w:w="2170" w:type="dxa"/>
          </w:tcPr>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tc>
        <w:tc>
          <w:tcPr>
            <w:tcW w:w="885" w:type="dxa"/>
          </w:tcPr>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tc>
      </w:tr>
    </w:tbl>
    <w:p>
      <w:pPr>
        <w:pStyle w:val="62"/>
        <w:spacing w:line="500" w:lineRule="exact"/>
        <w:rPr>
          <w:rFonts w:hint="eastAsia" w:hAnsi="宋体"/>
          <w:b/>
          <w:bCs/>
          <w:color w:val="auto"/>
          <w:sz w:val="21"/>
          <w:szCs w:val="21"/>
          <w:highlight w:val="none"/>
          <w:lang w:bidi="ar"/>
        </w:rPr>
      </w:pPr>
    </w:p>
    <w:p>
      <w:pPr>
        <w:pStyle w:val="62"/>
        <w:spacing w:line="500" w:lineRule="exact"/>
        <w:rPr>
          <w:color w:val="auto"/>
          <w:highlight w:val="none"/>
        </w:rPr>
      </w:pPr>
    </w:p>
    <w:p>
      <w:pPr>
        <w:spacing w:line="500" w:lineRule="exact"/>
        <w:ind w:firstLine="602" w:firstLineChars="200"/>
        <w:rPr>
          <w:b/>
          <w:bCs/>
          <w:color w:val="auto"/>
          <w:sz w:val="30"/>
          <w:szCs w:val="30"/>
          <w:highlight w:val="none"/>
        </w:rPr>
      </w:pPr>
    </w:p>
    <w:p>
      <w:pPr>
        <w:spacing w:line="500" w:lineRule="exact"/>
        <w:ind w:firstLine="602" w:firstLineChars="200"/>
        <w:rPr>
          <w:b/>
          <w:bCs/>
          <w:color w:val="auto"/>
          <w:sz w:val="30"/>
          <w:szCs w:val="30"/>
          <w:highlight w:val="none"/>
        </w:rPr>
      </w:pPr>
    </w:p>
    <w:p>
      <w:pPr>
        <w:spacing w:line="500" w:lineRule="exact"/>
        <w:ind w:firstLine="602" w:firstLineChars="200"/>
        <w:rPr>
          <w:b/>
          <w:bCs/>
          <w:color w:val="auto"/>
          <w:sz w:val="30"/>
          <w:szCs w:val="30"/>
          <w:highlight w:val="none"/>
        </w:rPr>
      </w:pPr>
    </w:p>
    <w:p>
      <w:pPr>
        <w:spacing w:line="500" w:lineRule="exact"/>
        <w:ind w:firstLine="602" w:firstLineChars="200"/>
        <w:rPr>
          <w:b/>
          <w:bCs/>
          <w:color w:val="auto"/>
          <w:sz w:val="30"/>
          <w:szCs w:val="30"/>
          <w:highlight w:val="none"/>
        </w:rPr>
      </w:pPr>
    </w:p>
    <w:p>
      <w:pPr>
        <w:pStyle w:val="62"/>
        <w:rPr>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pStyle w:val="85"/>
        <w:spacing w:line="500" w:lineRule="exact"/>
        <w:ind w:firstLine="422"/>
        <w:rPr>
          <w:b/>
          <w:bCs/>
          <w:color w:val="auto"/>
          <w:sz w:val="21"/>
          <w:szCs w:val="21"/>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ind w:firstLine="602" w:firstLineChars="200"/>
        <w:rPr>
          <w:rFonts w:hint="eastAsia"/>
          <w:b/>
          <w:bCs/>
          <w:color w:val="auto"/>
          <w:sz w:val="30"/>
          <w:szCs w:val="30"/>
          <w:highlight w:val="none"/>
          <w:lang w:val="en-US" w:eastAsia="zh-CN"/>
        </w:rPr>
      </w:pPr>
      <w:r>
        <w:rPr>
          <w:rFonts w:hint="eastAsia"/>
          <w:b/>
          <w:bCs/>
          <w:color w:val="auto"/>
          <w:sz w:val="30"/>
          <w:szCs w:val="30"/>
          <w:highlight w:val="none"/>
          <w:lang w:val="en-US" w:eastAsia="zh-CN"/>
        </w:rPr>
        <w:t>附件2：来宾市税务局物业管理服务日常考核检查情况表</w:t>
      </w:r>
    </w:p>
    <w:p>
      <w:pPr>
        <w:pStyle w:val="85"/>
        <w:rPr>
          <w:rFonts w:hint="default"/>
          <w:color w:val="auto"/>
          <w:sz w:val="18"/>
          <w:szCs w:val="18"/>
          <w:highlight w:val="none"/>
          <w:lang w:val="en-US" w:eastAsia="zh-CN"/>
        </w:rPr>
      </w:pPr>
      <w:r>
        <w:rPr>
          <w:rFonts w:hint="eastAsia"/>
          <w:b/>
          <w:bCs/>
          <w:color w:val="auto"/>
          <w:sz w:val="30"/>
          <w:szCs w:val="30"/>
          <w:highlight w:val="none"/>
          <w:lang w:val="en-US" w:eastAsia="zh-CN"/>
        </w:rPr>
        <w:t xml:space="preserve">                               </w:t>
      </w:r>
      <w:r>
        <w:rPr>
          <w:rFonts w:hint="eastAsia"/>
          <w:b/>
          <w:bCs/>
          <w:color w:val="auto"/>
          <w:sz w:val="28"/>
          <w:szCs w:val="28"/>
          <w:highlight w:val="none"/>
          <w:lang w:val="en-US" w:eastAsia="zh-CN"/>
        </w:rPr>
        <w:t xml:space="preserve"> 年  月   日</w:t>
      </w:r>
    </w:p>
    <w:tbl>
      <w:tblPr>
        <w:tblStyle w:val="5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55"/>
        <w:gridCol w:w="334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检查内容</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扣款额度</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工作人员服务态度端正，</w:t>
            </w:r>
            <w:r>
              <w:rPr>
                <w:rFonts w:hint="eastAsia" w:ascii="宋体" w:hAnsi="宋体" w:eastAsia="宋体" w:cs="宋体"/>
                <w:color w:val="auto"/>
                <w:sz w:val="21"/>
                <w:szCs w:val="21"/>
                <w:highlight w:val="none"/>
                <w:lang w:eastAsia="zh-CN"/>
              </w:rPr>
              <w:t>统一着</w:t>
            </w:r>
            <w:r>
              <w:rPr>
                <w:rFonts w:hint="eastAsia" w:ascii="宋体" w:hAnsi="宋体" w:eastAsia="宋体" w:cs="宋体"/>
                <w:color w:val="auto"/>
                <w:sz w:val="21"/>
                <w:szCs w:val="21"/>
                <w:highlight w:val="none"/>
              </w:rPr>
              <w:t>穿工</w:t>
            </w:r>
            <w:r>
              <w:rPr>
                <w:rFonts w:hint="eastAsia" w:ascii="宋体" w:hAnsi="宋体" w:eastAsia="宋体" w:cs="宋体"/>
                <w:color w:val="auto"/>
                <w:sz w:val="21"/>
                <w:szCs w:val="21"/>
                <w:highlight w:val="none"/>
                <w:lang w:eastAsia="zh-CN"/>
              </w:rPr>
              <w:t>作</w:t>
            </w:r>
            <w:r>
              <w:rPr>
                <w:rFonts w:hint="eastAsia" w:ascii="宋体" w:hAnsi="宋体" w:eastAsia="宋体" w:cs="宋体"/>
                <w:color w:val="auto"/>
                <w:sz w:val="21"/>
                <w:szCs w:val="21"/>
                <w:highlight w:val="none"/>
              </w:rPr>
              <w:t>服，文明礼貌用语、服从和接受机关</w:t>
            </w:r>
            <w:r>
              <w:rPr>
                <w:rFonts w:hint="eastAsia" w:ascii="宋体" w:hAnsi="宋体" w:eastAsia="宋体" w:cs="宋体"/>
                <w:color w:val="auto"/>
                <w:sz w:val="21"/>
                <w:szCs w:val="21"/>
                <w:highlight w:val="none"/>
                <w:lang w:eastAsia="zh-CN"/>
              </w:rPr>
              <w:t>服务中心</w:t>
            </w:r>
            <w:r>
              <w:rPr>
                <w:rFonts w:hint="eastAsia" w:ascii="宋体" w:hAnsi="宋体" w:eastAsia="宋体" w:cs="宋体"/>
                <w:color w:val="auto"/>
                <w:sz w:val="21"/>
                <w:szCs w:val="21"/>
                <w:highlight w:val="none"/>
              </w:rPr>
              <w:t>人员的指挥和检查</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同一人第一次扣款100元，第二次扣款200元，</w:t>
            </w:r>
            <w:r>
              <w:rPr>
                <w:rFonts w:hint="eastAsia" w:ascii="宋体" w:hAnsi="宋体" w:cs="宋体"/>
                <w:color w:val="auto"/>
                <w:szCs w:val="21"/>
                <w:highlight w:val="none"/>
                <w:lang w:eastAsia="zh-CN"/>
              </w:rPr>
              <w:t>两</w:t>
            </w:r>
            <w:r>
              <w:rPr>
                <w:rFonts w:hint="eastAsia" w:ascii="宋体" w:hAnsi="宋体" w:cs="宋体"/>
                <w:color w:val="auto"/>
                <w:szCs w:val="21"/>
                <w:highlight w:val="none"/>
              </w:rPr>
              <w:t>次扣款以后如再发生违反考核内容的，每次扣款</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工作人员有脱岗、睡岗、酒后上班等违反相关规定的</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同一人第一次扣款100元，第二次扣款200元，</w:t>
            </w:r>
            <w:r>
              <w:rPr>
                <w:rFonts w:hint="eastAsia" w:ascii="宋体" w:hAnsi="宋体" w:cs="宋体"/>
                <w:color w:val="auto"/>
                <w:szCs w:val="21"/>
                <w:highlight w:val="none"/>
                <w:lang w:eastAsia="zh-CN"/>
              </w:rPr>
              <w:t>两</w:t>
            </w:r>
            <w:r>
              <w:rPr>
                <w:rFonts w:hint="eastAsia" w:ascii="宋体" w:hAnsi="宋体" w:cs="宋体"/>
                <w:color w:val="auto"/>
                <w:szCs w:val="21"/>
                <w:highlight w:val="none"/>
              </w:rPr>
              <w:t>次扣款以后如再发生违反考核内容的，每次扣款</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值班时不准嬉笑打闹，不准看书、看报或进行其他与值班无关的事</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外来人员来访要进行登记，严禁</w:t>
            </w:r>
            <w:r>
              <w:rPr>
                <w:rFonts w:hint="eastAsia" w:ascii="宋体" w:hAnsi="宋体" w:eastAsia="宋体" w:cs="宋体"/>
                <w:color w:val="auto"/>
                <w:sz w:val="21"/>
                <w:szCs w:val="21"/>
                <w:highlight w:val="none"/>
              </w:rPr>
              <w:t>闲杂人员进入大楼</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严格检查进出</w:t>
            </w:r>
            <w:r>
              <w:rPr>
                <w:rFonts w:hint="eastAsia" w:ascii="宋体" w:hAnsi="宋体" w:eastAsia="宋体" w:cs="宋体"/>
                <w:color w:val="auto"/>
                <w:sz w:val="21"/>
                <w:szCs w:val="21"/>
                <w:highlight w:val="none"/>
                <w:lang w:eastAsia="zh-CN"/>
              </w:rPr>
              <w:t>大院</w:t>
            </w:r>
            <w:r>
              <w:rPr>
                <w:rFonts w:hint="eastAsia" w:ascii="宋体" w:hAnsi="宋体" w:eastAsia="宋体" w:cs="宋体"/>
                <w:color w:val="auto"/>
                <w:sz w:val="21"/>
                <w:szCs w:val="21"/>
                <w:highlight w:val="none"/>
              </w:rPr>
              <w:t>物品，</w:t>
            </w:r>
            <w:r>
              <w:rPr>
                <w:rFonts w:hint="eastAsia" w:ascii="宋体" w:hAnsi="宋体" w:eastAsia="宋体" w:cs="宋体"/>
                <w:color w:val="auto"/>
                <w:sz w:val="21"/>
                <w:szCs w:val="21"/>
                <w:highlight w:val="none"/>
                <w:lang w:eastAsia="zh-CN"/>
              </w:rPr>
              <w:t>施工车辆要拦截检查，</w:t>
            </w:r>
            <w:r>
              <w:rPr>
                <w:rFonts w:hint="eastAsia" w:ascii="宋体" w:hAnsi="宋体" w:eastAsia="宋体" w:cs="宋体"/>
                <w:color w:val="auto"/>
                <w:sz w:val="21"/>
                <w:szCs w:val="21"/>
                <w:highlight w:val="none"/>
              </w:rPr>
              <w:t>严禁易燃、易爆、有毒等危险物品进入</w:t>
            </w:r>
            <w:r>
              <w:rPr>
                <w:rFonts w:hint="eastAsia" w:ascii="宋体" w:hAnsi="宋体" w:eastAsia="宋体" w:cs="宋体"/>
                <w:color w:val="auto"/>
                <w:sz w:val="21"/>
                <w:szCs w:val="21"/>
                <w:highlight w:val="none"/>
                <w:lang w:eastAsia="zh-CN"/>
              </w:rPr>
              <w:t>大院。</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机关大门及院内车辆乱停乱放，不及时制止者。</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安全通道无违规占用、无杂物堆放等现象。</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大楼外观完好、整洁、外墙、</w:t>
            </w:r>
            <w:r>
              <w:rPr>
                <w:rFonts w:hint="eastAsia" w:ascii="宋体" w:hAnsi="宋体" w:eastAsia="宋体" w:cs="宋体"/>
                <w:color w:val="auto"/>
                <w:sz w:val="21"/>
                <w:szCs w:val="21"/>
                <w:highlight w:val="none"/>
                <w:lang w:eastAsia="zh-CN"/>
              </w:rPr>
              <w:t>庭院</w:t>
            </w:r>
            <w:r>
              <w:rPr>
                <w:rFonts w:hint="eastAsia" w:ascii="宋体" w:hAnsi="宋体" w:eastAsia="宋体" w:cs="宋体"/>
                <w:color w:val="auto"/>
                <w:sz w:val="21"/>
                <w:szCs w:val="21"/>
                <w:highlight w:val="none"/>
              </w:rPr>
              <w:t>路面、绿地、散水坡、停车场、楼梯入口台阶保洁及时、无死角。</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杂物、污渍，扣款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0"/>
                <w:szCs w:val="20"/>
                <w:highlight w:val="none"/>
                <w:lang w:val="en-US" w:eastAsia="zh-CN" w:bidi="ar"/>
              </w:rPr>
            </w:pPr>
            <w:r>
              <w:rPr>
                <w:rFonts w:hint="default" w:eastAsiaTheme="minorEastAsia"/>
                <w:color w:val="auto"/>
                <w:highlight w:val="none"/>
                <w:vertAlign w:val="baseline"/>
                <w:lang w:val="en-US" w:eastAsia="zh-CN"/>
              </w:rPr>
              <w:t>对给排水系统水箱、上下水道、阀门、管道、落水管、水泵、二次加压供水等系统和设备进行日常维护、运行管理、零星维修等，确保设备、阀门、管道工作正常、无跑冒滴漏</w:t>
            </w:r>
            <w:r>
              <w:rPr>
                <w:rFonts w:hint="eastAsia"/>
                <w:color w:val="auto"/>
                <w:highlight w:val="none"/>
                <w:vertAlign w:val="baseline"/>
                <w:lang w:val="en-US"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color w:val="auto"/>
                <w:highlight w:val="none"/>
                <w:vertAlign w:val="baseline"/>
                <w:lang w:val="en-US" w:eastAsia="zh-CN"/>
              </w:rPr>
            </w:pPr>
            <w:r>
              <w:rPr>
                <w:rFonts w:hint="eastAsia"/>
                <w:color w:val="auto"/>
                <w:highlight w:val="none"/>
                <w:vertAlign w:val="baseline"/>
                <w:lang w:val="en-US" w:eastAsia="zh-CN"/>
              </w:rPr>
              <w:t>配合做好对中央空调、除尘、采气装置、各类风口、自动控制等空气调节系统和设备进行清洁、日常维护等；</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lang w:val="en-US" w:eastAsia="zh-CN"/>
              </w:rPr>
              <w:t>100</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color w:val="auto"/>
                <w:highlight w:val="none"/>
                <w:vertAlign w:val="baseline"/>
                <w:lang w:val="en-US" w:eastAsia="zh-CN"/>
              </w:rPr>
            </w:pPr>
            <w:r>
              <w:rPr>
                <w:rFonts w:hint="eastAsia"/>
                <w:color w:val="auto"/>
                <w:highlight w:val="none"/>
                <w:vertAlign w:val="baseline"/>
                <w:lang w:val="en-US" w:eastAsia="zh-CN"/>
              </w:rPr>
              <w:t>做好电梯检测、电梯年检、日常维修保养等工作，建立日常电梯运行的巡检、维护台账；</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lang w:val="en-US" w:eastAsia="zh-CN"/>
              </w:rPr>
              <w:t>100</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加强对消防栓，消防柜、灭火器、消防控制台、消防管道、烟感器、淋头、安全出口等消防系统和设备的检查巡查，进行日常养护，确保每天24小时系统无故障等；</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lang w:val="en-US" w:eastAsia="zh-CN"/>
              </w:rPr>
              <w:t>100</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不定期组织发电系统应急抢修演练，确保供电系统每天24小时正常运行。</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违反规定，扣款</w:t>
            </w:r>
            <w:r>
              <w:rPr>
                <w:rFonts w:hint="eastAsia" w:ascii="宋体" w:hAnsi="宋体" w:eastAsia="宋体" w:cs="宋体"/>
                <w:color w:val="auto"/>
                <w:sz w:val="21"/>
                <w:szCs w:val="21"/>
                <w:highlight w:val="none"/>
                <w:lang w:val="en-US" w:eastAsia="zh-CN"/>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垃圾箱等环卫设备内部垃圾及时清理，外表无污迹，垃圾箱周围无散落垃圾，污迹</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w:t>
            </w:r>
            <w:r>
              <w:rPr>
                <w:rFonts w:hint="eastAsia" w:ascii="宋体" w:hAnsi="宋体" w:eastAsia="宋体" w:cs="宋体"/>
                <w:color w:val="auto"/>
                <w:sz w:val="21"/>
                <w:szCs w:val="21"/>
                <w:highlight w:val="none"/>
                <w:lang w:eastAsia="zh-CN"/>
              </w:rPr>
              <w:t>杂物、垃圾，扣款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雨、污水管井的井底无沉淀物，水流畅通；井盖上无污物，盖板无污迹</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设备机房内整洁，无烟头无乱堆现象，保持机身洁净仪表清晰，设备、阀门、管道工作正常、无跑冒滴漏</w:t>
            </w:r>
            <w:r>
              <w:rPr>
                <w:rFonts w:hint="eastAsia" w:ascii="宋体" w:hAnsi="宋体" w:eastAsia="宋体" w:cs="宋体"/>
                <w:color w:val="auto"/>
                <w:sz w:val="21"/>
                <w:szCs w:val="21"/>
                <w:highlight w:val="none"/>
                <w:lang w:eastAsia="zh-CN"/>
              </w:rPr>
              <w:t>。</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每发现一次不合格者</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100元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对待业主顾客态度</w:t>
            </w:r>
            <w:r>
              <w:rPr>
                <w:rFonts w:hint="eastAsia" w:ascii="宋体" w:hAnsi="宋体" w:eastAsia="宋体" w:cs="宋体"/>
                <w:color w:val="auto"/>
                <w:sz w:val="21"/>
                <w:szCs w:val="21"/>
                <w:highlight w:val="none"/>
                <w:lang w:eastAsia="zh-CN"/>
              </w:rPr>
              <w:t>无故</w:t>
            </w:r>
            <w:r>
              <w:rPr>
                <w:rFonts w:hint="eastAsia" w:ascii="宋体" w:hAnsi="宋体" w:eastAsia="宋体" w:cs="宋体"/>
                <w:color w:val="auto"/>
                <w:sz w:val="21"/>
                <w:szCs w:val="21"/>
                <w:highlight w:val="none"/>
              </w:rPr>
              <w:t>蛮横或与业主顾客吵架、打架者。</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；建议</w:t>
            </w:r>
            <w:r>
              <w:rPr>
                <w:rFonts w:hint="eastAsia" w:ascii="宋体" w:hAnsi="宋体" w:eastAsia="宋体" w:cs="宋体"/>
                <w:color w:val="auto"/>
                <w:sz w:val="21"/>
                <w:szCs w:val="21"/>
                <w:highlight w:val="none"/>
                <w:lang w:val="en-US" w:eastAsia="zh-CN"/>
              </w:rPr>
              <w:t>给予人员开除。</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工作人员在工作期间遇投诉，经采购人核实为有效投诉</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同一人第</w:t>
            </w:r>
            <w:r>
              <w:rPr>
                <w:rFonts w:hint="eastAsia" w:ascii="宋体" w:hAnsi="宋体" w:eastAsia="宋体" w:cs="宋体"/>
                <w:color w:val="auto"/>
                <w:sz w:val="21"/>
                <w:szCs w:val="21"/>
                <w:highlight w:val="none"/>
              </w:rPr>
              <w:t>一次</w:t>
            </w:r>
            <w:r>
              <w:rPr>
                <w:rFonts w:hint="eastAsia" w:ascii="宋体" w:hAnsi="宋体" w:eastAsia="宋体" w:cs="宋体"/>
                <w:color w:val="auto"/>
                <w:sz w:val="21"/>
                <w:szCs w:val="21"/>
                <w:highlight w:val="none"/>
                <w:lang w:eastAsia="zh-CN"/>
              </w:rPr>
              <w:t>扣</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，第二次扣</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200元，第三次建议更换物业服务人员。</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不服从分配顶撞领导，对所分配的工作处理不及时、不到位或置之不理者。</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；建议</w:t>
            </w:r>
            <w:r>
              <w:rPr>
                <w:rFonts w:hint="eastAsia" w:ascii="宋体" w:hAnsi="宋体" w:eastAsia="宋体" w:cs="宋体"/>
                <w:color w:val="auto"/>
                <w:sz w:val="21"/>
                <w:szCs w:val="21"/>
                <w:highlight w:val="none"/>
                <w:lang w:val="en-US" w:eastAsia="zh-CN"/>
              </w:rPr>
              <w:t>更换物业服务人员。</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物业中心落实上级主管部门下达的任务不及时、不到位或置之不理者。</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发现一次</w:t>
            </w:r>
            <w:r>
              <w:rPr>
                <w:rFonts w:hint="eastAsia" w:ascii="宋体" w:hAnsi="宋体" w:eastAsia="宋体" w:cs="宋体"/>
                <w:color w:val="auto"/>
                <w:sz w:val="21"/>
                <w:szCs w:val="21"/>
                <w:highlight w:val="none"/>
                <w:lang w:eastAsia="zh-CN"/>
              </w:rPr>
              <w:t>违反规定，扣</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655" w:type="dxa"/>
            <w:noWrap w:val="0"/>
            <w:vAlign w:val="center"/>
          </w:tcPr>
          <w:p>
            <w:pPr>
              <w:widowControl/>
              <w:spacing w:line="400" w:lineRule="exact"/>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szCs w:val="21"/>
                <w:highlight w:val="none"/>
                <w:lang w:val="en-US" w:eastAsia="zh-CN"/>
              </w:rPr>
              <w:t>物业服务</w:t>
            </w:r>
            <w:r>
              <w:rPr>
                <w:rFonts w:hint="eastAsia" w:ascii="宋体" w:hAnsi="宋体" w:cs="宋体"/>
                <w:color w:val="auto"/>
                <w:szCs w:val="21"/>
                <w:highlight w:val="none"/>
              </w:rPr>
              <w:t>人员如有变动，需提前书面报采购人备案，并在</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离职前配备新员工到岗。</w:t>
            </w:r>
          </w:p>
        </w:tc>
        <w:tc>
          <w:tcPr>
            <w:tcW w:w="3345" w:type="dxa"/>
            <w:noWrap w:val="0"/>
            <w:vAlign w:val="center"/>
          </w:tcPr>
          <w:p>
            <w:pPr>
              <w:spacing w:line="400" w:lineRule="exact"/>
              <w:jc w:val="left"/>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未向采购人报备且</w:t>
            </w:r>
            <w:r>
              <w:rPr>
                <w:rFonts w:hint="eastAsia" w:ascii="宋体" w:hAnsi="宋体" w:cs="宋体"/>
                <w:color w:val="auto"/>
                <w:szCs w:val="21"/>
                <w:highlight w:val="none"/>
                <w:lang w:val="en-US" w:eastAsia="zh-CN"/>
              </w:rPr>
              <w:t>物业服务人员</w:t>
            </w:r>
            <w:r>
              <w:rPr>
                <w:rFonts w:hint="eastAsia" w:ascii="宋体" w:hAnsi="宋体" w:cs="宋体"/>
                <w:color w:val="auto"/>
                <w:szCs w:val="21"/>
                <w:highlight w:val="none"/>
              </w:rPr>
              <w:t>离职前未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配备新</w:t>
            </w:r>
            <w:r>
              <w:rPr>
                <w:rFonts w:hint="eastAsia" w:ascii="宋体" w:hAnsi="宋体" w:cs="宋体"/>
                <w:color w:val="auto"/>
                <w:szCs w:val="21"/>
                <w:highlight w:val="none"/>
                <w:lang w:val="en-US" w:eastAsia="zh-CN"/>
              </w:rPr>
              <w:t>物业服务人员</w:t>
            </w:r>
            <w:r>
              <w:rPr>
                <w:rFonts w:hint="eastAsia" w:ascii="宋体" w:hAnsi="宋体" w:cs="宋体"/>
                <w:color w:val="auto"/>
                <w:szCs w:val="21"/>
                <w:highlight w:val="none"/>
              </w:rPr>
              <w:t>到岗，每次扣款300元。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655" w:type="dxa"/>
            <w:noWrap w:val="0"/>
            <w:vAlign w:val="center"/>
          </w:tcPr>
          <w:p>
            <w:pPr>
              <w:spacing w:line="400" w:lineRule="exact"/>
              <w:jc w:val="left"/>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项目经理须每天与采购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进行业务交流、沟通；</w:t>
            </w:r>
          </w:p>
        </w:tc>
        <w:tc>
          <w:tcPr>
            <w:tcW w:w="3345" w:type="dxa"/>
            <w:noWrap w:val="0"/>
            <w:vAlign w:val="center"/>
          </w:tcPr>
          <w:p>
            <w:pPr>
              <w:spacing w:line="400" w:lineRule="exact"/>
              <w:jc w:val="left"/>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如不按要求与采购人进行业务交流、沟通的，每次扣款500元。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51" w:type="dxa"/>
            <w:noWrap w:val="0"/>
            <w:vAlign w:val="top"/>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65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发生重大失责行为，造成</w:t>
            </w:r>
            <w:r>
              <w:rPr>
                <w:rFonts w:hint="eastAsia" w:ascii="宋体" w:hAnsi="宋体" w:eastAsia="宋体" w:cs="宋体"/>
                <w:color w:val="auto"/>
                <w:sz w:val="21"/>
                <w:szCs w:val="21"/>
                <w:highlight w:val="none"/>
                <w:lang w:eastAsia="zh-CN"/>
              </w:rPr>
              <w:t>严重</w:t>
            </w:r>
            <w:r>
              <w:rPr>
                <w:rFonts w:hint="eastAsia" w:ascii="宋体" w:hAnsi="宋体" w:eastAsia="宋体" w:cs="宋体"/>
                <w:color w:val="auto"/>
                <w:sz w:val="21"/>
                <w:szCs w:val="21"/>
                <w:highlight w:val="none"/>
              </w:rPr>
              <w:t>后果者。</w:t>
            </w:r>
          </w:p>
        </w:tc>
        <w:tc>
          <w:tcPr>
            <w:tcW w:w="3345"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每次</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10000元</w:t>
            </w:r>
          </w:p>
        </w:tc>
        <w:tc>
          <w:tcPr>
            <w:tcW w:w="1626" w:type="dxa"/>
            <w:noWrap w:val="0"/>
            <w:vAlign w:val="top"/>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p>
    <w:p>
      <w:pPr>
        <w:pStyle w:val="62"/>
        <w:rPr>
          <w:rFonts w:hint="eastAsia"/>
          <w:b/>
          <w:bCs/>
          <w:color w:val="auto"/>
          <w:highlight w:val="none"/>
          <w:lang w:val="en-US" w:eastAsia="zh-CN"/>
        </w:rPr>
      </w:pPr>
    </w:p>
    <w:p>
      <w:pPr>
        <w:pStyle w:val="62"/>
        <w:rPr>
          <w:rFonts w:hint="default"/>
          <w:b/>
          <w:bCs/>
          <w:color w:val="auto"/>
          <w:highlight w:val="none"/>
          <w:lang w:val="en-US" w:eastAsia="zh-CN"/>
        </w:rPr>
      </w:pPr>
      <w:r>
        <w:rPr>
          <w:rFonts w:hint="eastAsia"/>
          <w:b/>
          <w:bCs/>
          <w:color w:val="auto"/>
          <w:highlight w:val="none"/>
          <w:lang w:val="en-US" w:eastAsia="zh-CN"/>
        </w:rPr>
        <w:t>考核人（签字盖章）：                   被考核人（签字盖章）：</w:t>
      </w: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spacing w:line="500" w:lineRule="exact"/>
        <w:ind w:firstLine="602" w:firstLineChars="200"/>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pStyle w:val="62"/>
        <w:rPr>
          <w:rFonts w:hint="eastAsia"/>
          <w:b/>
          <w:bCs/>
          <w:color w:val="auto"/>
          <w:sz w:val="30"/>
          <w:szCs w:val="30"/>
          <w:highlight w:val="none"/>
        </w:rPr>
      </w:pPr>
    </w:p>
    <w:p>
      <w:pPr>
        <w:spacing w:line="500" w:lineRule="exact"/>
        <w:ind w:firstLine="602" w:firstLineChars="200"/>
        <w:rPr>
          <w:b/>
          <w:bCs/>
          <w:color w:val="auto"/>
          <w:sz w:val="30"/>
          <w:szCs w:val="30"/>
          <w:highlight w:val="none"/>
        </w:rPr>
      </w:pPr>
      <w:r>
        <w:rPr>
          <w:rFonts w:hint="eastAsia"/>
          <w:b/>
          <w:bCs/>
          <w:color w:val="auto"/>
          <w:sz w:val="30"/>
          <w:szCs w:val="30"/>
          <w:highlight w:val="none"/>
        </w:rPr>
        <w:t>附件3：</w:t>
      </w:r>
    </w:p>
    <w:p>
      <w:pPr>
        <w:spacing w:line="560" w:lineRule="exact"/>
        <w:jc w:val="center"/>
        <w:rPr>
          <w:rFonts w:hint="eastAsia" w:ascii="宋体" w:hAnsi="宋体"/>
          <w:b/>
          <w:color w:val="auto"/>
          <w:sz w:val="28"/>
          <w:szCs w:val="28"/>
          <w:highlight w:val="none"/>
        </w:rPr>
      </w:pPr>
      <w:r>
        <w:rPr>
          <w:rFonts w:hint="eastAsia" w:ascii="方正小标宋简体" w:hAnsi="方正小标宋简体" w:eastAsia="方正小标宋简体" w:cs="方正小标宋简体"/>
          <w:b/>
          <w:color w:val="auto"/>
          <w:sz w:val="28"/>
          <w:szCs w:val="28"/>
          <w:highlight w:val="none"/>
        </w:rPr>
        <w:t>国家税务总局来宾市税务局机关办公大院管理办法（试行）</w:t>
      </w:r>
    </w:p>
    <w:p>
      <w:pPr>
        <w:spacing w:line="560" w:lineRule="exact"/>
        <w:jc w:val="left"/>
        <w:rPr>
          <w:rFonts w:hint="eastAsia" w:ascii="黑体" w:hAnsi="黑体" w:eastAsia="黑体"/>
          <w:b/>
          <w:color w:val="auto"/>
          <w:sz w:val="32"/>
          <w:szCs w:val="32"/>
          <w:highlight w:val="none"/>
        </w:rPr>
      </w:pP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第一章  总  则</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第一条  为了进一步规范来宾市税务局机关办公大院（以下简称机关大院）的管理，建设和谐、文明、安全、整洁、有序的机关大院，为大家营造良好的生活和工作环境，根据国务院《物业管理条例》有关规定，结合我局机关大院的实际，特制定本办法。</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第二条  本办法适用于机关大院辖区内的管理。辖区位于来宾市人民路西309号、来宾市兴宾区大桥路8号，所辖范围：机关办公大楼、机关食堂、停车场、公共绿化带及公共设施等。</w:t>
      </w:r>
    </w:p>
    <w:p>
      <w:pPr>
        <w:spacing w:line="5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第三条  机关大院的管理工作主要由机关服务中心负责，委托物业管理公司（以下简称物业公司）对办公大院内的水电、卫生、电梯、消防、车辆出入、停车场、公共绿化带及公共设施等进行管理。</w:t>
      </w:r>
    </w:p>
    <w:p>
      <w:pPr>
        <w:spacing w:line="5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第四条  在机关大院内工作的所有人员应自觉遵守并接受本办法的管理。</w:t>
      </w:r>
    </w:p>
    <w:p>
      <w:pPr>
        <w:spacing w:line="560" w:lineRule="exact"/>
        <w:ind w:hanging="1290"/>
        <w:jc w:val="center"/>
        <w:rPr>
          <w:rFonts w:hint="eastAsia" w:ascii="宋体" w:hAnsi="宋体" w:eastAsia="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eastAsia="宋体" w:cs="宋体"/>
          <w:b/>
          <w:bCs/>
          <w:color w:val="auto"/>
          <w:szCs w:val="21"/>
          <w:highlight w:val="none"/>
        </w:rPr>
        <w:t>第二章</w:t>
      </w:r>
      <w:r>
        <w:rPr>
          <w:rFonts w:hint="eastAsia" w:ascii="宋体" w:hAnsi="宋体" w:cs="宋体"/>
          <w:b/>
          <w:bCs/>
          <w:color w:val="auto"/>
          <w:szCs w:val="21"/>
          <w:highlight w:val="none"/>
        </w:rPr>
        <w:t xml:space="preserve">  </w:t>
      </w:r>
      <w:r>
        <w:rPr>
          <w:rFonts w:hint="eastAsia" w:ascii="宋体" w:hAnsi="宋体" w:eastAsia="宋体" w:cs="宋体"/>
          <w:b/>
          <w:color w:val="auto"/>
          <w:szCs w:val="21"/>
          <w:highlight w:val="none"/>
        </w:rPr>
        <w:t>公共部位及设施管理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第五条  机关大院内的道路和公共部位，任何单位和个人不得占用，走廊、通道、楼梯等公共部位，不得乱停放车辆，乱堆放杂物；不得乱张贴或悬挂图表、牌匾、通知等，需要张贴的由有关部门提出申请，经机关服务中心同意后，可在适当位置张贴或悬挂。经常有效地对高空物品进行检查，防止物品高空坠落，禁止将花卉、盆景等放在窗台，严禁从高空向窗外抛弃物品，防止伤人等事件的发生，否则，因此造成的后果由当事人负责。 </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  应自觉爱护机关大院一切公共设施，不得</w:t>
      </w:r>
      <w:bookmarkStart w:id="38" w:name="OLE_LINK2"/>
      <w:bookmarkStart w:id="39" w:name="OLE_LINK1"/>
      <w:r>
        <w:rPr>
          <w:rFonts w:hint="eastAsia" w:ascii="宋体" w:hAnsi="宋体" w:eastAsia="宋体" w:cs="宋体"/>
          <w:color w:val="auto"/>
          <w:szCs w:val="21"/>
          <w:highlight w:val="none"/>
        </w:rPr>
        <w:t>损坏或破坏</w:t>
      </w:r>
      <w:bookmarkEnd w:id="38"/>
      <w:bookmarkEnd w:id="39"/>
      <w:r>
        <w:rPr>
          <w:rFonts w:hint="eastAsia" w:ascii="宋体" w:hAnsi="宋体" w:eastAsia="宋体" w:cs="宋体"/>
          <w:color w:val="auto"/>
          <w:szCs w:val="21"/>
          <w:highlight w:val="none"/>
        </w:rPr>
        <w:t>。对损坏或破坏公共设施的行为，视情节轻重予以处理，如情节较轻的恢复原貌、赔偿损失,情节严重的依规依法进行处理。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不得擅自改造、安装机关大院的水、电、气供应系统、电动车充电系统、有线电视线路以及网络通信等公共设施，造成损坏的由当事人负责赔偿。</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对房屋、水、电等公共设施保养和维护</w:t>
      </w:r>
    </w:p>
    <w:p>
      <w:pPr>
        <w:spacing w:line="560" w:lineRule="exact"/>
        <w:ind w:firstLine="270" w:firstLineChars="12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物业公司应定期对机关大院的办公楼、食堂、停车场、道路、水电等公共设施进行检查，特别对地下室抽水系统每星期进行设备运行检查，发现问题及时处理，并将检查维修情况及时登记，及时派员进行维修。           </w:t>
      </w:r>
    </w:p>
    <w:p>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（二）长时间离开办公室应关闭照明、空调、电脑等。</w:t>
      </w:r>
    </w:p>
    <w:p>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对室内外运动场地及健身器材管理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（一）市局机关大院室内外运动场地及各种运动健身器材仅供本单位干部职工业余时间使用，外来人员未经批准禁止进入运动场地和使用健身器材。</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（二）机关服务中心委托物业公司对市局机关大院室内外运动场地及各种运动健身器材进行管理和维护。</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（三）市局机关各部门邀请外单位人员使用室内外运动场地进行各类活动、比赛的，执行报备制，由邀请部门向机关服务中心报送活动情况。</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运动场地内进行比赛或活动，应发扬体育道德精神，严禁打闹或滋事；参加或观看体育活动人员，应增强安全防范意识，避免不必要的损伤；严禁酒后进入运动场地活动和使用健身器材；对在室内外运动场地内发生的人身伤残、伤亡等事故，本单位概不负责任。</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（五）在使用健身器材前需了解器材正确使用方法，避免安全事故的发生；小孩需在家长的监护下使用各种健身器材，否则发生安全事故，后果自负。</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爱护场内设施。进入塑胶场地的活动者，必须穿运动胶鞋、橡胶帆布鞋或软橡胶鞋。禁止穿皮鞋、高跟鞋或足球鞋者入内；禁止各种车辆进入运动场内，如摩托车、自行车、直排轮、滑板车及其它车辆等。禁止任何避免机械摩擦和重物堆压；禁止携带可能损坏塑胶面层的物品，如宠物、化学物品及锋利物品等进入场内；未经许可严禁搬动或拆卸任何运动设施。</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（七）凡在室内外运动场内运动者请保持场地整洁，严禁场内吸烟，不准随地吐痰，垃圾如饮料瓶等需在活动结束后及时带出场地，禁止乱丢垃圾破坏场地卫生；严禁带宠物进入运动场地。</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（八）爱护公共设施和健身器材，如有人为损坏，按规定进行赔偿。</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（九）注意节约用电，离开运动场地时自觉关掉电源、关灯。</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对机关大院监控设备管理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（一）机关服务中心加强对监控设备管理，负责对监控设备的维护与保养。</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监控设备录像的查看及拷贝由机关服务中心管理，原则上监控录像不得查看和拷贝，要查看录像回放的需书面申请，经机关服务中心同意后方可查看；对公安等部门需要查看或拷贝录像数据的，应出示工作函，报经分管机关服务中心的局领导同意后，方可查看或拷贝。</w:t>
      </w:r>
    </w:p>
    <w:p>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第十一条  对围墙、水池等安全管理</w:t>
      </w:r>
    </w:p>
    <w:p>
      <w:pPr>
        <w:spacing w:line="560" w:lineRule="exact"/>
        <w:ind w:firstLine="6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（一）加强对围墙的安全管理，非水电专业人员严禁对围墙上的线路及用电设备进行改动或维修。</w:t>
      </w:r>
    </w:p>
    <w:p>
      <w:pPr>
        <w:spacing w:line="560" w:lineRule="exact"/>
        <w:ind w:firstLine="6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（二）严禁攀爬水池栏杆，没有大人看管的小孩禁止到水池边玩耍，否则发生安全事故，后果自负。</w:t>
      </w:r>
    </w:p>
    <w:p>
      <w:pPr>
        <w:spacing w:line="560" w:lineRule="exact"/>
        <w:ind w:firstLine="6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（三）机关服务中心委托物业公司对大院内的果树进行管理，严禁攀爬大院内的树木，禁止采摘果树。</w:t>
      </w:r>
    </w:p>
    <w:p>
      <w:pPr>
        <w:spacing w:line="560" w:lineRule="exact"/>
        <w:ind w:firstLine="6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（四）加强对灭“四害”管理，对投放灭“四害”药物的地方设有明显的标记，预防误食，大人需看管好小孩，否则发生安全事故，后果自负。 </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第三章 出入管理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人员出入规定</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（一）进出机关大院人员应自觉接受门卫值班员的问询或检查。</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（二）外来人员进入机关大院办事凭本人身份证或有效证件，由门卫值班员与被访部门（个人）电话联系，经同意并登记后方可进入机关大院。</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（三）进入机关大院办公大楼的外来办事人员，凭会议通知、单位介绍信、居民身份证、工作证等有效证件，由一楼大堂值班员征得被访单位或人员同意并登记后方可进入。</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（四）建立门卫值班及应急报告制度，遇到群体性上访或异常人员上访及危险情况等，及时报告信访值班人员或公安“110”指挥中心，做好劝导、疏导及协助相关部门维持秩序等工作。</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（五）废旧物资、报刊等收购人员，须凭本人身份证到服务中心登记备案，所携带物资须经门卫查验核实并做好登记后，方可带离机关大院。</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物资进出规定及信件快递管理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（一）物资进入机关大院应自觉接受门卫检查并办理相关的登记手续，方可进入。严禁携带易燃易爆等危险物品进入机关大院。</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（二）物资出大门必须接受门卫值班员的检查，填写物资出门登记单，由所在部门同意并签字，经门卫核实登记后方能携带出大门。</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（三）未经相关部门同意，所有公共物资严禁携带出大门。</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（四）邮件公司、快递公司及物流公司等人员运送的物资，门卫按物品进出机关大院有关规定，做好登记及安全核查工作后方能放行。</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（五）加强门卫快递物品的管理，要求快递员对送来的快递物品进行逐项登记，所有快递物品应及时领取，避免长时间堆放在门卫室，长时间堆放造成丢失的后果自负。</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第四章  绿化管理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机关大院的绿化范围包括树木、绿地、花草、盆景等。</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花木养护规定</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（一）自觉爱护机关大院公共绿化带的一草一木，不准擅自移栽、挪用、践踏花草等。</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（二）物业公司要定期对机关大院公共绿化带进行施肥、修剪等养护工作，确需要喷洒农药进行养护，要做好告知工作，防止意外事故的发生。</w:t>
      </w:r>
    </w:p>
    <w:p>
      <w:pPr>
        <w:spacing w:line="560" w:lineRule="exact"/>
        <w:ind w:firstLine="63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（三）楼层及各办公室花卉租摆，由花卉公司保养维护，各部门需要更换花卉的通知机关服务中心，由机关服务中心对接花卉公司进行更换。</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第五章  环境卫生管理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机关大院环境卫生范围：公共部位、各部门办公室、会议室、停车场等。</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第十七条  卫生保洁规定</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（一）生活垃圾应集中放置，每日由环卫部门统一清理；建筑垃圾集中放置,由承建公司统一清理，物业公司负责对清理情况进行监督；严禁乱倒乱扔垃圾，倡导垃圾分类。</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（二）机关大院公共部位的环境卫生由物业公司统一负责，各部门办公室的环境卫生由物业公司每天进行清理。</w:t>
      </w:r>
    </w:p>
    <w:p>
      <w:pPr>
        <w:spacing w:line="560" w:lineRule="exact"/>
        <w:ind w:firstLine="63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（三）禁止在机关大院公共场所乱扔垃圾，保持室内外环境卫生整洁。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第六章  安全保卫管理</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第十八条  保安保卫规定</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（一）保安值班人员要严格执行24小时值班制度及应急报告制度，加强巡查力度，对人员出入、物资进出、车辆停放、安全保卫等进行管理，确保机关大院安全有序。</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（二）保安值班人员要加强对机关大院机房、电动车充电系统、地下车库抽排水系统、办公大楼等重点场所的巡查力度，发现问题及时报告和处理，防止意外事故的发生。</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（三）物业公司要加强对保安队伍的培训工作，不断提高保安人员的业务水平和职业素养，更好地为机关干部职工服务。</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第十九条  消防管理规定</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（一）机关大院人员应遵守各项消防安全管理规定，自觉维护好消防设施，严禁损坏、挪用、拆除、埋压消防设施等行为。</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（二）严禁违规占用消防通道。</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物业公司要定期对机关大院电动车充电系统、消防系统、机房、电房等消防重点部位（场所）进行检查，建立健全消防安全检查登记管理制度，做到谁检查谁负责的原则，做好消防安全隐患的排查及整改工作，严防意外事故的发生。</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（四）机关服务中心要采取巡查、抽查等形式加强对机关大院消防安全的检查工作，加大消防安全知识培训力度，营造人人讲安全、人人懂安全的良好氛围，使机关大院和和美美、平平安安。</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第七章  车辆出入停放管理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第二十条  机关大院出入停放的所有车辆，包括局机关公务车、机关工作人员私家车、外来车辆及非机动车辆。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（一）机关大院内车辆停放限于停放机关干部职工及工作人员车辆，其他外来车辆长时间停放的需书面报告机关服务中心审批同意后，方可停放，并按规定的停车区域停放，接受物业公司的管理。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（二）机关大院办公的干部职工的车辆信息由机关服务中心统一录入管理系统。</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（三）外来办事的车辆进出机关大院应自觉接受门卫值班员的查询或登记后方能进入停放。</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（四）非机动车辆进出机关大院应自觉接受门卫值班员的查询或登记（外来车辆）后，方能停放于指定位置。</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（五）车辆进出机关大院须按交通标识减速慢行，禁鸣喇叭，做到文明行驶，自觉接受保安人员的指挥。</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（六）严禁外来无关车辆及携带易燃易爆危险品的车辆进入机关大院。</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（七）机关大院安保实行24小时值班及应急报告制度，加强巡查力度，严格工作纪律，做好车辆出入的管理工作，确保车辆出入安全有序。</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（八）进入机关大院停放的所有车辆，须按指定停车库（场）、车位及方向有序停放，自觉服从值班安保人员的指挥，禁止车辆乱停乱放。</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（九）严禁占用消防通道停放车辆。</w:t>
      </w:r>
    </w:p>
    <w:p>
      <w:pPr>
        <w:spacing w:line="5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（十）共享单车不得进入机关大院。</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第八章  附  则</w:t>
      </w:r>
    </w:p>
    <w:p>
      <w:pPr>
        <w:spacing w:line="560" w:lineRule="exact"/>
        <w:ind w:firstLine="6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第二十一条  本办法由机关服务中心负责解释， 本办法自发布之日起执行。</w:t>
      </w:r>
    </w:p>
    <w:p>
      <w:pPr>
        <w:spacing w:line="560" w:lineRule="exact"/>
        <w:ind w:firstLine="600" w:firstLineChars="250"/>
        <w:rPr>
          <w:rFonts w:hint="eastAsia" w:ascii="宋体" w:hAnsi="宋体" w:eastAsia="宋体" w:cs="宋体"/>
          <w:color w:val="auto"/>
          <w:sz w:val="24"/>
          <w:szCs w:val="24"/>
          <w:highlight w:val="none"/>
        </w:rPr>
      </w:pPr>
    </w:p>
    <w:p>
      <w:pPr>
        <w:spacing w:line="560" w:lineRule="exact"/>
        <w:jc w:val="center"/>
        <w:rPr>
          <w:rFonts w:hint="eastAsia" w:ascii="方正小标宋简体" w:hAnsi="方正小标宋简体" w:eastAsia="方正小标宋简体" w:cs="方正小标宋简体"/>
          <w:b/>
          <w:bCs/>
          <w:color w:val="auto"/>
          <w:sz w:val="28"/>
          <w:szCs w:val="28"/>
          <w:highlight w:val="none"/>
        </w:rPr>
      </w:pPr>
      <w:r>
        <w:rPr>
          <w:rFonts w:hint="eastAsia" w:ascii="方正小标宋简体" w:hAnsi="方正小标宋简体" w:eastAsia="方正小标宋简体" w:cs="方正小标宋简体"/>
          <w:b/>
          <w:bCs/>
          <w:color w:val="auto"/>
          <w:sz w:val="28"/>
          <w:szCs w:val="28"/>
          <w:highlight w:val="none"/>
        </w:rPr>
        <w:t>国家税务总局来宾市税务局局机关大院车辆停放管理规定（暂行）</w:t>
      </w:r>
    </w:p>
    <w:p>
      <w:pPr>
        <w:spacing w:line="560" w:lineRule="exact"/>
        <w:ind w:firstLine="420" w:firstLineChars="200"/>
        <w:rPr>
          <w:rFonts w:hint="eastAsia" w:ascii="宋体" w:hAnsi="宋体" w:eastAsia="宋体" w:cs="宋体"/>
          <w:color w:val="auto"/>
          <w:szCs w:val="21"/>
          <w:highlight w:val="none"/>
        </w:rPr>
      </w:pP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单位大院车辆停放管理，保障市局机关大院车辆进出规范有序，促进局机关大院有限的停车位合理、公平、安全使用，提高停车效率，确保干部职工上下班和工作环境秩序稳定，大院安全稳定，特制定本管理规定。</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一、车辆停放范围</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本规定适用于本单位全体干部职工车辆、外单位来访（包括各县市区局来访车辆）的车辆(不含非机动车）。</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二、停车位的划分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停车位包括地面停车位、办公楼地下停车位。停车位根据车辆类型划分为：单位公务车位、干部职工车辆车位、新能源车位充电车位。</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三、车辆登记</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登记原则。由于停车位有限，本单位干部职工只允许登记并停放一辆车辆，有的干部职工有多辆车的，可允许登记两辆车辆，但登记两辆车的只允许入场停放一辆车辆。干部职工登记的车辆必须为本人或者家属名下使用的车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（二）录入申请。干部职工凭车辆行驶证向机关服务中心提出登记申请，由机关服务中心在车辆识别系统中进行登记录入。</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（三）信息更新。干部职工已录入车辆识别系统的车辆，若有变化，要及时向机关服务中心提出更新车辆信息申请，以免影响车辆出入。</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（四）信息注销。退休的干部职工和调离本单位的干部职工，原则上不再安排停车位进行车辆停放，机关服务中心及时对车辆识别系统中的车辆信息进行注销。</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四、车辆停放规定</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（一）干部职工车辆不得占用单位公务车停车位，单位公务车辆优先停放在办公楼地下停车位。</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（二）非充电车辆不得占用新能源充电车停车位。</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（三）充电车辆充满电以后，要及时挪车，以方便其他车辆充电，且必须在车辆显眼处留存联系电话。</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（四）外单位来访车辆如有停车需求，由门卫负责安排停车。</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（五）非干部职工车辆一律不得入场停放，若有特殊停放需求，向机关服务中心申请并经局领导同意方可临时停放。</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（六）车辆进出停车位时应慢速行驶，注意观察周围环境，避免刮擦其他车辆或损坏公共设施。</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（七）车辆停放时应保持整齐划一，坚持一车一位原则，车辆停放统一朝向，车头统一对外。</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（八）车辆不得在线外随意停放或跨线停车，不得占用消防通道和影响其他车辆通行。</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（九）禁止在停车位内从事维修、清洗车辆等活动，以免影响环境卫生。</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（十）如遇重大会议、活动等事项安排，所有停放车辆须服从机关服务中心安排调派。</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（一）机关服务中心负责机关停车位的日常管理和监督，对机关大院停车位实行编号管理，物业公司协助机关服务中心对车辆入场停车进行管理，确保停车位的使用规范有序。</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（二）机关服务中心车辆管理人员每月定期对停车位设施设备进行检查，发现安全问题及时报告，确保停车场的安全有序。</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（三）违反停车位管理规定的车辆，机关服务中心有权通知车主进行移车、挪位。</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（四）车辆因停放发生车辆刮撞等事故，由干部职工个人自行处理解决。</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（五）机关服务中心要专人管理好车辆识别系统，不得对外开放泄露车辆登记管理权限。</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（六）门卫要严格遵守本管理规定，不得私自允许外单位车辆入场停放，一经发现，将严肃处理。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六、本管理规定自发布之日起施行，具体由机关服务中心负责解释。</w:t>
      </w:r>
    </w:p>
    <w:p>
      <w:pPr>
        <w:pStyle w:val="63"/>
        <w:numPr>
          <w:ilvl w:val="4"/>
          <w:numId w:val="0"/>
        </w:numPr>
        <w:rPr>
          <w:color w:val="auto"/>
          <w:highlight w:val="none"/>
        </w:rPr>
      </w:pPr>
    </w:p>
    <w:p>
      <w:pPr>
        <w:spacing w:line="560" w:lineRule="exact"/>
        <w:ind w:left="1968" w:hanging="1968" w:hangingChars="700"/>
        <w:jc w:val="center"/>
        <w:rPr>
          <w:rFonts w:hint="eastAsia" w:ascii="宋体" w:hAnsi="宋体" w:eastAsia="宋体" w:cs="宋体"/>
          <w:color w:val="auto"/>
          <w:szCs w:val="21"/>
          <w:highlight w:val="none"/>
        </w:rPr>
      </w:pPr>
      <w:r>
        <w:rPr>
          <w:rFonts w:hint="eastAsia" w:ascii="方正小标宋简体" w:hAnsi="方正小标宋简体" w:eastAsia="方正小标宋简体" w:cs="方正小标宋简体"/>
          <w:b/>
          <w:bCs/>
          <w:color w:val="auto"/>
          <w:sz w:val="28"/>
          <w:szCs w:val="28"/>
          <w:highlight w:val="none"/>
        </w:rPr>
        <w:t>国家税务总局来宾市税务局机关用水用电管理规定（暂行）</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第一章  总则</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为规范机关用水用电行为，节约用水用电成本，保障正常工作秩序，特制定本管理规定。</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本规定适用于机关所有用水用电设备及用水用电人员。机关各部门和员工应当全面贯彻国家能源政策和法律法规，积极践行“节能减排、低碳环保”理念。</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第二章 管理职责</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机关服务中心具体负责机关用水用电的日常管理工作。主要职责包括：</w:t>
      </w:r>
    </w:p>
    <w:p>
      <w:pPr>
        <w:numPr>
          <w:ilvl w:val="0"/>
          <w:numId w:val="7"/>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制定用水用电管理实施细则，组织实施用水用电管理活动，监督检查日常机关用水用电情况。</w:t>
      </w:r>
    </w:p>
    <w:p>
      <w:pPr>
        <w:numPr>
          <w:ilvl w:val="0"/>
          <w:numId w:val="7"/>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负责用水用电设施设备的采购、安装、维护和保养工作。</w:t>
      </w:r>
    </w:p>
    <w:p>
      <w:pPr>
        <w:numPr>
          <w:ilvl w:val="0"/>
          <w:numId w:val="7"/>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定期统计分析用水用电量，评估节水节电效果，提出改进措施。</w:t>
      </w:r>
    </w:p>
    <w:p>
      <w:pPr>
        <w:numPr>
          <w:ilvl w:val="0"/>
          <w:numId w:val="7"/>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定期对供水管道、阀门、水龙头等用水设施进行检查和维护，确保设施完好、无跑冒滴漏现象。</w:t>
      </w:r>
    </w:p>
    <w:p>
      <w:pPr>
        <w:numPr>
          <w:ilvl w:val="0"/>
          <w:numId w:val="7"/>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定期对配电箱、电缆、开关、电梯机房等用电设施进行定期检查和维护，确保设施安全可靠运行。</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机关各部门指定专人负责本部门用水用电的管理工作，确保本部门员工遵守用水用电行为规范。配合机关服务中心做好用水用电设施设备的维护和保养工作。</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全体干部职工要积极参与节水节电活动，树立节约意识。在日常工作中自觉遵守节约用水用电规定，合理利用水电资源，杜绝浪费行为。</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第三章 用水行为规范</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人员用水规范：</w:t>
      </w:r>
    </w:p>
    <w:p>
      <w:pPr>
        <w:numPr>
          <w:ilvl w:val="0"/>
          <w:numId w:val="8"/>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干部职工在使用水资源时，应做到即开即用，用完即关，避免“长流水”现象。</w:t>
      </w:r>
    </w:p>
    <w:p>
      <w:pPr>
        <w:numPr>
          <w:ilvl w:val="0"/>
          <w:numId w:val="8"/>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倡导“光瓶行动”，鼓励收集利用剩余饮用水，减少瓶装水浪费。</w:t>
      </w:r>
    </w:p>
    <w:p>
      <w:pPr>
        <w:numPr>
          <w:ilvl w:val="0"/>
          <w:numId w:val="8"/>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发现供水管漏水、水龙头无法关紧等问题，应及时报修，并采取“关水阀”等积极措施减少资源浪费。</w:t>
      </w:r>
    </w:p>
    <w:p>
      <w:pPr>
        <w:numPr>
          <w:ilvl w:val="0"/>
          <w:numId w:val="8"/>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不得擅自改动、破坏用水设施，发现问题应及时向机关服务中心报告。</w:t>
      </w:r>
    </w:p>
    <w:p>
      <w:pPr>
        <w:numPr>
          <w:ilvl w:val="0"/>
          <w:numId w:val="8"/>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禁止在公共区域倾倒废水、污水，保持环境卫生。</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特定区域用水规范：</w:t>
      </w:r>
    </w:p>
    <w:p>
      <w:pPr>
        <w:numPr>
          <w:ilvl w:val="0"/>
          <w:numId w:val="9"/>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洗手间、取水处、食堂等公共区域应张贴节水标识，提醒干部职工节约用水。</w:t>
      </w:r>
    </w:p>
    <w:p>
      <w:pPr>
        <w:numPr>
          <w:ilvl w:val="0"/>
          <w:numId w:val="9"/>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注重洗手间用水节约，尽量不将水量开到最大，以不将水花溅到水槽为准；便后及时冲洗，确保冲水装置彻底关闭后再离开。</w:t>
      </w:r>
    </w:p>
    <w:p>
      <w:pPr>
        <w:numPr>
          <w:ilvl w:val="0"/>
          <w:numId w:val="9"/>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在清洗餐具、保洁等过程中，应合理控制用水量，尽量采用节水型器具和设备。</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第四章   用电行为规范</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安全用电行为规范：</w:t>
      </w:r>
    </w:p>
    <w:p>
      <w:pPr>
        <w:numPr>
          <w:ilvl w:val="0"/>
          <w:numId w:val="10"/>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严禁无关人员进入配电房、电梯机房，靠近变压器等危险设备。</w:t>
      </w:r>
    </w:p>
    <w:p>
      <w:pPr>
        <w:numPr>
          <w:ilvl w:val="0"/>
          <w:numId w:val="10"/>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严禁乱拉乱接电线，私自增加用电设备。</w:t>
      </w:r>
    </w:p>
    <w:p>
      <w:pPr>
        <w:numPr>
          <w:ilvl w:val="0"/>
          <w:numId w:val="10"/>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禁止乱插电线及使用超负荷电器，各部门使用用电设备时应当切实保护机器设备，保证设备正常运行。</w:t>
      </w:r>
    </w:p>
    <w:p>
      <w:pPr>
        <w:numPr>
          <w:ilvl w:val="0"/>
          <w:numId w:val="10"/>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严禁在插排、电器等设备装置旁边放置水杯等易导电物品，避免触电。</w:t>
      </w:r>
    </w:p>
    <w:p>
      <w:pPr>
        <w:numPr>
          <w:ilvl w:val="0"/>
          <w:numId w:val="10"/>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发生电器故障时，应及时向机关服务中心报告，由专业人员进行处理，严禁擅自维修。</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节约用电行为规范：</w:t>
      </w:r>
    </w:p>
    <w:p>
      <w:pPr>
        <w:numPr>
          <w:ilvl w:val="0"/>
          <w:numId w:val="11"/>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倡导干部职工节约用电，自觉遵守相关规定，合理利用资源，杜绝浪费行为。</w:t>
      </w:r>
    </w:p>
    <w:p>
      <w:pPr>
        <w:numPr>
          <w:ilvl w:val="0"/>
          <w:numId w:val="11"/>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严格执行国家有关室内温度控制的标准，合理设置室内温度，夏季室内空调温度不低于26℃（≥26℃），冬季室内空调温度不高于20℃（≤20℃）。提倡每天少开1小时空调，提高空调效能水平。</w:t>
      </w:r>
    </w:p>
    <w:p>
      <w:pPr>
        <w:numPr>
          <w:ilvl w:val="0"/>
          <w:numId w:val="11"/>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杜绝“长明灯”、“长转扇”，做到人走灯灭。下班后，要自觉关闭办公室空调、电灯以及办公电脑（包括显示器）等所有用电设备。</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第五章 安全与维护管理</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p>
      <w:pPr>
        <w:numPr>
          <w:ilvl w:val="0"/>
          <w:numId w:val="12"/>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统一机关用水用电设备，研究机关用水用电行为和设备改进工作，确保设备和线路安全。</w:t>
      </w:r>
    </w:p>
    <w:p>
      <w:pPr>
        <w:numPr>
          <w:ilvl w:val="0"/>
          <w:numId w:val="12"/>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在配电房、电梯机房、变压器等处设立警示标志。</w:t>
      </w:r>
    </w:p>
    <w:p>
      <w:pPr>
        <w:numPr>
          <w:ilvl w:val="0"/>
          <w:numId w:val="12"/>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监督和检查各部门和人员正确执行机关用水用电管理制度。</w:t>
      </w:r>
    </w:p>
    <w:p>
      <w:pPr>
        <w:numPr>
          <w:ilvl w:val="0"/>
          <w:numId w:val="12"/>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因违规用水用电造成重大损失及安全事故的，严肃追究相关人员责任。</w:t>
      </w:r>
    </w:p>
    <w:p>
      <w:pPr>
        <w:numPr>
          <w:ilvl w:val="0"/>
          <w:numId w:val="12"/>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制定用水用电安全事故应急预案，明确应急处置流程、责任人和应急资源。一旦发生安全事故，应立即启动应急预案并按照预案要求进行处置。及时向上级部门报告事故情况并请求支援。</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日常维护管理</w:t>
      </w:r>
    </w:p>
    <w:p>
      <w:pPr>
        <w:numPr>
          <w:ilvl w:val="0"/>
          <w:numId w:val="13"/>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机关服务中心定期开展用水用电巡查，对存在水、电资源浪费行为及存在用电用水安全隐患等情况，及时制止并采取相应措施予以处理。</w:t>
      </w:r>
    </w:p>
    <w:p>
      <w:pPr>
        <w:numPr>
          <w:ilvl w:val="0"/>
          <w:numId w:val="13"/>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因工作需要必须架设临时用水用电线路的，应由使用部门向机关服务中心提出申请，经审查批准后方可安装。</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第六章  节约措施与管理</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日常节约措施</w:t>
      </w:r>
    </w:p>
    <w:p>
      <w:pPr>
        <w:numPr>
          <w:ilvl w:val="0"/>
          <w:numId w:val="14"/>
        </w:numPr>
        <w:spacing w:line="560" w:lineRule="exact"/>
        <w:ind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对现有用水设施进行改造升级，推广使用节水型器具和设备，如节水龙头等。</w:t>
      </w:r>
    </w:p>
    <w:p>
      <w:pPr>
        <w:numPr>
          <w:ilvl w:val="0"/>
          <w:numId w:val="14"/>
        </w:numPr>
        <w:spacing w:line="560" w:lineRule="exact"/>
        <w:ind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引入雨水收集利用系统等先进技术提高节水效能。</w:t>
      </w:r>
    </w:p>
    <w:p>
      <w:pPr>
        <w:numPr>
          <w:ilvl w:val="0"/>
          <w:numId w:val="14"/>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优先采购节能办公设备，及时淘汰高耗能设备，减少或停用大功率用电设备。加快照明系统节能改造，推广使用节能型灯具，加装声敏或光敏自动控制开关。</w:t>
      </w:r>
    </w:p>
    <w:p>
      <w:pPr>
        <w:numPr>
          <w:ilvl w:val="0"/>
          <w:numId w:val="14"/>
        </w:numPr>
        <w:spacing w:line="560" w:lineRule="exact"/>
        <w:ind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会议室、走廊等公共区域应合理设置照明设备，避免过度照明。</w:t>
      </w:r>
    </w:p>
    <w:p>
      <w:pPr>
        <w:numPr>
          <w:ilvl w:val="0"/>
          <w:numId w:val="14"/>
        </w:numPr>
        <w:spacing w:line="560" w:lineRule="exact"/>
        <w:ind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绿化用水应尽量使用雨水或再生水，采用节水灌溉方式</w:t>
      </w:r>
      <w:r>
        <w:rPr>
          <w:rFonts w:hint="eastAsia" w:ascii="宋体" w:hAnsi="宋体" w:eastAsia="宋体" w:cs="宋体"/>
          <w:color w:val="auto"/>
          <w:szCs w:val="21"/>
          <w:highlight w:val="none"/>
        </w:rPr>
        <w:t>进行喷灌、滴灌</w:t>
      </w:r>
      <w:r>
        <w:rPr>
          <w:rFonts w:hint="eastAsia" w:ascii="宋体" w:hAnsi="宋体" w:eastAsia="宋体" w:cs="宋体"/>
          <w:bCs/>
          <w:color w:val="auto"/>
          <w:szCs w:val="21"/>
          <w:highlight w:val="none"/>
        </w:rPr>
        <w:t>。</w:t>
      </w:r>
    </w:p>
    <w:p>
      <w:pPr>
        <w:numPr>
          <w:ilvl w:val="0"/>
          <w:numId w:val="14"/>
        </w:numPr>
        <w:spacing w:line="560" w:lineRule="exact"/>
        <w:ind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将各型会议室等集中大量用水的办公区剩水回收再利用于日常保洁等其他用途。</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监督检查</w:t>
      </w:r>
    </w:p>
    <w:p>
      <w:pPr>
        <w:numPr>
          <w:ilvl w:val="0"/>
          <w:numId w:val="15"/>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建立监督检查机制，设立专门的监督部门或岗位，定期对各部门用水用电工作进行检查和评估。</w:t>
      </w:r>
    </w:p>
    <w:p>
      <w:pPr>
        <w:numPr>
          <w:ilvl w:val="0"/>
          <w:numId w:val="15"/>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安装和使用合格的用水用电计量器具，对办公楼、食堂、绿化等区域实行分级计量，监测用水量、用电量。</w:t>
      </w:r>
    </w:p>
    <w:p>
      <w:pPr>
        <w:numPr>
          <w:ilvl w:val="0"/>
          <w:numId w:val="15"/>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安排专人定时抄录水表、电表，定期统计和分析用水用电数据，对节水节电效果进行评估和分析。</w:t>
      </w:r>
    </w:p>
    <w:p>
      <w:pPr>
        <w:numPr>
          <w:ilvl w:val="0"/>
          <w:numId w:val="15"/>
        </w:numPr>
        <w:spacing w:line="560" w:lineRule="exact"/>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对用水用电量、节水节电成效等进行公示，接受员工的监督和建议。</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第七章 宣传教育</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通过宣传栏、内部网站、微信公众号等多种渠道开展节水节电宣传。</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定期开展用水用电安全与节约培训教育，普及相关知识和政策法规。</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第八章 附则</w:t>
      </w:r>
    </w:p>
    <w:p>
      <w:pPr>
        <w:numPr>
          <w:ilvl w:val="0"/>
          <w:numId w:val="6"/>
        </w:numPr>
        <w:spacing w:line="560" w:lineRule="exact"/>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本规定自发布之日起施行，具体由机关服务中心负责解释。</w:t>
      </w:r>
    </w:p>
    <w:p>
      <w:pPr>
        <w:pStyle w:val="63"/>
        <w:numPr>
          <w:ilvl w:val="4"/>
          <w:numId w:val="0"/>
        </w:numPr>
        <w:rPr>
          <w:color w:val="auto"/>
          <w:highlight w:val="none"/>
        </w:rPr>
      </w:pPr>
    </w:p>
    <w:p>
      <w:pPr>
        <w:spacing w:line="56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bCs/>
          <w:color w:val="auto"/>
          <w:sz w:val="28"/>
          <w:szCs w:val="28"/>
          <w:highlight w:val="none"/>
        </w:rPr>
        <w:t>国家税务总局来宾市税务局消防安全管理办法</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第一章  总则</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第一条  为加强机关消防安全管理，预防火灾，消除火险隐患，切实保障国有资产及干部职工的生命财产安全，维护良好的工作生活秩序，根据《中华人民共和国消防法》及《机关、团体企业、事业单位消防安全管理规定》（公安部令第61号），制定本办法。</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第二条  本办法适用于来宾市税务局局机关的消防安全管理。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第三条  严格遵守消防法律、法规、规章（以下统称消防法规），贯彻预防为主、防消结合的消防工作方针，履行消防安全职责，确保消防安全。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第四条  落实岗位消防安全责任制，明确岗位消防安全职责。 </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第二章  消防安全职责</w:t>
      </w:r>
    </w:p>
    <w:p>
      <w:pPr>
        <w:numPr>
          <w:ilvl w:val="0"/>
          <w:numId w:val="16"/>
        </w:num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需要每年与有资质的消防维修保养公司签订日常的维修保养合同，委托物业公司对消防设备进行日常巡查和检查。确定机关的消防安全管理人。消防安全管理人对机关的消防安全责任人负责，实施和组织落实下列消防安全管理工作：</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（一）组织实施日常消防安全管理工作。</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（二）组织消防设施防火巡查、检查；消防设施、器材维护管理；火灾隐患整改；实施防火检查和火灾隐患整改工作。</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（三）组织实施对机关消防设施、灭火器材和消防安全标志的维护保养，确保其完好有效和处于正常运行状态，确保疏散通道和安全出口的畅通。</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（四）组织干部职工开展消防知识、技能的教育和培训，组织灭火和应急疏散预案的实施和演练。</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（五）及时报告涉及消防安全的重大问题。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  在建工程施工现场的消防安全由施工单位负责。对建筑物进行局部改建、扩建和装修的工程，应当与施工单位在订立的合同中明确各方对施工现场的消防安全责任。</w:t>
      </w:r>
    </w:p>
    <w:p>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第三章  消防安全宣传教育和培训</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通过多种形式开展经常性的消防安全宣传教育。宣传教育和培训内容应当包括：</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（一）有关消防法规、消防安全制度和保障消防安全的操作规程。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（二）本单位、本岗位的火灾危险性和防火措施。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（三）有关消防设施的性能、灭火器材的使用方法。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（四）报火警、扑救初起火灾以及自救逃生的知识和技能。</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第四章  消防安全管理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将容易发生火灾、一旦发生火灾可能严重危及人身和财产安全，以及对消防安全有重大影响的部位，确定为消防安全重点部位，设置明显的防火标志，重点配备消防设施器材，实行严格消防管理。</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（一）重点消防安全部位：机房、配电房、机要室、档案室（含人事档案室）、发票库房、财务室等。</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（二）凡重点部位工作人员，必须严格遵守防火安全制度，遵守操作规程。因违章操作、违反防火制度，造成事故的，要严肃追究责任。</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办公场所用火安全管理规定：</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（一）办公场所内不得擅自燃用明火或焚烧物品。</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办公场所内未经主管安全部门批准，不得擅自使用电焊、氧焊等明火作业。如遇办公室改造、装修等必须使用电、氧焊等明火作业时，需经主管安全部门批准。在动用明火施工前，要做好相应的防护措施，要将施工区域内的易燃物品转移到远离火点的安全地带，设立施工防护区，并配足灭火器，在确认安全后，方可施工。</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（三）严禁在办公场所禁烟区域内吸烟。在非禁烟区的吸烟者要将吸剩的烟头掐灭后放入垃圾桶内，不得随地丢弃。</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办公场所用电安全管理规定：</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（一）办公场所内各种电器设备的施工、安装及维修保养等工作，由主管安全部门统一负责。</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（二）加强电路的负荷管理，严禁超出用电总负荷。</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（三）办公场所内一切电器设备和线路必须符合安全要求，下班时要关闭电灯和切断电器电源。</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保障疏散通道、安全出口畅通，并设置符合国家规定的消防安全疏散指示标志和应急照明设施，保持防火门、防火卷帘、消防安全疏散指示标志、应急照明、机械排烟送风、火灾事故广播等设施处于正常状态。</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第五章  防火检查</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第十二条  每季度进行一次防火检查，检查的内容应当包括：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（一）火灾隐患的整改情况以及防范措施的落实情况。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（二）安全疏散通道、疏散指示标志、应急照明和安全出口情况。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（三）消防车通道、消防水源情况。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（四）灭火器材配置及有效情况。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（五）用火、用电有无违章情况。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（六）消防安全重点部位的管理情况。</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（七）消防设施运行、记录情况。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（八）防火巡查情况。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（九）消防安全标志的设置情况和完好、有效情况。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（十）其他需要检查的内容。防火检查应当填写检查记录备案。</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第十三条  按照建筑消防设施检查维修保养有关规定的要求，对建筑消防设施的完好有效情况进行检查和维修保养。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第十四条  按照有关规定定期对自动消防设施进行全面检查测试，并出具检测报告，存档备查。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第十五条  按照有关规定定期对灭火器进行维护保养和维修检查。对灭火器应当建立档案资料，记明配置类型、数量、设置位置、检查维修单位（人员）、更换药剂的时间等有关情况。 </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第六章  火险隐患整改</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第十六条  对存在的火灾隐患，及时予以消除。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第十七条  对下列违反消防安全规定的行为，责成有关人员当场改正并督促落实：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（一）违章使用明火作业或者在具有火灾、爆炸危险的场所吸烟、使用明火等违反禁令的行为。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（二）将安全出口上锁、遮挡，或者占用、堆放物品影响疏散通道畅通的。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（三）消火栓、灭火器材被遮挡影响使用或者被挪作他用的。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（四）防火卷帘下堆放物品影响使用的。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（五）消防设施管理、值班人员和防火巡查人员脱岗的。</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（六）违章关闭消防设施、切断消防电源的。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（七）其他可以当场改正的行为。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第十八条  对不能当场改正的火灾隐患，消防安全管理人或者消防安全责任人应当确定整改的措施、期限以及负责整改的部门、人员，并落实整改资金。在火灾隐患未消除之前，应当采取防范措施，保障消防安全。</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第七章  灭火、应急疏散预案和演练</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第十九条  机关制定的灭火和应急疏散预案应当包括下列内容：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（一）应急疏散的组织程序和措施。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（二）扑救初起火灾的程序和措施。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（三）通讯联络、安全防护救护的程序和措施。 </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第二十条  按照灭火和应急疏散预案，结合机关实际组织演练，并根据演练情况，不断完善机关灭火和应急疏散预案。消防演练时，应当设置明显标识并事先告知演练范围内的所有人员。</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第八章  责任追究</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第二十一条  消防安全管理工作实行工作责任制和责任追究制，如出现消防安全责任事故，按照有关规定，严肃追究责任人及当事人责任。　</w:t>
      </w:r>
    </w:p>
    <w:p>
      <w:pPr>
        <w:spacing w:line="5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第九章  附则</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第二十二条  机关服务中心负责本办法的组织及实施。</w:t>
      </w:r>
    </w:p>
    <w:p>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第二十三条  本办法自发布之日起执行。</w:t>
      </w:r>
    </w:p>
    <w:p>
      <w:pPr>
        <w:pStyle w:val="63"/>
        <w:rPr>
          <w:color w:val="auto"/>
          <w:highlight w:val="none"/>
        </w:rPr>
      </w:pPr>
    </w:p>
    <w:p>
      <w:pPr>
        <w:pStyle w:val="48"/>
        <w:spacing w:before="0" w:line="560" w:lineRule="exact"/>
        <w:rPr>
          <w:rFonts w:hint="eastAsia" w:ascii="宋体" w:hAnsi="宋体" w:eastAsia="宋体" w:cs="宋体"/>
          <w:color w:val="auto"/>
          <w:sz w:val="21"/>
          <w:szCs w:val="21"/>
          <w:highlight w:val="none"/>
          <w:lang w:val="zh-CN"/>
        </w:rPr>
      </w:pPr>
      <w:r>
        <w:rPr>
          <w:rFonts w:hint="eastAsia" w:ascii="方正小标宋简体" w:hAnsi="方正小标宋简体" w:eastAsia="方正小标宋简体" w:cs="方正小标宋简体"/>
          <w:b/>
          <w:bCs/>
          <w:color w:val="auto"/>
          <w:kern w:val="0"/>
          <w:sz w:val="28"/>
          <w:szCs w:val="28"/>
          <w:highlight w:val="none"/>
          <w:lang w:val="zh-CN"/>
        </w:rPr>
        <w:t>国家税务总局来宾市税务局生活垃圾分类管理制度</w:t>
      </w:r>
    </w:p>
    <w:p>
      <w:pPr>
        <w:spacing w:line="560" w:lineRule="exact"/>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牢固树立和贯彻落实创新、协调、绿色、开放、共享的发展理念。加快建立分类投放、分类收集、分类运输、分类处理的垃圾处理系统。形成以法治为基础、政府推动、全院参与的垃圾分类制度，将生活垃圾分类作为绿色发展的重要举措，不断完善我局管理和服务，创造良好的环境。</w:t>
      </w:r>
      <w:r>
        <w:rPr>
          <w:rFonts w:hint="eastAsia" w:ascii="宋体" w:hAnsi="宋体" w:eastAsia="宋体" w:cs="宋体"/>
          <w:color w:val="auto"/>
          <w:kern w:val="0"/>
          <w:szCs w:val="21"/>
          <w:highlight w:val="none"/>
          <w:lang w:val="zh-CN"/>
        </w:rPr>
        <w:t>为切实推动本局生活垃圾分类，根据《来宾市生活垃圾管理条例》有关要求，特制订本制度，单位各部门应予积极支持和配合。</w:t>
      </w:r>
    </w:p>
    <w:p>
      <w:pPr>
        <w:autoSpaceDE w:val="0"/>
        <w:autoSpaceDN w:val="0"/>
        <w:adjustRightInd w:val="0"/>
        <w:spacing w:line="560" w:lineRule="exact"/>
        <w:ind w:firstLine="422" w:firstLineChars="2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一、生活垃圾分类的管理原则</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人人有责，源头做起，分级管理，层层落实，重在实效，持之以恒。</w:t>
      </w:r>
      <w:r>
        <w:rPr>
          <w:rFonts w:hint="eastAsia" w:ascii="宋体" w:hAnsi="宋体" w:eastAsia="宋体" w:cs="宋体"/>
          <w:color w:val="auto"/>
          <w:kern w:val="0"/>
          <w:szCs w:val="21"/>
          <w:highlight w:val="none"/>
        </w:rPr>
        <w:t>完善机制，创新发展。</w:t>
      </w:r>
    </w:p>
    <w:p>
      <w:pPr>
        <w:autoSpaceDE w:val="0"/>
        <w:autoSpaceDN w:val="0"/>
        <w:adjustRightInd w:val="0"/>
        <w:spacing w:line="560" w:lineRule="exact"/>
        <w:ind w:firstLine="527" w:firstLineChars="25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szCs w:val="21"/>
          <w:highlight w:val="none"/>
        </w:rPr>
        <mc:AlternateContent>
          <mc:Choice Requires="wps">
            <w:drawing>
              <wp:anchor distT="0" distB="0" distL="114300" distR="114300" simplePos="0" relativeHeight="251660288" behindDoc="0" locked="1" layoutInCell="1" allowOverlap="1">
                <wp:simplePos x="0" y="0"/>
                <wp:positionH relativeFrom="page">
                  <wp:posOffset>806450</wp:posOffset>
                </wp:positionH>
                <wp:positionV relativeFrom="page">
                  <wp:posOffset>10718800</wp:posOffset>
                </wp:positionV>
                <wp:extent cx="6120130" cy="0"/>
                <wp:effectExtent l="0" t="28575" r="1270" b="34925"/>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3.5pt;margin-top:844pt;height:0pt;width:481.9pt;mso-position-horizontal-relative:page;mso-position-vertical-relative:page;z-index:251660288;mso-width-relative:page;mso-height-relative:page;" filled="f" stroked="t" coordsize="21600,21600" o:gfxdata="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1PZXVAAAADgEAAA8AAAAAAAAAAQAgAAAAIgAAAGRycy9kb3ducmV2LnhtbFBLAQIUABQA&#10;AAAIAIdO4kBkv0An8wEAAN8DAAAOAAAAAAAAAAEAIAAAACQBAABkcnMvZTJvRG9jLnhtbFBLBQYA&#10;AAAABgAGAFkBAACJBQAAAAA=&#10;">
                <v:fill on="f" focussize="0,0"/>
                <v:stroke weight="4.5pt" color="#FF0000" linestyle="thinThick" joinstyle="round"/>
                <v:imagedata o:title=""/>
                <o:lock v:ext="edit" aspectratio="f"/>
                <w10:anchorlock/>
              </v:line>
            </w:pict>
          </mc:Fallback>
        </mc:AlternateContent>
      </w:r>
      <w:r>
        <w:rPr>
          <w:rFonts w:hint="eastAsia" w:ascii="宋体" w:hAnsi="宋体" w:eastAsia="宋体" w:cs="宋体"/>
          <w:b/>
          <w:bCs/>
          <w:color w:val="auto"/>
          <w:kern w:val="0"/>
          <w:szCs w:val="21"/>
          <w:highlight w:val="none"/>
          <w:lang w:val="zh-CN"/>
        </w:rPr>
        <w:t>二、职责分明</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（一）本局负责部门制定垃圾分类工作方案，统一部署相工作、负责组织开展多种形式的宣传教育活动,开展垃圾分类收集专业知识和技能培训,保证推广及分类工作所需经费。</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（二）机关服务中心负责设置垃圾分类箱，督促物业进行垃圾的分类收集、投放, 收运,处置等方面要求:其中有害垃圾作为强制人类的类别之一,同时参加生活垃圾分类及其评价标准,再选择确定易腐垃圾,可回收物等强制分类的类别。</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（三）各职能部门负责人负责管理所在区域的生活垃圾分类工作，物业服务管理公司协助。</w:t>
      </w:r>
    </w:p>
    <w:p>
      <w:pPr>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（四）公共区域，如:会议室、厕所、各楼层等的垃圾由物业负责分类、收集和清运。</w:t>
      </w:r>
    </w:p>
    <w:p>
      <w:pPr>
        <w:spacing w:line="5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（五）各部门协同推进、有效衔接。加强垃圾分类收集、运输、资源化利用和终端处置等环节的衔接，形成统一完整、能力适应、协同高效的全过程运行系统。</w:t>
      </w:r>
    </w:p>
    <w:p>
      <w:pPr>
        <w:spacing w:line="560" w:lineRule="exact"/>
        <w:ind w:firstLine="422" w:firstLineChars="20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三、生活垃圾分类投放要求</w:t>
      </w:r>
    </w:p>
    <w:p>
      <w:pPr>
        <w:spacing w:line="5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化垃圾分类类别、品种、投放、收运、处置等方面要求；其中，必须将有害垃圾作为强制分类的类别之一，同时参照生活垃圾分类及其评价标准，再选择确定易腐垃圾、可回收物等强制分类的类别。投放暂存，按照便利、快捷、安全原则，设立专门场所或容器，对不同品种的有害垃圾进行分类投放、收集、暂存，并在醒目位置设置有害垃圾标志。根据可回收物产生的数量，设置容器或临时储存空间，实现单独分类、定点投放，必要时可设专人分拣打包。可回收物产生主体可自行运送，也可联系再生资源回收利用企业上门收集，进行资源化处理。具体分类投放如下：</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（一）厨余垃圾</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1.日常办公生活产生的过期食品、瓜皮果核、花卉绿植.茶叶渣等易腐的生物质生活废弃物投放至各楼层卫生间傍边湿垃圾桶内，由物业统一收集清运。</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2.有包装物的湿垃圾应将包装物去除后分类投放入对应的楼层的垃圾桶内。</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3.纯流质的食物垃圾，如牛奶等，应直接倒入下水口。</w:t>
      </w:r>
    </w:p>
    <w:p>
      <w:pPr>
        <w:spacing w:line="5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4.餐厨垃圾可由专人清理，避免混入废餐具、塑料、饮料瓶罐、废纸等不利于后续处理的杂质，并做到“日产日清”。按规定建立台账制度。</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（二）其他垃圾</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1.除可回收物、有害垃圾、湿垃圾以外的其它生活废弃物投放至各楼层干垃圾桶内，由物业统一收集清理。</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2.难以辨识类别的生活垃圾统一投入到干垃圾桶内。</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（三）可回收物</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1.废报纸、废弃纸张(非涉密文件)、废玻璃制品、废全属、废织物等适宜回收、可循环利用的生活废弃物请投放至各办公室内可回收垃圾桶内，由物业统一收集清理。</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2.瓶罐等容器应倒空内装物再投放至可回收垃圾内。如：饮料瓶投放前请将喝剩的饮料倒尽，再投放至可回收垃圾桶内。</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3.金属利器物应用硬纸板包好捆绑，再投放至可回收垃圾桶内。</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（四）有害垃圾</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有害垃圾统一投放至机关大院内垃圾站有害垃圾桶内。如：电池、荧光灯管、灯泡、水银温度计、油漆桶、部分设备、过期药品等。</w:t>
      </w:r>
    </w:p>
    <w:p>
      <w:pPr>
        <w:autoSpaceDE w:val="0"/>
        <w:autoSpaceDN w:val="0"/>
        <w:adjustRightInd w:val="0"/>
        <w:spacing w:line="560" w:lineRule="exact"/>
        <w:ind w:firstLine="527" w:firstLineChars="25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四、生活垃圾分类督查</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（一）为推进本局生活垃圾分类收集处置工作，落实长效管理措施，本局负责部门会不定期监督检查，并对干部职工开展垃圾分类工作情况进行考核。</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（二）对于屡教不改者及我行我素者，将依据相关奖惩制度进行严惩。</w:t>
      </w:r>
    </w:p>
    <w:p>
      <w:pPr>
        <w:autoSpaceDE w:val="0"/>
        <w:autoSpaceDN w:val="0"/>
        <w:adjustRightInd w:val="0"/>
        <w:spacing w:line="56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（三）城管检查或者其他上级管理体部门巡查，出现问题的科室，将进行追责。</w:t>
      </w:r>
      <w:r>
        <w:rPr>
          <w:rFonts w:hint="eastAsia" w:ascii="宋体" w:hAnsi="宋体" w:eastAsia="宋体" w:cs="宋体"/>
          <w:color w:val="auto"/>
          <w:kern w:val="0"/>
          <w:szCs w:val="21"/>
          <w:highlight w:val="none"/>
        </w:rPr>
        <w:t>特别强调领导示范带头作用，引导全局员工养成主动分类的习惯，形成全员共同参与垃圾分类的良好氛围。</w:t>
      </w:r>
    </w:p>
    <w:p>
      <w:pPr>
        <w:autoSpaceDE w:val="0"/>
        <w:autoSpaceDN w:val="0"/>
        <w:adjustRightInd w:val="0"/>
        <w:spacing w:line="560" w:lineRule="exact"/>
        <w:ind w:firstLine="420" w:firstLineChars="200"/>
        <w:jc w:val="left"/>
        <w:rPr>
          <w:rFonts w:hint="eastAsia" w:ascii="仿宋_GB2312" w:hAnsi="仿宋_GB2312" w:eastAsia="仿宋_GB2312" w:cs="仿宋_GB2312"/>
          <w:color w:val="auto"/>
          <w:kern w:val="0"/>
          <w:sz w:val="32"/>
          <w:szCs w:val="32"/>
          <w:highlight w:val="none"/>
          <w:lang w:val="zh-CN"/>
        </w:rPr>
      </w:pPr>
      <w:r>
        <w:rPr>
          <w:rFonts w:hint="eastAsia" w:ascii="宋体" w:hAnsi="宋体" w:eastAsia="宋体" w:cs="宋体"/>
          <w:color w:val="auto"/>
          <w:kern w:val="0"/>
          <w:szCs w:val="21"/>
          <w:highlight w:val="none"/>
          <w:lang w:val="zh-CN"/>
        </w:rPr>
        <w:t>五、本制度从</w:t>
      </w:r>
      <w:r>
        <w:rPr>
          <w:rFonts w:hint="eastAsia" w:ascii="宋体" w:hAnsi="宋体" w:eastAsia="宋体" w:cs="宋体"/>
          <w:color w:val="auto"/>
          <w:kern w:val="0"/>
          <w:szCs w:val="21"/>
          <w:highlight w:val="none"/>
        </w:rPr>
        <w:t>2024年1月1日</w:t>
      </w:r>
      <w:r>
        <w:rPr>
          <w:rFonts w:hint="eastAsia" w:ascii="宋体" w:hAnsi="宋体" w:eastAsia="宋体" w:cs="宋体"/>
          <w:color w:val="auto"/>
          <w:kern w:val="0"/>
          <w:szCs w:val="21"/>
          <w:highlight w:val="none"/>
          <w:lang w:val="zh-CN"/>
        </w:rPr>
        <w:t>起正式实施，全局职工以此为标准，认真执行此制度各项要求，做好生活垃圾分类工作。</w:t>
      </w:r>
    </w:p>
    <w:p>
      <w:pPr>
        <w:pStyle w:val="85"/>
        <w:spacing w:line="500" w:lineRule="exact"/>
        <w:ind w:firstLine="0" w:firstLineChars="0"/>
        <w:rPr>
          <w:rFonts w:hint="eastAsia" w:ascii="宋体" w:hAnsi="宋体" w:cs="宋体"/>
          <w:b/>
          <w:bCs/>
          <w:color w:val="auto"/>
          <w:sz w:val="21"/>
          <w:szCs w:val="21"/>
          <w:highlight w:val="none"/>
        </w:rPr>
      </w:pPr>
    </w:p>
    <w:p>
      <w:pPr>
        <w:pStyle w:val="63"/>
        <w:rPr>
          <w:color w:val="auto"/>
          <w:highlight w:val="none"/>
        </w:rPr>
      </w:pPr>
    </w:p>
    <w:sectPr>
      <w:footerReference r:id="rId7" w:type="first"/>
      <w:footerReference r:id="rId6" w:type="default"/>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汉仪书宋二S">
    <w:altName w:val="宋体"/>
    <w:panose1 w:val="00020600040101010101"/>
    <w:charset w:val="86"/>
    <w:family w:val="auto"/>
    <w:pitch w:val="default"/>
    <w:sig w:usb0="00000000" w:usb1="00000000" w:usb2="00000016" w:usb3="00000000" w:csb0="00040000" w:csb1="00000000"/>
  </w:font>
  <w:font w:name="MingLiU_HKSCS">
    <w:panose1 w:val="02020500000000000000"/>
    <w:charset w:val="88"/>
    <w:family w:val="roman"/>
    <w:pitch w:val="default"/>
    <w:sig w:usb0="A00002FF" w:usb1="38CFFCFA" w:usb2="00000016" w:usb3="00000000" w:csb0="00100001"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posOffset>5064125</wp:posOffset>
              </wp:positionH>
              <wp:positionV relativeFrom="paragraph">
                <wp:posOffset>0</wp:posOffset>
              </wp:positionV>
              <wp:extent cx="271145" cy="138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1145" cy="138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8.75pt;margin-top:0pt;height:10.9pt;width:21.35pt;mso-position-horizontal-relative:margin;z-index:251660288;mso-width-relative:page;mso-height-relative:page;" filled="f" stroked="f" coordsize="21600,21600" o:gfxdata="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y+8QfWAAAABwEAAA8AAAAAAAAAAQAgAAAAIgAAAGRycy9kb3ducmV2LnhtbFBL&#10;AQIUABQAAAAIAIdO4kD3GbtvMQIAAFUEAAAOAAAAAAAAAAEAIAAAACUBAABkcnMvZTJvRG9jLnht&#10;bFBLBQYAAAAABgAGAFkBAADIBQAAAAA=&#10;">
              <v:fill on="f" focussize="0,0"/>
              <v:stroke on="f" weight="0.5pt"/>
              <v:imagedata o:title=""/>
              <o:lock v:ext="edit" aspectratio="f"/>
              <v:textbox inset="0mm,0mm,0mm,0mm">
                <w:txbxContent>
                  <w:p>
                    <w:pPr>
                      <w:pStyle w:val="33"/>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ascii="宋体" w:hAnsi="宋体"/>
                              <w:sz w:val="28"/>
                              <w:szCs w:val="28"/>
                            </w:rPr>
                            <w:t xml:space="preserve">— </w:t>
                          </w:r>
                          <w:r>
                            <w:rPr>
                              <w:rFonts w:ascii="宋体" w:hAnsi="宋体"/>
                              <w:sz w:val="28"/>
                              <w:szCs w:val="28"/>
                            </w:rPr>
                            <w:fldChar w:fldCharType="begin"/>
                          </w:r>
                          <w:r>
                            <w:rPr>
                              <w:rStyle w:val="57"/>
                              <w:rFonts w:ascii="宋体" w:hAnsi="宋体"/>
                              <w:sz w:val="28"/>
                              <w:szCs w:val="28"/>
                            </w:rPr>
                            <w:instrText xml:space="preserve">PAGE  </w:instrText>
                          </w:r>
                          <w:r>
                            <w:rPr>
                              <w:rFonts w:ascii="宋体" w:hAnsi="宋体"/>
                              <w:sz w:val="28"/>
                              <w:szCs w:val="28"/>
                            </w:rPr>
                            <w:fldChar w:fldCharType="separate"/>
                          </w:r>
                          <w:r>
                            <w:rPr>
                              <w:rStyle w:val="57"/>
                              <w:rFonts w:ascii="宋体" w:hAnsi="宋体"/>
                              <w:sz w:val="28"/>
                              <w:szCs w:val="28"/>
                            </w:rPr>
                            <w:t>44</w:t>
                          </w:r>
                          <w:r>
                            <w:rPr>
                              <w:rFonts w:ascii="宋体" w:hAnsi="宋体"/>
                              <w:sz w:val="28"/>
                              <w:szCs w:val="28"/>
                            </w:rPr>
                            <w:fldChar w:fldCharType="end"/>
                          </w:r>
                          <w:r>
                            <w:rPr>
                              <w:rStyle w:val="57"/>
                              <w:rFonts w:hint="eastAsia" w:ascii="宋体" w:hAnsi="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3"/>
                    </w:pPr>
                    <w:r>
                      <w:rPr>
                        <w:rFonts w:hint="eastAsia" w:ascii="宋体" w:hAnsi="宋体"/>
                        <w:sz w:val="28"/>
                        <w:szCs w:val="28"/>
                      </w:rPr>
                      <w:t xml:space="preserve">— </w:t>
                    </w:r>
                    <w:r>
                      <w:rPr>
                        <w:rFonts w:ascii="宋体" w:hAnsi="宋体"/>
                        <w:sz w:val="28"/>
                        <w:szCs w:val="28"/>
                      </w:rPr>
                      <w:fldChar w:fldCharType="begin"/>
                    </w:r>
                    <w:r>
                      <w:rPr>
                        <w:rStyle w:val="57"/>
                        <w:rFonts w:ascii="宋体" w:hAnsi="宋体"/>
                        <w:sz w:val="28"/>
                        <w:szCs w:val="28"/>
                      </w:rPr>
                      <w:instrText xml:space="preserve">PAGE  </w:instrText>
                    </w:r>
                    <w:r>
                      <w:rPr>
                        <w:rFonts w:ascii="宋体" w:hAnsi="宋体"/>
                        <w:sz w:val="28"/>
                        <w:szCs w:val="28"/>
                      </w:rPr>
                      <w:fldChar w:fldCharType="separate"/>
                    </w:r>
                    <w:r>
                      <w:rPr>
                        <w:rStyle w:val="57"/>
                        <w:rFonts w:ascii="宋体" w:hAnsi="宋体"/>
                        <w:sz w:val="28"/>
                        <w:szCs w:val="28"/>
                      </w:rPr>
                      <w:t>44</w:t>
                    </w:r>
                    <w:r>
                      <w:rPr>
                        <w:rFonts w:ascii="宋体" w:hAnsi="宋体"/>
                        <w:sz w:val="28"/>
                        <w:szCs w:val="28"/>
                      </w:rPr>
                      <w:fldChar w:fldCharType="end"/>
                    </w:r>
                    <w:r>
                      <w:rPr>
                        <w:rStyle w:val="57"/>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8125" cy="139700"/>
              <wp:effectExtent l="0" t="0" r="4445" b="317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33"/>
                          </w:pPr>
                          <w:r>
                            <w:t xml:space="preserve">- </w:t>
                          </w:r>
                          <w:r>
                            <w:fldChar w:fldCharType="begin"/>
                          </w:r>
                          <w:r>
                            <w:instrText xml:space="preserve"> PAGE  \* MERGEFORMAT </w:instrText>
                          </w:r>
                          <w:r>
                            <w:fldChar w:fldCharType="separate"/>
                          </w:r>
                          <w:r>
                            <w:t>48</w:t>
                          </w:r>
                          <w:r>
                            <w:fldChar w:fldCharType="end"/>
                          </w:r>
                          <w:r>
                            <w:t xml:space="preserve"> -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75pt;mso-position-horizontal:outside;mso-position-horizontal-relative:margin;mso-wrap-style:none;z-index:25165926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K1iBmYLAgAAAgQAAA4AAAAAAAAAAQAgAAAAIAEA&#10;AGRycy9lMm9Eb2MueG1sUEsFBgAAAAAGAAYAWQEAAJ0FAAAAAA==&#10;">
              <v:fill on="f" focussize="0,0"/>
              <v:stroke on="f"/>
              <v:imagedata o:title=""/>
              <o:lock v:ext="edit" aspectratio="f"/>
              <v:textbox inset="0mm,0mm,0mm,0mm" style="mso-fit-shape-to-text:t;">
                <w:txbxContent>
                  <w:p>
                    <w:pPr>
                      <w:pStyle w:val="33"/>
                    </w:pPr>
                    <w:r>
                      <w:t xml:space="preserve">- </w:t>
                    </w:r>
                    <w:r>
                      <w:fldChar w:fldCharType="begin"/>
                    </w:r>
                    <w:r>
                      <w:instrText xml:space="preserve"> PAGE  \* MERGEFORMAT </w:instrText>
                    </w:r>
                    <w:r>
                      <w:fldChar w:fldCharType="separate"/>
                    </w:r>
                    <w:r>
                      <w:t>48</w:t>
                    </w:r>
                    <w:r>
                      <w:fldChar w:fldCharType="end"/>
                    </w:r>
                    <w: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t>-</w:t>
                          </w:r>
                          <w:r>
                            <w:rPr>
                              <w:rFonts w:hint="eastAsia"/>
                            </w:rPr>
                            <w:t xml:space="preserve"> </w:t>
                          </w:r>
                          <w:r>
                            <w:fldChar w:fldCharType="begin"/>
                          </w:r>
                          <w:r>
                            <w:instrText xml:space="preserve"> PAGE   \* MERGEFORMAT </w:instrText>
                          </w:r>
                          <w:r>
                            <w:fldChar w:fldCharType="separate"/>
                          </w:r>
                          <w:r>
                            <w:rPr>
                              <w:lang w:val="zh-CN"/>
                            </w:rPr>
                            <w:t>79</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3"/>
                      <w:jc w:val="center"/>
                    </w:pPr>
                    <w:r>
                      <w:t>-</w:t>
                    </w:r>
                    <w:r>
                      <w:rPr>
                        <w:rFonts w:hint="eastAsia"/>
                      </w:rPr>
                      <w:t xml:space="preserve"> </w:t>
                    </w:r>
                    <w:r>
                      <w:fldChar w:fldCharType="begin"/>
                    </w:r>
                    <w:r>
                      <w:instrText xml:space="preserve"> PAGE   \* MERGEFORMAT </w:instrText>
                    </w:r>
                    <w:r>
                      <w:fldChar w:fldCharType="separate"/>
                    </w:r>
                    <w:r>
                      <w:rPr>
                        <w:lang w:val="zh-CN"/>
                      </w:rPr>
                      <w:t>79</w:t>
                    </w:r>
                    <w:r>
                      <w:fldChar w:fldCharType="end"/>
                    </w:r>
                    <w:r>
                      <w:rPr>
                        <w:rFonts w:hint="eastAsia"/>
                      </w:rPr>
                      <w:t xml:space="preserve"> -</w:t>
                    </w:r>
                  </w:p>
                </w:txbxContent>
              </v:textbox>
            </v:shape>
          </w:pict>
        </mc:Fallback>
      </mc:AlternateContent>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3"/>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p>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ABC1D"/>
    <w:multiLevelType w:val="singleLevel"/>
    <w:tmpl w:val="98CABC1D"/>
    <w:lvl w:ilvl="0" w:tentative="0">
      <w:start w:val="1"/>
      <w:numFmt w:val="chineseCounting"/>
      <w:suff w:val="nothing"/>
      <w:lvlText w:val="（%1）"/>
      <w:lvlJc w:val="left"/>
      <w:pPr>
        <w:ind w:left="0" w:firstLine="420"/>
      </w:pPr>
      <w:rPr>
        <w:rFonts w:hint="eastAsia"/>
      </w:rPr>
    </w:lvl>
  </w:abstractNum>
  <w:abstractNum w:abstractNumId="1">
    <w:nsid w:val="A5CC0917"/>
    <w:multiLevelType w:val="singleLevel"/>
    <w:tmpl w:val="A5CC0917"/>
    <w:lvl w:ilvl="0" w:tentative="0">
      <w:start w:val="5"/>
      <w:numFmt w:val="chineseCounting"/>
      <w:suff w:val="space"/>
      <w:lvlText w:val="第%1条"/>
      <w:lvlJc w:val="left"/>
      <w:rPr>
        <w:rFonts w:hint="eastAsia"/>
      </w:rPr>
    </w:lvl>
  </w:abstractNum>
  <w:abstractNum w:abstractNumId="2">
    <w:nsid w:val="C8FD0223"/>
    <w:multiLevelType w:val="singleLevel"/>
    <w:tmpl w:val="C8FD0223"/>
    <w:lvl w:ilvl="0" w:tentative="0">
      <w:start w:val="1"/>
      <w:numFmt w:val="chineseCounting"/>
      <w:suff w:val="nothing"/>
      <w:lvlText w:val="（%1）"/>
      <w:lvlJc w:val="left"/>
      <w:pPr>
        <w:ind w:left="0" w:firstLine="420"/>
      </w:pPr>
      <w:rPr>
        <w:rFonts w:hint="eastAsia"/>
      </w:rPr>
    </w:lvl>
  </w:abstractNum>
  <w:abstractNum w:abstractNumId="3">
    <w:nsid w:val="CDCA569A"/>
    <w:multiLevelType w:val="singleLevel"/>
    <w:tmpl w:val="CDCA569A"/>
    <w:lvl w:ilvl="0" w:tentative="0">
      <w:start w:val="1"/>
      <w:numFmt w:val="decimal"/>
      <w:pStyle w:val="23"/>
      <w:lvlText w:val="%1."/>
      <w:lvlJc w:val="left"/>
      <w:pPr>
        <w:tabs>
          <w:tab w:val="left" w:pos="780"/>
        </w:tabs>
        <w:ind w:left="780" w:hanging="360"/>
      </w:pPr>
    </w:lvl>
  </w:abstractNum>
  <w:abstractNum w:abstractNumId="4">
    <w:nsid w:val="D3CEFC00"/>
    <w:multiLevelType w:val="singleLevel"/>
    <w:tmpl w:val="D3CEFC00"/>
    <w:lvl w:ilvl="0" w:tentative="0">
      <w:start w:val="1"/>
      <w:numFmt w:val="chineseCounting"/>
      <w:suff w:val="nothing"/>
      <w:lvlText w:val="（%1）"/>
      <w:lvlJc w:val="left"/>
      <w:pPr>
        <w:ind w:left="0" w:firstLine="420"/>
      </w:pPr>
      <w:rPr>
        <w:rFonts w:hint="eastAsia"/>
      </w:rPr>
    </w:lvl>
  </w:abstractNum>
  <w:abstractNum w:abstractNumId="5">
    <w:nsid w:val="D8981842"/>
    <w:multiLevelType w:val="singleLevel"/>
    <w:tmpl w:val="D8981842"/>
    <w:lvl w:ilvl="0" w:tentative="0">
      <w:start w:val="1"/>
      <w:numFmt w:val="chineseCounting"/>
      <w:suff w:val="space"/>
      <w:lvlText w:val="第%1条"/>
      <w:lvlJc w:val="left"/>
      <w:pPr>
        <w:tabs>
          <w:tab w:val="left" w:pos="0"/>
        </w:tabs>
        <w:ind w:left="-10"/>
      </w:pPr>
      <w:rPr>
        <w:rFonts w:hint="eastAsia" w:ascii="宋体" w:hAnsi="宋体" w:eastAsia="宋体" w:cs="宋体"/>
        <w:b w:val="0"/>
        <w:bCs w:val="0"/>
        <w:color w:val="000000" w:themeColor="text1"/>
        <w:sz w:val="21"/>
        <w:szCs w:val="21"/>
        <w14:textFill>
          <w14:solidFill>
            <w14:schemeClr w14:val="tx1"/>
          </w14:solidFill>
        </w14:textFill>
      </w:rPr>
    </w:lvl>
  </w:abstractNum>
  <w:abstractNum w:abstractNumId="6">
    <w:nsid w:val="F0F49795"/>
    <w:multiLevelType w:val="singleLevel"/>
    <w:tmpl w:val="F0F49795"/>
    <w:lvl w:ilvl="0" w:tentative="0">
      <w:start w:val="1"/>
      <w:numFmt w:val="chineseCounting"/>
      <w:suff w:val="nothing"/>
      <w:lvlText w:val="（%1）"/>
      <w:lvlJc w:val="left"/>
      <w:pPr>
        <w:ind w:left="0" w:firstLine="420"/>
      </w:pPr>
      <w:rPr>
        <w:rFonts w:hint="eastAsia"/>
      </w:rPr>
    </w:lvl>
  </w:abstractNum>
  <w:abstractNum w:abstractNumId="7">
    <w:nsid w:val="FC8C8748"/>
    <w:multiLevelType w:val="singleLevel"/>
    <w:tmpl w:val="FC8C8748"/>
    <w:lvl w:ilvl="0" w:tentative="0">
      <w:start w:val="1"/>
      <w:numFmt w:val="chineseCounting"/>
      <w:suff w:val="nothing"/>
      <w:lvlText w:val="（%1）"/>
      <w:lvlJc w:val="left"/>
      <w:pPr>
        <w:ind w:left="0" w:firstLine="420"/>
      </w:pPr>
      <w:rPr>
        <w:rFonts w:hint="eastAsia"/>
      </w:rPr>
    </w:lvl>
  </w:abstractNum>
  <w:abstractNum w:abstractNumId="8">
    <w:nsid w:val="FDC6F3D1"/>
    <w:multiLevelType w:val="singleLevel"/>
    <w:tmpl w:val="FDC6F3D1"/>
    <w:lvl w:ilvl="0" w:tentative="0">
      <w:start w:val="2"/>
      <w:numFmt w:val="decimal"/>
      <w:lvlText w:val="%1."/>
      <w:lvlJc w:val="left"/>
      <w:pPr>
        <w:tabs>
          <w:tab w:val="left" w:pos="312"/>
        </w:tabs>
      </w:pPr>
    </w:lvl>
  </w:abstractNum>
  <w:abstractNum w:abstractNumId="9">
    <w:nsid w:val="FE754D4B"/>
    <w:multiLevelType w:val="singleLevel"/>
    <w:tmpl w:val="FE754D4B"/>
    <w:lvl w:ilvl="0" w:tentative="0">
      <w:start w:val="1"/>
      <w:numFmt w:val="chineseCounting"/>
      <w:suff w:val="nothing"/>
      <w:lvlText w:val="（%1）"/>
      <w:lvlJc w:val="left"/>
      <w:pPr>
        <w:ind w:left="0" w:firstLine="420"/>
      </w:pPr>
      <w:rPr>
        <w:rFonts w:hint="eastAsia"/>
      </w:rPr>
    </w:lvl>
  </w:abstractNum>
  <w:abstractNum w:abstractNumId="10">
    <w:nsid w:val="FFFFFF7F"/>
    <w:multiLevelType w:val="singleLevel"/>
    <w:tmpl w:val="FFFFFF7F"/>
    <w:lvl w:ilvl="0" w:tentative="0">
      <w:start w:val="1"/>
      <w:numFmt w:val="decimal"/>
      <w:pStyle w:val="8"/>
      <w:lvlText w:val="%1."/>
      <w:lvlJc w:val="left"/>
      <w:pPr>
        <w:tabs>
          <w:tab w:val="left" w:pos="780"/>
        </w:tabs>
        <w:ind w:left="780" w:leftChars="200" w:hanging="360" w:hangingChars="200"/>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A1427D7"/>
    <w:multiLevelType w:val="singleLevel"/>
    <w:tmpl w:val="4A1427D7"/>
    <w:lvl w:ilvl="0" w:tentative="0">
      <w:start w:val="1"/>
      <w:numFmt w:val="chineseCounting"/>
      <w:suff w:val="nothing"/>
      <w:lvlText w:val="（%1）"/>
      <w:lvlJc w:val="left"/>
      <w:pPr>
        <w:ind w:left="0" w:firstLine="420"/>
      </w:pPr>
      <w:rPr>
        <w:rFonts w:hint="eastAsia"/>
      </w:rPr>
    </w:lvl>
  </w:abstractNum>
  <w:abstractNum w:abstractNumId="13">
    <w:nsid w:val="52C63988"/>
    <w:multiLevelType w:val="multilevel"/>
    <w:tmpl w:val="52C63988"/>
    <w:lvl w:ilvl="0" w:tentative="0">
      <w:start w:val="1"/>
      <w:numFmt w:val="decimal"/>
      <w:lvlText w:val="%1"/>
      <w:lvlJc w:val="left"/>
      <w:pPr>
        <w:tabs>
          <w:tab w:val="left" w:pos="1573"/>
        </w:tabs>
        <w:ind w:left="1573"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8EADD54"/>
    <w:multiLevelType w:val="singleLevel"/>
    <w:tmpl w:val="58EADD54"/>
    <w:lvl w:ilvl="0" w:tentative="0">
      <w:start w:val="1"/>
      <w:numFmt w:val="chineseCounting"/>
      <w:suff w:val="nothing"/>
      <w:lvlText w:val="（%1）"/>
      <w:lvlJc w:val="left"/>
      <w:pPr>
        <w:ind w:left="0" w:firstLine="420"/>
      </w:pPr>
      <w:rPr>
        <w:rFonts w:hint="eastAsia"/>
      </w:rPr>
    </w:lvl>
  </w:abstractNum>
  <w:abstractNum w:abstractNumId="15">
    <w:nsid w:val="69ECD1D5"/>
    <w:multiLevelType w:val="singleLevel"/>
    <w:tmpl w:val="69ECD1D5"/>
    <w:lvl w:ilvl="0" w:tentative="0">
      <w:start w:val="1"/>
      <w:numFmt w:val="chineseCounting"/>
      <w:suff w:val="nothing"/>
      <w:lvlText w:val="（%1）"/>
      <w:lvlJc w:val="left"/>
      <w:pPr>
        <w:ind w:left="0" w:firstLine="420"/>
      </w:pPr>
      <w:rPr>
        <w:rFonts w:hint="eastAsia"/>
      </w:rPr>
    </w:lvl>
  </w:abstractNum>
  <w:num w:numId="1">
    <w:abstractNumId w:val="10"/>
  </w:num>
  <w:num w:numId="2">
    <w:abstractNumId w:val="3"/>
  </w:num>
  <w:num w:numId="3">
    <w:abstractNumId w:val="11"/>
  </w:num>
  <w:num w:numId="4">
    <w:abstractNumId w:val="8"/>
  </w:num>
  <w:num w:numId="5">
    <w:abstractNumId w:val="13"/>
  </w:num>
  <w:num w:numId="6">
    <w:abstractNumId w:val="5"/>
  </w:num>
  <w:num w:numId="7">
    <w:abstractNumId w:val="4"/>
  </w:num>
  <w:num w:numId="8">
    <w:abstractNumId w:val="15"/>
  </w:num>
  <w:num w:numId="9">
    <w:abstractNumId w:val="0"/>
  </w:num>
  <w:num w:numId="10">
    <w:abstractNumId w:val="14"/>
  </w:num>
  <w:num w:numId="11">
    <w:abstractNumId w:val="7"/>
  </w:num>
  <w:num w:numId="12">
    <w:abstractNumId w:val="6"/>
  </w:num>
  <w:num w:numId="13">
    <w:abstractNumId w:val="9"/>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ZWI1YTAxMWUyZjE0NjZkNjQzODUyZmE4MzQ5YjUifQ=="/>
  </w:docVars>
  <w:rsids>
    <w:rsidRoot w:val="000E2E7E"/>
    <w:rsid w:val="00003464"/>
    <w:rsid w:val="00004A3A"/>
    <w:rsid w:val="000054F5"/>
    <w:rsid w:val="0000667D"/>
    <w:rsid w:val="00006EB1"/>
    <w:rsid w:val="00010787"/>
    <w:rsid w:val="00011095"/>
    <w:rsid w:val="00013315"/>
    <w:rsid w:val="0001414D"/>
    <w:rsid w:val="0001613B"/>
    <w:rsid w:val="0002230A"/>
    <w:rsid w:val="00022CB3"/>
    <w:rsid w:val="00023C04"/>
    <w:rsid w:val="000240E8"/>
    <w:rsid w:val="0002587F"/>
    <w:rsid w:val="00027905"/>
    <w:rsid w:val="00030916"/>
    <w:rsid w:val="000360AB"/>
    <w:rsid w:val="00036202"/>
    <w:rsid w:val="00036FE7"/>
    <w:rsid w:val="00037134"/>
    <w:rsid w:val="0004540E"/>
    <w:rsid w:val="00046E79"/>
    <w:rsid w:val="00047706"/>
    <w:rsid w:val="00055035"/>
    <w:rsid w:val="00061711"/>
    <w:rsid w:val="00061E93"/>
    <w:rsid w:val="00065210"/>
    <w:rsid w:val="00070889"/>
    <w:rsid w:val="00074678"/>
    <w:rsid w:val="00081465"/>
    <w:rsid w:val="00083C98"/>
    <w:rsid w:val="0008449A"/>
    <w:rsid w:val="00086CC1"/>
    <w:rsid w:val="0008722B"/>
    <w:rsid w:val="000902B1"/>
    <w:rsid w:val="00092E12"/>
    <w:rsid w:val="00095DE2"/>
    <w:rsid w:val="000A0EC2"/>
    <w:rsid w:val="000A2BFE"/>
    <w:rsid w:val="000A41D5"/>
    <w:rsid w:val="000A6179"/>
    <w:rsid w:val="000A7275"/>
    <w:rsid w:val="000B2FC3"/>
    <w:rsid w:val="000B362B"/>
    <w:rsid w:val="000B46BF"/>
    <w:rsid w:val="000B4994"/>
    <w:rsid w:val="000C4D9F"/>
    <w:rsid w:val="000D0AB6"/>
    <w:rsid w:val="000D0B76"/>
    <w:rsid w:val="000D55C8"/>
    <w:rsid w:val="000D675A"/>
    <w:rsid w:val="000D7BC5"/>
    <w:rsid w:val="000E2E7E"/>
    <w:rsid w:val="000F048E"/>
    <w:rsid w:val="000F2590"/>
    <w:rsid w:val="000F2A1D"/>
    <w:rsid w:val="000F3EAE"/>
    <w:rsid w:val="000F4E98"/>
    <w:rsid w:val="000F75AB"/>
    <w:rsid w:val="0010020F"/>
    <w:rsid w:val="00100AF2"/>
    <w:rsid w:val="0010180F"/>
    <w:rsid w:val="00104308"/>
    <w:rsid w:val="00107441"/>
    <w:rsid w:val="00110F4D"/>
    <w:rsid w:val="00114CC6"/>
    <w:rsid w:val="00114E86"/>
    <w:rsid w:val="0011696F"/>
    <w:rsid w:val="00116F3B"/>
    <w:rsid w:val="00120806"/>
    <w:rsid w:val="001233B2"/>
    <w:rsid w:val="00123CE5"/>
    <w:rsid w:val="00123E66"/>
    <w:rsid w:val="00126876"/>
    <w:rsid w:val="001268FD"/>
    <w:rsid w:val="00127BF9"/>
    <w:rsid w:val="00127F88"/>
    <w:rsid w:val="00130DD1"/>
    <w:rsid w:val="00131150"/>
    <w:rsid w:val="0013410F"/>
    <w:rsid w:val="001371B1"/>
    <w:rsid w:val="001372F0"/>
    <w:rsid w:val="001400BE"/>
    <w:rsid w:val="0014215D"/>
    <w:rsid w:val="00144C22"/>
    <w:rsid w:val="00146A32"/>
    <w:rsid w:val="001512A5"/>
    <w:rsid w:val="00160629"/>
    <w:rsid w:val="001631C0"/>
    <w:rsid w:val="00170BC6"/>
    <w:rsid w:val="001751B6"/>
    <w:rsid w:val="00175F6C"/>
    <w:rsid w:val="00176445"/>
    <w:rsid w:val="001816B4"/>
    <w:rsid w:val="00182117"/>
    <w:rsid w:val="001845EE"/>
    <w:rsid w:val="0018469F"/>
    <w:rsid w:val="00185A77"/>
    <w:rsid w:val="00185F94"/>
    <w:rsid w:val="001900B9"/>
    <w:rsid w:val="00191062"/>
    <w:rsid w:val="00194EA2"/>
    <w:rsid w:val="0019503B"/>
    <w:rsid w:val="0019585C"/>
    <w:rsid w:val="001969A3"/>
    <w:rsid w:val="001A2639"/>
    <w:rsid w:val="001B0119"/>
    <w:rsid w:val="001B1F1E"/>
    <w:rsid w:val="001B3C0E"/>
    <w:rsid w:val="001B4B6D"/>
    <w:rsid w:val="001B590C"/>
    <w:rsid w:val="001C01D1"/>
    <w:rsid w:val="001C69D8"/>
    <w:rsid w:val="001C7DAA"/>
    <w:rsid w:val="001C7DF2"/>
    <w:rsid w:val="001D0084"/>
    <w:rsid w:val="001D2CD1"/>
    <w:rsid w:val="001D4D17"/>
    <w:rsid w:val="001D507D"/>
    <w:rsid w:val="001D5925"/>
    <w:rsid w:val="001D5D89"/>
    <w:rsid w:val="001E37E6"/>
    <w:rsid w:val="001E479C"/>
    <w:rsid w:val="001E5112"/>
    <w:rsid w:val="001E74F1"/>
    <w:rsid w:val="001F044C"/>
    <w:rsid w:val="001F20F5"/>
    <w:rsid w:val="001F6411"/>
    <w:rsid w:val="001F75FB"/>
    <w:rsid w:val="00206838"/>
    <w:rsid w:val="0021141E"/>
    <w:rsid w:val="00211A77"/>
    <w:rsid w:val="00216804"/>
    <w:rsid w:val="00217D7E"/>
    <w:rsid w:val="00220C39"/>
    <w:rsid w:val="002233B2"/>
    <w:rsid w:val="002236B5"/>
    <w:rsid w:val="002269DE"/>
    <w:rsid w:val="0023165C"/>
    <w:rsid w:val="0023419E"/>
    <w:rsid w:val="00242F02"/>
    <w:rsid w:val="002435D4"/>
    <w:rsid w:val="002457E6"/>
    <w:rsid w:val="00246D2C"/>
    <w:rsid w:val="002519B3"/>
    <w:rsid w:val="00253F6D"/>
    <w:rsid w:val="00255136"/>
    <w:rsid w:val="00262C5E"/>
    <w:rsid w:val="002643BD"/>
    <w:rsid w:val="00264ABB"/>
    <w:rsid w:val="002653F8"/>
    <w:rsid w:val="00265B99"/>
    <w:rsid w:val="00266969"/>
    <w:rsid w:val="002673E0"/>
    <w:rsid w:val="002715D6"/>
    <w:rsid w:val="002729DB"/>
    <w:rsid w:val="002759C6"/>
    <w:rsid w:val="00275AC7"/>
    <w:rsid w:val="0027671D"/>
    <w:rsid w:val="00277557"/>
    <w:rsid w:val="0028479C"/>
    <w:rsid w:val="00285FDB"/>
    <w:rsid w:val="002931A4"/>
    <w:rsid w:val="00293388"/>
    <w:rsid w:val="002952AA"/>
    <w:rsid w:val="00297F20"/>
    <w:rsid w:val="002A3253"/>
    <w:rsid w:val="002B0A94"/>
    <w:rsid w:val="002B1F71"/>
    <w:rsid w:val="002B2095"/>
    <w:rsid w:val="002B3E83"/>
    <w:rsid w:val="002B5D19"/>
    <w:rsid w:val="002C02E8"/>
    <w:rsid w:val="002C3AF1"/>
    <w:rsid w:val="002C46A9"/>
    <w:rsid w:val="002D0C97"/>
    <w:rsid w:val="002D1789"/>
    <w:rsid w:val="002D2E3E"/>
    <w:rsid w:val="002D3FF6"/>
    <w:rsid w:val="002D6FAE"/>
    <w:rsid w:val="002E29F4"/>
    <w:rsid w:val="002E394F"/>
    <w:rsid w:val="002E3A11"/>
    <w:rsid w:val="002E3F0E"/>
    <w:rsid w:val="002F58F7"/>
    <w:rsid w:val="002F700D"/>
    <w:rsid w:val="00300204"/>
    <w:rsid w:val="003002A9"/>
    <w:rsid w:val="00301AD0"/>
    <w:rsid w:val="00303771"/>
    <w:rsid w:val="00305A24"/>
    <w:rsid w:val="00305A94"/>
    <w:rsid w:val="0030695A"/>
    <w:rsid w:val="0031305D"/>
    <w:rsid w:val="00321E07"/>
    <w:rsid w:val="00322429"/>
    <w:rsid w:val="00322F45"/>
    <w:rsid w:val="003230A0"/>
    <w:rsid w:val="0032493D"/>
    <w:rsid w:val="00326874"/>
    <w:rsid w:val="003278AE"/>
    <w:rsid w:val="00330F0C"/>
    <w:rsid w:val="00341E02"/>
    <w:rsid w:val="00342AB9"/>
    <w:rsid w:val="00343D2B"/>
    <w:rsid w:val="00344FD9"/>
    <w:rsid w:val="0034687A"/>
    <w:rsid w:val="00350220"/>
    <w:rsid w:val="00350A26"/>
    <w:rsid w:val="00350D7E"/>
    <w:rsid w:val="003514E0"/>
    <w:rsid w:val="0035204C"/>
    <w:rsid w:val="003544A4"/>
    <w:rsid w:val="00354B41"/>
    <w:rsid w:val="00357325"/>
    <w:rsid w:val="0035741A"/>
    <w:rsid w:val="00361A7E"/>
    <w:rsid w:val="00364597"/>
    <w:rsid w:val="003659C1"/>
    <w:rsid w:val="00366CDB"/>
    <w:rsid w:val="003744A4"/>
    <w:rsid w:val="00377864"/>
    <w:rsid w:val="00385A13"/>
    <w:rsid w:val="003860A8"/>
    <w:rsid w:val="00390121"/>
    <w:rsid w:val="00394804"/>
    <w:rsid w:val="003A010E"/>
    <w:rsid w:val="003A0EA0"/>
    <w:rsid w:val="003A3F40"/>
    <w:rsid w:val="003B278A"/>
    <w:rsid w:val="003B2C26"/>
    <w:rsid w:val="003C0A32"/>
    <w:rsid w:val="003C0D21"/>
    <w:rsid w:val="003C286B"/>
    <w:rsid w:val="003C34A4"/>
    <w:rsid w:val="003C34F4"/>
    <w:rsid w:val="003C4798"/>
    <w:rsid w:val="003C5317"/>
    <w:rsid w:val="003C5573"/>
    <w:rsid w:val="003D116D"/>
    <w:rsid w:val="003D2256"/>
    <w:rsid w:val="003D3168"/>
    <w:rsid w:val="003D3635"/>
    <w:rsid w:val="003D3872"/>
    <w:rsid w:val="003D66CB"/>
    <w:rsid w:val="003D6EBE"/>
    <w:rsid w:val="003D7821"/>
    <w:rsid w:val="003E3427"/>
    <w:rsid w:val="003E433D"/>
    <w:rsid w:val="003E494B"/>
    <w:rsid w:val="003E5236"/>
    <w:rsid w:val="003F37CD"/>
    <w:rsid w:val="003F3EDE"/>
    <w:rsid w:val="003F469D"/>
    <w:rsid w:val="003F4C74"/>
    <w:rsid w:val="003F6E19"/>
    <w:rsid w:val="004002A3"/>
    <w:rsid w:val="00400D63"/>
    <w:rsid w:val="0041273B"/>
    <w:rsid w:val="004164AD"/>
    <w:rsid w:val="0042157F"/>
    <w:rsid w:val="00422522"/>
    <w:rsid w:val="0042325C"/>
    <w:rsid w:val="00423579"/>
    <w:rsid w:val="0042363C"/>
    <w:rsid w:val="004312AF"/>
    <w:rsid w:val="00432010"/>
    <w:rsid w:val="004377E7"/>
    <w:rsid w:val="00437D21"/>
    <w:rsid w:val="004423B0"/>
    <w:rsid w:val="00443D23"/>
    <w:rsid w:val="004471EE"/>
    <w:rsid w:val="00452659"/>
    <w:rsid w:val="00462139"/>
    <w:rsid w:val="00466A61"/>
    <w:rsid w:val="004677BB"/>
    <w:rsid w:val="00472B6C"/>
    <w:rsid w:val="0047404A"/>
    <w:rsid w:val="00480BDE"/>
    <w:rsid w:val="00482E85"/>
    <w:rsid w:val="00484900"/>
    <w:rsid w:val="00485071"/>
    <w:rsid w:val="00485700"/>
    <w:rsid w:val="00486AFD"/>
    <w:rsid w:val="00490383"/>
    <w:rsid w:val="00492F7B"/>
    <w:rsid w:val="00493201"/>
    <w:rsid w:val="00497760"/>
    <w:rsid w:val="004B25CB"/>
    <w:rsid w:val="004B2716"/>
    <w:rsid w:val="004B2B47"/>
    <w:rsid w:val="004B4646"/>
    <w:rsid w:val="004B6B03"/>
    <w:rsid w:val="004C280D"/>
    <w:rsid w:val="004C30DF"/>
    <w:rsid w:val="004C34C8"/>
    <w:rsid w:val="004C727A"/>
    <w:rsid w:val="004D5B0E"/>
    <w:rsid w:val="004D5D85"/>
    <w:rsid w:val="004D5D9C"/>
    <w:rsid w:val="004D7D8D"/>
    <w:rsid w:val="004E4E99"/>
    <w:rsid w:val="004E5ECD"/>
    <w:rsid w:val="004F177E"/>
    <w:rsid w:val="004F3A85"/>
    <w:rsid w:val="004F4507"/>
    <w:rsid w:val="004F618F"/>
    <w:rsid w:val="004F6EA8"/>
    <w:rsid w:val="004F7A75"/>
    <w:rsid w:val="0050024A"/>
    <w:rsid w:val="005024A9"/>
    <w:rsid w:val="005048AC"/>
    <w:rsid w:val="00506BFD"/>
    <w:rsid w:val="005073F7"/>
    <w:rsid w:val="005132FF"/>
    <w:rsid w:val="00513F17"/>
    <w:rsid w:val="005142C5"/>
    <w:rsid w:val="005205C9"/>
    <w:rsid w:val="00521275"/>
    <w:rsid w:val="005234C3"/>
    <w:rsid w:val="0053108C"/>
    <w:rsid w:val="00532101"/>
    <w:rsid w:val="0053346C"/>
    <w:rsid w:val="00537711"/>
    <w:rsid w:val="00543B50"/>
    <w:rsid w:val="0054678E"/>
    <w:rsid w:val="00547CA7"/>
    <w:rsid w:val="00550E5A"/>
    <w:rsid w:val="00554BCF"/>
    <w:rsid w:val="00556CDE"/>
    <w:rsid w:val="0056134D"/>
    <w:rsid w:val="005635B5"/>
    <w:rsid w:val="0056365D"/>
    <w:rsid w:val="00564071"/>
    <w:rsid w:val="00565BD0"/>
    <w:rsid w:val="00565C6C"/>
    <w:rsid w:val="00565F88"/>
    <w:rsid w:val="00567F90"/>
    <w:rsid w:val="00570802"/>
    <w:rsid w:val="00570BEC"/>
    <w:rsid w:val="005732F3"/>
    <w:rsid w:val="00576F42"/>
    <w:rsid w:val="00582B4E"/>
    <w:rsid w:val="005862A1"/>
    <w:rsid w:val="00590B05"/>
    <w:rsid w:val="00591CB7"/>
    <w:rsid w:val="00593828"/>
    <w:rsid w:val="005948A0"/>
    <w:rsid w:val="00595A42"/>
    <w:rsid w:val="00596E4F"/>
    <w:rsid w:val="0059761C"/>
    <w:rsid w:val="005A57FB"/>
    <w:rsid w:val="005B1FA4"/>
    <w:rsid w:val="005B3A60"/>
    <w:rsid w:val="005B3F78"/>
    <w:rsid w:val="005B50DA"/>
    <w:rsid w:val="005D16D8"/>
    <w:rsid w:val="005D6B8F"/>
    <w:rsid w:val="005D734B"/>
    <w:rsid w:val="005E47B1"/>
    <w:rsid w:val="005E5B6E"/>
    <w:rsid w:val="005E710F"/>
    <w:rsid w:val="005E7468"/>
    <w:rsid w:val="005E7974"/>
    <w:rsid w:val="005F0EE8"/>
    <w:rsid w:val="005F1D55"/>
    <w:rsid w:val="005F2D87"/>
    <w:rsid w:val="005F6956"/>
    <w:rsid w:val="005F758F"/>
    <w:rsid w:val="006004B7"/>
    <w:rsid w:val="00602B19"/>
    <w:rsid w:val="00607749"/>
    <w:rsid w:val="00610B9C"/>
    <w:rsid w:val="0061232F"/>
    <w:rsid w:val="00613F9D"/>
    <w:rsid w:val="00616DD2"/>
    <w:rsid w:val="006201C8"/>
    <w:rsid w:val="006235F1"/>
    <w:rsid w:val="00627C8F"/>
    <w:rsid w:val="006365E7"/>
    <w:rsid w:val="00640F61"/>
    <w:rsid w:val="006415EB"/>
    <w:rsid w:val="00652389"/>
    <w:rsid w:val="0065356B"/>
    <w:rsid w:val="006542D5"/>
    <w:rsid w:val="00654D49"/>
    <w:rsid w:val="00655AD8"/>
    <w:rsid w:val="00656D98"/>
    <w:rsid w:val="00660329"/>
    <w:rsid w:val="00660477"/>
    <w:rsid w:val="006617BE"/>
    <w:rsid w:val="00664838"/>
    <w:rsid w:val="00666405"/>
    <w:rsid w:val="0066753A"/>
    <w:rsid w:val="00667B57"/>
    <w:rsid w:val="00667DC3"/>
    <w:rsid w:val="00672000"/>
    <w:rsid w:val="0067267C"/>
    <w:rsid w:val="006760FD"/>
    <w:rsid w:val="00676E9C"/>
    <w:rsid w:val="00680AB5"/>
    <w:rsid w:val="00681356"/>
    <w:rsid w:val="00681F06"/>
    <w:rsid w:val="00682755"/>
    <w:rsid w:val="006832FB"/>
    <w:rsid w:val="00683553"/>
    <w:rsid w:val="00684556"/>
    <w:rsid w:val="006853CD"/>
    <w:rsid w:val="00686EA7"/>
    <w:rsid w:val="006920F0"/>
    <w:rsid w:val="00696F3F"/>
    <w:rsid w:val="006A0D09"/>
    <w:rsid w:val="006A330E"/>
    <w:rsid w:val="006A39A5"/>
    <w:rsid w:val="006A4133"/>
    <w:rsid w:val="006A52E9"/>
    <w:rsid w:val="006A6CF5"/>
    <w:rsid w:val="006B01B1"/>
    <w:rsid w:val="006B79EC"/>
    <w:rsid w:val="006C0AE3"/>
    <w:rsid w:val="006C2B8E"/>
    <w:rsid w:val="006D1E1A"/>
    <w:rsid w:val="006D2410"/>
    <w:rsid w:val="006D578E"/>
    <w:rsid w:val="006D6A5F"/>
    <w:rsid w:val="006D7002"/>
    <w:rsid w:val="006D7D73"/>
    <w:rsid w:val="006E2DFF"/>
    <w:rsid w:val="006E6266"/>
    <w:rsid w:val="006F2CE5"/>
    <w:rsid w:val="006F4510"/>
    <w:rsid w:val="006F6962"/>
    <w:rsid w:val="006F6E06"/>
    <w:rsid w:val="0070072A"/>
    <w:rsid w:val="00701E27"/>
    <w:rsid w:val="00705DBA"/>
    <w:rsid w:val="00716184"/>
    <w:rsid w:val="0071778B"/>
    <w:rsid w:val="0072522E"/>
    <w:rsid w:val="00727639"/>
    <w:rsid w:val="00731471"/>
    <w:rsid w:val="007330DF"/>
    <w:rsid w:val="007346E2"/>
    <w:rsid w:val="00735B2F"/>
    <w:rsid w:val="00735E18"/>
    <w:rsid w:val="00737C8B"/>
    <w:rsid w:val="0074359F"/>
    <w:rsid w:val="007437A8"/>
    <w:rsid w:val="00744258"/>
    <w:rsid w:val="00744511"/>
    <w:rsid w:val="00746AB9"/>
    <w:rsid w:val="00752518"/>
    <w:rsid w:val="00752E55"/>
    <w:rsid w:val="00754CEE"/>
    <w:rsid w:val="007626C0"/>
    <w:rsid w:val="007717D5"/>
    <w:rsid w:val="00771861"/>
    <w:rsid w:val="00774724"/>
    <w:rsid w:val="00774C20"/>
    <w:rsid w:val="00777C8B"/>
    <w:rsid w:val="007807A1"/>
    <w:rsid w:val="00784012"/>
    <w:rsid w:val="00791113"/>
    <w:rsid w:val="0079586F"/>
    <w:rsid w:val="00795A54"/>
    <w:rsid w:val="0079626D"/>
    <w:rsid w:val="00796D7B"/>
    <w:rsid w:val="00797642"/>
    <w:rsid w:val="007A25AF"/>
    <w:rsid w:val="007A5FC8"/>
    <w:rsid w:val="007A656F"/>
    <w:rsid w:val="007A6642"/>
    <w:rsid w:val="007B1CFD"/>
    <w:rsid w:val="007B3952"/>
    <w:rsid w:val="007C1902"/>
    <w:rsid w:val="007C2455"/>
    <w:rsid w:val="007C26B3"/>
    <w:rsid w:val="007C6DE9"/>
    <w:rsid w:val="007D1C95"/>
    <w:rsid w:val="007D2BC7"/>
    <w:rsid w:val="007D34E5"/>
    <w:rsid w:val="007D3C90"/>
    <w:rsid w:val="007D45D9"/>
    <w:rsid w:val="007D558D"/>
    <w:rsid w:val="007D5D3D"/>
    <w:rsid w:val="007D6465"/>
    <w:rsid w:val="007D66CF"/>
    <w:rsid w:val="007D68F0"/>
    <w:rsid w:val="007E5787"/>
    <w:rsid w:val="007E7E09"/>
    <w:rsid w:val="007F2231"/>
    <w:rsid w:val="007F23FE"/>
    <w:rsid w:val="00807679"/>
    <w:rsid w:val="00812DA3"/>
    <w:rsid w:val="008131FD"/>
    <w:rsid w:val="0081322C"/>
    <w:rsid w:val="00817518"/>
    <w:rsid w:val="00820231"/>
    <w:rsid w:val="00820740"/>
    <w:rsid w:val="008221E6"/>
    <w:rsid w:val="00822444"/>
    <w:rsid w:val="008302E6"/>
    <w:rsid w:val="0084376F"/>
    <w:rsid w:val="00846255"/>
    <w:rsid w:val="00853153"/>
    <w:rsid w:val="008532EC"/>
    <w:rsid w:val="00853715"/>
    <w:rsid w:val="00853D45"/>
    <w:rsid w:val="00861BEA"/>
    <w:rsid w:val="00864E1B"/>
    <w:rsid w:val="00872703"/>
    <w:rsid w:val="008745D0"/>
    <w:rsid w:val="00876973"/>
    <w:rsid w:val="00877969"/>
    <w:rsid w:val="00883560"/>
    <w:rsid w:val="00883866"/>
    <w:rsid w:val="00884F34"/>
    <w:rsid w:val="00885D13"/>
    <w:rsid w:val="00890286"/>
    <w:rsid w:val="00890B6A"/>
    <w:rsid w:val="00890F5B"/>
    <w:rsid w:val="00895875"/>
    <w:rsid w:val="00897972"/>
    <w:rsid w:val="008A1899"/>
    <w:rsid w:val="008A2839"/>
    <w:rsid w:val="008A356B"/>
    <w:rsid w:val="008A394A"/>
    <w:rsid w:val="008A47F9"/>
    <w:rsid w:val="008A4F08"/>
    <w:rsid w:val="008A5BC8"/>
    <w:rsid w:val="008A610C"/>
    <w:rsid w:val="008A6D02"/>
    <w:rsid w:val="008B03AF"/>
    <w:rsid w:val="008B0AA1"/>
    <w:rsid w:val="008B3D8E"/>
    <w:rsid w:val="008B428C"/>
    <w:rsid w:val="008B6025"/>
    <w:rsid w:val="008C1211"/>
    <w:rsid w:val="008C6283"/>
    <w:rsid w:val="008C7386"/>
    <w:rsid w:val="008D018C"/>
    <w:rsid w:val="008D169C"/>
    <w:rsid w:val="008E4959"/>
    <w:rsid w:val="008E4CA7"/>
    <w:rsid w:val="008E765E"/>
    <w:rsid w:val="008F12CF"/>
    <w:rsid w:val="008F14F0"/>
    <w:rsid w:val="008F28AF"/>
    <w:rsid w:val="00901A71"/>
    <w:rsid w:val="00902208"/>
    <w:rsid w:val="0090468B"/>
    <w:rsid w:val="00905428"/>
    <w:rsid w:val="00906560"/>
    <w:rsid w:val="00907274"/>
    <w:rsid w:val="00912759"/>
    <w:rsid w:val="00915191"/>
    <w:rsid w:val="009175C5"/>
    <w:rsid w:val="009230D7"/>
    <w:rsid w:val="00923D8A"/>
    <w:rsid w:val="009264DC"/>
    <w:rsid w:val="0092717F"/>
    <w:rsid w:val="00933C13"/>
    <w:rsid w:val="00935EF5"/>
    <w:rsid w:val="0093715E"/>
    <w:rsid w:val="00937DC7"/>
    <w:rsid w:val="00940C32"/>
    <w:rsid w:val="0094117C"/>
    <w:rsid w:val="00941F18"/>
    <w:rsid w:val="0094624C"/>
    <w:rsid w:val="0094790E"/>
    <w:rsid w:val="00950EF4"/>
    <w:rsid w:val="00954973"/>
    <w:rsid w:val="00954C29"/>
    <w:rsid w:val="00955697"/>
    <w:rsid w:val="00955AEB"/>
    <w:rsid w:val="0095618A"/>
    <w:rsid w:val="00957EE5"/>
    <w:rsid w:val="009604DA"/>
    <w:rsid w:val="009612AB"/>
    <w:rsid w:val="00961B0E"/>
    <w:rsid w:val="0096334D"/>
    <w:rsid w:val="0096361D"/>
    <w:rsid w:val="00967A4A"/>
    <w:rsid w:val="009706AC"/>
    <w:rsid w:val="00971BDA"/>
    <w:rsid w:val="0097271E"/>
    <w:rsid w:val="0097334D"/>
    <w:rsid w:val="0097374B"/>
    <w:rsid w:val="00973B0D"/>
    <w:rsid w:val="00973FEA"/>
    <w:rsid w:val="0098230A"/>
    <w:rsid w:val="00982B88"/>
    <w:rsid w:val="00982E70"/>
    <w:rsid w:val="0098515C"/>
    <w:rsid w:val="00985FD5"/>
    <w:rsid w:val="00986249"/>
    <w:rsid w:val="009871D8"/>
    <w:rsid w:val="00993DCA"/>
    <w:rsid w:val="0099433E"/>
    <w:rsid w:val="009A2DD7"/>
    <w:rsid w:val="009A3CF3"/>
    <w:rsid w:val="009B2DA6"/>
    <w:rsid w:val="009B47FC"/>
    <w:rsid w:val="009B4F8D"/>
    <w:rsid w:val="009C1C01"/>
    <w:rsid w:val="009C2D3E"/>
    <w:rsid w:val="009D147D"/>
    <w:rsid w:val="009D253B"/>
    <w:rsid w:val="009D3BE1"/>
    <w:rsid w:val="009D6996"/>
    <w:rsid w:val="009D7CB9"/>
    <w:rsid w:val="009E0F16"/>
    <w:rsid w:val="009E2AFE"/>
    <w:rsid w:val="009E4C65"/>
    <w:rsid w:val="009E4E3E"/>
    <w:rsid w:val="009E507E"/>
    <w:rsid w:val="009E638E"/>
    <w:rsid w:val="009E72B9"/>
    <w:rsid w:val="009F060F"/>
    <w:rsid w:val="009F06FC"/>
    <w:rsid w:val="009F69B9"/>
    <w:rsid w:val="009F788C"/>
    <w:rsid w:val="00A05164"/>
    <w:rsid w:val="00A06636"/>
    <w:rsid w:val="00A11824"/>
    <w:rsid w:val="00A11868"/>
    <w:rsid w:val="00A11A58"/>
    <w:rsid w:val="00A12163"/>
    <w:rsid w:val="00A12823"/>
    <w:rsid w:val="00A12E31"/>
    <w:rsid w:val="00A13A64"/>
    <w:rsid w:val="00A13EAC"/>
    <w:rsid w:val="00A13EF4"/>
    <w:rsid w:val="00A14A82"/>
    <w:rsid w:val="00A170BE"/>
    <w:rsid w:val="00A17E23"/>
    <w:rsid w:val="00A2178F"/>
    <w:rsid w:val="00A24E87"/>
    <w:rsid w:val="00A24FEC"/>
    <w:rsid w:val="00A26304"/>
    <w:rsid w:val="00A3253C"/>
    <w:rsid w:val="00A3354E"/>
    <w:rsid w:val="00A34C69"/>
    <w:rsid w:val="00A40CD7"/>
    <w:rsid w:val="00A43551"/>
    <w:rsid w:val="00A45133"/>
    <w:rsid w:val="00A46E6F"/>
    <w:rsid w:val="00A53A81"/>
    <w:rsid w:val="00A55065"/>
    <w:rsid w:val="00A55B8B"/>
    <w:rsid w:val="00A57761"/>
    <w:rsid w:val="00A647B0"/>
    <w:rsid w:val="00A65DB3"/>
    <w:rsid w:val="00A727E0"/>
    <w:rsid w:val="00A72E09"/>
    <w:rsid w:val="00A72F15"/>
    <w:rsid w:val="00A73A5A"/>
    <w:rsid w:val="00A77790"/>
    <w:rsid w:val="00A861ED"/>
    <w:rsid w:val="00A8665F"/>
    <w:rsid w:val="00A906E3"/>
    <w:rsid w:val="00A90B0C"/>
    <w:rsid w:val="00A92F52"/>
    <w:rsid w:val="00AA3306"/>
    <w:rsid w:val="00AA54DA"/>
    <w:rsid w:val="00AA56F0"/>
    <w:rsid w:val="00AB1A9A"/>
    <w:rsid w:val="00AB2DD8"/>
    <w:rsid w:val="00AB35CF"/>
    <w:rsid w:val="00AB37A7"/>
    <w:rsid w:val="00AB4126"/>
    <w:rsid w:val="00AB7935"/>
    <w:rsid w:val="00AC3E9A"/>
    <w:rsid w:val="00AC417B"/>
    <w:rsid w:val="00AC4A73"/>
    <w:rsid w:val="00AC4EAD"/>
    <w:rsid w:val="00AC763C"/>
    <w:rsid w:val="00AC77E0"/>
    <w:rsid w:val="00AD3E51"/>
    <w:rsid w:val="00AD4941"/>
    <w:rsid w:val="00AD7604"/>
    <w:rsid w:val="00AD7B17"/>
    <w:rsid w:val="00AE513A"/>
    <w:rsid w:val="00AE5D28"/>
    <w:rsid w:val="00AE67E2"/>
    <w:rsid w:val="00AE787B"/>
    <w:rsid w:val="00AF306B"/>
    <w:rsid w:val="00AF4EBA"/>
    <w:rsid w:val="00AF7AE7"/>
    <w:rsid w:val="00B000F8"/>
    <w:rsid w:val="00B0017D"/>
    <w:rsid w:val="00B01BC4"/>
    <w:rsid w:val="00B116B9"/>
    <w:rsid w:val="00B11A91"/>
    <w:rsid w:val="00B12862"/>
    <w:rsid w:val="00B144D8"/>
    <w:rsid w:val="00B20D6F"/>
    <w:rsid w:val="00B221DD"/>
    <w:rsid w:val="00B26DEA"/>
    <w:rsid w:val="00B37AA3"/>
    <w:rsid w:val="00B450C6"/>
    <w:rsid w:val="00B47EAE"/>
    <w:rsid w:val="00B53152"/>
    <w:rsid w:val="00B53D8C"/>
    <w:rsid w:val="00B53E6F"/>
    <w:rsid w:val="00B737ED"/>
    <w:rsid w:val="00B77005"/>
    <w:rsid w:val="00B832C1"/>
    <w:rsid w:val="00B855E8"/>
    <w:rsid w:val="00B860A3"/>
    <w:rsid w:val="00B863BB"/>
    <w:rsid w:val="00B86B77"/>
    <w:rsid w:val="00B912C9"/>
    <w:rsid w:val="00B92C67"/>
    <w:rsid w:val="00B93C37"/>
    <w:rsid w:val="00B941CE"/>
    <w:rsid w:val="00B96690"/>
    <w:rsid w:val="00B96BFF"/>
    <w:rsid w:val="00B96CB1"/>
    <w:rsid w:val="00B972BA"/>
    <w:rsid w:val="00BA0643"/>
    <w:rsid w:val="00BA1815"/>
    <w:rsid w:val="00BA51A7"/>
    <w:rsid w:val="00BA60D6"/>
    <w:rsid w:val="00BA65F1"/>
    <w:rsid w:val="00BA6CAE"/>
    <w:rsid w:val="00BB2EC4"/>
    <w:rsid w:val="00BB5763"/>
    <w:rsid w:val="00BB61D2"/>
    <w:rsid w:val="00BB718A"/>
    <w:rsid w:val="00BC029C"/>
    <w:rsid w:val="00BD1FA9"/>
    <w:rsid w:val="00BD3C18"/>
    <w:rsid w:val="00BD3EFD"/>
    <w:rsid w:val="00BD5F98"/>
    <w:rsid w:val="00BD6EFE"/>
    <w:rsid w:val="00BE0573"/>
    <w:rsid w:val="00BE23A0"/>
    <w:rsid w:val="00BE4CDD"/>
    <w:rsid w:val="00BE4FDA"/>
    <w:rsid w:val="00BF17ED"/>
    <w:rsid w:val="00BF2E27"/>
    <w:rsid w:val="00BF3ECB"/>
    <w:rsid w:val="00BF4E99"/>
    <w:rsid w:val="00BF5C34"/>
    <w:rsid w:val="00BF6B7D"/>
    <w:rsid w:val="00C014F1"/>
    <w:rsid w:val="00C0535B"/>
    <w:rsid w:val="00C05648"/>
    <w:rsid w:val="00C06627"/>
    <w:rsid w:val="00C10326"/>
    <w:rsid w:val="00C10F7B"/>
    <w:rsid w:val="00C147E0"/>
    <w:rsid w:val="00C1703E"/>
    <w:rsid w:val="00C17DC8"/>
    <w:rsid w:val="00C22211"/>
    <w:rsid w:val="00C24B23"/>
    <w:rsid w:val="00C26A67"/>
    <w:rsid w:val="00C34BB7"/>
    <w:rsid w:val="00C37166"/>
    <w:rsid w:val="00C412B1"/>
    <w:rsid w:val="00C41D8D"/>
    <w:rsid w:val="00C476DE"/>
    <w:rsid w:val="00C479E3"/>
    <w:rsid w:val="00C528D4"/>
    <w:rsid w:val="00C53D43"/>
    <w:rsid w:val="00C5753E"/>
    <w:rsid w:val="00C63E5B"/>
    <w:rsid w:val="00C64663"/>
    <w:rsid w:val="00C647A4"/>
    <w:rsid w:val="00C70C79"/>
    <w:rsid w:val="00C754A7"/>
    <w:rsid w:val="00C7680E"/>
    <w:rsid w:val="00C8047C"/>
    <w:rsid w:val="00C80F97"/>
    <w:rsid w:val="00C82904"/>
    <w:rsid w:val="00C8605F"/>
    <w:rsid w:val="00C90ABB"/>
    <w:rsid w:val="00C93F2B"/>
    <w:rsid w:val="00C951F8"/>
    <w:rsid w:val="00C953D8"/>
    <w:rsid w:val="00C95688"/>
    <w:rsid w:val="00C96625"/>
    <w:rsid w:val="00C97052"/>
    <w:rsid w:val="00C97D96"/>
    <w:rsid w:val="00CA66B0"/>
    <w:rsid w:val="00CB10ED"/>
    <w:rsid w:val="00CC16B9"/>
    <w:rsid w:val="00CC70BF"/>
    <w:rsid w:val="00CD153D"/>
    <w:rsid w:val="00CD32F0"/>
    <w:rsid w:val="00CD656E"/>
    <w:rsid w:val="00CD7A07"/>
    <w:rsid w:val="00CE13FD"/>
    <w:rsid w:val="00CE51E1"/>
    <w:rsid w:val="00CF003F"/>
    <w:rsid w:val="00CF074F"/>
    <w:rsid w:val="00CF4572"/>
    <w:rsid w:val="00CF5156"/>
    <w:rsid w:val="00D0090C"/>
    <w:rsid w:val="00D023A3"/>
    <w:rsid w:val="00D0284C"/>
    <w:rsid w:val="00D0475A"/>
    <w:rsid w:val="00D05369"/>
    <w:rsid w:val="00D07198"/>
    <w:rsid w:val="00D07258"/>
    <w:rsid w:val="00D10357"/>
    <w:rsid w:val="00D22CC9"/>
    <w:rsid w:val="00D23CBE"/>
    <w:rsid w:val="00D24736"/>
    <w:rsid w:val="00D26BCB"/>
    <w:rsid w:val="00D2735D"/>
    <w:rsid w:val="00D3145F"/>
    <w:rsid w:val="00D336BC"/>
    <w:rsid w:val="00D350E4"/>
    <w:rsid w:val="00D352EF"/>
    <w:rsid w:val="00D35DAC"/>
    <w:rsid w:val="00D40C23"/>
    <w:rsid w:val="00D41B13"/>
    <w:rsid w:val="00D41BC7"/>
    <w:rsid w:val="00D431DC"/>
    <w:rsid w:val="00D442F3"/>
    <w:rsid w:val="00D46D42"/>
    <w:rsid w:val="00D47951"/>
    <w:rsid w:val="00D508B3"/>
    <w:rsid w:val="00D519BF"/>
    <w:rsid w:val="00D51E02"/>
    <w:rsid w:val="00D54981"/>
    <w:rsid w:val="00D55C99"/>
    <w:rsid w:val="00D6667F"/>
    <w:rsid w:val="00D67044"/>
    <w:rsid w:val="00D6706B"/>
    <w:rsid w:val="00D705ED"/>
    <w:rsid w:val="00D747A2"/>
    <w:rsid w:val="00D75A0F"/>
    <w:rsid w:val="00D76518"/>
    <w:rsid w:val="00D7654D"/>
    <w:rsid w:val="00D80F7F"/>
    <w:rsid w:val="00D81FE3"/>
    <w:rsid w:val="00D84A02"/>
    <w:rsid w:val="00D85398"/>
    <w:rsid w:val="00D91112"/>
    <w:rsid w:val="00D93144"/>
    <w:rsid w:val="00D96A05"/>
    <w:rsid w:val="00D96B6C"/>
    <w:rsid w:val="00D97365"/>
    <w:rsid w:val="00DA4F6E"/>
    <w:rsid w:val="00DB0399"/>
    <w:rsid w:val="00DB2DC3"/>
    <w:rsid w:val="00DB47C0"/>
    <w:rsid w:val="00DB6A1F"/>
    <w:rsid w:val="00DC3B33"/>
    <w:rsid w:val="00DC4886"/>
    <w:rsid w:val="00DC57F4"/>
    <w:rsid w:val="00DC5B65"/>
    <w:rsid w:val="00DC6FCC"/>
    <w:rsid w:val="00DC6FFB"/>
    <w:rsid w:val="00DD2F1E"/>
    <w:rsid w:val="00DD427B"/>
    <w:rsid w:val="00DD4B2C"/>
    <w:rsid w:val="00DD7636"/>
    <w:rsid w:val="00DE1088"/>
    <w:rsid w:val="00DE40EC"/>
    <w:rsid w:val="00DF0738"/>
    <w:rsid w:val="00DF4E61"/>
    <w:rsid w:val="00DF5327"/>
    <w:rsid w:val="00DF7FA0"/>
    <w:rsid w:val="00E00594"/>
    <w:rsid w:val="00E0065F"/>
    <w:rsid w:val="00E01F8E"/>
    <w:rsid w:val="00E032A6"/>
    <w:rsid w:val="00E071DC"/>
    <w:rsid w:val="00E07DAB"/>
    <w:rsid w:val="00E116A8"/>
    <w:rsid w:val="00E138A9"/>
    <w:rsid w:val="00E16557"/>
    <w:rsid w:val="00E23BE7"/>
    <w:rsid w:val="00E35FA6"/>
    <w:rsid w:val="00E3681D"/>
    <w:rsid w:val="00E44205"/>
    <w:rsid w:val="00E55163"/>
    <w:rsid w:val="00E56BDC"/>
    <w:rsid w:val="00E56F07"/>
    <w:rsid w:val="00E57445"/>
    <w:rsid w:val="00E61424"/>
    <w:rsid w:val="00E636D3"/>
    <w:rsid w:val="00E66798"/>
    <w:rsid w:val="00E7263C"/>
    <w:rsid w:val="00E75D81"/>
    <w:rsid w:val="00E810D8"/>
    <w:rsid w:val="00E81412"/>
    <w:rsid w:val="00E84F01"/>
    <w:rsid w:val="00E85151"/>
    <w:rsid w:val="00E86A27"/>
    <w:rsid w:val="00E86EF6"/>
    <w:rsid w:val="00E9116E"/>
    <w:rsid w:val="00E95F14"/>
    <w:rsid w:val="00EA1C90"/>
    <w:rsid w:val="00EA2C27"/>
    <w:rsid w:val="00EA513C"/>
    <w:rsid w:val="00EA65D3"/>
    <w:rsid w:val="00EA781C"/>
    <w:rsid w:val="00EB0C6D"/>
    <w:rsid w:val="00EB45D2"/>
    <w:rsid w:val="00EB5056"/>
    <w:rsid w:val="00EB7459"/>
    <w:rsid w:val="00EB75BA"/>
    <w:rsid w:val="00EC076E"/>
    <w:rsid w:val="00EC07BB"/>
    <w:rsid w:val="00EC1116"/>
    <w:rsid w:val="00EC1F95"/>
    <w:rsid w:val="00EC3273"/>
    <w:rsid w:val="00EC58A1"/>
    <w:rsid w:val="00EC7F03"/>
    <w:rsid w:val="00ED2CFB"/>
    <w:rsid w:val="00ED3867"/>
    <w:rsid w:val="00EE04D5"/>
    <w:rsid w:val="00EE4AA0"/>
    <w:rsid w:val="00EE5E43"/>
    <w:rsid w:val="00EE6C22"/>
    <w:rsid w:val="00EF1F73"/>
    <w:rsid w:val="00EF2B8B"/>
    <w:rsid w:val="00EF3A62"/>
    <w:rsid w:val="00EF6103"/>
    <w:rsid w:val="00EF6652"/>
    <w:rsid w:val="00EF7A62"/>
    <w:rsid w:val="00F02949"/>
    <w:rsid w:val="00F0339D"/>
    <w:rsid w:val="00F10BCF"/>
    <w:rsid w:val="00F15688"/>
    <w:rsid w:val="00F17961"/>
    <w:rsid w:val="00F202BD"/>
    <w:rsid w:val="00F22E39"/>
    <w:rsid w:val="00F263DE"/>
    <w:rsid w:val="00F3633A"/>
    <w:rsid w:val="00F41FCF"/>
    <w:rsid w:val="00F46B3B"/>
    <w:rsid w:val="00F4785B"/>
    <w:rsid w:val="00F50346"/>
    <w:rsid w:val="00F52CD4"/>
    <w:rsid w:val="00F5424D"/>
    <w:rsid w:val="00F5694E"/>
    <w:rsid w:val="00F60060"/>
    <w:rsid w:val="00F610E9"/>
    <w:rsid w:val="00F715EF"/>
    <w:rsid w:val="00F71CEF"/>
    <w:rsid w:val="00F71EE8"/>
    <w:rsid w:val="00F75470"/>
    <w:rsid w:val="00F804CB"/>
    <w:rsid w:val="00F81659"/>
    <w:rsid w:val="00F81714"/>
    <w:rsid w:val="00F90805"/>
    <w:rsid w:val="00F96F4C"/>
    <w:rsid w:val="00FA1BC8"/>
    <w:rsid w:val="00FA1E61"/>
    <w:rsid w:val="00FA26C3"/>
    <w:rsid w:val="00FA410F"/>
    <w:rsid w:val="00FA413E"/>
    <w:rsid w:val="00FA651C"/>
    <w:rsid w:val="00FA7619"/>
    <w:rsid w:val="00FB0B94"/>
    <w:rsid w:val="00FB31C3"/>
    <w:rsid w:val="00FB5736"/>
    <w:rsid w:val="00FB62FC"/>
    <w:rsid w:val="00FB67C8"/>
    <w:rsid w:val="00FB7914"/>
    <w:rsid w:val="00FB7EE2"/>
    <w:rsid w:val="00FC1305"/>
    <w:rsid w:val="00FC1A52"/>
    <w:rsid w:val="00FC1CBE"/>
    <w:rsid w:val="00FC40CB"/>
    <w:rsid w:val="00FC5F35"/>
    <w:rsid w:val="00FC6CFB"/>
    <w:rsid w:val="00FD0590"/>
    <w:rsid w:val="00FE0657"/>
    <w:rsid w:val="00FE67ED"/>
    <w:rsid w:val="00FE6B31"/>
    <w:rsid w:val="00FE7187"/>
    <w:rsid w:val="00FF02D7"/>
    <w:rsid w:val="00FF0954"/>
    <w:rsid w:val="00FF1840"/>
    <w:rsid w:val="00FF1E94"/>
    <w:rsid w:val="00FF49F5"/>
    <w:rsid w:val="011730F9"/>
    <w:rsid w:val="012926A2"/>
    <w:rsid w:val="012F7800"/>
    <w:rsid w:val="01B023F4"/>
    <w:rsid w:val="01E943A0"/>
    <w:rsid w:val="020363B5"/>
    <w:rsid w:val="02310308"/>
    <w:rsid w:val="026B1259"/>
    <w:rsid w:val="0280286C"/>
    <w:rsid w:val="02C7235E"/>
    <w:rsid w:val="039B57B6"/>
    <w:rsid w:val="03A269DF"/>
    <w:rsid w:val="03D37A53"/>
    <w:rsid w:val="03EE0393"/>
    <w:rsid w:val="04234826"/>
    <w:rsid w:val="04330698"/>
    <w:rsid w:val="04570097"/>
    <w:rsid w:val="046142CE"/>
    <w:rsid w:val="049802FF"/>
    <w:rsid w:val="04BB5CFF"/>
    <w:rsid w:val="04D76D40"/>
    <w:rsid w:val="051E6A56"/>
    <w:rsid w:val="054F0182"/>
    <w:rsid w:val="05793C78"/>
    <w:rsid w:val="05A3687A"/>
    <w:rsid w:val="05D338B1"/>
    <w:rsid w:val="05EE723A"/>
    <w:rsid w:val="05FA1E42"/>
    <w:rsid w:val="065A3ABE"/>
    <w:rsid w:val="067B3A34"/>
    <w:rsid w:val="06C947A0"/>
    <w:rsid w:val="06CC6F7F"/>
    <w:rsid w:val="06FE0631"/>
    <w:rsid w:val="070B02C4"/>
    <w:rsid w:val="070E16CF"/>
    <w:rsid w:val="073806FF"/>
    <w:rsid w:val="07430E3D"/>
    <w:rsid w:val="07727F9D"/>
    <w:rsid w:val="07764918"/>
    <w:rsid w:val="079C0A4E"/>
    <w:rsid w:val="079C74D2"/>
    <w:rsid w:val="07BC7994"/>
    <w:rsid w:val="07E31891"/>
    <w:rsid w:val="080F2686"/>
    <w:rsid w:val="08596D99"/>
    <w:rsid w:val="08D76591"/>
    <w:rsid w:val="091A12E3"/>
    <w:rsid w:val="09332E25"/>
    <w:rsid w:val="097B30BA"/>
    <w:rsid w:val="09927B5C"/>
    <w:rsid w:val="09F22387"/>
    <w:rsid w:val="0A797F7E"/>
    <w:rsid w:val="0AD11042"/>
    <w:rsid w:val="0B250E6B"/>
    <w:rsid w:val="0B3920B1"/>
    <w:rsid w:val="0B411698"/>
    <w:rsid w:val="0B5D3512"/>
    <w:rsid w:val="0B5D5EB0"/>
    <w:rsid w:val="0B6F4502"/>
    <w:rsid w:val="0B9A4018"/>
    <w:rsid w:val="0BC83447"/>
    <w:rsid w:val="0BD724F0"/>
    <w:rsid w:val="0BDB20D8"/>
    <w:rsid w:val="0C703304"/>
    <w:rsid w:val="0C81444B"/>
    <w:rsid w:val="0D7C6A10"/>
    <w:rsid w:val="0DAF1748"/>
    <w:rsid w:val="0DE82F52"/>
    <w:rsid w:val="0E436B8B"/>
    <w:rsid w:val="0E51433C"/>
    <w:rsid w:val="0E8652B6"/>
    <w:rsid w:val="0E8F2CDC"/>
    <w:rsid w:val="0E941B37"/>
    <w:rsid w:val="0EB7675C"/>
    <w:rsid w:val="0F840D88"/>
    <w:rsid w:val="0F9B15F3"/>
    <w:rsid w:val="101D6F0F"/>
    <w:rsid w:val="10433958"/>
    <w:rsid w:val="10465F4D"/>
    <w:rsid w:val="10E70644"/>
    <w:rsid w:val="11676DAA"/>
    <w:rsid w:val="11BE50EF"/>
    <w:rsid w:val="11E01908"/>
    <w:rsid w:val="11E11639"/>
    <w:rsid w:val="11EC2B91"/>
    <w:rsid w:val="11F57C94"/>
    <w:rsid w:val="12072620"/>
    <w:rsid w:val="12212614"/>
    <w:rsid w:val="126A7775"/>
    <w:rsid w:val="12A44E0B"/>
    <w:rsid w:val="12A44E61"/>
    <w:rsid w:val="12FD374E"/>
    <w:rsid w:val="1305044C"/>
    <w:rsid w:val="134E743F"/>
    <w:rsid w:val="13946A9E"/>
    <w:rsid w:val="13A3693F"/>
    <w:rsid w:val="13C40E36"/>
    <w:rsid w:val="142960E8"/>
    <w:rsid w:val="14400D38"/>
    <w:rsid w:val="144E09DA"/>
    <w:rsid w:val="14755F67"/>
    <w:rsid w:val="149F6536"/>
    <w:rsid w:val="14D2188B"/>
    <w:rsid w:val="14E07884"/>
    <w:rsid w:val="14E945A7"/>
    <w:rsid w:val="15003BF6"/>
    <w:rsid w:val="154D0C92"/>
    <w:rsid w:val="1585667E"/>
    <w:rsid w:val="168473AB"/>
    <w:rsid w:val="1761253E"/>
    <w:rsid w:val="18162E07"/>
    <w:rsid w:val="183E6449"/>
    <w:rsid w:val="186F3261"/>
    <w:rsid w:val="18976734"/>
    <w:rsid w:val="18A07759"/>
    <w:rsid w:val="18E16E0F"/>
    <w:rsid w:val="1973171D"/>
    <w:rsid w:val="197C7140"/>
    <w:rsid w:val="19FC7F63"/>
    <w:rsid w:val="1A4408B5"/>
    <w:rsid w:val="1ABE42AB"/>
    <w:rsid w:val="1AD0039B"/>
    <w:rsid w:val="1B666D00"/>
    <w:rsid w:val="1B756537"/>
    <w:rsid w:val="1BB81CCF"/>
    <w:rsid w:val="1BCA5B82"/>
    <w:rsid w:val="1C296ECC"/>
    <w:rsid w:val="1C387FA6"/>
    <w:rsid w:val="1C892719"/>
    <w:rsid w:val="1CA54904"/>
    <w:rsid w:val="1CC25AC1"/>
    <w:rsid w:val="1CD92F95"/>
    <w:rsid w:val="1CE123EB"/>
    <w:rsid w:val="1CF2453A"/>
    <w:rsid w:val="1CFD3633"/>
    <w:rsid w:val="1DA56E27"/>
    <w:rsid w:val="1DB82CDF"/>
    <w:rsid w:val="1DC216E7"/>
    <w:rsid w:val="1DEA2B0D"/>
    <w:rsid w:val="1E13273B"/>
    <w:rsid w:val="1E5348E9"/>
    <w:rsid w:val="1E6837F2"/>
    <w:rsid w:val="1E884618"/>
    <w:rsid w:val="1F556ADF"/>
    <w:rsid w:val="1F80661E"/>
    <w:rsid w:val="1FDF58EA"/>
    <w:rsid w:val="202C54F1"/>
    <w:rsid w:val="20C070DE"/>
    <w:rsid w:val="21442F49"/>
    <w:rsid w:val="215B246F"/>
    <w:rsid w:val="215F0010"/>
    <w:rsid w:val="216F3E14"/>
    <w:rsid w:val="218623F9"/>
    <w:rsid w:val="21965AB6"/>
    <w:rsid w:val="219971AB"/>
    <w:rsid w:val="21AF4203"/>
    <w:rsid w:val="223256F2"/>
    <w:rsid w:val="224D11D6"/>
    <w:rsid w:val="225866F6"/>
    <w:rsid w:val="22704B52"/>
    <w:rsid w:val="22AC349C"/>
    <w:rsid w:val="22F8223D"/>
    <w:rsid w:val="230F3D16"/>
    <w:rsid w:val="23461443"/>
    <w:rsid w:val="23592113"/>
    <w:rsid w:val="24122C17"/>
    <w:rsid w:val="251E4A80"/>
    <w:rsid w:val="25224CE7"/>
    <w:rsid w:val="25342C48"/>
    <w:rsid w:val="257F3FCC"/>
    <w:rsid w:val="25AE752B"/>
    <w:rsid w:val="25D269DA"/>
    <w:rsid w:val="26265E57"/>
    <w:rsid w:val="26681488"/>
    <w:rsid w:val="269E759F"/>
    <w:rsid w:val="26CA151E"/>
    <w:rsid w:val="26E27B31"/>
    <w:rsid w:val="26F25A91"/>
    <w:rsid w:val="26F47BCF"/>
    <w:rsid w:val="273C78D0"/>
    <w:rsid w:val="276462E7"/>
    <w:rsid w:val="27B021D7"/>
    <w:rsid w:val="283755B5"/>
    <w:rsid w:val="284F3DA2"/>
    <w:rsid w:val="28763684"/>
    <w:rsid w:val="28AA5DB5"/>
    <w:rsid w:val="28CA2A51"/>
    <w:rsid w:val="28E0620F"/>
    <w:rsid w:val="29017971"/>
    <w:rsid w:val="291C51F9"/>
    <w:rsid w:val="29DF281C"/>
    <w:rsid w:val="29E9695F"/>
    <w:rsid w:val="29ED75D2"/>
    <w:rsid w:val="29FD290F"/>
    <w:rsid w:val="2A475858"/>
    <w:rsid w:val="2AF41B5F"/>
    <w:rsid w:val="2B0D0FB5"/>
    <w:rsid w:val="2B1A335E"/>
    <w:rsid w:val="2B940F71"/>
    <w:rsid w:val="2BBA6A76"/>
    <w:rsid w:val="2C3D77C1"/>
    <w:rsid w:val="2CFA7B10"/>
    <w:rsid w:val="2D1E05AE"/>
    <w:rsid w:val="2D2B1461"/>
    <w:rsid w:val="2D8E0582"/>
    <w:rsid w:val="2D9D0D90"/>
    <w:rsid w:val="2E305814"/>
    <w:rsid w:val="2E7B2E7C"/>
    <w:rsid w:val="2EA91EE1"/>
    <w:rsid w:val="2F182C7B"/>
    <w:rsid w:val="2F1D1D6E"/>
    <w:rsid w:val="2F2A30BC"/>
    <w:rsid w:val="2F2C670C"/>
    <w:rsid w:val="2F507F60"/>
    <w:rsid w:val="2FBA708E"/>
    <w:rsid w:val="2FC74B8C"/>
    <w:rsid w:val="301E336E"/>
    <w:rsid w:val="30230CE6"/>
    <w:rsid w:val="309E1C7F"/>
    <w:rsid w:val="30FB1708"/>
    <w:rsid w:val="31295CB7"/>
    <w:rsid w:val="3194030D"/>
    <w:rsid w:val="31B54FA8"/>
    <w:rsid w:val="31BF1E2F"/>
    <w:rsid w:val="31E7417C"/>
    <w:rsid w:val="31F07C02"/>
    <w:rsid w:val="321F6B97"/>
    <w:rsid w:val="323C56BE"/>
    <w:rsid w:val="326A0745"/>
    <w:rsid w:val="32A7158A"/>
    <w:rsid w:val="32BC5C27"/>
    <w:rsid w:val="32C341A6"/>
    <w:rsid w:val="32E44D10"/>
    <w:rsid w:val="32ED1F73"/>
    <w:rsid w:val="32F033F0"/>
    <w:rsid w:val="333D3426"/>
    <w:rsid w:val="33475E67"/>
    <w:rsid w:val="33541711"/>
    <w:rsid w:val="335C05C6"/>
    <w:rsid w:val="33927DE1"/>
    <w:rsid w:val="33C96913"/>
    <w:rsid w:val="33FA7DAB"/>
    <w:rsid w:val="3415672A"/>
    <w:rsid w:val="341F5BA8"/>
    <w:rsid w:val="35437846"/>
    <w:rsid w:val="354C5278"/>
    <w:rsid w:val="355C665B"/>
    <w:rsid w:val="3596753D"/>
    <w:rsid w:val="36E93D46"/>
    <w:rsid w:val="37024939"/>
    <w:rsid w:val="37335AE2"/>
    <w:rsid w:val="37B80B92"/>
    <w:rsid w:val="37E61436"/>
    <w:rsid w:val="380A77D3"/>
    <w:rsid w:val="381A10AE"/>
    <w:rsid w:val="384E7FC5"/>
    <w:rsid w:val="387C3BD4"/>
    <w:rsid w:val="38A06337"/>
    <w:rsid w:val="38C4533D"/>
    <w:rsid w:val="38D76AE2"/>
    <w:rsid w:val="38FE39D8"/>
    <w:rsid w:val="390A3FA2"/>
    <w:rsid w:val="397C4011"/>
    <w:rsid w:val="39A167BD"/>
    <w:rsid w:val="39A6673C"/>
    <w:rsid w:val="3A0D3D9D"/>
    <w:rsid w:val="3A247035"/>
    <w:rsid w:val="3B1158C0"/>
    <w:rsid w:val="3B261E0D"/>
    <w:rsid w:val="3B5953EB"/>
    <w:rsid w:val="3B753A07"/>
    <w:rsid w:val="3B764190"/>
    <w:rsid w:val="3BA64AD4"/>
    <w:rsid w:val="3BE03FFF"/>
    <w:rsid w:val="3BFCCF0D"/>
    <w:rsid w:val="3C1F3773"/>
    <w:rsid w:val="3C7C66E6"/>
    <w:rsid w:val="3C8F3838"/>
    <w:rsid w:val="3CBB626A"/>
    <w:rsid w:val="3CCA2A44"/>
    <w:rsid w:val="3CD20AB4"/>
    <w:rsid w:val="3CDB7747"/>
    <w:rsid w:val="3CE60AD8"/>
    <w:rsid w:val="3D891FB8"/>
    <w:rsid w:val="3DA352DB"/>
    <w:rsid w:val="3E8A248B"/>
    <w:rsid w:val="3E8E3DB7"/>
    <w:rsid w:val="3EB62DC2"/>
    <w:rsid w:val="3F322E67"/>
    <w:rsid w:val="3F7942AE"/>
    <w:rsid w:val="3F870779"/>
    <w:rsid w:val="3FFF2A05"/>
    <w:rsid w:val="402658F9"/>
    <w:rsid w:val="406F5E20"/>
    <w:rsid w:val="40CD3110"/>
    <w:rsid w:val="416F0871"/>
    <w:rsid w:val="41740700"/>
    <w:rsid w:val="41746A12"/>
    <w:rsid w:val="418536F3"/>
    <w:rsid w:val="419C53B8"/>
    <w:rsid w:val="41BA1862"/>
    <w:rsid w:val="41BD411A"/>
    <w:rsid w:val="41F12161"/>
    <w:rsid w:val="42486C3B"/>
    <w:rsid w:val="426A028A"/>
    <w:rsid w:val="42875157"/>
    <w:rsid w:val="42A930FC"/>
    <w:rsid w:val="42ED47AE"/>
    <w:rsid w:val="43282273"/>
    <w:rsid w:val="43373EA9"/>
    <w:rsid w:val="433E55F2"/>
    <w:rsid w:val="43617533"/>
    <w:rsid w:val="438C4B0C"/>
    <w:rsid w:val="44134DEB"/>
    <w:rsid w:val="4429586F"/>
    <w:rsid w:val="443D2646"/>
    <w:rsid w:val="44437FF6"/>
    <w:rsid w:val="448048EE"/>
    <w:rsid w:val="448D3B40"/>
    <w:rsid w:val="45121F46"/>
    <w:rsid w:val="45730F5B"/>
    <w:rsid w:val="45A73F11"/>
    <w:rsid w:val="45B57BB0"/>
    <w:rsid w:val="45B67D69"/>
    <w:rsid w:val="45C824F8"/>
    <w:rsid w:val="45EE2C76"/>
    <w:rsid w:val="461A514A"/>
    <w:rsid w:val="461D5993"/>
    <w:rsid w:val="463E49BE"/>
    <w:rsid w:val="468A556E"/>
    <w:rsid w:val="46BD2CD2"/>
    <w:rsid w:val="47584848"/>
    <w:rsid w:val="4785516C"/>
    <w:rsid w:val="47876474"/>
    <w:rsid w:val="479172F2"/>
    <w:rsid w:val="47937B38"/>
    <w:rsid w:val="47E11A5E"/>
    <w:rsid w:val="4801281A"/>
    <w:rsid w:val="480D6F48"/>
    <w:rsid w:val="4887731D"/>
    <w:rsid w:val="48924F42"/>
    <w:rsid w:val="48D10CB7"/>
    <w:rsid w:val="48D56BF5"/>
    <w:rsid w:val="48F0597F"/>
    <w:rsid w:val="49061806"/>
    <w:rsid w:val="491D12FA"/>
    <w:rsid w:val="492E37BA"/>
    <w:rsid w:val="49E67C6E"/>
    <w:rsid w:val="4A3F3029"/>
    <w:rsid w:val="4A58168F"/>
    <w:rsid w:val="4A8121B1"/>
    <w:rsid w:val="4AC05487"/>
    <w:rsid w:val="4ADD5578"/>
    <w:rsid w:val="4AF24FA1"/>
    <w:rsid w:val="4B2B4A9A"/>
    <w:rsid w:val="4B4875FA"/>
    <w:rsid w:val="4B9C78EE"/>
    <w:rsid w:val="4BA7648C"/>
    <w:rsid w:val="4BDD4B52"/>
    <w:rsid w:val="4C466FD5"/>
    <w:rsid w:val="4C852856"/>
    <w:rsid w:val="4C8727A8"/>
    <w:rsid w:val="4CED7A1D"/>
    <w:rsid w:val="4D2A5D2C"/>
    <w:rsid w:val="4D4428A3"/>
    <w:rsid w:val="4D8B70C5"/>
    <w:rsid w:val="4D901140"/>
    <w:rsid w:val="4DAF5F4E"/>
    <w:rsid w:val="4DB74134"/>
    <w:rsid w:val="4DC332C4"/>
    <w:rsid w:val="4DF02A73"/>
    <w:rsid w:val="4E125DB1"/>
    <w:rsid w:val="4E28581D"/>
    <w:rsid w:val="4E4509CC"/>
    <w:rsid w:val="4E557374"/>
    <w:rsid w:val="4ECC7F56"/>
    <w:rsid w:val="4ED97DE0"/>
    <w:rsid w:val="4EEF6F3E"/>
    <w:rsid w:val="4F237FBC"/>
    <w:rsid w:val="4F244236"/>
    <w:rsid w:val="4F2A10AC"/>
    <w:rsid w:val="4F330BEF"/>
    <w:rsid w:val="4F4421B5"/>
    <w:rsid w:val="4F454001"/>
    <w:rsid w:val="4F8C07A6"/>
    <w:rsid w:val="4F905CD4"/>
    <w:rsid w:val="4FA42C81"/>
    <w:rsid w:val="4FBA24A4"/>
    <w:rsid w:val="50231B88"/>
    <w:rsid w:val="506D7517"/>
    <w:rsid w:val="50D87345"/>
    <w:rsid w:val="50F60D24"/>
    <w:rsid w:val="512E5355"/>
    <w:rsid w:val="51667ACC"/>
    <w:rsid w:val="516C61E9"/>
    <w:rsid w:val="516D5711"/>
    <w:rsid w:val="519370C4"/>
    <w:rsid w:val="51BC0756"/>
    <w:rsid w:val="51FB0B52"/>
    <w:rsid w:val="52183ABE"/>
    <w:rsid w:val="524169AA"/>
    <w:rsid w:val="526B7CCB"/>
    <w:rsid w:val="52802F96"/>
    <w:rsid w:val="52D25D57"/>
    <w:rsid w:val="52E7381F"/>
    <w:rsid w:val="530112F1"/>
    <w:rsid w:val="53461462"/>
    <w:rsid w:val="5348751B"/>
    <w:rsid w:val="539B25ED"/>
    <w:rsid w:val="53E008F0"/>
    <w:rsid w:val="53F61506"/>
    <w:rsid w:val="54223CC9"/>
    <w:rsid w:val="546177C1"/>
    <w:rsid w:val="550541C2"/>
    <w:rsid w:val="553852A5"/>
    <w:rsid w:val="55574E5B"/>
    <w:rsid w:val="5653344D"/>
    <w:rsid w:val="566F314A"/>
    <w:rsid w:val="56FC10A2"/>
    <w:rsid w:val="57801A90"/>
    <w:rsid w:val="57893096"/>
    <w:rsid w:val="57F311B0"/>
    <w:rsid w:val="581A4428"/>
    <w:rsid w:val="58277A9C"/>
    <w:rsid w:val="582B1615"/>
    <w:rsid w:val="5879299D"/>
    <w:rsid w:val="588F713B"/>
    <w:rsid w:val="589018E9"/>
    <w:rsid w:val="58DE17A3"/>
    <w:rsid w:val="58F54428"/>
    <w:rsid w:val="591541D5"/>
    <w:rsid w:val="591A3FB4"/>
    <w:rsid w:val="59400BEA"/>
    <w:rsid w:val="596279C2"/>
    <w:rsid w:val="59AD307A"/>
    <w:rsid w:val="59E545C2"/>
    <w:rsid w:val="59E83629"/>
    <w:rsid w:val="59E86FBA"/>
    <w:rsid w:val="59EB11D9"/>
    <w:rsid w:val="5A0B523B"/>
    <w:rsid w:val="5A200771"/>
    <w:rsid w:val="5A8B6FB5"/>
    <w:rsid w:val="5A9D54E3"/>
    <w:rsid w:val="5ACB4657"/>
    <w:rsid w:val="5ACF1B6A"/>
    <w:rsid w:val="5AE92C3F"/>
    <w:rsid w:val="5B145DCA"/>
    <w:rsid w:val="5B3255E5"/>
    <w:rsid w:val="5B5714EF"/>
    <w:rsid w:val="5B7A086E"/>
    <w:rsid w:val="5BAC5560"/>
    <w:rsid w:val="5BF348FE"/>
    <w:rsid w:val="5C091228"/>
    <w:rsid w:val="5C793B0C"/>
    <w:rsid w:val="5C8C341B"/>
    <w:rsid w:val="5C9347A9"/>
    <w:rsid w:val="5D045781"/>
    <w:rsid w:val="5D0968F1"/>
    <w:rsid w:val="5D3C7801"/>
    <w:rsid w:val="5DE15E9C"/>
    <w:rsid w:val="5E15521D"/>
    <w:rsid w:val="5E512226"/>
    <w:rsid w:val="5E6F7554"/>
    <w:rsid w:val="5EAF519E"/>
    <w:rsid w:val="5EC155FD"/>
    <w:rsid w:val="5EC76C67"/>
    <w:rsid w:val="5ED60DA1"/>
    <w:rsid w:val="5EF32507"/>
    <w:rsid w:val="5EF74AA1"/>
    <w:rsid w:val="5F0D0843"/>
    <w:rsid w:val="5F253C40"/>
    <w:rsid w:val="5F667F53"/>
    <w:rsid w:val="5FE872C2"/>
    <w:rsid w:val="609B35A7"/>
    <w:rsid w:val="60C8091D"/>
    <w:rsid w:val="60C85CB2"/>
    <w:rsid w:val="60C86754"/>
    <w:rsid w:val="610418D7"/>
    <w:rsid w:val="610C06C0"/>
    <w:rsid w:val="6128170C"/>
    <w:rsid w:val="6174070B"/>
    <w:rsid w:val="618E1E7E"/>
    <w:rsid w:val="61933402"/>
    <w:rsid w:val="61EE31EB"/>
    <w:rsid w:val="62023F0D"/>
    <w:rsid w:val="623C3079"/>
    <w:rsid w:val="62493E36"/>
    <w:rsid w:val="62567A24"/>
    <w:rsid w:val="62584B6E"/>
    <w:rsid w:val="625B35EC"/>
    <w:rsid w:val="62B17737"/>
    <w:rsid w:val="63590B64"/>
    <w:rsid w:val="63A81C18"/>
    <w:rsid w:val="63F83144"/>
    <w:rsid w:val="64AD1549"/>
    <w:rsid w:val="64E9266B"/>
    <w:rsid w:val="6516776B"/>
    <w:rsid w:val="651A6F1D"/>
    <w:rsid w:val="658654B8"/>
    <w:rsid w:val="65E25E43"/>
    <w:rsid w:val="66522FDF"/>
    <w:rsid w:val="6669480C"/>
    <w:rsid w:val="66B75538"/>
    <w:rsid w:val="66D80226"/>
    <w:rsid w:val="671B1DF2"/>
    <w:rsid w:val="672B616C"/>
    <w:rsid w:val="68310013"/>
    <w:rsid w:val="68400C95"/>
    <w:rsid w:val="684D1215"/>
    <w:rsid w:val="690F3409"/>
    <w:rsid w:val="69145458"/>
    <w:rsid w:val="694E18F8"/>
    <w:rsid w:val="695012E5"/>
    <w:rsid w:val="695716FD"/>
    <w:rsid w:val="695B131C"/>
    <w:rsid w:val="69602ECC"/>
    <w:rsid w:val="69767D36"/>
    <w:rsid w:val="6990247F"/>
    <w:rsid w:val="69973475"/>
    <w:rsid w:val="6A4D4E6F"/>
    <w:rsid w:val="6A527EE0"/>
    <w:rsid w:val="6ADF0425"/>
    <w:rsid w:val="6B2366A8"/>
    <w:rsid w:val="6B332508"/>
    <w:rsid w:val="6B5E1B30"/>
    <w:rsid w:val="6B6B38D5"/>
    <w:rsid w:val="6B884D1E"/>
    <w:rsid w:val="6C2A1ADB"/>
    <w:rsid w:val="6C7A774A"/>
    <w:rsid w:val="6C7D4B2E"/>
    <w:rsid w:val="6C7F36FD"/>
    <w:rsid w:val="6D0E38A3"/>
    <w:rsid w:val="6D3352F8"/>
    <w:rsid w:val="6D606AA4"/>
    <w:rsid w:val="6D92578D"/>
    <w:rsid w:val="6DAE6399"/>
    <w:rsid w:val="6DC00980"/>
    <w:rsid w:val="6DCA3779"/>
    <w:rsid w:val="6E205C8E"/>
    <w:rsid w:val="6E775CAD"/>
    <w:rsid w:val="6EC771E7"/>
    <w:rsid w:val="6ED871A5"/>
    <w:rsid w:val="6F2E7230"/>
    <w:rsid w:val="6F3675BA"/>
    <w:rsid w:val="6F392250"/>
    <w:rsid w:val="6F740BA9"/>
    <w:rsid w:val="6F800B6D"/>
    <w:rsid w:val="6FF3138F"/>
    <w:rsid w:val="6FF60E06"/>
    <w:rsid w:val="704B7516"/>
    <w:rsid w:val="704F2286"/>
    <w:rsid w:val="707E018D"/>
    <w:rsid w:val="70875D09"/>
    <w:rsid w:val="710359C6"/>
    <w:rsid w:val="713324DE"/>
    <w:rsid w:val="71BE777B"/>
    <w:rsid w:val="71D3212D"/>
    <w:rsid w:val="721C4D9B"/>
    <w:rsid w:val="721E7C50"/>
    <w:rsid w:val="723920F5"/>
    <w:rsid w:val="72617395"/>
    <w:rsid w:val="72B44C77"/>
    <w:rsid w:val="72D043D4"/>
    <w:rsid w:val="730B537F"/>
    <w:rsid w:val="730C2768"/>
    <w:rsid w:val="73126B5F"/>
    <w:rsid w:val="73220B82"/>
    <w:rsid w:val="734F0FD2"/>
    <w:rsid w:val="73683354"/>
    <w:rsid w:val="73E06AF0"/>
    <w:rsid w:val="73EE0F44"/>
    <w:rsid w:val="741144D9"/>
    <w:rsid w:val="74375BB6"/>
    <w:rsid w:val="7476433D"/>
    <w:rsid w:val="74A938CD"/>
    <w:rsid w:val="74B02FDD"/>
    <w:rsid w:val="756132C7"/>
    <w:rsid w:val="75660A51"/>
    <w:rsid w:val="757220C1"/>
    <w:rsid w:val="76D97072"/>
    <w:rsid w:val="76FBE9B1"/>
    <w:rsid w:val="775336E2"/>
    <w:rsid w:val="778F5FCB"/>
    <w:rsid w:val="77FD1EFF"/>
    <w:rsid w:val="78084081"/>
    <w:rsid w:val="7835360B"/>
    <w:rsid w:val="78483ADB"/>
    <w:rsid w:val="787D47D8"/>
    <w:rsid w:val="78F01B48"/>
    <w:rsid w:val="791543A5"/>
    <w:rsid w:val="79390690"/>
    <w:rsid w:val="794C3B72"/>
    <w:rsid w:val="79786F93"/>
    <w:rsid w:val="79E34503"/>
    <w:rsid w:val="79F206B3"/>
    <w:rsid w:val="7A8157E9"/>
    <w:rsid w:val="7AEC5358"/>
    <w:rsid w:val="7B0B2781"/>
    <w:rsid w:val="7B71585E"/>
    <w:rsid w:val="7BCE1BF6"/>
    <w:rsid w:val="7BEF4727"/>
    <w:rsid w:val="7C29688E"/>
    <w:rsid w:val="7C31212E"/>
    <w:rsid w:val="7C6A12FC"/>
    <w:rsid w:val="7D05774D"/>
    <w:rsid w:val="7D1F7C67"/>
    <w:rsid w:val="7D4650BB"/>
    <w:rsid w:val="7D9A72EE"/>
    <w:rsid w:val="7DBF430B"/>
    <w:rsid w:val="7DE32D2B"/>
    <w:rsid w:val="7DF6014E"/>
    <w:rsid w:val="7DFFF0F5"/>
    <w:rsid w:val="7E040C0B"/>
    <w:rsid w:val="7E230C72"/>
    <w:rsid w:val="7E411FF8"/>
    <w:rsid w:val="7F0B5A8E"/>
    <w:rsid w:val="7F7595BF"/>
    <w:rsid w:val="7F9008CB"/>
    <w:rsid w:val="7FAC63D5"/>
    <w:rsid w:val="7FE11CA6"/>
    <w:rsid w:val="7FEE3921"/>
    <w:rsid w:val="7FF5A4E6"/>
    <w:rsid w:val="96E12FD7"/>
    <w:rsid w:val="9EDF9EFF"/>
    <w:rsid w:val="B6777803"/>
    <w:rsid w:val="BA7B23C6"/>
    <w:rsid w:val="BBEF4F2E"/>
    <w:rsid w:val="BEAF7673"/>
    <w:rsid w:val="CEB706DC"/>
    <w:rsid w:val="EAFDA547"/>
    <w:rsid w:val="EEB64405"/>
    <w:rsid w:val="EFFB0227"/>
    <w:rsid w:val="EFFFDEF2"/>
    <w:rsid w:val="F573452A"/>
    <w:rsid w:val="FD8B2144"/>
    <w:rsid w:val="FFF7D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7"/>
    <w:qFormat/>
    <w:uiPriority w:val="0"/>
    <w:pPr>
      <w:keepNext/>
      <w:keepLines/>
      <w:spacing w:before="340" w:after="330" w:line="360" w:lineRule="auto"/>
      <w:jc w:val="left"/>
      <w:outlineLvl w:val="0"/>
    </w:pPr>
    <w:rPr>
      <w:rFonts w:ascii="Calibri" w:hAnsi="Calibri" w:eastAsia="黑体" w:cs="Times New Roman"/>
      <w:bCs/>
      <w:kern w:val="44"/>
      <w:sz w:val="44"/>
      <w:szCs w:val="44"/>
    </w:rPr>
  </w:style>
  <w:style w:type="paragraph" w:styleId="4">
    <w:name w:val="heading 2"/>
    <w:basedOn w:val="1"/>
    <w:next w:val="1"/>
    <w:link w:val="68"/>
    <w:unhideWhenUsed/>
    <w:qFormat/>
    <w:uiPriority w:val="0"/>
    <w:pPr>
      <w:keepNext/>
      <w:keepLines/>
      <w:spacing w:before="260" w:after="260" w:line="360" w:lineRule="auto"/>
      <w:jc w:val="left"/>
      <w:outlineLvl w:val="1"/>
    </w:pPr>
    <w:rPr>
      <w:rFonts w:ascii="Cambria" w:hAnsi="Cambria" w:eastAsia="方正大标宋简体" w:cs="Times New Roman"/>
      <w:bCs/>
      <w:sz w:val="36"/>
      <w:szCs w:val="32"/>
    </w:rPr>
  </w:style>
  <w:style w:type="paragraph" w:styleId="5">
    <w:name w:val="heading 3"/>
    <w:basedOn w:val="1"/>
    <w:next w:val="1"/>
    <w:link w:val="69"/>
    <w:unhideWhenUsed/>
    <w:qFormat/>
    <w:uiPriority w:val="0"/>
    <w:pPr>
      <w:keepNext/>
      <w:keepLines/>
      <w:adjustRightInd w:val="0"/>
      <w:spacing w:before="260" w:after="260" w:line="360" w:lineRule="auto"/>
      <w:jc w:val="left"/>
      <w:outlineLvl w:val="2"/>
    </w:pPr>
    <w:rPr>
      <w:rFonts w:ascii="Calibri" w:hAnsi="Calibri" w:eastAsia="黑体" w:cs="Times New Roman"/>
      <w:bCs/>
      <w:sz w:val="32"/>
      <w:szCs w:val="32"/>
    </w:rPr>
  </w:style>
  <w:style w:type="paragraph" w:styleId="6">
    <w:name w:val="heading 4"/>
    <w:basedOn w:val="1"/>
    <w:next w:val="1"/>
    <w:link w:val="70"/>
    <w:unhideWhenUsed/>
    <w:qFormat/>
    <w:uiPriority w:val="99"/>
    <w:pPr>
      <w:keepNext/>
      <w:keepLines/>
      <w:spacing w:before="280" w:after="290" w:line="376" w:lineRule="auto"/>
      <w:ind w:firstLine="10" w:firstLineChars="10"/>
      <w:jc w:val="left"/>
      <w:outlineLvl w:val="3"/>
    </w:pPr>
    <w:rPr>
      <w:rFonts w:ascii="Cambria" w:hAnsi="Cambria" w:eastAsia="黑体" w:cs="Times New Roman"/>
      <w:bCs/>
      <w:sz w:val="24"/>
      <w:szCs w:val="28"/>
    </w:rPr>
  </w:style>
  <w:style w:type="paragraph" w:styleId="7">
    <w:name w:val="heading 5"/>
    <w:basedOn w:val="8"/>
    <w:next w:val="9"/>
    <w:link w:val="71"/>
    <w:unhideWhenUsed/>
    <w:qFormat/>
    <w:uiPriority w:val="0"/>
    <w:pPr>
      <w:keepNext/>
      <w:keepLines/>
      <w:tabs>
        <w:tab w:val="left" w:pos="780"/>
      </w:tabs>
      <w:spacing w:before="280" w:after="290" w:line="374" w:lineRule="auto"/>
      <w:outlineLvl w:val="4"/>
    </w:pPr>
    <w:rPr>
      <w:b/>
      <w:bCs/>
      <w:sz w:val="28"/>
      <w:szCs w:val="28"/>
    </w:rPr>
  </w:style>
  <w:style w:type="paragraph" w:styleId="10">
    <w:name w:val="heading 6"/>
    <w:basedOn w:val="1"/>
    <w:next w:val="1"/>
    <w:link w:val="72"/>
    <w:unhideWhenUsed/>
    <w:qFormat/>
    <w:uiPriority w:val="0"/>
    <w:pPr>
      <w:keepNext/>
      <w:keepLines/>
      <w:spacing w:before="240" w:after="64" w:line="316" w:lineRule="auto"/>
      <w:ind w:firstLine="200" w:firstLineChars="200"/>
      <w:jc w:val="center"/>
      <w:outlineLvl w:val="5"/>
    </w:pPr>
    <w:rPr>
      <w:rFonts w:ascii="Cambria" w:hAnsi="Cambria" w:eastAsia="宋体" w:cs="Times New Roman"/>
      <w:b/>
      <w:bCs/>
      <w:sz w:val="24"/>
      <w:szCs w:val="24"/>
    </w:rPr>
  </w:style>
  <w:style w:type="paragraph" w:styleId="11">
    <w:name w:val="heading 7"/>
    <w:basedOn w:val="1"/>
    <w:next w:val="1"/>
    <w:link w:val="73"/>
    <w:unhideWhenUsed/>
    <w:qFormat/>
    <w:uiPriority w:val="0"/>
    <w:pPr>
      <w:keepNext/>
      <w:keepLines/>
      <w:spacing w:before="240" w:after="64" w:line="316" w:lineRule="auto"/>
      <w:ind w:firstLine="200" w:firstLineChars="200"/>
      <w:jc w:val="center"/>
      <w:outlineLvl w:val="6"/>
    </w:pPr>
    <w:rPr>
      <w:rFonts w:ascii="Calibri" w:hAnsi="Calibri" w:eastAsia="宋体" w:cs="Times New Roman"/>
      <w:b/>
      <w:bCs/>
      <w:sz w:val="24"/>
      <w:szCs w:val="24"/>
    </w:rPr>
  </w:style>
  <w:style w:type="paragraph" w:styleId="12">
    <w:name w:val="heading 8"/>
    <w:basedOn w:val="1"/>
    <w:next w:val="1"/>
    <w:link w:val="74"/>
    <w:unhideWhenUsed/>
    <w:qFormat/>
    <w:uiPriority w:val="0"/>
    <w:pPr>
      <w:keepNext/>
      <w:keepLines/>
      <w:spacing w:before="240" w:after="64" w:line="316" w:lineRule="auto"/>
      <w:ind w:firstLine="200" w:firstLineChars="200"/>
      <w:jc w:val="left"/>
      <w:outlineLvl w:val="7"/>
    </w:pPr>
    <w:rPr>
      <w:rFonts w:ascii="Cambria" w:hAnsi="Cambria" w:eastAsia="宋体" w:cs="Times New Roman"/>
      <w:sz w:val="24"/>
      <w:szCs w:val="24"/>
    </w:rPr>
  </w:style>
  <w:style w:type="paragraph" w:styleId="13">
    <w:name w:val="heading 9"/>
    <w:basedOn w:val="1"/>
    <w:next w:val="1"/>
    <w:link w:val="103"/>
    <w:qFormat/>
    <w:uiPriority w:val="0"/>
    <w:pPr>
      <w:keepNext/>
      <w:keepLines/>
      <w:spacing w:before="240" w:after="64" w:line="320" w:lineRule="auto"/>
      <w:outlineLvl w:val="8"/>
    </w:pPr>
    <w:rPr>
      <w:rFonts w:ascii="Cambria" w:hAnsi="Cambria" w:eastAsia="宋体" w:cs="Times New Roman"/>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ind w:firstLine="200" w:firstLineChars="200"/>
    </w:pPr>
    <w:rPr>
      <w:rFonts w:ascii="Times New Roman" w:hAnsi="Times New Roman" w:eastAsia="宋体" w:cs="Calibri"/>
      <w:spacing w:val="10"/>
      <w:kern w:val="0"/>
      <w:sz w:val="24"/>
      <w:szCs w:val="21"/>
    </w:rPr>
  </w:style>
  <w:style w:type="paragraph" w:styleId="8">
    <w:name w:val="List Number 2"/>
    <w:basedOn w:val="1"/>
    <w:unhideWhenUsed/>
    <w:qFormat/>
    <w:uiPriority w:val="99"/>
    <w:pPr>
      <w:numPr>
        <w:ilvl w:val="0"/>
        <w:numId w:val="1"/>
      </w:numPr>
      <w:ind w:left="0" w:leftChars="0" w:firstLine="0" w:firstLineChars="0"/>
    </w:pPr>
    <w:rPr>
      <w:rFonts w:ascii="Calibri" w:hAnsi="Calibri" w:eastAsia="宋体" w:cs="Times New Roman"/>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oc 7"/>
    <w:basedOn w:val="1"/>
    <w:next w:val="1"/>
    <w:unhideWhenUsed/>
    <w:qFormat/>
    <w:uiPriority w:val="39"/>
    <w:pPr>
      <w:ind w:left="2520" w:leftChars="1200"/>
    </w:pPr>
    <w:rPr>
      <w:rFonts w:ascii="Calibri" w:hAnsi="Calibri" w:eastAsia="宋体" w:cs="Times New Roman"/>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6">
    <w:name w:val="Normal Indent"/>
    <w:basedOn w:val="1"/>
    <w:qFormat/>
    <w:uiPriority w:val="0"/>
    <w:pPr>
      <w:ind w:firstLine="420"/>
    </w:pPr>
    <w:rPr>
      <w:rFonts w:ascii="Times New Roman" w:hAnsi="Times New Roman" w:eastAsia="宋体" w:cs="Times New Roman"/>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80"/>
    <w:semiHidden/>
    <w:unhideWhenUsed/>
    <w:qFormat/>
    <w:uiPriority w:val="99"/>
    <w:rPr>
      <w:rFonts w:ascii="宋体" w:hAnsi="Calibri" w:eastAsia="宋体" w:cs="Times New Roman"/>
      <w:sz w:val="18"/>
      <w:szCs w:val="18"/>
    </w:rPr>
  </w:style>
  <w:style w:type="paragraph" w:styleId="19">
    <w:name w:val="annotation text"/>
    <w:basedOn w:val="1"/>
    <w:link w:val="77"/>
    <w:unhideWhenUsed/>
    <w:qFormat/>
    <w:uiPriority w:val="0"/>
    <w:pPr>
      <w:jc w:val="left"/>
    </w:pPr>
    <w:rPr>
      <w:rFonts w:ascii="Calibri" w:hAnsi="Calibri" w:eastAsia="宋体" w:cs="Times New Roman"/>
    </w:rPr>
  </w:style>
  <w:style w:type="paragraph" w:styleId="20">
    <w:name w:val="Body Text 3"/>
    <w:basedOn w:val="1"/>
    <w:link w:val="105"/>
    <w:qFormat/>
    <w:uiPriority w:val="0"/>
    <w:pPr>
      <w:spacing w:line="500" w:lineRule="exact"/>
    </w:pPr>
    <w:rPr>
      <w:rFonts w:ascii="Times New Roman" w:hAnsi="Times New Roman" w:eastAsia="宋体" w:cs="Times New Roman"/>
      <w:b/>
      <w:bCs/>
      <w:kern w:val="0"/>
      <w:sz w:val="24"/>
      <w:szCs w:val="24"/>
    </w:rPr>
  </w:style>
  <w:style w:type="paragraph" w:styleId="21">
    <w:name w:val="Body Text"/>
    <w:basedOn w:val="1"/>
    <w:next w:val="1"/>
    <w:link w:val="79"/>
    <w:unhideWhenUsed/>
    <w:qFormat/>
    <w:uiPriority w:val="99"/>
    <w:rPr>
      <w:rFonts w:ascii="Calibri" w:hAnsi="Calibri" w:eastAsia="宋体" w:cs="Times New Roman"/>
      <w:b/>
      <w:szCs w:val="24"/>
    </w:rPr>
  </w:style>
  <w:style w:type="paragraph" w:styleId="22">
    <w:name w:val="Body Text Indent"/>
    <w:basedOn w:val="1"/>
    <w:link w:val="107"/>
    <w:qFormat/>
    <w:uiPriority w:val="0"/>
    <w:pPr>
      <w:ind w:firstLine="830" w:firstLineChars="352"/>
    </w:pPr>
    <w:rPr>
      <w:rFonts w:ascii="仿宋_GB2312" w:hAnsi="Times New Roman" w:eastAsia="仿宋_GB2312" w:cs="Times New Roman"/>
      <w:kern w:val="0"/>
      <w:sz w:val="32"/>
      <w:szCs w:val="20"/>
    </w:rPr>
  </w:style>
  <w:style w:type="paragraph" w:styleId="23">
    <w:name w:val="List Number 3"/>
    <w:basedOn w:val="1"/>
    <w:qFormat/>
    <w:uiPriority w:val="0"/>
    <w:pPr>
      <w:numPr>
        <w:ilvl w:val="0"/>
        <w:numId w:val="2"/>
      </w:numPr>
      <w:tabs>
        <w:tab w:val="left" w:pos="1200"/>
        <w:tab w:val="left" w:pos="1537"/>
      </w:tabs>
    </w:pPr>
    <w:rPr>
      <w:rFonts w:ascii="Times New Roman" w:hAnsi="Times New Roman" w:eastAsia="宋体" w:cs="Times New Roman"/>
      <w:szCs w:val="24"/>
    </w:rPr>
  </w:style>
  <w:style w:type="paragraph" w:styleId="24">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5">
    <w:name w:val="toc 5"/>
    <w:basedOn w:val="1"/>
    <w:next w:val="1"/>
    <w:unhideWhenUsed/>
    <w:qFormat/>
    <w:uiPriority w:val="39"/>
    <w:pPr>
      <w:ind w:left="1680" w:leftChars="800"/>
    </w:pPr>
    <w:rPr>
      <w:rFonts w:ascii="Calibri" w:hAnsi="Calibri" w:eastAsia="宋体" w:cs="Times New Roman"/>
    </w:rPr>
  </w:style>
  <w:style w:type="paragraph" w:styleId="26">
    <w:name w:val="toc 3"/>
    <w:basedOn w:val="1"/>
    <w:next w:val="1"/>
    <w:unhideWhenUsed/>
    <w:qFormat/>
    <w:uiPriority w:val="39"/>
    <w:pPr>
      <w:ind w:left="840" w:leftChars="400"/>
    </w:pPr>
    <w:rPr>
      <w:rFonts w:ascii="Calibri" w:hAnsi="Calibri" w:eastAsia="宋体" w:cs="Times New Roman"/>
    </w:rPr>
  </w:style>
  <w:style w:type="paragraph" w:styleId="27">
    <w:name w:val="Plain Text"/>
    <w:basedOn w:val="1"/>
    <w:next w:val="1"/>
    <w:link w:val="81"/>
    <w:unhideWhenUsed/>
    <w:qFormat/>
    <w:uiPriority w:val="99"/>
    <w:rPr>
      <w:rFonts w:ascii="宋体" w:hAnsi="Courier New" w:eastAsia="宋体" w:cs="Courier New"/>
      <w:szCs w:val="21"/>
    </w:rPr>
  </w:style>
  <w:style w:type="paragraph" w:styleId="28">
    <w:name w:val="toc 8"/>
    <w:basedOn w:val="1"/>
    <w:next w:val="1"/>
    <w:unhideWhenUsed/>
    <w:qFormat/>
    <w:uiPriority w:val="39"/>
    <w:pPr>
      <w:ind w:left="2940" w:leftChars="1400"/>
    </w:pPr>
    <w:rPr>
      <w:rFonts w:ascii="Calibri" w:hAnsi="Calibri" w:eastAsia="宋体" w:cs="Times New Roman"/>
    </w:rPr>
  </w:style>
  <w:style w:type="paragraph" w:styleId="29">
    <w:name w:val="Date"/>
    <w:basedOn w:val="1"/>
    <w:next w:val="1"/>
    <w:link w:val="109"/>
    <w:qFormat/>
    <w:uiPriority w:val="0"/>
    <w:pPr>
      <w:ind w:left="100" w:leftChars="2500"/>
    </w:pPr>
    <w:rPr>
      <w:rFonts w:ascii="Calibri" w:hAnsi="Calibri" w:eastAsia="宋体" w:cs="Times New Roman"/>
      <w:spacing w:val="30"/>
      <w:sz w:val="28"/>
      <w:szCs w:val="21"/>
    </w:rPr>
  </w:style>
  <w:style w:type="paragraph" w:styleId="30">
    <w:name w:val="Body Text Indent 2"/>
    <w:basedOn w:val="1"/>
    <w:link w:val="111"/>
    <w:qFormat/>
    <w:uiPriority w:val="0"/>
    <w:pPr>
      <w:ind w:firstLine="630"/>
    </w:pPr>
    <w:rPr>
      <w:rFonts w:ascii="Times New Roman" w:hAnsi="Times New Roman" w:eastAsia="宋体" w:cs="Times New Roman"/>
      <w:kern w:val="0"/>
      <w:sz w:val="32"/>
      <w:szCs w:val="20"/>
    </w:rPr>
  </w:style>
  <w:style w:type="paragraph" w:styleId="31">
    <w:name w:val="endnote text"/>
    <w:basedOn w:val="1"/>
    <w:link w:val="113"/>
    <w:unhideWhenUsed/>
    <w:qFormat/>
    <w:uiPriority w:val="99"/>
    <w:pPr>
      <w:snapToGrid w:val="0"/>
      <w:jc w:val="left"/>
    </w:pPr>
    <w:rPr>
      <w:rFonts w:ascii="Times New Roman" w:hAnsi="Times New Roman" w:eastAsia="宋体" w:cs="Times New Roman"/>
      <w:szCs w:val="24"/>
    </w:rPr>
  </w:style>
  <w:style w:type="paragraph" w:styleId="32">
    <w:name w:val="Balloon Text"/>
    <w:basedOn w:val="1"/>
    <w:link w:val="83"/>
    <w:unhideWhenUsed/>
    <w:qFormat/>
    <w:uiPriority w:val="0"/>
    <w:rPr>
      <w:rFonts w:ascii="Calibri" w:hAnsi="Calibri" w:eastAsia="宋体" w:cs="Times New Roman"/>
      <w:sz w:val="18"/>
      <w:szCs w:val="18"/>
    </w:rPr>
  </w:style>
  <w:style w:type="paragraph" w:styleId="33">
    <w:name w:val="footer"/>
    <w:basedOn w:val="1"/>
    <w:link w:val="66"/>
    <w:unhideWhenUsed/>
    <w:qFormat/>
    <w:uiPriority w:val="0"/>
    <w:pPr>
      <w:tabs>
        <w:tab w:val="center" w:pos="4153"/>
        <w:tab w:val="right" w:pos="8306"/>
      </w:tabs>
      <w:snapToGrid w:val="0"/>
      <w:jc w:val="left"/>
    </w:pPr>
    <w:rPr>
      <w:sz w:val="18"/>
      <w:szCs w:val="18"/>
    </w:rPr>
  </w:style>
  <w:style w:type="paragraph" w:styleId="34">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rPr>
      <w:rFonts w:ascii="Calibri" w:hAnsi="Calibri" w:eastAsia="宋体" w:cs="Times New Roman"/>
    </w:rPr>
  </w:style>
  <w:style w:type="paragraph" w:styleId="36">
    <w:name w:val="toc 4"/>
    <w:basedOn w:val="1"/>
    <w:next w:val="1"/>
    <w:unhideWhenUsed/>
    <w:qFormat/>
    <w:uiPriority w:val="39"/>
    <w:pPr>
      <w:ind w:left="1260" w:leftChars="600"/>
    </w:pPr>
    <w:rPr>
      <w:rFonts w:ascii="Calibri" w:hAnsi="Calibri" w:eastAsia="宋体" w:cs="Times New Roman"/>
    </w:rPr>
  </w:style>
  <w:style w:type="paragraph" w:styleId="37">
    <w:name w:val="Subtitle"/>
    <w:basedOn w:val="1"/>
    <w:next w:val="1"/>
    <w:link w:val="114"/>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8">
    <w:name w:val="List"/>
    <w:basedOn w:val="1"/>
    <w:qFormat/>
    <w:uiPriority w:val="0"/>
    <w:pPr>
      <w:ind w:left="200" w:hanging="200" w:hangingChars="200"/>
    </w:pPr>
    <w:rPr>
      <w:rFonts w:ascii="Times New Roman" w:hAnsi="Times New Roman" w:eastAsia="宋体" w:cs="Times New Roman"/>
      <w:sz w:val="28"/>
      <w:szCs w:val="24"/>
    </w:rPr>
  </w:style>
  <w:style w:type="paragraph" w:styleId="39">
    <w:name w:val="footnote text"/>
    <w:basedOn w:val="1"/>
    <w:link w:val="76"/>
    <w:unhideWhenUsed/>
    <w:qFormat/>
    <w:uiPriority w:val="99"/>
    <w:pPr>
      <w:snapToGrid w:val="0"/>
      <w:jc w:val="left"/>
    </w:pPr>
    <w:rPr>
      <w:rFonts w:ascii="Calibri" w:hAnsi="Calibri" w:eastAsia="宋体" w:cs="Times New Roman"/>
      <w:sz w:val="18"/>
      <w:szCs w:val="18"/>
    </w:rPr>
  </w:style>
  <w:style w:type="paragraph" w:styleId="40">
    <w:name w:val="toc 6"/>
    <w:basedOn w:val="1"/>
    <w:next w:val="1"/>
    <w:unhideWhenUsed/>
    <w:qFormat/>
    <w:uiPriority w:val="39"/>
    <w:pPr>
      <w:ind w:left="2100" w:leftChars="1000"/>
    </w:pPr>
    <w:rPr>
      <w:rFonts w:ascii="Calibri" w:hAnsi="Calibri" w:eastAsia="宋体" w:cs="Times New Roman"/>
    </w:rPr>
  </w:style>
  <w:style w:type="paragraph" w:styleId="41">
    <w:name w:val="Body Text Indent 3"/>
    <w:basedOn w:val="1"/>
    <w:link w:val="117"/>
    <w:qFormat/>
    <w:uiPriority w:val="0"/>
    <w:pPr>
      <w:spacing w:after="120"/>
      <w:ind w:left="420" w:leftChars="200"/>
    </w:pPr>
    <w:rPr>
      <w:rFonts w:ascii="Times New Roman" w:hAnsi="Times New Roman" w:eastAsia="宋体" w:cs="Times New Roman"/>
      <w:kern w:val="0"/>
      <w:sz w:val="16"/>
      <w:szCs w:val="16"/>
    </w:rPr>
  </w:style>
  <w:style w:type="paragraph" w:styleId="42">
    <w:name w:val="toc 2"/>
    <w:basedOn w:val="1"/>
    <w:next w:val="1"/>
    <w:unhideWhenUsed/>
    <w:qFormat/>
    <w:uiPriority w:val="39"/>
    <w:pPr>
      <w:ind w:left="420" w:leftChars="200"/>
    </w:pPr>
    <w:rPr>
      <w:rFonts w:ascii="Calibri" w:hAnsi="Calibri" w:eastAsia="宋体" w:cs="Times New Roman"/>
    </w:rPr>
  </w:style>
  <w:style w:type="paragraph" w:styleId="43">
    <w:name w:val="toc 9"/>
    <w:basedOn w:val="1"/>
    <w:next w:val="1"/>
    <w:unhideWhenUsed/>
    <w:qFormat/>
    <w:uiPriority w:val="39"/>
    <w:pPr>
      <w:ind w:left="3360" w:leftChars="1600"/>
    </w:pPr>
    <w:rPr>
      <w:rFonts w:ascii="Calibri" w:hAnsi="Calibri" w:eastAsia="宋体" w:cs="Times New Roman"/>
    </w:rPr>
  </w:style>
  <w:style w:type="paragraph" w:styleId="44">
    <w:name w:val="Body Text 2"/>
    <w:basedOn w:val="1"/>
    <w:link w:val="119"/>
    <w:qFormat/>
    <w:uiPriority w:val="0"/>
    <w:pPr>
      <w:spacing w:after="120" w:line="480" w:lineRule="auto"/>
    </w:pPr>
    <w:rPr>
      <w:rFonts w:ascii="Times New Roman" w:hAnsi="Times New Roman" w:eastAsia="宋体" w:cs="Times New Roman"/>
      <w:kern w:val="0"/>
      <w:sz w:val="20"/>
      <w:szCs w:val="24"/>
    </w:rPr>
  </w:style>
  <w:style w:type="paragraph" w:styleId="45">
    <w:name w:val="List 4"/>
    <w:basedOn w:val="1"/>
    <w:semiHidden/>
    <w:unhideWhenUsed/>
    <w:qFormat/>
    <w:uiPriority w:val="99"/>
    <w:pPr>
      <w:ind w:left="100" w:leftChars="600" w:hanging="200" w:hangingChars="200"/>
      <w:contextualSpacing/>
    </w:pPr>
    <w:rPr>
      <w:rFonts w:ascii="Calibri" w:hAnsi="Calibri" w:eastAsia="宋体" w:cs="Times New Roman"/>
    </w:rPr>
  </w:style>
  <w:style w:type="paragraph" w:styleId="46">
    <w:name w:val="HTML Preformatted"/>
    <w:basedOn w:val="1"/>
    <w:link w:val="7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47">
    <w:name w:val="index 1"/>
    <w:basedOn w:val="1"/>
    <w:next w:val="1"/>
    <w:semiHidden/>
    <w:qFormat/>
    <w:uiPriority w:val="0"/>
    <w:pPr>
      <w:spacing w:line="400" w:lineRule="exact"/>
      <w:ind w:firstLine="420" w:firstLineChars="200"/>
    </w:pPr>
    <w:rPr>
      <w:rFonts w:ascii="宋体" w:hAnsi="Courier New" w:eastAsia="宋体" w:cs="Times New Roman"/>
      <w:b/>
      <w:szCs w:val="20"/>
    </w:rPr>
  </w:style>
  <w:style w:type="paragraph" w:styleId="48">
    <w:name w:val="Title"/>
    <w:basedOn w:val="1"/>
    <w:next w:val="1"/>
    <w:link w:val="78"/>
    <w:qFormat/>
    <w:uiPriority w:val="10"/>
    <w:pPr>
      <w:spacing w:before="207"/>
      <w:ind w:left="1174" w:right="576"/>
      <w:jc w:val="center"/>
    </w:pPr>
    <w:rPr>
      <w:rFonts w:ascii="Arial Unicode MS" w:hAnsi="Arial Unicode MS" w:eastAsia="Arial Unicode MS" w:cs="Arial Unicode MS"/>
      <w:sz w:val="44"/>
      <w:szCs w:val="44"/>
    </w:rPr>
  </w:style>
  <w:style w:type="paragraph" w:styleId="49">
    <w:name w:val="annotation subject"/>
    <w:basedOn w:val="19"/>
    <w:next w:val="19"/>
    <w:link w:val="82"/>
    <w:unhideWhenUsed/>
    <w:qFormat/>
    <w:uiPriority w:val="99"/>
    <w:rPr>
      <w:b/>
      <w:bCs/>
    </w:rPr>
  </w:style>
  <w:style w:type="paragraph" w:styleId="50">
    <w:name w:val="Body Text First Indent"/>
    <w:basedOn w:val="21"/>
    <w:link w:val="120"/>
    <w:qFormat/>
    <w:uiPriority w:val="0"/>
    <w:pPr>
      <w:autoSpaceDE w:val="0"/>
      <w:autoSpaceDN w:val="0"/>
      <w:adjustRightInd w:val="0"/>
      <w:spacing w:after="120"/>
      <w:ind w:firstLine="420" w:firstLineChars="100"/>
      <w:jc w:val="left"/>
    </w:pPr>
    <w:rPr>
      <w:rFonts w:ascii="宋体" w:hAnsi="宋体" w:cs="宋体"/>
      <w:b w:val="0"/>
      <w:kern w:val="0"/>
      <w:sz w:val="34"/>
      <w:szCs w:val="20"/>
    </w:rPr>
  </w:style>
  <w:style w:type="paragraph" w:styleId="51">
    <w:name w:val="Body Text First Indent 2"/>
    <w:basedOn w:val="22"/>
    <w:link w:val="121"/>
    <w:qFormat/>
    <w:uiPriority w:val="99"/>
    <w:pPr>
      <w:spacing w:after="120"/>
      <w:ind w:left="420" w:leftChars="200" w:firstLine="420" w:firstLineChars="200"/>
    </w:pPr>
    <w:rPr>
      <w:rFonts w:ascii="宋体" w:hAnsi="Courier New" w:eastAsia="宋体" w:cs="Calibri"/>
      <w:spacing w:val="-4"/>
      <w:sz w:val="18"/>
      <w:szCs w:val="21"/>
    </w:rPr>
  </w:style>
  <w:style w:type="table" w:styleId="53">
    <w:name w:val="Table Grid"/>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unhideWhenUsed/>
    <w:qFormat/>
    <w:uiPriority w:val="99"/>
    <w:rPr>
      <w:vertAlign w:val="superscript"/>
    </w:rPr>
  </w:style>
  <w:style w:type="character" w:styleId="57">
    <w:name w:val="page number"/>
    <w:qFormat/>
    <w:uiPriority w:val="0"/>
  </w:style>
  <w:style w:type="character" w:styleId="58">
    <w:name w:val="FollowedHyperlink"/>
    <w:basedOn w:val="54"/>
    <w:unhideWhenUsed/>
    <w:qFormat/>
    <w:uiPriority w:val="99"/>
    <w:rPr>
      <w:color w:val="954F72" w:themeColor="followedHyperlink"/>
      <w:u w:val="single"/>
      <w14:textFill>
        <w14:solidFill>
          <w14:schemeClr w14:val="folHlink"/>
        </w14:solidFill>
      </w14:textFill>
    </w:rPr>
  </w:style>
  <w:style w:type="character" w:styleId="59">
    <w:name w:val="Hyperlink"/>
    <w:unhideWhenUsed/>
    <w:qFormat/>
    <w:uiPriority w:val="99"/>
    <w:rPr>
      <w:color w:val="0000FF"/>
      <w:u w:val="single"/>
    </w:rPr>
  </w:style>
  <w:style w:type="character" w:styleId="60">
    <w:name w:val="annotation reference"/>
    <w:unhideWhenUsed/>
    <w:qFormat/>
    <w:uiPriority w:val="0"/>
    <w:rPr>
      <w:sz w:val="21"/>
      <w:szCs w:val="21"/>
    </w:rPr>
  </w:style>
  <w:style w:type="character" w:styleId="61">
    <w:name w:val="footnote reference"/>
    <w:unhideWhenUsed/>
    <w:qFormat/>
    <w:uiPriority w:val="99"/>
    <w:rPr>
      <w:vertAlign w:val="superscript"/>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标题 5（有编号）（绿盟科技）"/>
    <w:basedOn w:val="1"/>
    <w:next w:val="64"/>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5">
    <w:name w:val="页眉 字符"/>
    <w:basedOn w:val="54"/>
    <w:link w:val="34"/>
    <w:qFormat/>
    <w:uiPriority w:val="0"/>
    <w:rPr>
      <w:sz w:val="18"/>
      <w:szCs w:val="18"/>
    </w:rPr>
  </w:style>
  <w:style w:type="character" w:customStyle="1" w:styleId="66">
    <w:name w:val="页脚 字符"/>
    <w:basedOn w:val="54"/>
    <w:link w:val="33"/>
    <w:qFormat/>
    <w:uiPriority w:val="0"/>
    <w:rPr>
      <w:sz w:val="18"/>
      <w:szCs w:val="18"/>
    </w:rPr>
  </w:style>
  <w:style w:type="character" w:customStyle="1" w:styleId="67">
    <w:name w:val="标题 1 字符1"/>
    <w:basedOn w:val="54"/>
    <w:link w:val="3"/>
    <w:qFormat/>
    <w:uiPriority w:val="0"/>
    <w:rPr>
      <w:rFonts w:ascii="Calibri" w:hAnsi="Calibri" w:eastAsia="黑体" w:cs="Times New Roman"/>
      <w:bCs/>
      <w:kern w:val="44"/>
      <w:sz w:val="44"/>
      <w:szCs w:val="44"/>
    </w:rPr>
  </w:style>
  <w:style w:type="character" w:customStyle="1" w:styleId="68">
    <w:name w:val="标题 2 字符"/>
    <w:basedOn w:val="54"/>
    <w:link w:val="4"/>
    <w:qFormat/>
    <w:uiPriority w:val="0"/>
    <w:rPr>
      <w:rFonts w:ascii="Cambria" w:hAnsi="Cambria" w:eastAsia="方正大标宋简体" w:cs="Times New Roman"/>
      <w:bCs/>
      <w:sz w:val="36"/>
      <w:szCs w:val="32"/>
    </w:rPr>
  </w:style>
  <w:style w:type="character" w:customStyle="1" w:styleId="69">
    <w:name w:val="标题 3 字符1"/>
    <w:basedOn w:val="54"/>
    <w:link w:val="5"/>
    <w:qFormat/>
    <w:uiPriority w:val="0"/>
    <w:rPr>
      <w:rFonts w:ascii="Calibri" w:hAnsi="Calibri" w:eastAsia="黑体" w:cs="Times New Roman"/>
      <w:bCs/>
      <w:sz w:val="32"/>
      <w:szCs w:val="32"/>
    </w:rPr>
  </w:style>
  <w:style w:type="character" w:customStyle="1" w:styleId="70">
    <w:name w:val="标题 4 字符"/>
    <w:basedOn w:val="54"/>
    <w:link w:val="6"/>
    <w:qFormat/>
    <w:uiPriority w:val="99"/>
    <w:rPr>
      <w:rFonts w:ascii="Cambria" w:hAnsi="Cambria" w:eastAsia="黑体" w:cs="Times New Roman"/>
      <w:bCs/>
      <w:sz w:val="24"/>
      <w:szCs w:val="28"/>
    </w:rPr>
  </w:style>
  <w:style w:type="character" w:customStyle="1" w:styleId="71">
    <w:name w:val="标题 5 字符"/>
    <w:basedOn w:val="54"/>
    <w:link w:val="7"/>
    <w:qFormat/>
    <w:uiPriority w:val="9"/>
    <w:rPr>
      <w:rFonts w:ascii="Calibri" w:hAnsi="Calibri" w:eastAsia="宋体" w:cs="Times New Roman"/>
      <w:b/>
      <w:bCs/>
      <w:sz w:val="28"/>
      <w:szCs w:val="28"/>
    </w:rPr>
  </w:style>
  <w:style w:type="character" w:customStyle="1" w:styleId="72">
    <w:name w:val="标题 6 字符"/>
    <w:basedOn w:val="54"/>
    <w:link w:val="10"/>
    <w:qFormat/>
    <w:uiPriority w:val="0"/>
    <w:rPr>
      <w:rFonts w:ascii="Cambria" w:hAnsi="Cambria" w:eastAsia="宋体" w:cs="Times New Roman"/>
      <w:b/>
      <w:bCs/>
      <w:sz w:val="24"/>
      <w:szCs w:val="24"/>
    </w:rPr>
  </w:style>
  <w:style w:type="character" w:customStyle="1" w:styleId="73">
    <w:name w:val="标题 7 字符"/>
    <w:basedOn w:val="54"/>
    <w:link w:val="11"/>
    <w:qFormat/>
    <w:uiPriority w:val="0"/>
    <w:rPr>
      <w:rFonts w:ascii="Calibri" w:hAnsi="Calibri" w:eastAsia="宋体" w:cs="Times New Roman"/>
      <w:b/>
      <w:bCs/>
      <w:sz w:val="24"/>
      <w:szCs w:val="24"/>
    </w:rPr>
  </w:style>
  <w:style w:type="character" w:customStyle="1" w:styleId="74">
    <w:name w:val="标题 8 字符"/>
    <w:basedOn w:val="54"/>
    <w:link w:val="12"/>
    <w:qFormat/>
    <w:uiPriority w:val="0"/>
    <w:rPr>
      <w:rFonts w:ascii="Cambria" w:hAnsi="Cambria" w:eastAsia="宋体" w:cs="Times New Roman"/>
      <w:sz w:val="24"/>
      <w:szCs w:val="24"/>
    </w:rPr>
  </w:style>
  <w:style w:type="character" w:customStyle="1" w:styleId="75">
    <w:name w:val="HTML 预设格式 字符"/>
    <w:basedOn w:val="54"/>
    <w:link w:val="46"/>
    <w:semiHidden/>
    <w:qFormat/>
    <w:uiPriority w:val="99"/>
    <w:rPr>
      <w:rFonts w:ascii="宋体" w:hAnsi="宋体" w:eastAsia="宋体" w:cs="Times New Roman"/>
      <w:kern w:val="0"/>
      <w:sz w:val="24"/>
      <w:szCs w:val="24"/>
    </w:rPr>
  </w:style>
  <w:style w:type="character" w:customStyle="1" w:styleId="76">
    <w:name w:val="脚注文本 字符"/>
    <w:basedOn w:val="54"/>
    <w:link w:val="39"/>
    <w:semiHidden/>
    <w:qFormat/>
    <w:uiPriority w:val="99"/>
    <w:rPr>
      <w:rFonts w:ascii="Calibri" w:hAnsi="Calibri" w:eastAsia="宋体" w:cs="Times New Roman"/>
      <w:sz w:val="18"/>
      <w:szCs w:val="18"/>
    </w:rPr>
  </w:style>
  <w:style w:type="character" w:customStyle="1" w:styleId="77">
    <w:name w:val="批注文字 字符1"/>
    <w:basedOn w:val="54"/>
    <w:link w:val="19"/>
    <w:qFormat/>
    <w:uiPriority w:val="0"/>
    <w:rPr>
      <w:rFonts w:ascii="Calibri" w:hAnsi="Calibri" w:eastAsia="宋体" w:cs="Times New Roman"/>
    </w:rPr>
  </w:style>
  <w:style w:type="character" w:customStyle="1" w:styleId="78">
    <w:name w:val="标题 字符"/>
    <w:basedOn w:val="54"/>
    <w:link w:val="48"/>
    <w:qFormat/>
    <w:uiPriority w:val="10"/>
    <w:rPr>
      <w:rFonts w:ascii="Arial Unicode MS" w:hAnsi="Arial Unicode MS" w:eastAsia="Arial Unicode MS" w:cs="Arial Unicode MS"/>
      <w:sz w:val="44"/>
      <w:szCs w:val="44"/>
    </w:rPr>
  </w:style>
  <w:style w:type="character" w:customStyle="1" w:styleId="79">
    <w:name w:val="正文文本 字符"/>
    <w:basedOn w:val="54"/>
    <w:link w:val="21"/>
    <w:qFormat/>
    <w:uiPriority w:val="99"/>
    <w:rPr>
      <w:rFonts w:ascii="Calibri" w:hAnsi="Calibri" w:eastAsia="宋体" w:cs="Times New Roman"/>
      <w:b/>
      <w:szCs w:val="24"/>
    </w:rPr>
  </w:style>
  <w:style w:type="character" w:customStyle="1" w:styleId="80">
    <w:name w:val="文档结构图 字符"/>
    <w:basedOn w:val="54"/>
    <w:link w:val="18"/>
    <w:semiHidden/>
    <w:qFormat/>
    <w:uiPriority w:val="99"/>
    <w:rPr>
      <w:rFonts w:ascii="宋体" w:hAnsi="Calibri" w:eastAsia="宋体" w:cs="Times New Roman"/>
      <w:sz w:val="18"/>
      <w:szCs w:val="18"/>
    </w:rPr>
  </w:style>
  <w:style w:type="character" w:customStyle="1" w:styleId="81">
    <w:name w:val="纯文本 字符3"/>
    <w:basedOn w:val="54"/>
    <w:link w:val="27"/>
    <w:qFormat/>
    <w:uiPriority w:val="99"/>
    <w:rPr>
      <w:rFonts w:ascii="宋体" w:hAnsi="Courier New" w:eastAsia="宋体" w:cs="Courier New"/>
      <w:szCs w:val="21"/>
    </w:rPr>
  </w:style>
  <w:style w:type="character" w:customStyle="1" w:styleId="82">
    <w:name w:val="批注主题 字符"/>
    <w:basedOn w:val="77"/>
    <w:link w:val="49"/>
    <w:qFormat/>
    <w:uiPriority w:val="99"/>
    <w:rPr>
      <w:rFonts w:ascii="Calibri" w:hAnsi="Calibri" w:eastAsia="宋体" w:cs="Times New Roman"/>
      <w:b/>
      <w:bCs/>
    </w:rPr>
  </w:style>
  <w:style w:type="character" w:customStyle="1" w:styleId="83">
    <w:name w:val="批注框文本 字符"/>
    <w:basedOn w:val="54"/>
    <w:link w:val="32"/>
    <w:qFormat/>
    <w:uiPriority w:val="0"/>
    <w:rPr>
      <w:rFonts w:ascii="Calibri" w:hAnsi="Calibri" w:eastAsia="宋体" w:cs="Times New Roman"/>
      <w:sz w:val="18"/>
      <w:szCs w:val="18"/>
    </w:rPr>
  </w:style>
  <w:style w:type="paragraph" w:styleId="84">
    <w:name w:val="List Paragraph"/>
    <w:basedOn w:val="1"/>
    <w:qFormat/>
    <w:uiPriority w:val="34"/>
    <w:pPr>
      <w:ind w:firstLine="420" w:firstLineChars="200"/>
    </w:pPr>
    <w:rPr>
      <w:rFonts w:ascii="Calibri" w:hAnsi="Calibri" w:eastAsia="宋体" w:cs="Times New Roman"/>
    </w:rPr>
  </w:style>
  <w:style w:type="paragraph" w:customStyle="1" w:styleId="85">
    <w:name w:val="Normal Indent1"/>
    <w:qFormat/>
    <w:uiPriority w:val="99"/>
    <w:pPr>
      <w:spacing w:line="360" w:lineRule="auto"/>
      <w:ind w:firstLine="420" w:firstLineChars="200"/>
    </w:pPr>
    <w:rPr>
      <w:rFonts w:ascii="Times New Roman" w:hAnsi="Times New Roman" w:eastAsia="宋体" w:cs="Times New Roman"/>
      <w:lang w:val="en-US" w:eastAsia="zh-CN" w:bidi="ar-SA"/>
    </w:rPr>
  </w:style>
  <w:style w:type="paragraph" w:customStyle="1" w:styleId="86">
    <w:name w:val="表格文字 居中加粗"/>
    <w:basedOn w:val="1"/>
    <w:qFormat/>
    <w:uiPriority w:val="99"/>
    <w:pPr>
      <w:widowControl/>
      <w:overflowPunct w:val="0"/>
      <w:autoSpaceDE w:val="0"/>
      <w:autoSpaceDN w:val="0"/>
      <w:adjustRightInd w:val="0"/>
      <w:jc w:val="center"/>
    </w:pPr>
    <w:rPr>
      <w:rFonts w:ascii="Times New Roman" w:hAnsi="Times New Roman" w:eastAsia="宋体" w:cs="宋体"/>
      <w:b/>
      <w:bCs/>
      <w:kern w:val="0"/>
      <w:szCs w:val="20"/>
    </w:rPr>
  </w:style>
  <w:style w:type="paragraph" w:customStyle="1" w:styleId="87">
    <w:name w:val="表格文字 居中"/>
    <w:basedOn w:val="1"/>
    <w:qFormat/>
    <w:uiPriority w:val="99"/>
    <w:pPr>
      <w:widowControl/>
      <w:overflowPunct w:val="0"/>
      <w:autoSpaceDE w:val="0"/>
      <w:autoSpaceDN w:val="0"/>
      <w:adjustRightInd w:val="0"/>
      <w:jc w:val="center"/>
    </w:pPr>
    <w:rPr>
      <w:rFonts w:ascii="Times New Roman" w:hAnsi="Times New Roman" w:eastAsia="宋体" w:cs="Times New Roman"/>
      <w:kern w:val="0"/>
      <w:szCs w:val="20"/>
    </w:rPr>
  </w:style>
  <w:style w:type="paragraph" w:customStyle="1" w:styleId="88">
    <w:name w:val="表格文字 左对齐"/>
    <w:basedOn w:val="87"/>
    <w:qFormat/>
    <w:uiPriority w:val="99"/>
    <w:pPr>
      <w:jc w:val="both"/>
    </w:pPr>
  </w:style>
  <w:style w:type="paragraph" w:customStyle="1" w:styleId="89">
    <w:name w:val="修订1"/>
    <w:qFormat/>
    <w:uiPriority w:val="99"/>
    <w:rPr>
      <w:rFonts w:ascii="Calibri" w:hAnsi="Calibri" w:eastAsia="宋体" w:cs="Times New Roman"/>
      <w:kern w:val="2"/>
      <w:sz w:val="21"/>
      <w:szCs w:val="22"/>
      <w:lang w:val="en-US" w:eastAsia="zh-CN" w:bidi="ar-SA"/>
    </w:rPr>
  </w:style>
  <w:style w:type="paragraph" w:customStyle="1" w:styleId="90">
    <w:name w:val="WPSOffice手动目录 1"/>
    <w:qFormat/>
    <w:uiPriority w:val="99"/>
    <w:rPr>
      <w:rFonts w:ascii="Calibri" w:hAnsi="Calibri" w:eastAsia="宋体" w:cs="Times New Roman"/>
      <w:sz w:val="24"/>
      <w:lang w:val="en-US" w:eastAsia="zh-CN" w:bidi="ar-SA"/>
    </w:rPr>
  </w:style>
  <w:style w:type="paragraph" w:customStyle="1" w:styleId="91">
    <w:name w:val="WPSOffice手动目录 2"/>
    <w:qFormat/>
    <w:uiPriority w:val="99"/>
    <w:pPr>
      <w:ind w:left="200" w:leftChars="200"/>
    </w:pPr>
    <w:rPr>
      <w:rFonts w:ascii="Calibri" w:hAnsi="Calibri" w:eastAsia="宋体" w:cs="Times New Roman"/>
      <w:sz w:val="24"/>
      <w:lang w:val="en-US" w:eastAsia="zh-CN" w:bidi="ar-SA"/>
    </w:rPr>
  </w:style>
  <w:style w:type="paragraph" w:customStyle="1" w:styleId="92">
    <w:name w:val="WPSOffice手动目录 3"/>
    <w:qFormat/>
    <w:uiPriority w:val="99"/>
    <w:pPr>
      <w:ind w:left="400" w:leftChars="400"/>
    </w:pPr>
    <w:rPr>
      <w:rFonts w:ascii="Calibri" w:hAnsi="Calibri" w:eastAsia="宋体" w:cs="Times New Roman"/>
      <w:sz w:val="24"/>
      <w:lang w:val="en-US" w:eastAsia="zh-CN" w:bidi="ar-SA"/>
    </w:rPr>
  </w:style>
  <w:style w:type="paragraph" w:customStyle="1" w:styleId="93">
    <w:name w:val="样式1"/>
    <w:basedOn w:val="1"/>
    <w:qFormat/>
    <w:uiPriority w:val="99"/>
    <w:pPr>
      <w:jc w:val="center"/>
    </w:pPr>
    <w:rPr>
      <w:rFonts w:ascii="Calibri" w:hAnsi="Calibri" w:eastAsia="方正大标宋简体" w:cs="Times New Roman"/>
      <w:sz w:val="52"/>
    </w:rPr>
  </w:style>
  <w:style w:type="paragraph" w:customStyle="1" w:styleId="94">
    <w:name w:val="Table Paragraph"/>
    <w:basedOn w:val="1"/>
    <w:qFormat/>
    <w:uiPriority w:val="1"/>
    <w:pPr>
      <w:jc w:val="left"/>
    </w:pPr>
    <w:rPr>
      <w:rFonts w:ascii="Calibri" w:hAnsi="Calibri" w:eastAsia="Calibri" w:cs="黑体"/>
      <w:kern w:val="0"/>
      <w:sz w:val="22"/>
      <w:lang w:eastAsia="en-US"/>
    </w:rPr>
  </w:style>
  <w:style w:type="paragraph" w:customStyle="1" w:styleId="95">
    <w:name w:val="null3"/>
    <w:qFormat/>
    <w:uiPriority w:val="0"/>
    <w:rPr>
      <w:rFonts w:ascii="Calibri" w:hAnsi="Calibri" w:eastAsia="宋体" w:cs="Times New Roman"/>
      <w:lang w:val="en-US" w:eastAsia="zh-CN" w:bidi="ar-SA"/>
    </w:rPr>
  </w:style>
  <w:style w:type="paragraph" w:customStyle="1" w:styleId="96">
    <w:name w:val="Main Title"/>
    <w:next w:val="1"/>
    <w:qFormat/>
    <w:uiPriority w:val="99"/>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97">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styleId="98">
    <w:name w:val="Placeholder Text"/>
    <w:semiHidden/>
    <w:qFormat/>
    <w:uiPriority w:val="99"/>
    <w:rPr>
      <w:color w:val="808080"/>
    </w:rPr>
  </w:style>
  <w:style w:type="character" w:customStyle="1" w:styleId="99">
    <w:name w:val="标题 1 字符"/>
    <w:qFormat/>
    <w:uiPriority w:val="9"/>
    <w:rPr>
      <w:rFonts w:hint="eastAsia" w:ascii="黑体" w:hAnsi="黑体" w:eastAsia="黑体"/>
      <w:bCs/>
      <w:kern w:val="44"/>
      <w:sz w:val="44"/>
      <w:szCs w:val="44"/>
    </w:rPr>
  </w:style>
  <w:style w:type="character" w:customStyle="1" w:styleId="100">
    <w:name w:val="标题 3 字符"/>
    <w:qFormat/>
    <w:uiPriority w:val="9"/>
    <w:rPr>
      <w:rFonts w:hint="eastAsia" w:ascii="黑体" w:hAnsi="黑体" w:eastAsia="黑体"/>
      <w:bCs/>
      <w:sz w:val="32"/>
      <w:szCs w:val="32"/>
    </w:rPr>
  </w:style>
  <w:style w:type="character" w:customStyle="1" w:styleId="101">
    <w:name w:val="bjh-p"/>
    <w:qFormat/>
    <w:uiPriority w:val="0"/>
  </w:style>
  <w:style w:type="character" w:customStyle="1" w:styleId="102">
    <w:name w:val="bjh-strong"/>
    <w:qFormat/>
    <w:uiPriority w:val="0"/>
  </w:style>
  <w:style w:type="character" w:customStyle="1" w:styleId="103">
    <w:name w:val="标题 9 字符"/>
    <w:basedOn w:val="54"/>
    <w:link w:val="13"/>
    <w:qFormat/>
    <w:uiPriority w:val="0"/>
    <w:rPr>
      <w:rFonts w:ascii="Cambria" w:hAnsi="Cambria" w:eastAsia="宋体" w:cs="Times New Roman"/>
      <w:szCs w:val="21"/>
    </w:rPr>
  </w:style>
  <w:style w:type="character" w:customStyle="1" w:styleId="104">
    <w:name w:val="正文文本 3 Char"/>
    <w:basedOn w:val="54"/>
    <w:semiHidden/>
    <w:qFormat/>
    <w:uiPriority w:val="99"/>
    <w:rPr>
      <w:sz w:val="16"/>
      <w:szCs w:val="16"/>
    </w:rPr>
  </w:style>
  <w:style w:type="character" w:customStyle="1" w:styleId="105">
    <w:name w:val="正文文本 3 字符"/>
    <w:link w:val="20"/>
    <w:qFormat/>
    <w:uiPriority w:val="0"/>
    <w:rPr>
      <w:rFonts w:ascii="Times New Roman" w:hAnsi="Times New Roman" w:eastAsia="宋体" w:cs="Times New Roman"/>
      <w:b/>
      <w:bCs/>
      <w:kern w:val="0"/>
      <w:sz w:val="24"/>
      <w:szCs w:val="24"/>
    </w:rPr>
  </w:style>
  <w:style w:type="character" w:customStyle="1" w:styleId="106">
    <w:name w:val="正文文本缩进 Char"/>
    <w:basedOn w:val="54"/>
    <w:semiHidden/>
    <w:qFormat/>
    <w:uiPriority w:val="99"/>
  </w:style>
  <w:style w:type="character" w:customStyle="1" w:styleId="107">
    <w:name w:val="正文文本缩进 字符1"/>
    <w:link w:val="22"/>
    <w:qFormat/>
    <w:uiPriority w:val="0"/>
    <w:rPr>
      <w:rFonts w:ascii="仿宋_GB2312" w:hAnsi="Times New Roman" w:eastAsia="仿宋_GB2312" w:cs="Times New Roman"/>
      <w:kern w:val="0"/>
      <w:sz w:val="32"/>
      <w:szCs w:val="20"/>
    </w:rPr>
  </w:style>
  <w:style w:type="character" w:customStyle="1" w:styleId="108">
    <w:name w:val="日期 Char"/>
    <w:basedOn w:val="54"/>
    <w:qFormat/>
    <w:uiPriority w:val="0"/>
  </w:style>
  <w:style w:type="character" w:customStyle="1" w:styleId="109">
    <w:name w:val="日期 字符"/>
    <w:link w:val="29"/>
    <w:qFormat/>
    <w:uiPriority w:val="0"/>
    <w:rPr>
      <w:rFonts w:ascii="Calibri" w:hAnsi="Calibri" w:eastAsia="宋体" w:cs="Times New Roman"/>
      <w:spacing w:val="30"/>
      <w:sz w:val="28"/>
      <w:szCs w:val="21"/>
    </w:rPr>
  </w:style>
  <w:style w:type="character" w:customStyle="1" w:styleId="110">
    <w:name w:val="正文文本缩进 2 Char"/>
    <w:basedOn w:val="54"/>
    <w:semiHidden/>
    <w:qFormat/>
    <w:uiPriority w:val="99"/>
  </w:style>
  <w:style w:type="character" w:customStyle="1" w:styleId="111">
    <w:name w:val="正文文本缩进 2 字符"/>
    <w:link w:val="30"/>
    <w:qFormat/>
    <w:uiPriority w:val="0"/>
    <w:rPr>
      <w:rFonts w:ascii="Times New Roman" w:hAnsi="Times New Roman" w:eastAsia="宋体" w:cs="Times New Roman"/>
      <w:kern w:val="0"/>
      <w:sz w:val="32"/>
      <w:szCs w:val="20"/>
    </w:rPr>
  </w:style>
  <w:style w:type="character" w:customStyle="1" w:styleId="112">
    <w:name w:val="尾注文本 Char"/>
    <w:basedOn w:val="54"/>
    <w:semiHidden/>
    <w:qFormat/>
    <w:uiPriority w:val="99"/>
  </w:style>
  <w:style w:type="character" w:customStyle="1" w:styleId="113">
    <w:name w:val="尾注文本 字符"/>
    <w:link w:val="31"/>
    <w:qFormat/>
    <w:uiPriority w:val="99"/>
    <w:rPr>
      <w:rFonts w:ascii="Times New Roman" w:hAnsi="Times New Roman" w:eastAsia="宋体" w:cs="Times New Roman"/>
      <w:szCs w:val="24"/>
    </w:rPr>
  </w:style>
  <w:style w:type="character" w:customStyle="1" w:styleId="114">
    <w:name w:val="副标题 字符"/>
    <w:basedOn w:val="54"/>
    <w:link w:val="37"/>
    <w:qFormat/>
    <w:uiPriority w:val="11"/>
    <w:rPr>
      <w:rFonts w:ascii="Calibri Light" w:hAnsi="Calibri Light" w:eastAsia="宋体" w:cs="Times New Roman"/>
      <w:b/>
      <w:bCs/>
      <w:kern w:val="28"/>
      <w:sz w:val="32"/>
      <w:szCs w:val="32"/>
    </w:rPr>
  </w:style>
  <w:style w:type="character" w:customStyle="1" w:styleId="115">
    <w:name w:val="脚注文本 Char1"/>
    <w:qFormat/>
    <w:uiPriority w:val="99"/>
    <w:rPr>
      <w:kern w:val="2"/>
      <w:sz w:val="18"/>
      <w:szCs w:val="18"/>
    </w:rPr>
  </w:style>
  <w:style w:type="character" w:customStyle="1" w:styleId="116">
    <w:name w:val="正文文本缩进 3 Char"/>
    <w:basedOn w:val="54"/>
    <w:semiHidden/>
    <w:qFormat/>
    <w:uiPriority w:val="99"/>
    <w:rPr>
      <w:sz w:val="16"/>
      <w:szCs w:val="16"/>
    </w:rPr>
  </w:style>
  <w:style w:type="character" w:customStyle="1" w:styleId="117">
    <w:name w:val="正文文本缩进 3 字符"/>
    <w:link w:val="41"/>
    <w:qFormat/>
    <w:uiPriority w:val="0"/>
    <w:rPr>
      <w:rFonts w:ascii="Times New Roman" w:hAnsi="Times New Roman" w:eastAsia="宋体" w:cs="Times New Roman"/>
      <w:kern w:val="0"/>
      <w:sz w:val="16"/>
      <w:szCs w:val="16"/>
    </w:rPr>
  </w:style>
  <w:style w:type="character" w:customStyle="1" w:styleId="118">
    <w:name w:val="正文文本 2 Char"/>
    <w:basedOn w:val="54"/>
    <w:semiHidden/>
    <w:qFormat/>
    <w:uiPriority w:val="99"/>
  </w:style>
  <w:style w:type="character" w:customStyle="1" w:styleId="119">
    <w:name w:val="正文文本 2 字符"/>
    <w:link w:val="44"/>
    <w:qFormat/>
    <w:uiPriority w:val="0"/>
    <w:rPr>
      <w:rFonts w:ascii="Times New Roman" w:hAnsi="Times New Roman" w:eastAsia="宋体" w:cs="Times New Roman"/>
      <w:kern w:val="0"/>
      <w:sz w:val="20"/>
      <w:szCs w:val="24"/>
    </w:rPr>
  </w:style>
  <w:style w:type="character" w:customStyle="1" w:styleId="120">
    <w:name w:val="正文文本首行缩进 字符"/>
    <w:basedOn w:val="79"/>
    <w:link w:val="50"/>
    <w:qFormat/>
    <w:uiPriority w:val="0"/>
    <w:rPr>
      <w:rFonts w:ascii="宋体" w:hAnsi="宋体" w:eastAsia="宋体" w:cs="宋体"/>
      <w:b w:val="0"/>
      <w:kern w:val="0"/>
      <w:sz w:val="34"/>
      <w:szCs w:val="20"/>
    </w:rPr>
  </w:style>
  <w:style w:type="character" w:customStyle="1" w:styleId="121">
    <w:name w:val="正文文本首行缩进 2 字符"/>
    <w:basedOn w:val="106"/>
    <w:link w:val="51"/>
    <w:qFormat/>
    <w:uiPriority w:val="99"/>
    <w:rPr>
      <w:rFonts w:ascii="宋体" w:hAnsi="Courier New" w:eastAsia="宋体" w:cs="Calibri"/>
      <w:spacing w:val="-4"/>
      <w:sz w:val="18"/>
      <w:szCs w:val="21"/>
    </w:rPr>
  </w:style>
  <w:style w:type="table" w:customStyle="1" w:styleId="122">
    <w:name w:val="网格型1"/>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纯文本 Char1"/>
    <w:qFormat/>
    <w:uiPriority w:val="0"/>
    <w:rPr>
      <w:rFonts w:ascii="宋体" w:hAnsi="Courier New" w:eastAsia="宋体"/>
      <w:kern w:val="2"/>
      <w:sz w:val="21"/>
      <w:lang w:val="en-US" w:eastAsia="zh-CN" w:bidi="ar-SA"/>
    </w:rPr>
  </w:style>
  <w:style w:type="character" w:customStyle="1" w:styleId="124">
    <w:name w:val="纯文本 Char2"/>
    <w:qFormat/>
    <w:locked/>
    <w:uiPriority w:val="0"/>
    <w:rPr>
      <w:rFonts w:ascii="宋体" w:hAnsi="Courier New" w:eastAsia="宋体" w:cs="宋体"/>
      <w:kern w:val="2"/>
      <w:sz w:val="21"/>
      <w:szCs w:val="21"/>
      <w:lang w:val="en-US" w:eastAsia="zh-CN" w:bidi="ar-SA"/>
    </w:rPr>
  </w:style>
  <w:style w:type="character" w:customStyle="1" w:styleId="125">
    <w:name w:val="纯文本 Char3"/>
    <w:qFormat/>
    <w:locked/>
    <w:uiPriority w:val="0"/>
    <w:rPr>
      <w:rFonts w:ascii="宋体" w:hAnsi="Courier New" w:eastAsia="宋体" w:cs="宋体"/>
      <w:kern w:val="2"/>
      <w:sz w:val="21"/>
      <w:szCs w:val="21"/>
      <w:lang w:val="en-US" w:eastAsia="zh-CN" w:bidi="ar-SA"/>
    </w:rPr>
  </w:style>
  <w:style w:type="paragraph" w:customStyle="1" w:styleId="126">
    <w:name w:val="TOC 标题1"/>
    <w:basedOn w:val="3"/>
    <w:next w:val="1"/>
    <w:qFormat/>
    <w:uiPriority w:val="39"/>
    <w:pPr>
      <w:widowControl/>
      <w:spacing w:before="480" w:after="0" w:line="276" w:lineRule="auto"/>
      <w:outlineLvl w:val="9"/>
    </w:pPr>
    <w:rPr>
      <w:rFonts w:ascii="Cambria" w:hAnsi="Cambria" w:eastAsia="宋体"/>
      <w:b/>
      <w:color w:val="365F91"/>
      <w:kern w:val="0"/>
      <w:sz w:val="28"/>
      <w:szCs w:val="28"/>
    </w:rPr>
  </w:style>
  <w:style w:type="paragraph" w:customStyle="1" w:styleId="127">
    <w:name w:val="正文1"/>
    <w:basedOn w:val="1"/>
    <w:qFormat/>
    <w:uiPriority w:val="0"/>
    <w:pPr>
      <w:spacing w:line="318" w:lineRule="atLeast"/>
      <w:ind w:left="369" w:firstLine="369"/>
    </w:pPr>
    <w:rPr>
      <w:rFonts w:ascii="Times New Roman" w:hAnsi="Times New Roman" w:eastAsia="宋体" w:cs="Calibri"/>
      <w:szCs w:val="20"/>
    </w:rPr>
  </w:style>
  <w:style w:type="paragraph" w:customStyle="1" w:styleId="128">
    <w:name w:val="_正文"/>
    <w:basedOn w:val="1"/>
    <w:qFormat/>
    <w:uiPriority w:val="0"/>
    <w:pPr>
      <w:adjustRightInd w:val="0"/>
      <w:snapToGrid w:val="0"/>
      <w:spacing w:line="360" w:lineRule="auto"/>
      <w:ind w:firstLine="200" w:firstLineChars="200"/>
    </w:pPr>
    <w:rPr>
      <w:rFonts w:ascii="Times New Roman" w:hAnsi="Times New Roman" w:eastAsia="宋体" w:cs="Calibri"/>
      <w:sz w:val="24"/>
      <w:szCs w:val="21"/>
    </w:rPr>
  </w:style>
  <w:style w:type="paragraph" w:customStyle="1" w:styleId="129">
    <w:name w:val="列出段落1"/>
    <w:basedOn w:val="1"/>
    <w:qFormat/>
    <w:uiPriority w:val="0"/>
    <w:pPr>
      <w:ind w:firstLine="420" w:firstLineChars="200"/>
    </w:pPr>
    <w:rPr>
      <w:rFonts w:ascii="Times New Roman" w:hAnsi="Times New Roman" w:eastAsia="宋体" w:cs="Calibri"/>
      <w:szCs w:val="21"/>
    </w:rPr>
  </w:style>
  <w:style w:type="character" w:customStyle="1" w:styleId="130">
    <w:name w:val="纯文本 字符1"/>
    <w:qFormat/>
    <w:uiPriority w:val="0"/>
    <w:rPr>
      <w:rFonts w:ascii="宋体" w:hAnsi="Courier New"/>
      <w:szCs w:val="21"/>
    </w:rPr>
  </w:style>
  <w:style w:type="paragraph" w:customStyle="1" w:styleId="131">
    <w:name w:val="首行缩进"/>
    <w:basedOn w:val="1"/>
    <w:qFormat/>
    <w:uiPriority w:val="0"/>
    <w:pPr>
      <w:ind w:firstLine="480" w:firstLineChars="200"/>
    </w:pPr>
    <w:rPr>
      <w:rFonts w:ascii="Times New Roman" w:hAnsi="Times New Roman" w:eastAsia="宋体" w:cs="Times New Roman"/>
      <w:szCs w:val="24"/>
    </w:rPr>
  </w:style>
  <w:style w:type="character" w:customStyle="1" w:styleId="132">
    <w:name w:val="标题 1 Char1"/>
    <w:qFormat/>
    <w:uiPriority w:val="0"/>
    <w:rPr>
      <w:b/>
      <w:bCs/>
      <w:kern w:val="44"/>
      <w:sz w:val="44"/>
      <w:szCs w:val="44"/>
    </w:rPr>
  </w:style>
  <w:style w:type="character" w:customStyle="1" w:styleId="133">
    <w:name w:val="标题 2 Char1"/>
    <w:qFormat/>
    <w:uiPriority w:val="0"/>
    <w:rPr>
      <w:rFonts w:ascii="Arial" w:hAnsi="Arial" w:eastAsia="黑体"/>
      <w:b/>
      <w:bCs/>
      <w:sz w:val="32"/>
      <w:szCs w:val="32"/>
    </w:rPr>
  </w:style>
  <w:style w:type="character" w:customStyle="1" w:styleId="134">
    <w:name w:val="标题 3 Char1"/>
    <w:qFormat/>
    <w:uiPriority w:val="0"/>
    <w:rPr>
      <w:b/>
      <w:bCs/>
      <w:sz w:val="32"/>
      <w:szCs w:val="32"/>
    </w:rPr>
  </w:style>
  <w:style w:type="character" w:customStyle="1" w:styleId="135">
    <w:name w:val="标题 5 Char2"/>
    <w:qFormat/>
    <w:uiPriority w:val="0"/>
    <w:rPr>
      <w:b/>
      <w:kern w:val="2"/>
      <w:sz w:val="28"/>
      <w:szCs w:val="24"/>
    </w:rPr>
  </w:style>
  <w:style w:type="character" w:customStyle="1" w:styleId="136">
    <w:name w:val="标题 6 Char1"/>
    <w:qFormat/>
    <w:uiPriority w:val="0"/>
    <w:rPr>
      <w:rFonts w:ascii="Arial" w:hAnsi="Arial" w:eastAsia="黑体"/>
      <w:b/>
      <w:kern w:val="2"/>
      <w:sz w:val="24"/>
      <w:szCs w:val="24"/>
    </w:rPr>
  </w:style>
  <w:style w:type="character" w:customStyle="1" w:styleId="137">
    <w:name w:val="标题 7 Char1"/>
    <w:qFormat/>
    <w:uiPriority w:val="0"/>
    <w:rPr>
      <w:b/>
      <w:kern w:val="2"/>
      <w:sz w:val="24"/>
      <w:szCs w:val="24"/>
    </w:rPr>
  </w:style>
  <w:style w:type="character" w:customStyle="1" w:styleId="138">
    <w:name w:val="标题 8 Char1"/>
    <w:qFormat/>
    <w:uiPriority w:val="0"/>
    <w:rPr>
      <w:rFonts w:ascii="Arial" w:hAnsi="Arial" w:eastAsia="黑体"/>
      <w:kern w:val="2"/>
      <w:sz w:val="24"/>
      <w:szCs w:val="24"/>
    </w:rPr>
  </w:style>
  <w:style w:type="character" w:customStyle="1" w:styleId="139">
    <w:name w:val="标题 9 Char1"/>
    <w:qFormat/>
    <w:uiPriority w:val="0"/>
    <w:rPr>
      <w:rFonts w:ascii="Arial" w:hAnsi="Arial" w:eastAsia="黑体"/>
      <w:kern w:val="2"/>
      <w:sz w:val="21"/>
      <w:szCs w:val="24"/>
    </w:rPr>
  </w:style>
  <w:style w:type="character" w:customStyle="1" w:styleId="140">
    <w:name w:val="批注文字 Char2"/>
    <w:qFormat/>
    <w:uiPriority w:val="0"/>
    <w:rPr>
      <w:kern w:val="2"/>
      <w:sz w:val="21"/>
      <w:szCs w:val="24"/>
    </w:rPr>
  </w:style>
  <w:style w:type="character" w:customStyle="1" w:styleId="141">
    <w:name w:val="正文文本 Char1"/>
    <w:qFormat/>
    <w:uiPriority w:val="99"/>
    <w:rPr>
      <w:sz w:val="24"/>
      <w:szCs w:val="24"/>
    </w:rPr>
  </w:style>
  <w:style w:type="character" w:customStyle="1" w:styleId="142">
    <w:name w:val="批注框文本 Char1"/>
    <w:semiHidden/>
    <w:qFormat/>
    <w:uiPriority w:val="0"/>
    <w:rPr>
      <w:sz w:val="18"/>
      <w:szCs w:val="18"/>
    </w:rPr>
  </w:style>
  <w:style w:type="character" w:customStyle="1" w:styleId="143">
    <w:name w:val="页脚 Char1"/>
    <w:qFormat/>
    <w:uiPriority w:val="0"/>
    <w:rPr>
      <w:sz w:val="18"/>
      <w:szCs w:val="18"/>
    </w:rPr>
  </w:style>
  <w:style w:type="character" w:customStyle="1" w:styleId="144">
    <w:name w:val="页眉 Char1"/>
    <w:qFormat/>
    <w:uiPriority w:val="0"/>
    <w:rPr>
      <w:kern w:val="2"/>
      <w:sz w:val="18"/>
      <w:szCs w:val="18"/>
    </w:rPr>
  </w:style>
  <w:style w:type="character" w:customStyle="1" w:styleId="145">
    <w:name w:val="标题 Char1"/>
    <w:qFormat/>
    <w:uiPriority w:val="10"/>
    <w:rPr>
      <w:rFonts w:ascii="Cambria" w:hAnsi="Cambria"/>
      <w:b/>
      <w:bCs/>
      <w:kern w:val="2"/>
      <w:sz w:val="32"/>
      <w:szCs w:val="32"/>
    </w:rPr>
  </w:style>
  <w:style w:type="character" w:customStyle="1" w:styleId="146">
    <w:name w:val="批注主题 Char1"/>
    <w:qFormat/>
    <w:uiPriority w:val="99"/>
    <w:rPr>
      <w:b/>
      <w:bCs/>
      <w:kern w:val="2"/>
      <w:sz w:val="21"/>
      <w:szCs w:val="24"/>
    </w:rPr>
  </w:style>
  <w:style w:type="character" w:customStyle="1" w:styleId="147">
    <w:name w:val="批注文字 Char1"/>
    <w:semiHidden/>
    <w:qFormat/>
    <w:locked/>
    <w:uiPriority w:val="0"/>
    <w:rPr>
      <w:rFonts w:ascii="Times New Roman" w:hAnsi="Times New Roman"/>
      <w:kern w:val="2"/>
      <w:sz w:val="21"/>
      <w:szCs w:val="24"/>
    </w:rPr>
  </w:style>
  <w:style w:type="character" w:customStyle="1" w:styleId="148">
    <w:name w:val="headline-content4"/>
    <w:qFormat/>
    <w:uiPriority w:val="0"/>
  </w:style>
  <w:style w:type="character" w:customStyle="1" w:styleId="149">
    <w:name w:val="批注文字 字符"/>
    <w:qFormat/>
    <w:uiPriority w:val="99"/>
    <w:rPr>
      <w:rFonts w:ascii="Times New Roman" w:hAnsi="Times New Roman"/>
      <w:kern w:val="2"/>
      <w:sz w:val="21"/>
      <w:szCs w:val="24"/>
    </w:rPr>
  </w:style>
  <w:style w:type="character" w:customStyle="1" w:styleId="15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1">
    <w:name w:val="apple-style-span"/>
    <w:qFormat/>
    <w:uiPriority w:val="0"/>
  </w:style>
  <w:style w:type="character" w:customStyle="1" w:styleId="152">
    <w:name w:val="正文文本缩进 字符"/>
    <w:qFormat/>
    <w:uiPriority w:val="0"/>
    <w:rPr>
      <w:rFonts w:ascii="仿宋_GB2312" w:hAnsi="Times New Roman" w:eastAsia="仿宋_GB2312" w:cs="Times New Roman"/>
      <w:sz w:val="32"/>
      <w:szCs w:val="20"/>
    </w:rPr>
  </w:style>
  <w:style w:type="character" w:customStyle="1" w:styleId="153">
    <w:name w:val="case31"/>
    <w:qFormat/>
    <w:uiPriority w:val="0"/>
    <w:rPr>
      <w:rFonts w:hint="default"/>
      <w:sz w:val="21"/>
      <w:szCs w:val="21"/>
    </w:rPr>
  </w:style>
  <w:style w:type="character" w:customStyle="1" w:styleId="154">
    <w:name w:val="纯文本 字符"/>
    <w:qFormat/>
    <w:uiPriority w:val="99"/>
    <w:rPr>
      <w:rFonts w:ascii="宋体" w:hAnsi="Courier New" w:eastAsia="宋体" w:cs="Courier New"/>
      <w:szCs w:val="21"/>
    </w:rPr>
  </w:style>
  <w:style w:type="character" w:customStyle="1" w:styleId="155">
    <w:name w:val="textcontents"/>
    <w:qFormat/>
    <w:uiPriority w:val="0"/>
  </w:style>
  <w:style w:type="character" w:customStyle="1" w:styleId="156">
    <w:name w:val="普通文字 Char Char2"/>
    <w:qFormat/>
    <w:uiPriority w:val="0"/>
    <w:rPr>
      <w:rFonts w:ascii="宋体" w:hAnsi="Courier New" w:eastAsia="宋体"/>
      <w:kern w:val="2"/>
      <w:sz w:val="21"/>
      <w:lang w:val="en-US" w:eastAsia="zh-CN" w:bidi="ar-SA"/>
    </w:rPr>
  </w:style>
  <w:style w:type="paragraph" w:customStyle="1" w:styleId="157">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58">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5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6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62">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Cs w:val="0"/>
      <w:kern w:val="0"/>
      <w:sz w:val="28"/>
      <w:szCs w:val="20"/>
    </w:rPr>
  </w:style>
  <w:style w:type="paragraph" w:customStyle="1" w:styleId="163">
    <w:name w:val="Char1"/>
    <w:basedOn w:val="1"/>
    <w:qFormat/>
    <w:uiPriority w:val="0"/>
    <w:rPr>
      <w:rFonts w:ascii="Times New Roman" w:hAnsi="Times New Roman" w:eastAsia="宋体" w:cs="Times New Roman"/>
      <w:szCs w:val="21"/>
    </w:rPr>
  </w:style>
  <w:style w:type="paragraph" w:customStyle="1" w:styleId="164">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5">
    <w:name w:val="表格"/>
    <w:basedOn w:val="1"/>
    <w:qFormat/>
    <w:uiPriority w:val="0"/>
    <w:pPr>
      <w:spacing w:line="400" w:lineRule="exact"/>
    </w:pPr>
    <w:rPr>
      <w:rFonts w:ascii="Times New Roman" w:hAnsi="Times New Roman" w:eastAsia="宋体" w:cs="Times New Roman"/>
      <w:sz w:val="24"/>
      <w:szCs w:val="24"/>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167">
    <w:name w:val="纯文本1"/>
    <w:basedOn w:val="1"/>
    <w:qFormat/>
    <w:uiPriority w:val="0"/>
    <w:rPr>
      <w:rFonts w:ascii="宋体" w:hAnsi="Courier New" w:eastAsia="宋体" w:cs="Century"/>
      <w:szCs w:val="21"/>
    </w:rPr>
  </w:style>
  <w:style w:type="paragraph" w:customStyle="1" w:styleId="168">
    <w:name w:val="样式 标题 3 + (中文) 黑体 小四 非加粗 段前: 7.8 磅 段后: 0 磅 行距: 固定值 20 磅"/>
    <w:basedOn w:val="5"/>
    <w:qFormat/>
    <w:uiPriority w:val="0"/>
    <w:pPr>
      <w:adjustRightInd/>
      <w:spacing w:before="0" w:after="0" w:line="400" w:lineRule="exact"/>
      <w:jc w:val="both"/>
    </w:pPr>
    <w:rPr>
      <w:rFonts w:ascii="Times New Roman" w:hAnsi="Times New Roman" w:cs="宋体"/>
      <w:bCs w:val="0"/>
      <w:kern w:val="0"/>
      <w:sz w:val="24"/>
      <w:szCs w:val="20"/>
    </w:rPr>
  </w:style>
  <w:style w:type="table" w:customStyle="1" w:styleId="169">
    <w:name w:val="Table Normal"/>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character" w:customStyle="1" w:styleId="170">
    <w:name w:val="标题 5 Char1"/>
    <w:qFormat/>
    <w:uiPriority w:val="0"/>
    <w:rPr>
      <w:b/>
      <w:kern w:val="2"/>
      <w:sz w:val="28"/>
      <w:szCs w:val="24"/>
    </w:rPr>
  </w:style>
  <w:style w:type="character" w:customStyle="1" w:styleId="171">
    <w:name w:val="批注文字 字符2"/>
    <w:qFormat/>
    <w:uiPriority w:val="0"/>
    <w:rPr>
      <w:rFonts w:ascii="Times New Roman" w:hAnsi="Times New Roman"/>
      <w:kern w:val="2"/>
      <w:sz w:val="21"/>
      <w:szCs w:val="24"/>
    </w:rPr>
  </w:style>
  <w:style w:type="paragraph" w:customStyle="1" w:styleId="172">
    <w:name w:val="正文2"/>
    <w:basedOn w:val="1"/>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173">
    <w:name w:val="纯文本 字符2"/>
    <w:qFormat/>
    <w:uiPriority w:val="0"/>
    <w:rPr>
      <w:rFonts w:ascii="宋体" w:hAnsi="Courier New"/>
      <w:szCs w:val="21"/>
    </w:rPr>
  </w:style>
  <w:style w:type="table" w:customStyle="1" w:styleId="174">
    <w:name w:val="网格型11"/>
    <w:basedOn w:val="5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177">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8">
    <w:name w:val="xl65"/>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179">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1">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2">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5">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7">
    <w:name w:val="xl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90">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9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_Style 143"/>
    <w:basedOn w:val="1"/>
    <w:next w:val="84"/>
    <w:qFormat/>
    <w:uiPriority w:val="34"/>
    <w:pPr>
      <w:ind w:firstLine="420" w:firstLineChars="200"/>
    </w:pPr>
    <w:rPr>
      <w:rFonts w:ascii="Times New Roman" w:hAnsi="Times New Roman" w:eastAsia="宋体" w:cs="Times New Roman"/>
      <w:szCs w:val="24"/>
    </w:rPr>
  </w:style>
  <w:style w:type="paragraph" w:customStyle="1" w:styleId="194">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table" w:customStyle="1" w:styleId="195">
    <w:name w:val="网格型2"/>
    <w:basedOn w:val="5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6">
    <w:name w:val="列出段落11"/>
    <w:basedOn w:val="1"/>
    <w:qFormat/>
    <w:uiPriority w:val="34"/>
    <w:pPr>
      <w:ind w:firstLine="420" w:firstLineChars="200"/>
    </w:pPr>
    <w:rPr>
      <w:rFonts w:ascii="Times New Roman" w:hAnsi="Times New Roman" w:eastAsia="宋体" w:cs="Times New Roman"/>
      <w:szCs w:val="24"/>
    </w:rPr>
  </w:style>
  <w:style w:type="character" w:customStyle="1" w:styleId="197">
    <w:name w:val="font11"/>
    <w:qFormat/>
    <w:uiPriority w:val="0"/>
    <w:rPr>
      <w:rFonts w:hint="eastAsia" w:ascii="宋体" w:hAnsi="宋体" w:eastAsia="宋体" w:cs="宋体"/>
      <w:color w:val="000000"/>
      <w:sz w:val="22"/>
      <w:szCs w:val="22"/>
      <w:u w:val="single"/>
    </w:rPr>
  </w:style>
  <w:style w:type="paragraph" w:customStyle="1" w:styleId="198">
    <w:name w:val="1101"/>
    <w:basedOn w:val="1"/>
    <w:qFormat/>
    <w:uiPriority w:val="0"/>
    <w:pPr>
      <w:ind w:firstLine="560" w:firstLineChars="200"/>
      <w:jc w:val="left"/>
    </w:pPr>
    <w:rPr>
      <w:rFonts w:ascii="宋体" w:hAnsi="宋体" w:eastAsia="宋体" w:cs="Times New Roman"/>
      <w:kern w:val="0"/>
      <w:sz w:val="28"/>
      <w:szCs w:val="28"/>
    </w:rPr>
  </w:style>
  <w:style w:type="paragraph" w:customStyle="1" w:styleId="199">
    <w:name w:val="_Style 165"/>
    <w:basedOn w:val="1"/>
    <w:next w:val="84"/>
    <w:qFormat/>
    <w:uiPriority w:val="34"/>
    <w:pPr>
      <w:ind w:firstLine="420" w:firstLineChars="200"/>
    </w:pPr>
    <w:rPr>
      <w:rFonts w:ascii="Times New Roman" w:hAnsi="Times New Roman" w:eastAsia="宋体" w:cs="Times New Roman"/>
      <w:szCs w:val="24"/>
    </w:rPr>
  </w:style>
  <w:style w:type="paragraph" w:customStyle="1" w:styleId="200">
    <w:name w:val="_Style 166"/>
    <w:basedOn w:val="1"/>
    <w:next w:val="84"/>
    <w:qFormat/>
    <w:uiPriority w:val="34"/>
    <w:pPr>
      <w:ind w:firstLine="420" w:firstLineChars="200"/>
    </w:pPr>
    <w:rPr>
      <w:rFonts w:ascii="Times New Roman" w:hAnsi="Times New Roman" w:eastAsia="宋体" w:cs="Times New Roman"/>
      <w:szCs w:val="24"/>
    </w:rPr>
  </w:style>
  <w:style w:type="paragraph" w:customStyle="1" w:styleId="201">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修订5"/>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4">
    <w:name w:val="网格型3"/>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5">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Dianaless</Company>
  <Pages>122</Pages>
  <Words>1859</Words>
  <Characters>2189</Characters>
  <Lines>731</Lines>
  <Paragraphs>206</Paragraphs>
  <TotalTime>14</TotalTime>
  <ScaleCrop>false</ScaleCrop>
  <LinksUpToDate>false</LinksUpToDate>
  <CharactersWithSpaces>2235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2024-08-12T00:09:00Z</dcterms:created>
  <dc:creator>李鸿海</dc:creator>
  <cp:lastModifiedBy>黄讯</cp:lastModifiedBy>
  <dcterms:modified xsi:type="dcterms:W3CDTF">2025-07-09T09:51:34Z</dcterms:modified>
  <dc:title> </dc:title>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0D09F93C1F7141C684DFE0CA16FDFEB2_13</vt:lpwstr>
  </property>
  <property fmtid="{D5CDD505-2E9C-101B-9397-08002B2CF9AE}" pid="4" name="KSOTemplateDocerSaveRecord">
    <vt:lpwstr>eyJoZGlkIjoiZTI1YTA1NTE4ZWE2MDk3MDMwNjRjZWNhNGI2NTUzZTgiLCJ1c2VySWQiOiIxMzA4MzI0ODMyIn0=</vt:lpwstr>
  </property>
</Properties>
</file>