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项目名称：国家税务总局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合山市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税务局主办公楼中心机房UPS蓄电池采购项目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</w:t>
      </w:r>
    </w:p>
    <w:tbl>
      <w:tblPr>
        <w:tblStyle w:val="6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355"/>
        <w:gridCol w:w="180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（元）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备注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（品牌、型号、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规格参数等）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uto"/>
              <w:ind w:right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UPS蓄电池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UPS系统运维调试及接入动环系统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机房配电柜UPS系统进线出线线路改造及接入动环系统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报价合计</w:t>
            </w:r>
          </w:p>
        </w:tc>
        <w:tc>
          <w:tcPr>
            <w:tcW w:w="4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1.如本表格不适合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单位的实际情况，可根据本表格式自行制表填写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报价包含实施和完成本项目需求要求所有内容的全部费用。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法定代表人或其授权代表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签字或盖章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D2479"/>
    <w:rsid w:val="155C1546"/>
    <w:rsid w:val="276D2479"/>
    <w:rsid w:val="4574274C"/>
    <w:rsid w:val="521D2A47"/>
    <w:rsid w:val="6173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3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  <w:lang w:val="en-US" w:eastAsia="zh-CN" w:bidi="ar-SA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合山市税务局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2025-09-26T09:09:00Z</dcterms:created>
  <dc:creator>韦佶杏</dc:creator>
  <cp:lastModifiedBy>韦佶杏</cp:lastModifiedBy>
  <dcterms:modified xsi:type="dcterms:W3CDTF">2025-09-26T09:10:15Z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