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CD1F5">
      <w:pPr>
        <w:pStyle w:val="5"/>
        <w:spacing w:line="400" w:lineRule="exact"/>
        <w:rPr>
          <w:rFonts w:hint="eastAsia" w:ascii="国标黑体" w:hAnsi="国标黑体" w:eastAsia="国标黑体" w:cs="国标黑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b w:val="0"/>
          <w:bCs w:val="0"/>
          <w:color w:val="auto"/>
          <w:sz w:val="28"/>
          <w:szCs w:val="28"/>
          <w:highlight w:val="none"/>
          <w:lang w:val="en-US" w:eastAsia="zh-CN"/>
        </w:rPr>
        <w:t>附件2</w:t>
      </w:r>
      <w:bookmarkStart w:id="5" w:name="_GoBack"/>
      <w:bookmarkEnd w:id="5"/>
    </w:p>
    <w:p w14:paraId="51A58CA5">
      <w:pPr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技术和服务偏离表</w:t>
      </w:r>
    </w:p>
    <w:p w14:paraId="01EA6EF4">
      <w:pPr>
        <w:widowControl/>
        <w:spacing w:line="440" w:lineRule="exact"/>
        <w:ind w:right="277"/>
        <w:jc w:val="left"/>
        <w:rPr>
          <w:rFonts w:hint="eastAsia" w:ascii="仿宋_GB2312" w:hAnsi="仿宋_GB2312" w:eastAsia="仿宋_GB2312" w:cs="仿宋_GB2312"/>
          <w:szCs w:val="21"/>
          <w:u w:val="single"/>
        </w:rPr>
      </w:pPr>
      <w:r>
        <w:rPr>
          <w:rFonts w:hint="eastAsia" w:ascii="仿宋_GB2312" w:hAnsi="仿宋_GB2312" w:eastAsia="仿宋_GB2312" w:cs="仿宋_GB2312"/>
        </w:rPr>
        <w:t>采购项目名称:</w:t>
      </w:r>
      <w:r>
        <w:rPr>
          <w:rFonts w:hint="eastAsia" w:ascii="仿宋_GB2312" w:hAnsi="仿宋_GB2312" w:eastAsia="仿宋_GB2312" w:cs="仿宋_GB2312"/>
          <w:lang w:eastAsia="zh-CN"/>
        </w:rPr>
        <w:t>国家税务总局武宣县税务局202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lang w:eastAsia="zh-CN"/>
        </w:rPr>
        <w:t>年在职干部及助征员、退休职工体检服务采购</w:t>
      </w:r>
    </w:p>
    <w:tbl>
      <w:tblPr>
        <w:tblStyle w:val="6"/>
        <w:tblW w:w="89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3508"/>
        <w:gridCol w:w="3450"/>
        <w:gridCol w:w="1034"/>
        <w:gridCol w:w="514"/>
      </w:tblGrid>
      <w:tr w14:paraId="40741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620DD41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</w:t>
            </w:r>
            <w:bookmarkStart w:id="0" w:name="_Toc373333689"/>
            <w:r>
              <w:rPr>
                <w:rFonts w:hint="eastAsia" w:ascii="仿宋_GB2312" w:hAnsi="仿宋_GB2312" w:eastAsia="仿宋_GB2312" w:cs="仿宋_GB2312"/>
              </w:rPr>
              <w:t>序号</w:t>
            </w:r>
            <w:bookmarkEnd w:id="0"/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5C975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技术和服务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需</w:t>
            </w:r>
            <w:r>
              <w:rPr>
                <w:rFonts w:hint="eastAsia" w:ascii="仿宋_GB2312" w:hAnsi="仿宋_GB2312" w:eastAsia="仿宋_GB2312" w:cs="仿宋_GB2312"/>
              </w:rPr>
              <w:t>求</w:t>
            </w: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8C663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1" w:name="_Toc173211902"/>
            <w:r>
              <w:rPr>
                <w:rFonts w:hint="eastAsia" w:ascii="仿宋_GB2312" w:hAnsi="仿宋_GB2312" w:eastAsia="仿宋_GB2312" w:cs="仿宋_GB2312"/>
              </w:rPr>
              <w:t>响应文件具体响应</w:t>
            </w:r>
            <w:bookmarkEnd w:id="1"/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48C10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正</w:t>
            </w:r>
            <w:r>
              <w:rPr>
                <w:rFonts w:hint="eastAsia" w:ascii="仿宋_GB2312" w:hAnsi="仿宋_GB2312" w:eastAsia="仿宋_GB2312" w:cs="仿宋_GB2312"/>
              </w:rPr>
              <w:t>偏离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/负偏离/无偏离</w:t>
            </w: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58553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2" w:name="_Toc173211904"/>
            <w:r>
              <w:rPr>
                <w:rFonts w:hint="eastAsia" w:ascii="仿宋_GB2312" w:hAnsi="仿宋_GB2312" w:eastAsia="仿宋_GB2312" w:cs="仿宋_GB2312"/>
              </w:rPr>
              <w:t>说明</w:t>
            </w:r>
            <w:bookmarkEnd w:id="2"/>
          </w:p>
        </w:tc>
      </w:tr>
      <w:tr w14:paraId="4E23B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7" w:hRule="atLeast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D69FAF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3" w:name="_Toc301781616"/>
            <w:r>
              <w:rPr>
                <w:rFonts w:hint="eastAsia" w:ascii="仿宋_GB2312" w:hAnsi="仿宋_GB2312" w:eastAsia="仿宋_GB2312" w:cs="仿宋_GB2312"/>
              </w:rPr>
              <w:t>1</w:t>
            </w:r>
            <w:bookmarkEnd w:id="3"/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3579C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70253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A4919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3B90C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7FBE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1" w:hRule="atLeast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FFC7B81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51AA7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D5E38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62F32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4A220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338AB0E1">
      <w:pPr>
        <w:pStyle w:val="5"/>
        <w:spacing w:line="400" w:lineRule="exact"/>
        <w:ind w:firstLine="420" w:firstLineChars="200"/>
        <w:rPr>
          <w:rFonts w:hint="eastAsia" w:ascii="宋体" w:hAnsi="宋体" w:eastAsia="宋体" w:cs="宋体"/>
          <w:color w:val="auto"/>
          <w:sz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highlight w:val="none"/>
        </w:rPr>
        <w:t>说明：</w:t>
      </w:r>
      <w:bookmarkStart w:id="4" w:name="_Hlk55382356"/>
      <w:r>
        <w:rPr>
          <w:rFonts w:hint="eastAsia" w:ascii="宋体" w:hAnsi="宋体" w:eastAsia="宋体" w:cs="宋体"/>
          <w:color w:val="auto"/>
          <w:sz w:val="21"/>
          <w:highlight w:val="none"/>
        </w:rPr>
        <w:t>（1）供应商应按</w:t>
      </w:r>
      <w:r>
        <w:rPr>
          <w:rFonts w:hint="eastAsia" w:ascii="宋体" w:hAnsi="宋体" w:eastAsia="宋体" w:cs="宋体"/>
          <w:color w:val="auto"/>
          <w:sz w:val="21"/>
          <w:highlight w:val="none"/>
          <w:lang w:eastAsia="zh-CN"/>
        </w:rPr>
        <w:t>公告中的项目实施需求、其他要求、商务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要求，结合自身企业经营情况对商务条款逐条响应。（2）当响应文件响应的商务内容完全响应磋商文件要求时，供应商应注明“无偏离”；低于磋商文件要求时，应注明“负偏离”；优于磋商文件要求的，应注明“正偏离”。</w:t>
      </w:r>
      <w:bookmarkEnd w:id="4"/>
    </w:p>
    <w:p w14:paraId="5A28545F">
      <w:pPr>
        <w:pStyle w:val="4"/>
        <w:spacing w:line="520" w:lineRule="exact"/>
        <w:ind w:firstLine="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946F041">
      <w:pPr>
        <w:pStyle w:val="4"/>
        <w:spacing w:line="520" w:lineRule="exact"/>
        <w:ind w:firstLine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法定代表人或被授权人（签字）: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</w:t>
      </w:r>
    </w:p>
    <w:p w14:paraId="7E1B4261">
      <w:pPr>
        <w:pStyle w:val="8"/>
        <w:spacing w:line="520" w:lineRule="exact"/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供应商名称（签公章）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                           </w:t>
      </w:r>
    </w:p>
    <w:p w14:paraId="67BFF9AD">
      <w:pPr>
        <w:pStyle w:val="8"/>
        <w:spacing w:line="520" w:lineRule="exac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</w:t>
      </w:r>
    </w:p>
    <w:p w14:paraId="7523B77F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546A9"/>
    <w:rsid w:val="45A546A9"/>
    <w:rsid w:val="6E1707DD"/>
    <w:rsid w:val="7E6F2C9E"/>
    <w:rsid w:val="B7FCB77C"/>
    <w:rsid w:val="D6FC5B61"/>
    <w:rsid w:val="FD67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 w:cs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uppressAutoHyphens/>
      <w:ind w:firstLine="420"/>
    </w:pPr>
    <w:rPr>
      <w:rFonts w:ascii="宋体" w:hAnsi="宋体"/>
      <w:kern w:val="0"/>
      <w:sz w:val="20"/>
      <w:szCs w:val="20"/>
    </w:rPr>
  </w:style>
  <w:style w:type="paragraph" w:styleId="5">
    <w:name w:val="Plain Text"/>
    <w:basedOn w:val="1"/>
    <w:next w:val="1"/>
    <w:qFormat/>
    <w:uiPriority w:val="0"/>
    <w:rPr>
      <w:rFonts w:ascii="宋体" w:hAnsi="Courier New" w:eastAsia="宋体" w:cs="Times New Roman"/>
      <w:szCs w:val="22"/>
    </w:rPr>
  </w:style>
  <w:style w:type="paragraph" w:customStyle="1" w:styleId="8">
    <w:name w:val="纯文本1"/>
    <w:basedOn w:val="1"/>
    <w:next w:val="1"/>
    <w:qFormat/>
    <w:uiPriority w:val="0"/>
    <w:pPr>
      <w:suppressAutoHyphens/>
    </w:pPr>
    <w:rPr>
      <w:rFonts w:ascii="宋体" w:hAnsi="宋体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2025-09-19T00:10:00Z</dcterms:created>
  <dc:creator>卢扬秋</dc:creator>
  <cp:lastModifiedBy>huawei</cp:lastModifiedBy>
  <dcterms:modified xsi:type="dcterms:W3CDTF">2026-10-10T10:12:56Z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1A60BE141953C65F0047C76A0752BCEA_42</vt:lpwstr>
  </property>
</Properties>
</file>