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01F70">
      <w:pPr>
        <w:pStyle w:val="5"/>
        <w:spacing w:line="400" w:lineRule="exact"/>
        <w:rPr>
          <w:rFonts w:hint="default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附件2</w:t>
      </w:r>
      <w:r>
        <w:rPr>
          <w:rFonts w:hint="eastAsia" w:hAnsi="宋体" w:cs="宋体"/>
          <w:b/>
          <w:bCs/>
          <w:color w:val="auto"/>
          <w:sz w:val="28"/>
          <w:szCs w:val="28"/>
          <w:highlight w:val="none"/>
          <w:lang w:val="en-US" w:eastAsia="zh-CN"/>
        </w:rPr>
        <w:t>：</w:t>
      </w:r>
    </w:p>
    <w:p w14:paraId="32D28E6B">
      <w:pPr>
        <w:spacing w:line="30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技术和服务偏离表</w:t>
      </w:r>
    </w:p>
    <w:p w14:paraId="1DAD22B3">
      <w:pPr>
        <w:widowControl/>
        <w:spacing w:line="440" w:lineRule="exact"/>
        <w:ind w:right="277"/>
        <w:jc w:val="left"/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  <w:lang w:val="en-US" w:eastAsia="zh-CN" w:bidi="ar-SA"/>
        </w:rPr>
        <w:t>采购项目名称:国家税务总局象州县税务局2026年干部职工体检服务（柳州市区）（重）采购</w:t>
      </w:r>
      <w:bookmarkStart w:id="5" w:name="_GoBack"/>
      <w:bookmarkEnd w:id="5"/>
    </w:p>
    <w:tbl>
      <w:tblPr>
        <w:tblStyle w:val="6"/>
        <w:tblW w:w="89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3508"/>
        <w:gridCol w:w="3450"/>
        <w:gridCol w:w="1034"/>
        <w:gridCol w:w="514"/>
      </w:tblGrid>
      <w:tr w14:paraId="0D912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C5A457B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</w:t>
            </w:r>
            <w:bookmarkStart w:id="0" w:name="_Toc373333689"/>
            <w:r>
              <w:rPr>
                <w:rFonts w:hint="eastAsia" w:ascii="仿宋_GB2312" w:hAnsi="仿宋_GB2312" w:eastAsia="仿宋_GB2312" w:cs="仿宋_GB2312"/>
              </w:rPr>
              <w:t>序号</w:t>
            </w:r>
            <w:bookmarkEnd w:id="0"/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4FBC2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技术和服务</w:t>
            </w:r>
            <w:r>
              <w:rPr>
                <w:rFonts w:hint="eastAsia" w:ascii="仿宋_GB2312" w:hAnsi="仿宋_GB2312" w:eastAsia="仿宋_GB2312" w:cs="仿宋_GB2312"/>
                <w:lang w:eastAsia="zh-CN"/>
              </w:rPr>
              <w:t>需</w:t>
            </w:r>
            <w:r>
              <w:rPr>
                <w:rFonts w:hint="eastAsia" w:ascii="仿宋_GB2312" w:hAnsi="仿宋_GB2312" w:eastAsia="仿宋_GB2312" w:cs="仿宋_GB2312"/>
              </w:rPr>
              <w:t>求</w:t>
            </w: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5384F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1" w:name="_Toc173211902"/>
            <w:r>
              <w:rPr>
                <w:rFonts w:hint="eastAsia" w:ascii="仿宋_GB2312" w:hAnsi="仿宋_GB2312" w:eastAsia="仿宋_GB2312" w:cs="仿宋_GB2312"/>
              </w:rPr>
              <w:t>响应文件具体响应</w:t>
            </w:r>
            <w:bookmarkEnd w:id="1"/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86EAA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正</w:t>
            </w:r>
            <w:r>
              <w:rPr>
                <w:rFonts w:hint="eastAsia" w:ascii="仿宋_GB2312" w:hAnsi="仿宋_GB2312" w:eastAsia="仿宋_GB2312" w:cs="仿宋_GB2312"/>
              </w:rPr>
              <w:t>偏离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/负偏离/无偏离</w:t>
            </w: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C483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2" w:name="_Toc173211904"/>
            <w:r>
              <w:rPr>
                <w:rFonts w:hint="eastAsia" w:ascii="仿宋_GB2312" w:hAnsi="仿宋_GB2312" w:eastAsia="仿宋_GB2312" w:cs="仿宋_GB2312"/>
              </w:rPr>
              <w:t>说明</w:t>
            </w:r>
            <w:bookmarkEnd w:id="2"/>
          </w:p>
        </w:tc>
      </w:tr>
      <w:tr w14:paraId="065FA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7" w:hRule="atLeast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FF761D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3" w:name="_Toc301781616"/>
            <w:r>
              <w:rPr>
                <w:rFonts w:hint="eastAsia" w:ascii="仿宋_GB2312" w:hAnsi="仿宋_GB2312" w:eastAsia="仿宋_GB2312" w:cs="仿宋_GB2312"/>
              </w:rPr>
              <w:t>1</w:t>
            </w:r>
            <w:bookmarkEnd w:id="3"/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C5171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89E04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DB03F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ADD0C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64294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1" w:hRule="atLeast"/>
        </w:trPr>
        <w:tc>
          <w:tcPr>
            <w:tcW w:w="434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8E70384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1E54E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4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FF674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4B5C8">
            <w:pPr>
              <w:suppressAutoHyphens/>
              <w:snapToGrid w:val="0"/>
              <w:spacing w:line="300" w:lineRule="auto"/>
              <w:jc w:val="left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74D23">
            <w:pPr>
              <w:suppressAutoHyphens/>
              <w:snapToGrid w:val="0"/>
              <w:spacing w:line="300" w:lineRule="auto"/>
              <w:jc w:val="center"/>
              <w:outlineLvl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 w14:paraId="4B7E39E7">
      <w:pPr>
        <w:pStyle w:val="5"/>
        <w:spacing w:line="400" w:lineRule="exact"/>
        <w:ind w:firstLine="420" w:firstLineChars="200"/>
        <w:rPr>
          <w:rFonts w:hint="eastAsia" w:ascii="宋体" w:hAnsi="宋体" w:eastAsia="宋体" w:cs="宋体"/>
          <w:color w:val="auto"/>
          <w:sz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highlight w:val="none"/>
        </w:rPr>
        <w:t>说明：</w:t>
      </w:r>
      <w:bookmarkStart w:id="4" w:name="_Hlk55382356"/>
      <w:r>
        <w:rPr>
          <w:rFonts w:hint="eastAsia" w:ascii="宋体" w:hAnsi="宋体" w:eastAsia="宋体" w:cs="宋体"/>
          <w:color w:val="auto"/>
          <w:sz w:val="21"/>
          <w:highlight w:val="none"/>
        </w:rPr>
        <w:t>（1）供应商应按</w:t>
      </w:r>
      <w:r>
        <w:rPr>
          <w:rFonts w:hint="eastAsia" w:ascii="宋体" w:hAnsi="宋体" w:eastAsia="宋体" w:cs="宋体"/>
          <w:color w:val="auto"/>
          <w:sz w:val="21"/>
          <w:highlight w:val="none"/>
          <w:lang w:eastAsia="zh-CN"/>
        </w:rPr>
        <w:t>公告中的项目实施需求、其他要求、商务</w:t>
      </w:r>
      <w:r>
        <w:rPr>
          <w:rFonts w:hint="eastAsia" w:ascii="宋体" w:hAnsi="宋体" w:eastAsia="宋体" w:cs="宋体"/>
          <w:color w:val="auto"/>
          <w:sz w:val="21"/>
          <w:highlight w:val="none"/>
        </w:rPr>
        <w:t>要求，结合自身企业经营情况对商务条款逐条响应。（2）当响应文件响应的商务内容完全响应磋商文件要求时，供应商应注明“无偏离”；低于磋商文件要求时，应注明“负偏离”；优于磋商文件要求的，应注明“正偏离”。</w:t>
      </w:r>
      <w:bookmarkEnd w:id="4"/>
    </w:p>
    <w:p w14:paraId="7FD93AAC">
      <w:pPr>
        <w:pStyle w:val="4"/>
        <w:spacing w:line="520" w:lineRule="exact"/>
        <w:ind w:firstLine="0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D01EA38">
      <w:pPr>
        <w:pStyle w:val="4"/>
        <w:spacing w:line="520" w:lineRule="exact"/>
        <w:ind w:firstLine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法定代表人或被授权人（签字）: 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</w:t>
      </w:r>
    </w:p>
    <w:p w14:paraId="7A63F7F0">
      <w:pPr>
        <w:pStyle w:val="8"/>
        <w:spacing w:line="520" w:lineRule="exact"/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供应商名称（签公章）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                           </w:t>
      </w:r>
    </w:p>
    <w:p w14:paraId="3ED89553">
      <w:pPr>
        <w:pStyle w:val="8"/>
        <w:spacing w:line="520" w:lineRule="exac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日</w:t>
      </w:r>
    </w:p>
    <w:p w14:paraId="1E20D4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546A9"/>
    <w:rsid w:val="3FDDA72B"/>
    <w:rsid w:val="3FFF8495"/>
    <w:rsid w:val="45A546A9"/>
    <w:rsid w:val="77B76D99"/>
    <w:rsid w:val="FFEA9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 w:cs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uppressAutoHyphens/>
      <w:ind w:firstLine="420"/>
    </w:pPr>
    <w:rPr>
      <w:rFonts w:ascii="宋体" w:hAnsi="宋体"/>
      <w:kern w:val="0"/>
      <w:sz w:val="20"/>
      <w:szCs w:val="20"/>
    </w:rPr>
  </w:style>
  <w:style w:type="paragraph" w:styleId="5">
    <w:name w:val="Plain Text"/>
    <w:basedOn w:val="1"/>
    <w:next w:val="1"/>
    <w:qFormat/>
    <w:uiPriority w:val="0"/>
    <w:rPr>
      <w:rFonts w:ascii="宋体" w:hAnsi="Courier New" w:eastAsia="宋体" w:cs="Times New Roman"/>
      <w:szCs w:val="22"/>
    </w:rPr>
  </w:style>
  <w:style w:type="paragraph" w:customStyle="1" w:styleId="8">
    <w:name w:val="纯文本1"/>
    <w:basedOn w:val="1"/>
    <w:next w:val="1"/>
    <w:qFormat/>
    <w:uiPriority w:val="0"/>
    <w:pPr>
      <w:suppressAutoHyphens/>
    </w:pPr>
    <w:rPr>
      <w:rFonts w:ascii="宋体" w:hAnsi="宋体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2025-09-19T08:10:00Z</dcterms:created>
  <dc:creator>卢扬秋</dc:creator>
  <cp:lastModifiedBy>huawei</cp:lastModifiedBy>
  <dcterms:modified xsi:type="dcterms:W3CDTF">2026-11-03T11:14:42Z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B602F21BB685712BA251E96A8003D07C_43</vt:lpwstr>
  </property>
</Properties>
</file>