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jc w:val="center"/>
        <w:rPr>
          <w:rFonts w:hint="eastAsia"/>
          <w:sz w:val="84"/>
          <w:szCs w:val="84"/>
          <w:lang w:eastAsia="zh-CN"/>
        </w:rPr>
      </w:pP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eastAsia="zh-CN"/>
        </w:rPr>
        <w:t>响应文件封面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项目名称：国家税务总局来宾市税务局机房精密空调采</w:t>
      </w:r>
    </w:p>
    <w:p>
      <w:pPr>
        <w:ind w:firstLine="2240" w:firstLineChars="700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购项目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商：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期：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（注：请将本封面粘帖在已密封的响应文件表面，并在封面供应商处加盖公章。）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C4DB8"/>
    <w:rsid w:val="02AC4DB8"/>
    <w:rsid w:val="0F5A740C"/>
    <w:rsid w:val="3BA32D9E"/>
    <w:rsid w:val="455D2457"/>
    <w:rsid w:val="4FED0D39"/>
    <w:rsid w:val="5B851518"/>
    <w:rsid w:val="5CE45728"/>
    <w:rsid w:val="5F89320E"/>
    <w:rsid w:val="71CF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来宾市税务局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2025-08-25T04:50:00Z</dcterms:created>
  <dc:creator>黄讯</dc:creator>
  <cp:lastModifiedBy>黄讯</cp:lastModifiedBy>
  <dcterms:modified xsi:type="dcterms:W3CDTF">2025-11-18T07:37:44Z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