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32"/>
          <w:szCs w:val="32"/>
        </w:rPr>
        <w:t>技术和服务偏离表</w:t>
      </w:r>
    </w:p>
    <w:p>
      <w:pPr>
        <w:keepNext w:val="0"/>
        <w:keepLines w:val="0"/>
        <w:pageBreakBefore w:val="0"/>
        <w:widowControl/>
        <w:kinsoku/>
        <w:wordWrap/>
        <w:overflowPunct/>
        <w:topLinePunct w:val="0"/>
        <w:autoSpaceDE/>
        <w:autoSpaceDN/>
        <w:bidi w:val="0"/>
        <w:adjustRightInd/>
        <w:snapToGrid/>
        <w:spacing w:line="480" w:lineRule="exact"/>
        <w:ind w:right="277"/>
        <w:jc w:val="left"/>
        <w:textAlignment w:val="auto"/>
        <w:rPr>
          <w:rFonts w:hint="eastAsia" w:ascii="仿宋_GB2312" w:hAnsi="仿宋_GB2312" w:eastAsia="仿宋_GB2312" w:cs="仿宋_GB2312"/>
          <w:sz w:val="21"/>
          <w:szCs w:val="21"/>
          <w:u w:val="single"/>
        </w:rPr>
      </w:pPr>
      <w:r>
        <w:rPr>
          <w:rFonts w:hint="eastAsia" w:ascii="仿宋_GB2312" w:hAnsi="仿宋_GB2312" w:eastAsia="仿宋_GB2312" w:cs="仿宋_GB2312"/>
          <w:sz w:val="21"/>
          <w:szCs w:val="21"/>
        </w:rPr>
        <w:t>项目名称:</w:t>
      </w:r>
      <w:r>
        <w:rPr>
          <w:rFonts w:hint="eastAsia" w:ascii="仿宋_GB2312" w:hAnsi="仿宋_GB2312" w:eastAsia="仿宋_GB2312" w:cs="仿宋_GB2312"/>
          <w:sz w:val="21"/>
          <w:szCs w:val="21"/>
          <w:highlight w:val="none"/>
        </w:rPr>
        <w:t>国家税务总局来宾市税务局税费服务指挥中心监控安防设备日常维护项目</w:t>
      </w:r>
    </w:p>
    <w:tbl>
      <w:tblPr>
        <w:tblStyle w:val="9"/>
        <w:tblW w:w="14480" w:type="dxa"/>
        <w:tblInd w:w="0" w:type="dxa"/>
        <w:tblLayout w:type="fixed"/>
        <w:tblCellMar>
          <w:top w:w="0" w:type="dxa"/>
          <w:left w:w="108" w:type="dxa"/>
          <w:bottom w:w="0" w:type="dxa"/>
          <w:right w:w="108" w:type="dxa"/>
        </w:tblCellMar>
      </w:tblPr>
      <w:tblGrid>
        <w:gridCol w:w="502"/>
        <w:gridCol w:w="7678"/>
        <w:gridCol w:w="4425"/>
        <w:gridCol w:w="1140"/>
        <w:gridCol w:w="735"/>
      </w:tblGrid>
      <w:tr>
        <w:tblPrEx>
          <w:tblCellMar>
            <w:top w:w="0" w:type="dxa"/>
            <w:left w:w="108" w:type="dxa"/>
            <w:bottom w:w="0" w:type="dxa"/>
            <w:right w:w="108" w:type="dxa"/>
          </w:tblCellMar>
        </w:tblPrEx>
        <w:trPr>
          <w:cantSplit/>
          <w:trHeight w:val="1055" w:hRule="atLeast"/>
        </w:trPr>
        <w:tc>
          <w:tcPr>
            <w:tcW w:w="502" w:type="dxa"/>
            <w:tcBorders>
              <w:top w:val="single" w:color="000000" w:sz="4" w:space="0"/>
              <w:left w:val="single" w:color="000000" w:sz="4" w:space="0"/>
              <w:bottom w:val="single" w:color="000000" w:sz="6" w:space="0"/>
              <w:right w:val="single" w:color="000000" w:sz="6"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序号</w:t>
            </w:r>
          </w:p>
        </w:tc>
        <w:tc>
          <w:tcPr>
            <w:tcW w:w="767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技术和服务</w:t>
            </w:r>
            <w:r>
              <w:rPr>
                <w:rFonts w:hint="eastAsia" w:ascii="仿宋_GB2312" w:hAnsi="仿宋_GB2312" w:eastAsia="仿宋_GB2312" w:cs="仿宋_GB2312"/>
                <w:sz w:val="21"/>
                <w:szCs w:val="21"/>
                <w:lang w:eastAsia="zh-CN"/>
              </w:rPr>
              <w:t>需</w:t>
            </w:r>
            <w:r>
              <w:rPr>
                <w:rFonts w:hint="eastAsia" w:ascii="仿宋_GB2312" w:hAnsi="仿宋_GB2312" w:eastAsia="仿宋_GB2312" w:cs="仿宋_GB2312"/>
                <w:sz w:val="21"/>
                <w:szCs w:val="21"/>
              </w:rPr>
              <w:t>求</w:t>
            </w:r>
          </w:p>
        </w:tc>
        <w:tc>
          <w:tcPr>
            <w:tcW w:w="442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lang w:eastAsia="zh-CN"/>
              </w:rPr>
            </w:pPr>
            <w:bookmarkStart w:id="0" w:name="_Toc173211902"/>
            <w:r>
              <w:rPr>
                <w:rFonts w:hint="eastAsia" w:ascii="仿宋_GB2312" w:hAnsi="仿宋_GB2312" w:eastAsia="仿宋_GB2312" w:cs="仿宋_GB2312"/>
                <w:sz w:val="21"/>
                <w:szCs w:val="21"/>
                <w:lang w:eastAsia="zh-CN"/>
              </w:rPr>
              <w:t>需求</w:t>
            </w:r>
            <w:r>
              <w:rPr>
                <w:rFonts w:hint="eastAsia" w:ascii="仿宋_GB2312" w:hAnsi="仿宋_GB2312" w:eastAsia="仿宋_GB2312" w:cs="仿宋_GB2312"/>
                <w:sz w:val="21"/>
                <w:szCs w:val="21"/>
              </w:rPr>
              <w:t>响应</w:t>
            </w:r>
            <w:bookmarkEnd w:id="0"/>
            <w:r>
              <w:rPr>
                <w:rFonts w:hint="eastAsia" w:ascii="仿宋_GB2312" w:hAnsi="仿宋_GB2312" w:eastAsia="仿宋_GB2312" w:cs="仿宋_GB2312"/>
                <w:sz w:val="21"/>
                <w:szCs w:val="21"/>
                <w:lang w:eastAsia="zh-CN"/>
              </w:rPr>
              <w:t>情况</w:t>
            </w:r>
          </w:p>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（完全响应</w:t>
            </w:r>
            <w:r>
              <w:rPr>
                <w:rFonts w:hint="eastAsia" w:ascii="仿宋_GB2312" w:hAnsi="仿宋_GB2312" w:eastAsia="仿宋_GB2312" w:cs="仿宋_GB2312"/>
                <w:sz w:val="21"/>
                <w:szCs w:val="21"/>
                <w:lang w:val="en-US" w:eastAsia="zh-CN"/>
              </w:rPr>
              <w:t>/部分响应/未响应</w:t>
            </w:r>
            <w:r>
              <w:rPr>
                <w:rFonts w:hint="eastAsia" w:ascii="仿宋_GB2312" w:hAnsi="仿宋_GB2312" w:eastAsia="仿宋_GB2312" w:cs="仿宋_GB2312"/>
                <w:sz w:val="21"/>
                <w:szCs w:val="21"/>
                <w:lang w:eastAsia="zh-CN"/>
              </w:rPr>
              <w:t>）</w:t>
            </w:r>
          </w:p>
        </w:tc>
        <w:tc>
          <w:tcPr>
            <w:tcW w:w="11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eastAsia="zh-CN"/>
              </w:rPr>
              <w:t>正</w:t>
            </w:r>
            <w:r>
              <w:rPr>
                <w:rFonts w:hint="eastAsia" w:ascii="仿宋_GB2312" w:hAnsi="仿宋_GB2312" w:eastAsia="仿宋_GB2312" w:cs="仿宋_GB2312"/>
                <w:sz w:val="21"/>
                <w:szCs w:val="21"/>
              </w:rPr>
              <w:t>偏离</w:t>
            </w:r>
            <w:r>
              <w:rPr>
                <w:rFonts w:hint="eastAsia" w:ascii="仿宋_GB2312" w:hAnsi="仿宋_GB2312" w:eastAsia="仿宋_GB2312" w:cs="仿宋_GB2312"/>
                <w:sz w:val="21"/>
                <w:szCs w:val="21"/>
                <w:lang w:val="en-US" w:eastAsia="zh-CN"/>
              </w:rPr>
              <w:t>/负偏离/无偏离</w:t>
            </w:r>
          </w:p>
        </w:tc>
        <w:tc>
          <w:tcPr>
            <w:tcW w:w="7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备注</w:t>
            </w:r>
          </w:p>
        </w:tc>
      </w:tr>
      <w:tr>
        <w:tblPrEx>
          <w:tblCellMar>
            <w:top w:w="0" w:type="dxa"/>
            <w:left w:w="108" w:type="dxa"/>
            <w:bottom w:w="0" w:type="dxa"/>
            <w:right w:w="108" w:type="dxa"/>
          </w:tblCellMar>
        </w:tblPrEx>
        <w:trPr>
          <w:cantSplit/>
          <w:trHeight w:val="5075" w:hRule="atLeast"/>
        </w:trPr>
        <w:tc>
          <w:tcPr>
            <w:tcW w:w="502"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rPr>
            </w:pPr>
            <w:bookmarkStart w:id="1" w:name="_Toc301781616"/>
            <w:r>
              <w:rPr>
                <w:rFonts w:hint="eastAsia" w:ascii="仿宋_GB2312" w:hAnsi="仿宋_GB2312" w:eastAsia="仿宋_GB2312" w:cs="仿宋_GB2312"/>
                <w:sz w:val="21"/>
                <w:szCs w:val="21"/>
              </w:rPr>
              <w:t>1</w:t>
            </w:r>
            <w:bookmarkEnd w:id="1"/>
          </w:p>
        </w:tc>
        <w:tc>
          <w:tcPr>
            <w:tcW w:w="767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（一）中标供应商在服务期内为采购人提供税费服务指挥中心提供维护保养服务，具体包含以下内容：</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中标供应商为采购人及其位于兴宾区、武宣县、象州县、金秀县、合山市、忻城县的办税服务厅的相应税费服务指挥系统及设备提供排查、维修服务,每季度进行1次日常巡检工作,填写巡检记录表并由相关负责人签字。</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2.中标供应商负责每次排查维修或更换设备后填写记录，并由我局相关值班人员或指定人员签字。</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3.中标供应商为采购人提供上述维保产品设备、系统的检查和调试，对于设备和系统发生的故障做出反应并及时到达现场，24小时内解决问题。</w:t>
            </w:r>
          </w:p>
          <w:p>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4.中标供应商应保证维修情况及设备状况的及时提供给采购人，并及时准确地排除系统和设备故障，确保相应系统及设备正常运行。</w:t>
            </w:r>
          </w:p>
        </w:tc>
        <w:tc>
          <w:tcPr>
            <w:tcW w:w="442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left"/>
              <w:textAlignment w:val="auto"/>
              <w:outlineLvl w:val="0"/>
              <w:rPr>
                <w:rFonts w:hint="eastAsia" w:ascii="仿宋_GB2312" w:hAnsi="仿宋_GB2312" w:eastAsia="仿宋_GB2312" w:cs="仿宋_GB2312"/>
                <w:sz w:val="21"/>
                <w:szCs w:val="21"/>
              </w:rPr>
            </w:pPr>
          </w:p>
        </w:tc>
        <w:tc>
          <w:tcPr>
            <w:tcW w:w="11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left"/>
              <w:textAlignment w:val="auto"/>
              <w:outlineLvl w:val="0"/>
              <w:rPr>
                <w:rFonts w:hint="eastAsia" w:ascii="仿宋_GB2312" w:hAnsi="仿宋_GB2312" w:eastAsia="仿宋_GB2312" w:cs="仿宋_GB2312"/>
                <w:sz w:val="21"/>
                <w:szCs w:val="21"/>
              </w:rPr>
            </w:pPr>
          </w:p>
        </w:tc>
        <w:tc>
          <w:tcPr>
            <w:tcW w:w="7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rPr>
            </w:pPr>
          </w:p>
        </w:tc>
      </w:tr>
      <w:tr>
        <w:tblPrEx>
          <w:tblCellMar>
            <w:top w:w="0" w:type="dxa"/>
            <w:left w:w="108" w:type="dxa"/>
            <w:bottom w:w="0" w:type="dxa"/>
            <w:right w:w="108" w:type="dxa"/>
          </w:tblCellMar>
        </w:tblPrEx>
        <w:trPr>
          <w:cantSplit/>
          <w:trHeight w:val="1419" w:hRule="atLeast"/>
        </w:trPr>
        <w:tc>
          <w:tcPr>
            <w:tcW w:w="502"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2</w:t>
            </w:r>
          </w:p>
        </w:tc>
        <w:tc>
          <w:tcPr>
            <w:tcW w:w="767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（二）保密要求</w:t>
            </w:r>
            <w:r>
              <w:rPr>
                <w:rFonts w:hint="eastAsia" w:ascii="仿宋_GB2312" w:hAnsi="仿宋_GB2312" w:eastAsia="仿宋_GB2312" w:cs="仿宋_GB2312"/>
                <w:sz w:val="21"/>
                <w:szCs w:val="21"/>
                <w:lang w:val="en-US" w:eastAsia="zh-CN"/>
              </w:rPr>
              <w:t>:</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1.双方应对在本合同签订或履行过程中所接触的对方信息，包括但不限于知识产权、技术资料、技术诀窍、税收数据、纳税人信息、内部管理、未公开政策及其他相关信息，负有保密义务。</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成交供应商及派驻人员在使用采购人为其提供的数据、程序、用户名、口令、资料及采购人相关的业务和技术文档，包括方案设计细节、程序文件、数据结构，以及相关业务系统的硬软件、文档、测试和测试产生的数据时，应遵循以下约定：（1）应以审慎态度避免泄露、公开或传播采购人的信息；（2）未经采购人书面许可，不得对有关信息进行修改、补充、复制；（3）未经采购人书面许可，不得将信息以任何方式(如E-mail)携带出采购人场所；（4）未经采购人书面许可，不得将信息透露给任何其他人；（5）采购人以书面形式提出的其他保密措施。</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3.保密期限不受合同有效期的限制，在合同有效期结束后，信息接受方仍应承担保密义务，直至该等信息成为公开信息。</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4.成交供应商如出现泄密行为，成交供应商应承担相关的法律责任并承担由此给对方造成的经济损失。</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5.派驻人员</w:t>
            </w:r>
            <w:bookmarkStart w:id="2" w:name="_GoBack"/>
            <w:bookmarkEnd w:id="2"/>
            <w:r>
              <w:rPr>
                <w:rFonts w:hint="eastAsia" w:ascii="仿宋_GB2312" w:hAnsi="仿宋_GB2312" w:eastAsia="仿宋_GB2312" w:cs="仿宋_GB2312"/>
                <w:sz w:val="21"/>
                <w:szCs w:val="21"/>
              </w:rPr>
              <w:t>需保证遵守国家有关版权和知识产权保护的政策、法律、法规和制度。</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6.成交供应商须与采购人签署合同项目实施期间的信息保密协议，并作为合同的组成部分，同时采取有力措施积极履行相关保密承诺。</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7.成交供应商提供的服务人员必须与采购人签署合同项目实施期间的信息保密承诺书。</w:t>
            </w:r>
          </w:p>
        </w:tc>
        <w:tc>
          <w:tcPr>
            <w:tcW w:w="442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left"/>
              <w:textAlignment w:val="auto"/>
              <w:outlineLvl w:val="0"/>
              <w:rPr>
                <w:rFonts w:hint="eastAsia" w:ascii="仿宋_GB2312" w:hAnsi="仿宋_GB2312" w:eastAsia="仿宋_GB2312" w:cs="仿宋_GB2312"/>
                <w:sz w:val="21"/>
                <w:szCs w:val="21"/>
              </w:rPr>
            </w:pPr>
          </w:p>
        </w:tc>
        <w:tc>
          <w:tcPr>
            <w:tcW w:w="11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left"/>
              <w:textAlignment w:val="auto"/>
              <w:outlineLvl w:val="0"/>
              <w:rPr>
                <w:rFonts w:hint="eastAsia" w:ascii="仿宋_GB2312" w:hAnsi="仿宋_GB2312" w:eastAsia="仿宋_GB2312" w:cs="仿宋_GB2312"/>
                <w:sz w:val="21"/>
                <w:szCs w:val="21"/>
              </w:rPr>
            </w:pPr>
          </w:p>
        </w:tc>
        <w:tc>
          <w:tcPr>
            <w:tcW w:w="7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rPr>
            </w:pPr>
          </w:p>
        </w:tc>
      </w:tr>
      <w:tr>
        <w:tblPrEx>
          <w:tblCellMar>
            <w:top w:w="0" w:type="dxa"/>
            <w:left w:w="108" w:type="dxa"/>
            <w:bottom w:w="0" w:type="dxa"/>
            <w:right w:w="108" w:type="dxa"/>
          </w:tblCellMar>
        </w:tblPrEx>
        <w:trPr>
          <w:cantSplit/>
          <w:trHeight w:val="1419" w:hRule="atLeast"/>
        </w:trPr>
        <w:tc>
          <w:tcPr>
            <w:tcW w:w="502" w:type="dxa"/>
            <w:tcBorders>
              <w:top w:val="single" w:color="000000" w:sz="6" w:space="0"/>
              <w:left w:val="single" w:color="000000" w:sz="4" w:space="0"/>
              <w:bottom w:val="single" w:color="000000" w:sz="6" w:space="0"/>
              <w:right w:val="single" w:color="000000" w:sz="6"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3</w:t>
            </w:r>
          </w:p>
        </w:tc>
        <w:tc>
          <w:tcPr>
            <w:tcW w:w="7678"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（三）其他要求</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1.服务期内若成交供应商不能按规定执行合同，采购人有权终止合同，并要求成交供应商赔偿因不能正常履行合同给采购人造成的损失。 </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2.成交供应商不得以采购人的名义对外发生经济业务往来，并应对派驻工作人员进行严格管理，对于成交供应商派驻服务人员给采购人造成利益损害的，成交供应商应承担相关法律责任。</w:t>
            </w:r>
          </w:p>
          <w:p>
            <w:pPr>
              <w:keepNext w:val="0"/>
              <w:keepLines w:val="0"/>
              <w:pageBreakBefore w:val="0"/>
              <w:suppressAutoHyphens/>
              <w:kinsoku/>
              <w:wordWrap/>
              <w:overflowPunct/>
              <w:topLinePunct w:val="0"/>
              <w:autoSpaceDE/>
              <w:autoSpaceDN/>
              <w:bidi w:val="0"/>
              <w:adjustRightInd/>
              <w:snapToGrid w:val="0"/>
              <w:spacing w:line="400" w:lineRule="exact"/>
              <w:ind w:firstLine="420" w:firstLineChars="200"/>
              <w:jc w:val="left"/>
              <w:textAlignment w:val="auto"/>
              <w:outlineLvl w:val="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3.派驻工作人员因不履行岗位工作职责或发生违法乱纪行为对采购人合法利益造成损害的，成交供应商应承担违约责任，并按所负责任进行相应赔偿。</w:t>
            </w:r>
          </w:p>
        </w:tc>
        <w:tc>
          <w:tcPr>
            <w:tcW w:w="442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left"/>
              <w:textAlignment w:val="auto"/>
              <w:outlineLvl w:val="0"/>
              <w:rPr>
                <w:rFonts w:hint="eastAsia" w:ascii="仿宋_GB2312" w:hAnsi="仿宋_GB2312" w:eastAsia="仿宋_GB2312" w:cs="仿宋_GB2312"/>
                <w:sz w:val="21"/>
                <w:szCs w:val="21"/>
              </w:rPr>
            </w:pPr>
          </w:p>
        </w:tc>
        <w:tc>
          <w:tcPr>
            <w:tcW w:w="1140"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left"/>
              <w:textAlignment w:val="auto"/>
              <w:outlineLvl w:val="0"/>
              <w:rPr>
                <w:rFonts w:hint="eastAsia" w:ascii="仿宋_GB2312" w:hAnsi="仿宋_GB2312" w:eastAsia="仿宋_GB2312" w:cs="仿宋_GB2312"/>
                <w:sz w:val="21"/>
                <w:szCs w:val="21"/>
              </w:rPr>
            </w:pPr>
          </w:p>
        </w:tc>
        <w:tc>
          <w:tcPr>
            <w:tcW w:w="735"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suppressAutoHyphens/>
              <w:kinsoku/>
              <w:wordWrap/>
              <w:overflowPunct/>
              <w:topLinePunct w:val="0"/>
              <w:autoSpaceDE/>
              <w:autoSpaceDN/>
              <w:bidi w:val="0"/>
              <w:adjustRightInd/>
              <w:snapToGrid w:val="0"/>
              <w:spacing w:line="400" w:lineRule="exact"/>
              <w:jc w:val="center"/>
              <w:textAlignment w:val="auto"/>
              <w:outlineLvl w:val="0"/>
              <w:rPr>
                <w:rFonts w:hint="eastAsia" w:ascii="仿宋_GB2312" w:hAnsi="仿宋_GB2312" w:eastAsia="仿宋_GB2312" w:cs="仿宋_GB2312"/>
                <w:sz w:val="21"/>
                <w:szCs w:val="21"/>
              </w:rPr>
            </w:pPr>
          </w:p>
        </w:tc>
      </w:tr>
    </w:tbl>
    <w:p>
      <w:pPr>
        <w:pStyle w:val="11"/>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21"/>
          <w:szCs w:val="21"/>
          <w:u w:val="single"/>
        </w:rPr>
      </w:pPr>
      <w:r>
        <w:rPr>
          <w:rFonts w:hint="eastAsia" w:ascii="仿宋_GB2312" w:hAnsi="仿宋_GB2312" w:eastAsia="仿宋_GB2312" w:cs="仿宋_GB2312"/>
          <w:sz w:val="21"/>
          <w:szCs w:val="21"/>
        </w:rPr>
        <w:t>供应商名称（公章）</w:t>
      </w:r>
      <w:r>
        <w:rPr>
          <w:rFonts w:hint="eastAsia" w:ascii="仿宋_GB2312" w:hAnsi="仿宋_GB2312" w:eastAsia="仿宋_GB2312" w:cs="仿宋_GB2312"/>
          <w:color w:val="000000"/>
          <w:sz w:val="21"/>
          <w:szCs w:val="21"/>
        </w:rPr>
        <w:t>：</w:t>
      </w:r>
    </w:p>
    <w:p>
      <w:pPr>
        <w:pStyle w:val="4"/>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法定代表人或被授权人（签字）:      </w:t>
      </w:r>
    </w:p>
    <w:p>
      <w:pPr>
        <w:pStyle w:val="11"/>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000000"/>
          <w:sz w:val="21"/>
          <w:szCs w:val="21"/>
          <w:u w:val="none"/>
        </w:rPr>
      </w:pPr>
      <w:r>
        <w:rPr>
          <w:rFonts w:hint="eastAsia" w:ascii="仿宋_GB2312" w:hAnsi="仿宋_GB2312" w:eastAsia="仿宋_GB2312" w:cs="仿宋_GB2312"/>
          <w:color w:val="000000"/>
          <w:sz w:val="21"/>
          <w:szCs w:val="21"/>
        </w:rPr>
        <w:t>日期：</w:t>
      </w:r>
      <w:r>
        <w:rPr>
          <w:rFonts w:hint="eastAsia" w:ascii="仿宋_GB2312" w:hAnsi="仿宋_GB2312" w:eastAsia="仿宋_GB2312" w:cs="仿宋_GB2312"/>
          <w:color w:val="000000"/>
          <w:sz w:val="21"/>
          <w:szCs w:val="21"/>
          <w:u w:val="none"/>
          <w:lang w:val="en-US" w:eastAsia="zh-CN"/>
        </w:rPr>
        <w:t xml:space="preserve">        </w:t>
      </w:r>
      <w:r>
        <w:rPr>
          <w:rFonts w:hint="eastAsia" w:ascii="仿宋_GB2312" w:hAnsi="仿宋_GB2312" w:eastAsia="仿宋_GB2312" w:cs="仿宋_GB2312"/>
          <w:color w:val="000000"/>
          <w:sz w:val="21"/>
          <w:szCs w:val="21"/>
          <w:u w:val="none"/>
        </w:rPr>
        <w:t xml:space="preserve">年 </w:t>
      </w:r>
      <w:r>
        <w:rPr>
          <w:rFonts w:hint="eastAsia" w:ascii="仿宋_GB2312" w:hAnsi="仿宋_GB2312" w:eastAsia="仿宋_GB2312" w:cs="仿宋_GB2312"/>
          <w:color w:val="000000"/>
          <w:sz w:val="21"/>
          <w:szCs w:val="21"/>
          <w:u w:val="none"/>
          <w:lang w:val="en-US" w:eastAsia="zh-CN"/>
        </w:rPr>
        <w:t xml:space="preserve">  </w:t>
      </w:r>
      <w:r>
        <w:rPr>
          <w:rFonts w:hint="eastAsia" w:ascii="仿宋_GB2312" w:hAnsi="仿宋_GB2312" w:eastAsia="仿宋_GB2312" w:cs="仿宋_GB2312"/>
          <w:color w:val="000000"/>
          <w:sz w:val="21"/>
          <w:szCs w:val="21"/>
          <w:u w:val="none"/>
        </w:rPr>
        <w:t xml:space="preserve"> 月 </w:t>
      </w:r>
      <w:r>
        <w:rPr>
          <w:rFonts w:hint="eastAsia" w:ascii="仿宋_GB2312" w:hAnsi="仿宋_GB2312" w:eastAsia="仿宋_GB2312" w:cs="仿宋_GB2312"/>
          <w:color w:val="000000"/>
          <w:sz w:val="21"/>
          <w:szCs w:val="21"/>
          <w:u w:val="none"/>
          <w:lang w:val="en-US" w:eastAsia="zh-CN"/>
        </w:rPr>
        <w:t xml:space="preserve">    </w:t>
      </w:r>
      <w:r>
        <w:rPr>
          <w:rFonts w:hint="eastAsia" w:ascii="仿宋_GB2312" w:hAnsi="仿宋_GB2312" w:eastAsia="仿宋_GB2312" w:cs="仿宋_GB2312"/>
          <w:color w:val="000000"/>
          <w:sz w:val="21"/>
          <w:szCs w:val="21"/>
          <w:u w:val="none"/>
        </w:rPr>
        <w:t>日</w:t>
      </w:r>
    </w:p>
    <w:p>
      <w:pPr>
        <w:pStyle w:val="3"/>
        <w:keepNext w:val="0"/>
        <w:keepLines w:val="0"/>
        <w:pageBreakBefore w:val="0"/>
        <w:kinsoku/>
        <w:wordWrap/>
        <w:overflowPunct/>
        <w:topLinePunct w:val="0"/>
        <w:autoSpaceDE/>
        <w:autoSpaceDN/>
        <w:bidi w:val="0"/>
        <w:adjustRightInd/>
        <w:snapToGrid/>
        <w:spacing w:line="520" w:lineRule="exact"/>
        <w:textAlignment w:val="auto"/>
        <w:rPr>
          <w:rFonts w:hint="default"/>
          <w:sz w:val="21"/>
          <w:szCs w:val="21"/>
          <w:lang w:val="en-US" w:eastAsia="zh-CN"/>
        </w:rPr>
      </w:pPr>
    </w:p>
    <w:p>
      <w:pPr>
        <w:widowControl w:val="0"/>
        <w:snapToGrid w:val="0"/>
        <w:spacing w:before="50" w:after="165" w:afterLines="50"/>
        <w:jc w:val="left"/>
        <w:rPr>
          <w:rFonts w:hint="eastAsia" w:ascii="仿宋_GB2312" w:hAnsi="仿宋_GB2312" w:eastAsia="仿宋_GB2312" w:cs="仿宋_GB2312"/>
          <w:b w:val="0"/>
          <w:color w:val="auto"/>
          <w:kern w:val="2"/>
          <w:sz w:val="21"/>
          <w:szCs w:val="21"/>
          <w:highlight w:val="none"/>
          <w:lang w:val="en-US" w:eastAsia="zh-CN" w:bidi="ar-SA"/>
        </w:rPr>
      </w:pPr>
    </w:p>
    <w:p>
      <w:pPr>
        <w:rPr>
          <w:sz w:val="21"/>
          <w:szCs w:val="21"/>
        </w:rPr>
      </w:pPr>
    </w:p>
    <w:sectPr>
      <w:footerReference r:id="rId3" w:type="default"/>
      <w:pgSz w:w="16838" w:h="11906" w:orient="landscape"/>
      <w:pgMar w:top="1247" w:right="1191" w:bottom="1247" w:left="124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D249E2"/>
    <w:rsid w:val="3AD249E2"/>
    <w:rsid w:val="3BA32D9E"/>
    <w:rsid w:val="455D2457"/>
    <w:rsid w:val="489147E6"/>
    <w:rsid w:val="5B851518"/>
    <w:rsid w:val="5CE45728"/>
    <w:rsid w:val="5F89320E"/>
    <w:rsid w:val="645A0E10"/>
    <w:rsid w:val="7DD62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spacing w:before="280" w:after="156" w:line="377" w:lineRule="auto"/>
      <w:jc w:val="left"/>
      <w:outlineLvl w:val="4"/>
    </w:pPr>
    <w:rPr>
      <w:rFonts w:ascii="Arial" w:hAnsi="Arial" w:eastAsia="黑体" w:cs="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4">
    <w:name w:val="Body Text Indent"/>
    <w:basedOn w:val="1"/>
    <w:next w:val="1"/>
    <w:qFormat/>
    <w:uiPriority w:val="0"/>
    <w:pPr>
      <w:suppressAutoHyphens/>
      <w:ind w:firstLine="420"/>
    </w:pPr>
    <w:rPr>
      <w:rFonts w:ascii="宋体" w:hAnsi="宋体"/>
      <w:kern w:val="0"/>
      <w:sz w:val="20"/>
      <w:szCs w:val="20"/>
    </w:rPr>
  </w:style>
  <w:style w:type="paragraph" w:styleId="5">
    <w:name w:val="Plain Text"/>
    <w:basedOn w:val="1"/>
    <w:next w:val="1"/>
    <w:qFormat/>
    <w:uiPriority w:val="0"/>
    <w:rPr>
      <w:rFonts w:ascii="宋体" w:hAnsi="Courier New" w:eastAsia="宋体" w:cs="Times New Roman"/>
      <w:szCs w:val="2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customStyle="1" w:styleId="11">
    <w:name w:val="纯文本1"/>
    <w:basedOn w:val="1"/>
    <w:next w:val="1"/>
    <w:qFormat/>
    <w:uiPriority w:val="0"/>
    <w:pPr>
      <w:suppressAutoHyphens/>
    </w:pPr>
    <w:rPr>
      <w:rFonts w:ascii="宋体" w:hAnsi="宋体" w:cs="宋体"/>
      <w:szCs w:val="21"/>
    </w:rPr>
  </w:style>
  <w:style w:type="paragraph" w:customStyle="1" w:styleId="1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
    <w:name w:val="Normal Indent1"/>
    <w:qFormat/>
    <w:uiPriority w:val="0"/>
    <w:pPr>
      <w:spacing w:afterLines="50" w:line="360" w:lineRule="auto"/>
      <w:ind w:firstLine="420" w:firstLine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来宾市税务局</Company>
  <Pages>3</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2025-06-13T09:10:00Z</dcterms:created>
  <dc:creator>黄讯</dc:creator>
  <cp:lastModifiedBy>莫珍珍</cp:lastModifiedBy>
  <dcterms:modified xsi:type="dcterms:W3CDTF">2026-09-04T08:52:58Z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69FC7D3EEA8BC49DAF859A6AA0D38D74_42</vt:lpwstr>
  </property>
</Properties>
</file>