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pPr>
        <w:spacing w:line="360" w:lineRule="auto"/>
        <w:jc w:val="center"/>
        <w:rPr>
          <w:rFonts w:ascii="黑体" w:eastAsia="黑体" w:hAnsi="黑体" w:cs="宋体"/>
          <w:bCs/>
          <w:color w:val="auto"/>
          <w:sz w:val="72"/>
          <w:szCs w:val="72"/>
          <w:highlight w:val="none"/>
        </w:rPr>
      </w:pPr>
      <w:r>
        <w:rPr>
          <w:rFonts w:ascii="黑体" w:eastAsia="黑体" w:hAnsi="黑体" w:cs="宋体" w:hint="eastAsia"/>
          <w:bCs/>
          <w:color w:val="auto"/>
          <w:sz w:val="72"/>
          <w:szCs w:val="72"/>
          <w:highlight w:val="none"/>
        </w:rPr>
        <w:t>招 标 文 件</w:t>
      </w:r>
    </w:p>
    <w:p>
      <w:pPr>
        <w:topLinePunct/>
        <w:autoSpaceDE w:val="0"/>
        <w:autoSpaceDN w:val="0"/>
        <w:spacing w:line="360" w:lineRule="auto"/>
        <w:jc w:val="center"/>
        <w:rPr>
          <w:rFonts w:ascii="黑体" w:eastAsia="黑体" w:hAnsi="黑体" w:cs="华文中宋"/>
          <w:bCs/>
          <w:color w:val="auto"/>
          <w:sz w:val="44"/>
          <w:szCs w:val="44"/>
          <w:highlight w:val="none"/>
        </w:rPr>
      </w:pPr>
      <w:r>
        <w:rPr>
          <w:rFonts w:ascii="黑体" w:eastAsia="黑体" w:hAnsi="黑体" w:cs="华文中宋" w:hint="eastAsia"/>
          <w:bCs/>
          <w:color w:val="auto"/>
          <w:sz w:val="44"/>
          <w:szCs w:val="44"/>
          <w:highlight w:val="none"/>
        </w:rPr>
        <w:t>（商务部分）</w:t>
      </w:r>
    </w:p>
    <w:p>
      <w:pPr>
        <w:topLinePunct/>
        <w:autoSpaceDE w:val="0"/>
        <w:autoSpaceDN w:val="0"/>
        <w:snapToGrid w:val="0"/>
        <w:rPr>
          <w:rFonts w:ascii="华文中宋" w:eastAsia="华文中宋" w:hAnsi="华文中宋" w:cs="华文中宋"/>
          <w:bCs/>
          <w:color w:val="auto"/>
          <w:sz w:val="32"/>
          <w:szCs w:val="32"/>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项目名称：国家税务总局柳州市税务局</w:t>
      </w:r>
    </w:p>
    <w:p>
      <w:pPr>
        <w:widowControl/>
        <w:spacing w:line="720" w:lineRule="auto"/>
        <w:ind w:firstLine="1800" w:firstLineChars="600"/>
        <w:jc w:val="left"/>
        <w:rPr>
          <w:rFonts w:ascii="宋体" w:hAnsi="宋体" w:cs="宋体"/>
          <w:b/>
          <w:color w:val="auto"/>
          <w:sz w:val="30"/>
          <w:szCs w:val="30"/>
          <w:highlight w:val="none"/>
        </w:rPr>
      </w:pPr>
      <w:r>
        <w:rPr>
          <w:rFonts w:ascii="宋体" w:hAnsi="宋体" w:cs="宋体" w:hint="eastAsia"/>
          <w:b/>
          <w:color w:val="auto"/>
          <w:sz w:val="30"/>
          <w:szCs w:val="30"/>
          <w:highlight w:val="none"/>
        </w:rPr>
        <w:t>2025-2026年物业管理服务项目</w:t>
      </w: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项目编号：GX2024-ZXGK-C0091-B00</w:t>
      </w: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采购人：国家税务总局柳州市税务局</w:t>
      </w:r>
    </w:p>
    <w:p>
      <w:pPr>
        <w:widowControl/>
        <w:spacing w:line="720" w:lineRule="auto"/>
        <w:ind w:firstLine="300" w:firstLineChars="100"/>
        <w:jc w:val="left"/>
        <w:rPr>
          <w:rFonts w:ascii="宋体" w:hAnsi="宋体" w:cs="宋体"/>
          <w:b/>
          <w:color w:val="auto"/>
          <w:sz w:val="30"/>
          <w:szCs w:val="30"/>
          <w:highlight w:val="none"/>
        </w:rPr>
      </w:pPr>
    </w:p>
    <w:p>
      <w:pPr>
        <w:topLinePunct/>
        <w:autoSpaceDE w:val="0"/>
        <w:autoSpaceDN w:val="0"/>
        <w:spacing w:line="460" w:lineRule="exact"/>
        <w:rPr>
          <w:rFonts w:ascii="方正小标宋简体" w:eastAsia="方正小标宋简体" w:hAnsi="方正小标宋简体" w:cs="方正小标宋简体"/>
          <w:color w:val="auto"/>
          <w:sz w:val="24"/>
          <w:szCs w:val="24"/>
          <w:highlight w:val="none"/>
        </w:rPr>
      </w:pPr>
    </w:p>
    <w:p>
      <w:pPr>
        <w:topLinePunct/>
        <w:autoSpaceDE w:val="0"/>
        <w:autoSpaceDN w:val="0"/>
        <w:spacing w:line="460" w:lineRule="exact"/>
        <w:jc w:val="center"/>
        <w:rPr>
          <w:rFonts w:ascii="方正小标宋简体" w:eastAsia="方正小标宋简体" w:hAnsi="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ascii="宋体" w:hAnsi="宋体" w:cs="宋体" w:hint="eastAsia"/>
          <w:b/>
          <w:color w:val="auto"/>
          <w:sz w:val="30"/>
          <w:szCs w:val="30"/>
          <w:highlight w:val="none"/>
        </w:rPr>
        <w:t>国家税务总局柳州市税务局</w:t>
      </w:r>
    </w:p>
    <w:p>
      <w:pPr>
        <w:widowControl/>
        <w:spacing w:line="480" w:lineRule="auto"/>
        <w:jc w:val="center"/>
        <w:rPr>
          <w:color w:val="auto"/>
          <w:sz w:val="32"/>
          <w:szCs w:val="32"/>
          <w:highlight w:val="none"/>
        </w:rPr>
      </w:pPr>
      <w:r>
        <w:rPr>
          <w:rFonts w:ascii="宋体" w:hAnsi="宋体" w:cs="宋体" w:hint="eastAsia"/>
          <w:b/>
          <w:color w:val="auto"/>
          <w:sz w:val="30"/>
          <w:szCs w:val="30"/>
          <w:highlight w:val="none"/>
        </w:rPr>
        <w:t>2024年</w:t>
      </w:r>
      <w:r>
        <w:rPr>
          <w:rFonts w:ascii="宋体" w:hAnsi="宋体" w:cs="宋体" w:hint="eastAsia"/>
          <w:b/>
          <w:color w:val="auto"/>
          <w:sz w:val="30"/>
          <w:szCs w:val="30"/>
          <w:highlight w:val="none"/>
          <w:lang w:val="en-US" w:eastAsia="zh-CN"/>
        </w:rPr>
        <w:t>10</w:t>
      </w:r>
      <w:r>
        <w:rPr>
          <w:rFonts w:ascii="宋体" w:hAnsi="宋体" w:cs="宋体" w:hint="eastAsia"/>
          <w:b/>
          <w:color w:val="auto"/>
          <w:sz w:val="30"/>
          <w:szCs w:val="30"/>
          <w:highlight w:val="none"/>
        </w:rPr>
        <w:t>月</w:t>
      </w:r>
      <w:r>
        <w:rPr>
          <w:rFonts w:ascii="宋体" w:hAnsi="宋体" w:cs="宋体" w:hint="eastAsia"/>
          <w:b/>
          <w:color w:val="auto"/>
          <w:sz w:val="30"/>
          <w:szCs w:val="30"/>
          <w:highlight w:val="none"/>
          <w:lang w:val="en-US" w:eastAsia="zh-CN"/>
        </w:rPr>
        <w:t>22</w:t>
      </w:r>
      <w:r>
        <w:rPr>
          <w:rFonts w:ascii="宋体" w:hAnsi="宋体" w:cs="宋体" w:hint="eastAsia"/>
          <w:b/>
          <w:color w:val="auto"/>
          <w:sz w:val="30"/>
          <w:szCs w:val="30"/>
          <w:highlight w:val="none"/>
        </w:rPr>
        <w:t>日</w:t>
      </w:r>
    </w:p>
    <w:p>
      <w:pPr>
        <w:widowControl/>
        <w:jc w:val="left"/>
        <w:rPr>
          <w:rFonts w:ascii="宋体" w:hAnsi="Courier New" w:cs="宋体"/>
          <w:b/>
          <w:bCs/>
          <w:color w:val="auto"/>
          <w:sz w:val="28"/>
          <w:szCs w:val="28"/>
          <w:highlight w:val="none"/>
        </w:rPr>
      </w:pPr>
      <w:r>
        <w:rPr>
          <w:rFonts w:cs="宋体"/>
          <w:b/>
          <w:bCs/>
          <w:color w:val="auto"/>
          <w:sz w:val="28"/>
          <w:szCs w:val="28"/>
          <w:highlight w:val="none"/>
        </w:rPr>
        <w:br w:type="page"/>
      </w: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第一章  投标邀请</w:t>
      </w:r>
    </w:p>
    <w:p>
      <w:pPr>
        <w:pBdr>
          <w:top w:val="single" w:sz="4" w:space="1" w:color="auto"/>
          <w:left w:val="single" w:sz="4" w:space="4" w:color="auto"/>
          <w:bottom w:val="single" w:sz="4" w:space="1" w:color="auto"/>
          <w:right w:val="single" w:sz="4" w:space="4" w:color="auto"/>
        </w:pBdr>
        <w:spacing w:line="360" w:lineRule="auto"/>
        <w:rPr>
          <w:rFonts w:ascii="宋体" w:hAnsi="宋体"/>
          <w:color w:val="auto"/>
          <w:szCs w:val="21"/>
          <w:highlight w:val="none"/>
        </w:rPr>
      </w:pPr>
      <w:r>
        <w:rPr>
          <w:rFonts w:ascii="宋体" w:hAnsi="宋体" w:hint="eastAsia"/>
          <w:color w:val="auto"/>
          <w:szCs w:val="21"/>
          <w:highlight w:val="none"/>
        </w:rPr>
        <w:t>项目概况</w:t>
      </w:r>
    </w:p>
    <w:p>
      <w:pPr>
        <w:pBdr>
          <w:top w:val="single" w:sz="4" w:space="1" w:color="auto"/>
          <w:left w:val="single" w:sz="4" w:space="4" w:color="auto"/>
          <w:bottom w:val="single" w:sz="4" w:space="1" w:color="auto"/>
          <w:right w:val="single" w:sz="4" w:space="4" w:color="auto"/>
        </w:pBdr>
        <w:spacing w:line="360" w:lineRule="auto"/>
        <w:ind w:firstLine="420" w:firstLineChars="200"/>
        <w:rPr>
          <w:rFonts w:ascii="宋体" w:hAnsi="宋体"/>
          <w:color w:val="auto"/>
          <w:szCs w:val="21"/>
          <w:highlight w:val="none"/>
        </w:rPr>
      </w:pPr>
      <w:r>
        <w:rPr>
          <w:rFonts w:ascii="宋体" w:hAnsi="宋体" w:cs="宋体" w:hint="eastAsia"/>
          <w:color w:val="auto"/>
          <w:szCs w:val="21"/>
          <w:highlight w:val="none"/>
          <w:u w:val="single"/>
        </w:rPr>
        <w:t>国家税务总局柳州市税务局2025-2026年物业管理服务项目</w:t>
      </w:r>
      <w:r>
        <w:rPr>
          <w:rFonts w:ascii="宋体" w:hAnsi="宋体" w:hint="eastAsia"/>
          <w:color w:val="auto"/>
          <w:szCs w:val="21"/>
          <w:highlight w:val="none"/>
        </w:rPr>
        <w:t>的潜在投标人</w:t>
      </w:r>
      <w:r>
        <w:rPr>
          <w:rFonts w:ascii="宋体" w:hAnsi="宋体" w:cs="宋体" w:hint="eastAsia"/>
          <w:color w:val="auto"/>
          <w:szCs w:val="21"/>
          <w:highlight w:val="none"/>
        </w:rPr>
        <w:t>应在</w:t>
      </w:r>
      <w:r>
        <w:rPr>
          <w:rFonts w:ascii="宋体" w:hAnsi="宋体" w:cs="宋体" w:hint="eastAsia"/>
          <w:color w:val="auto"/>
          <w:szCs w:val="21"/>
          <w:highlight w:val="none"/>
          <w:u w:val="single"/>
        </w:rPr>
        <w:t>国家税务总局政府采购评审管理系统</w:t>
      </w:r>
      <w:r>
        <w:rPr>
          <w:rFonts w:ascii="宋体" w:hAnsi="宋体" w:hint="eastAsia"/>
          <w:color w:val="auto"/>
          <w:szCs w:val="21"/>
          <w:highlight w:val="none"/>
        </w:rPr>
        <w:t>获取招标文件，并于</w:t>
      </w:r>
      <w:r>
        <w:rPr>
          <w:rFonts w:ascii="宋体" w:hAnsi="宋体"/>
          <w:color w:val="auto"/>
          <w:szCs w:val="21"/>
          <w:highlight w:val="none"/>
          <w:u w:val="single"/>
        </w:rPr>
        <w:t>2024</w:t>
      </w:r>
      <w:r>
        <w:rPr>
          <w:rFonts w:ascii="宋体" w:hAnsi="宋体" w:hint="eastAsia"/>
          <w:bCs/>
          <w:color w:val="auto"/>
          <w:szCs w:val="21"/>
          <w:highlight w:val="none"/>
          <w:u w:val="single"/>
        </w:rPr>
        <w:t>年</w:t>
      </w:r>
      <w:r>
        <w:rPr>
          <w:rFonts w:ascii="宋体" w:hAnsi="宋体" w:hint="eastAsia"/>
          <w:bCs/>
          <w:color w:val="auto"/>
          <w:szCs w:val="21"/>
          <w:highlight w:val="none"/>
          <w:u w:val="single"/>
          <w:lang w:val="en-US" w:eastAsia="zh-CN"/>
        </w:rPr>
        <w:t>11</w:t>
      </w:r>
      <w:r>
        <w:rPr>
          <w:rFonts w:ascii="宋体" w:hAnsi="宋体"/>
          <w:bCs/>
          <w:color w:val="auto"/>
          <w:szCs w:val="21"/>
          <w:highlight w:val="none"/>
          <w:u w:val="single"/>
        </w:rPr>
        <w:t>月</w:t>
      </w:r>
      <w:r>
        <w:rPr>
          <w:rFonts w:ascii="宋体" w:hAnsi="宋体" w:hint="eastAsia"/>
          <w:bCs/>
          <w:color w:val="auto"/>
          <w:szCs w:val="21"/>
          <w:highlight w:val="none"/>
          <w:u w:val="single"/>
          <w:lang w:val="en-US" w:eastAsia="zh-CN"/>
        </w:rPr>
        <w:t>13</w:t>
      </w:r>
      <w:r>
        <w:rPr>
          <w:rFonts w:ascii="宋体" w:hAnsi="宋体"/>
          <w:bCs/>
          <w:color w:val="auto"/>
          <w:szCs w:val="21"/>
          <w:highlight w:val="none"/>
          <w:u w:val="single"/>
        </w:rPr>
        <w:t>日9</w:t>
      </w:r>
      <w:r>
        <w:rPr>
          <w:rFonts w:ascii="宋体" w:hAnsi="宋体" w:hint="eastAsia"/>
          <w:bCs/>
          <w:color w:val="auto"/>
          <w:szCs w:val="21"/>
          <w:highlight w:val="none"/>
          <w:u w:val="single"/>
        </w:rPr>
        <w:t>点</w:t>
      </w:r>
      <w:r>
        <w:rPr>
          <w:rFonts w:ascii="宋体" w:hAnsi="宋体"/>
          <w:bCs/>
          <w:color w:val="auto"/>
          <w:szCs w:val="21"/>
          <w:highlight w:val="none"/>
          <w:u w:val="single"/>
        </w:rPr>
        <w:t>30</w:t>
      </w:r>
      <w:r>
        <w:rPr>
          <w:rFonts w:ascii="宋体" w:hAnsi="宋体" w:hint="eastAsia"/>
          <w:bCs/>
          <w:color w:val="auto"/>
          <w:szCs w:val="21"/>
          <w:highlight w:val="none"/>
          <w:u w:val="single"/>
        </w:rPr>
        <w:t>分</w:t>
      </w:r>
      <w:r>
        <w:rPr>
          <w:rFonts w:ascii="宋体" w:hAnsi="宋体" w:hint="eastAsia"/>
          <w:bCs/>
          <w:color w:val="auto"/>
          <w:szCs w:val="21"/>
          <w:highlight w:val="none"/>
        </w:rPr>
        <w:t>（北京时间）前递交投标文件</w:t>
      </w:r>
      <w:r>
        <w:rPr>
          <w:rFonts w:ascii="宋体" w:hAnsi="宋体" w:hint="eastAsia"/>
          <w:color w:val="auto"/>
          <w:szCs w:val="21"/>
          <w:highlight w:val="none"/>
        </w:rPr>
        <w:t>。</w:t>
      </w:r>
    </w:p>
    <w:p>
      <w:pPr>
        <w:spacing w:before="156" w:beforeLines="50" w:line="360" w:lineRule="auto"/>
        <w:rPr>
          <w:rFonts w:ascii="宋体" w:hAnsi="宋体"/>
          <w:color w:val="auto"/>
          <w:szCs w:val="21"/>
          <w:highlight w:val="none"/>
        </w:rPr>
      </w:pPr>
      <w:r>
        <w:rPr>
          <w:rFonts w:ascii="宋体" w:hAnsi="宋体" w:hint="eastAsia"/>
          <w:color w:val="auto"/>
          <w:szCs w:val="21"/>
          <w:highlight w:val="none"/>
        </w:rPr>
        <w:t>一、项目基本情况</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项目编号：GX2024-ZXGK-C0091-B00</w:t>
      </w:r>
      <w:r>
        <w:rPr>
          <w:rFonts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项目名称：国家税务总局柳州市税务局2025-2026年物业管理服务项目</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预算金额</w:t>
      </w:r>
      <w:r>
        <w:rPr>
          <w:rFonts w:asciiTheme="minorEastAsia" w:eastAsiaTheme="minorEastAsia" w:hAnsiTheme="minorEastAsia" w:cs="仿宋_GB2312" w:hint="eastAsia"/>
          <w:color w:val="auto"/>
          <w:spacing w:val="11"/>
          <w:szCs w:val="21"/>
          <w:highlight w:val="none"/>
        </w:rPr>
        <w:t>：人民币（大写）叁佰叁拾叁万陆仟肆佰元整/年，服务期2年（¥3336400</w:t>
      </w:r>
      <w:r>
        <w:rPr>
          <w:rFonts w:asciiTheme="minorEastAsia" w:eastAsiaTheme="minorEastAsia" w:hAnsiTheme="minorEastAsia" w:cs="仿宋_GB2312"/>
          <w:color w:val="auto"/>
          <w:spacing w:val="11"/>
          <w:szCs w:val="21"/>
          <w:highlight w:val="none"/>
        </w:rPr>
        <w:t>.00</w:t>
      </w:r>
      <w:r>
        <w:rPr>
          <w:rFonts w:asciiTheme="minorEastAsia" w:eastAsiaTheme="minorEastAsia" w:hAnsiTheme="minorEastAsia" w:cs="仿宋_GB2312" w:hint="eastAsia"/>
          <w:color w:val="auto"/>
          <w:spacing w:val="11"/>
          <w:szCs w:val="21"/>
          <w:highlight w:val="none"/>
        </w:rPr>
        <w:t>元/年，服务期2年）；预算总金额为人民币（大写）陆佰陆拾柒万贰仟捌佰元整（¥6672800.00）。</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最高限价：</w:t>
      </w:r>
      <w:r>
        <w:rPr>
          <w:rFonts w:asciiTheme="minorEastAsia" w:eastAsiaTheme="minorEastAsia" w:hAnsiTheme="minorEastAsia" w:cs="仿宋_GB2312" w:hint="eastAsia"/>
          <w:color w:val="auto"/>
          <w:spacing w:val="11"/>
          <w:szCs w:val="21"/>
          <w:highlight w:val="none"/>
        </w:rPr>
        <w:t>人民币（大写）叁佰叁拾叁万陆仟肆佰元整/年，服务期2年（¥3336400</w:t>
      </w:r>
      <w:r>
        <w:rPr>
          <w:rFonts w:asciiTheme="minorEastAsia" w:eastAsiaTheme="minorEastAsia" w:hAnsiTheme="minorEastAsia" w:cs="仿宋_GB2312"/>
          <w:color w:val="auto"/>
          <w:spacing w:val="11"/>
          <w:szCs w:val="21"/>
          <w:highlight w:val="none"/>
        </w:rPr>
        <w:t>.00</w:t>
      </w:r>
      <w:r>
        <w:rPr>
          <w:rFonts w:asciiTheme="minorEastAsia" w:eastAsiaTheme="minorEastAsia" w:hAnsiTheme="minorEastAsia" w:cs="仿宋_GB2312" w:hint="eastAsia"/>
          <w:color w:val="auto"/>
          <w:spacing w:val="11"/>
          <w:szCs w:val="21"/>
          <w:highlight w:val="none"/>
        </w:rPr>
        <w:t>元/年，服务期2年）；预算总金额为人民币（大写）陆佰陆拾柒万贰仟捌佰元整（¥6672800.00）。</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采购需求：</w:t>
      </w:r>
    </w:p>
    <w:tbl>
      <w:tblPr>
        <w:tblStyle w:val="TableNormal"/>
        <w:tblW w:w="0" w:type="auto"/>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707"/>
        <w:gridCol w:w="1528"/>
        <w:gridCol w:w="1134"/>
        <w:gridCol w:w="5634"/>
      </w:tblGrid>
      <w:tr>
        <w:tblPrEx>
          <w:tblW w:w="0" w:type="auto"/>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Ex>
        <w:tc>
          <w:tcPr>
            <w:tcW w:w="707" w:type="dxa"/>
            <w:tcBorders>
              <w:top w:val="single" w:sz="4" w:space="0" w:color="auto"/>
              <w:left w:val="single" w:sz="4" w:space="0" w:color="auto"/>
              <w:bottom w:val="single" w:sz="4" w:space="0" w:color="auto"/>
              <w:right w:val="single" w:sz="4" w:space="0" w:color="auto"/>
            </w:tcBorders>
            <w:vAlign w:val="center"/>
          </w:tcPr>
          <w:p>
            <w:pPr>
              <w:widowControl/>
              <w:snapToGrid w:val="0"/>
              <w:spacing w:line="480" w:lineRule="exact"/>
              <w:jc w:val="center"/>
              <w:rPr>
                <w:rFonts w:ascii="宋体" w:hAnsi="宋体"/>
                <w:color w:val="auto"/>
                <w:kern w:val="0"/>
                <w:szCs w:val="21"/>
                <w:highlight w:val="none"/>
              </w:rPr>
            </w:pPr>
            <w:r>
              <w:rPr>
                <w:rFonts w:ascii="宋体" w:hAnsi="宋体" w:hint="eastAsia"/>
                <w:color w:val="auto"/>
                <w:kern w:val="0"/>
                <w:szCs w:val="21"/>
                <w:highlight w:val="none"/>
              </w:rPr>
              <w:t>序号</w:t>
            </w:r>
          </w:p>
        </w:tc>
        <w:tc>
          <w:tcPr>
            <w:tcW w:w="1528" w:type="dxa"/>
            <w:tcBorders>
              <w:top w:val="single" w:sz="4" w:space="0" w:color="auto"/>
              <w:left w:val="single" w:sz="4" w:space="0" w:color="auto"/>
              <w:bottom w:val="single" w:sz="4" w:space="0" w:color="auto"/>
              <w:right w:val="single" w:sz="4" w:space="0" w:color="auto"/>
            </w:tcBorders>
            <w:vAlign w:val="center"/>
          </w:tcPr>
          <w:p>
            <w:pPr>
              <w:widowControl/>
              <w:snapToGrid w:val="0"/>
              <w:spacing w:line="480" w:lineRule="exact"/>
              <w:jc w:val="center"/>
              <w:rPr>
                <w:rFonts w:ascii="宋体" w:hAnsi="宋体"/>
                <w:color w:val="auto"/>
                <w:kern w:val="0"/>
                <w:szCs w:val="21"/>
                <w:highlight w:val="none"/>
              </w:rPr>
            </w:pPr>
            <w:r>
              <w:rPr>
                <w:rFonts w:ascii="宋体" w:hAnsi="宋体" w:hint="eastAsia"/>
                <w:color w:val="auto"/>
                <w:kern w:val="0"/>
                <w:szCs w:val="21"/>
                <w:highlight w:val="none"/>
              </w:rPr>
              <w:t>标的名称</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napToGrid w:val="0"/>
              <w:spacing w:line="480" w:lineRule="exact"/>
              <w:jc w:val="center"/>
              <w:rPr>
                <w:rFonts w:ascii="宋体" w:hAnsi="宋体"/>
                <w:color w:val="auto"/>
                <w:kern w:val="0"/>
                <w:szCs w:val="21"/>
                <w:highlight w:val="none"/>
              </w:rPr>
            </w:pPr>
            <w:r>
              <w:rPr>
                <w:rFonts w:ascii="宋体" w:hAnsi="宋体" w:hint="eastAsia"/>
                <w:color w:val="auto"/>
                <w:kern w:val="0"/>
                <w:szCs w:val="21"/>
                <w:highlight w:val="none"/>
              </w:rPr>
              <w:t>数量及</w:t>
            </w:r>
          </w:p>
          <w:p>
            <w:pPr>
              <w:widowControl/>
              <w:snapToGrid w:val="0"/>
              <w:spacing w:line="480" w:lineRule="exact"/>
              <w:jc w:val="center"/>
              <w:rPr>
                <w:rFonts w:ascii="宋体" w:hAnsi="宋体"/>
                <w:color w:val="auto"/>
                <w:kern w:val="0"/>
                <w:szCs w:val="21"/>
                <w:highlight w:val="none"/>
              </w:rPr>
            </w:pPr>
            <w:r>
              <w:rPr>
                <w:rFonts w:ascii="宋体" w:hAnsi="宋体" w:hint="eastAsia"/>
                <w:color w:val="auto"/>
                <w:kern w:val="0"/>
                <w:szCs w:val="21"/>
                <w:highlight w:val="none"/>
              </w:rPr>
              <w:t>单位</w:t>
            </w:r>
          </w:p>
        </w:tc>
        <w:tc>
          <w:tcPr>
            <w:tcW w:w="5634" w:type="dxa"/>
            <w:tcBorders>
              <w:top w:val="single" w:sz="4" w:space="0" w:color="auto"/>
              <w:left w:val="single" w:sz="4" w:space="0" w:color="auto"/>
              <w:bottom w:val="single" w:sz="4" w:space="0" w:color="auto"/>
              <w:right w:val="single" w:sz="4" w:space="0" w:color="auto"/>
            </w:tcBorders>
            <w:vAlign w:val="center"/>
          </w:tcPr>
          <w:p>
            <w:pPr>
              <w:widowControl/>
              <w:snapToGrid w:val="0"/>
              <w:spacing w:line="480" w:lineRule="exact"/>
              <w:jc w:val="center"/>
              <w:rPr>
                <w:rFonts w:ascii="宋体" w:hAnsi="宋体"/>
                <w:color w:val="auto"/>
                <w:kern w:val="0"/>
                <w:szCs w:val="21"/>
                <w:highlight w:val="none"/>
              </w:rPr>
            </w:pPr>
            <w:r>
              <w:rPr>
                <w:rFonts w:ascii="宋体" w:hAnsi="宋体" w:hint="eastAsia"/>
                <w:color w:val="auto"/>
                <w:kern w:val="0"/>
                <w:szCs w:val="21"/>
                <w:highlight w:val="none"/>
              </w:rPr>
              <w:t>简要技术需求或者服务要求</w:t>
            </w:r>
          </w:p>
        </w:tc>
      </w:tr>
      <w:tr>
        <w:tblPrEx>
          <w:tblW w:w="0" w:type="auto"/>
          <w:tblInd w:w="0" w:type="dxa"/>
          <w:tblLayout w:type="fixed"/>
          <w:tblCellMar>
            <w:top w:w="0" w:type="dxa"/>
            <w:left w:w="108" w:type="dxa"/>
            <w:bottom w:w="0" w:type="dxa"/>
            <w:right w:w="108" w:type="dxa"/>
          </w:tblCellMar>
        </w:tblPrEx>
        <w:trPr>
          <w:trHeight w:val="537"/>
        </w:trPr>
        <w:tc>
          <w:tcPr>
            <w:tcW w:w="707" w:type="dxa"/>
            <w:tcBorders>
              <w:top w:val="single" w:sz="4" w:space="0" w:color="auto"/>
              <w:left w:val="single" w:sz="4" w:space="0" w:color="auto"/>
              <w:right w:val="single" w:sz="4" w:space="0" w:color="auto"/>
            </w:tcBorders>
            <w:vAlign w:val="center"/>
          </w:tcPr>
          <w:p>
            <w:pPr>
              <w:widowControl/>
              <w:snapToGrid w:val="0"/>
              <w:spacing w:line="480" w:lineRule="exact"/>
              <w:jc w:val="center"/>
              <w:rPr>
                <w:rFonts w:ascii="宋体" w:hAnsi="宋体"/>
                <w:color w:val="auto"/>
                <w:kern w:val="0"/>
                <w:szCs w:val="21"/>
                <w:highlight w:val="none"/>
              </w:rPr>
            </w:pPr>
            <w:r>
              <w:rPr>
                <w:rFonts w:ascii="宋体" w:hAnsi="宋体" w:hint="eastAsia"/>
                <w:color w:val="auto"/>
                <w:kern w:val="0"/>
                <w:szCs w:val="21"/>
                <w:highlight w:val="none"/>
              </w:rPr>
              <w:t>1</w:t>
            </w:r>
          </w:p>
        </w:tc>
        <w:tc>
          <w:tcPr>
            <w:tcW w:w="1528" w:type="dxa"/>
            <w:tcBorders>
              <w:top w:val="single" w:sz="4" w:space="0" w:color="auto"/>
              <w:left w:val="single" w:sz="4" w:space="0" w:color="auto"/>
              <w:right w:val="single" w:sz="4" w:space="0" w:color="auto"/>
            </w:tcBorders>
            <w:vAlign w:val="center"/>
          </w:tcPr>
          <w:p>
            <w:pPr>
              <w:widowControl/>
              <w:snapToGrid w:val="0"/>
              <w:spacing w:line="480" w:lineRule="exact"/>
              <w:jc w:val="center"/>
              <w:rPr>
                <w:rFonts w:ascii="宋体" w:hAnsi="宋体"/>
                <w:color w:val="auto"/>
                <w:kern w:val="0"/>
                <w:szCs w:val="21"/>
                <w:highlight w:val="none"/>
              </w:rPr>
            </w:pPr>
            <w:r>
              <w:rPr>
                <w:rFonts w:ascii="宋体" w:hAnsi="宋体" w:hint="eastAsia"/>
                <w:color w:val="auto"/>
                <w:kern w:val="0"/>
                <w:szCs w:val="21"/>
                <w:highlight w:val="none"/>
              </w:rPr>
              <w:t>国家税务总局柳州市税务局2025-2026年物业管理服务项目</w:t>
            </w:r>
          </w:p>
        </w:tc>
        <w:tc>
          <w:tcPr>
            <w:tcW w:w="1134" w:type="dxa"/>
            <w:tcBorders>
              <w:top w:val="single" w:sz="4" w:space="0" w:color="auto"/>
              <w:left w:val="single" w:sz="4" w:space="0" w:color="auto"/>
              <w:right w:val="single" w:sz="4" w:space="0" w:color="auto"/>
            </w:tcBorders>
            <w:vAlign w:val="center"/>
          </w:tcPr>
          <w:p>
            <w:pPr>
              <w:widowControl/>
              <w:snapToGrid w:val="0"/>
              <w:spacing w:line="480" w:lineRule="exact"/>
              <w:jc w:val="center"/>
              <w:rPr>
                <w:rFonts w:ascii="宋体" w:hAnsi="宋体"/>
                <w:color w:val="auto"/>
                <w:kern w:val="0"/>
                <w:szCs w:val="21"/>
                <w:highlight w:val="none"/>
              </w:rPr>
            </w:pPr>
            <w:r>
              <w:rPr>
                <w:rFonts w:ascii="宋体" w:hAnsi="宋体"/>
                <w:color w:val="auto"/>
                <w:kern w:val="0"/>
                <w:szCs w:val="21"/>
                <w:highlight w:val="none"/>
              </w:rPr>
              <w:t>1项</w:t>
            </w:r>
          </w:p>
        </w:tc>
        <w:tc>
          <w:tcPr>
            <w:tcW w:w="5634" w:type="dxa"/>
            <w:tcBorders>
              <w:top w:val="single" w:sz="4" w:space="0" w:color="auto"/>
              <w:left w:val="single" w:sz="4" w:space="0" w:color="auto"/>
              <w:bottom w:val="single" w:sz="4" w:space="0" w:color="auto"/>
              <w:right w:val="single" w:sz="4" w:space="0" w:color="auto"/>
            </w:tcBorders>
            <w:vAlign w:val="center"/>
          </w:tcPr>
          <w:p>
            <w:pPr>
              <w:widowControl/>
              <w:snapToGrid w:val="0"/>
              <w:spacing w:line="480" w:lineRule="exact"/>
              <w:ind w:firstLine="480"/>
              <w:jc w:val="left"/>
              <w:rPr>
                <w:rFonts w:ascii="宋体" w:hAnsi="宋体"/>
                <w:color w:val="auto"/>
                <w:kern w:val="0"/>
                <w:szCs w:val="21"/>
                <w:highlight w:val="none"/>
              </w:rPr>
            </w:pPr>
            <w:r>
              <w:rPr>
                <w:rFonts w:ascii="宋体" w:hAnsi="宋体" w:hint="eastAsia"/>
                <w:color w:val="auto"/>
                <w:kern w:val="0"/>
                <w:szCs w:val="21"/>
                <w:highlight w:val="none"/>
              </w:rPr>
              <w:t>本项目为国家税务总局柳州市税务局各办公区提供物业管理服务，包括综合服务、供电设备监控维护、房屋的日常养护、公共设施设备的日常清洁养护及管理（含给排水系统管理维护、空调系统维护、消防系统管理维护、电梯运行维护）、保洁服务、绿化服务、秩序维护服务、会议服务、应急管理等各项工作。如需进一步了解详细内容，详见本项目招标文件。</w:t>
            </w:r>
          </w:p>
        </w:tc>
      </w:tr>
    </w:tbl>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合同履行期限：2年。</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本项目不接受联合体投标。</w:t>
      </w:r>
    </w:p>
    <w:p>
      <w:pPr>
        <w:spacing w:line="360" w:lineRule="auto"/>
        <w:rPr>
          <w:rFonts w:ascii="宋体" w:hAnsi="宋体"/>
          <w:color w:val="auto"/>
          <w:szCs w:val="21"/>
          <w:highlight w:val="none"/>
        </w:rPr>
      </w:pPr>
      <w:r>
        <w:rPr>
          <w:rFonts w:ascii="宋体" w:hAnsi="宋体" w:hint="eastAsia"/>
          <w:color w:val="auto"/>
          <w:szCs w:val="21"/>
          <w:highlight w:val="none"/>
        </w:rPr>
        <w:t>二、申请人的资格要求</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1.符合国家有关法律规定，在中国境内（指关境内）注册。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.满足《中华人民共和国政府采购法》第二十二条规定。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.落实政府采购政策需满足的资格要求：</w:t>
      </w:r>
      <w:r>
        <w:rPr>
          <w:rFonts w:asciiTheme="minorEastAsia" w:eastAsiaTheme="minorEastAsia" w:hAnsiTheme="minorEastAsia" w:hint="eastAsia"/>
          <w:iCs/>
          <w:color w:val="auto"/>
          <w:szCs w:val="21"/>
          <w:highlight w:val="none"/>
          <w:u w:val="single"/>
        </w:rPr>
        <w:t>本项目属于预留采购预算总额的</w:t>
      </w:r>
      <w:r>
        <w:rPr>
          <w:rFonts w:asciiTheme="minorEastAsia" w:eastAsiaTheme="minorEastAsia" w:hAnsiTheme="minorEastAsia"/>
          <w:iCs/>
          <w:color w:val="auto"/>
          <w:szCs w:val="21"/>
          <w:highlight w:val="none"/>
          <w:u w:val="single"/>
        </w:rPr>
        <w:t>35</w:t>
      </w:r>
      <w:r>
        <w:rPr>
          <w:rFonts w:asciiTheme="minorEastAsia" w:eastAsiaTheme="minorEastAsia" w:hAnsiTheme="minorEastAsia" w:hint="eastAsia"/>
          <w:iCs/>
          <w:color w:val="auto"/>
          <w:szCs w:val="21"/>
          <w:highlight w:val="none"/>
          <w:u w:val="single"/>
        </w:rPr>
        <w:t>%（含）以上专门面向小微企业采购项目，根据《政府采购促进中小企业发展管理办法》财库〔2020〕46号文件要求，如投标人为大型或中型企业的，必须在获得本项目采购合同后，将采购项目预算金额3</w:t>
      </w:r>
      <w:r>
        <w:rPr>
          <w:rFonts w:asciiTheme="minorEastAsia" w:eastAsiaTheme="minorEastAsia" w:hAnsiTheme="minorEastAsia"/>
          <w:iCs/>
          <w:color w:val="auto"/>
          <w:szCs w:val="21"/>
          <w:highlight w:val="none"/>
          <w:u w:val="single"/>
        </w:rPr>
        <w:t>5</w:t>
      </w:r>
      <w:r>
        <w:rPr>
          <w:rFonts w:asciiTheme="minorEastAsia" w:eastAsiaTheme="minorEastAsia" w:hAnsiTheme="minorEastAsia" w:hint="eastAsia"/>
          <w:iCs/>
          <w:color w:val="auto"/>
          <w:szCs w:val="21"/>
          <w:highlight w:val="none"/>
          <w:u w:val="single"/>
        </w:rPr>
        <w:t>%（含）以上的比例分包给一家或多家小微型企业。接受分包合同的供应商须为小型、微型企业，接受分包合同的小微企业与分包企业之间不得存在直接控股、管理关系。【供应商须提供采购预留承诺函（格式自拟）。（注：如果供应商本身提供的所有服务均由小微企业提供，视同符合上述资格条件，无需再向小微企业分包。）】</w:t>
      </w:r>
      <w:r>
        <w:rPr>
          <w:rFonts w:asciiTheme="minorEastAsia" w:eastAsiaTheme="minorEastAsia" w:hAnsiTheme="minorEastAsia" w:hint="eastAsia"/>
          <w:color w:val="auto"/>
          <w:szCs w:val="21"/>
          <w:highlight w:val="none"/>
        </w:rPr>
        <w:t>。</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4</w:t>
      </w:r>
      <w:r>
        <w:rPr>
          <w:rFonts w:ascii="宋体" w:hAnsi="宋体" w:hint="eastAsia"/>
          <w:color w:val="auto"/>
          <w:szCs w:val="21"/>
          <w:highlight w:val="none"/>
        </w:rPr>
        <w:t>.本项目的特定资格要求：</w:t>
      </w:r>
      <w:r>
        <w:rPr>
          <w:rFonts w:ascii="宋体" w:hAnsi="宋体" w:hint="eastAsia"/>
          <w:color w:val="auto"/>
          <w:szCs w:val="21"/>
          <w:highlight w:val="none"/>
          <w:u w:val="single"/>
        </w:rPr>
        <w:t>无</w:t>
      </w:r>
      <w:r>
        <w:rPr>
          <w:rFonts w:ascii="宋体" w:hAnsi="宋体" w:hint="eastAsia"/>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6.单位负责人为同一人或者存在直接控股、管理关系的不同供应商，不得参加同一合同项下的政府采购活动。</w:t>
      </w:r>
    </w:p>
    <w:p>
      <w:pPr>
        <w:spacing w:line="360" w:lineRule="auto"/>
        <w:ind w:firstLine="420" w:firstLineChars="200"/>
        <w:rPr>
          <w:rFonts w:ascii="宋体" w:hAnsi="宋体"/>
          <w:i/>
          <w:iCs/>
          <w:color w:val="auto"/>
          <w:szCs w:val="21"/>
          <w:highlight w:val="none"/>
          <w:u w:val="single"/>
        </w:rPr>
      </w:pPr>
      <w:r>
        <w:rPr>
          <w:rFonts w:ascii="宋体" w:hAnsi="宋体" w:cs="宋体" w:hint="eastAsia"/>
          <w:color w:val="auto"/>
          <w:szCs w:val="21"/>
          <w:highlight w:val="none"/>
        </w:rPr>
        <w:t>7.为本项目提供整体设计、规范编制或者项目管理、监理、检测等服务的供应商，不得再参加本次政府采购活动。</w:t>
      </w:r>
    </w:p>
    <w:p>
      <w:pPr>
        <w:spacing w:line="360" w:lineRule="auto"/>
        <w:rPr>
          <w:rFonts w:ascii="宋体" w:hAnsi="宋体"/>
          <w:color w:val="auto"/>
          <w:szCs w:val="21"/>
          <w:highlight w:val="none"/>
        </w:rPr>
      </w:pPr>
      <w:r>
        <w:rPr>
          <w:rFonts w:ascii="宋体" w:hAnsi="宋体" w:hint="eastAsia"/>
          <w:color w:val="auto"/>
          <w:szCs w:val="21"/>
          <w:highlight w:val="none"/>
        </w:rPr>
        <w:t>三、获取招标文件</w:t>
      </w:r>
    </w:p>
    <w:p>
      <w:pPr>
        <w:spacing w:line="360" w:lineRule="auto"/>
        <w:ind w:firstLine="540"/>
        <w:rPr>
          <w:rFonts w:ascii="宋体" w:hAnsi="宋体" w:cs="宋体" w:hint="eastAsia"/>
          <w:color w:val="auto"/>
          <w:szCs w:val="21"/>
          <w:highlight w:val="none"/>
        </w:rPr>
      </w:pPr>
      <w:r>
        <w:rPr>
          <w:rFonts w:ascii="宋体" w:hAnsi="宋体" w:cs="宋体" w:hint="eastAsia"/>
          <w:color w:val="auto"/>
          <w:szCs w:val="21"/>
          <w:highlight w:val="none"/>
        </w:rPr>
        <w:t>时间：</w:t>
      </w:r>
      <w:r>
        <w:rPr>
          <w:rFonts w:asciiTheme="minorEastAsia" w:eastAsiaTheme="minorEastAsia" w:hAnsiTheme="minorEastAsia" w:cs="宋体" w:hint="eastAsia"/>
          <w:color w:val="auto"/>
          <w:szCs w:val="21"/>
          <w:highlight w:val="none"/>
          <w:u w:val="single"/>
        </w:rPr>
        <w:t>2024年</w:t>
      </w:r>
      <w:r>
        <w:rPr>
          <w:rFonts w:asciiTheme="minorEastAsia" w:eastAsiaTheme="minorEastAsia" w:hAnsiTheme="minorEastAsia" w:cs="宋体" w:hint="eastAsia"/>
          <w:color w:val="auto"/>
          <w:szCs w:val="21"/>
          <w:highlight w:val="none"/>
          <w:u w:val="single"/>
          <w:lang w:val="en-US" w:eastAsia="zh-CN"/>
        </w:rPr>
        <w:t>10</w:t>
      </w:r>
      <w:r>
        <w:rPr>
          <w:rFonts w:asciiTheme="minorEastAsia" w:eastAsiaTheme="minorEastAsia" w:hAnsiTheme="minorEastAsia" w:cs="宋体" w:hint="eastAsia"/>
          <w:color w:val="auto"/>
          <w:szCs w:val="21"/>
          <w:highlight w:val="none"/>
          <w:u w:val="single"/>
        </w:rPr>
        <w:t>月</w:t>
      </w:r>
      <w:r>
        <w:rPr>
          <w:rFonts w:asciiTheme="minorEastAsia" w:eastAsiaTheme="minorEastAsia" w:hAnsiTheme="minorEastAsia" w:cs="宋体" w:hint="eastAsia"/>
          <w:color w:val="auto"/>
          <w:szCs w:val="21"/>
          <w:highlight w:val="none"/>
          <w:u w:val="single"/>
          <w:lang w:val="en-US" w:eastAsia="zh-CN"/>
        </w:rPr>
        <w:t>23</w:t>
      </w:r>
      <w:r>
        <w:rPr>
          <w:rFonts w:asciiTheme="minorEastAsia" w:eastAsiaTheme="minorEastAsia" w:hAnsiTheme="minorEastAsia" w:cs="宋体" w:hint="eastAsia"/>
          <w:color w:val="auto"/>
          <w:szCs w:val="21"/>
          <w:highlight w:val="none"/>
          <w:u w:val="single"/>
        </w:rPr>
        <w:t>日</w:t>
      </w:r>
      <w:r>
        <w:rPr>
          <w:rFonts w:ascii="宋体" w:hAnsi="宋体" w:cs="宋体" w:hint="eastAsia"/>
          <w:color w:val="auto"/>
          <w:szCs w:val="21"/>
          <w:highlight w:val="none"/>
        </w:rPr>
        <w:t>至</w:t>
      </w:r>
      <w:r>
        <w:rPr>
          <w:rFonts w:asciiTheme="minorEastAsia" w:eastAsiaTheme="minorEastAsia" w:hAnsiTheme="minorEastAsia" w:cs="宋体" w:hint="eastAsia"/>
          <w:color w:val="auto"/>
          <w:szCs w:val="21"/>
          <w:highlight w:val="none"/>
          <w:u w:val="single"/>
        </w:rPr>
        <w:t>2024年</w:t>
      </w:r>
      <w:r>
        <w:rPr>
          <w:rFonts w:asciiTheme="minorEastAsia" w:eastAsiaTheme="minorEastAsia" w:hAnsiTheme="minorEastAsia" w:cs="宋体" w:hint="eastAsia"/>
          <w:color w:val="auto"/>
          <w:szCs w:val="21"/>
          <w:highlight w:val="none"/>
          <w:u w:val="single"/>
          <w:lang w:val="en-US" w:eastAsia="zh-CN"/>
        </w:rPr>
        <w:t>10</w:t>
      </w:r>
      <w:r>
        <w:rPr>
          <w:rFonts w:asciiTheme="minorEastAsia" w:eastAsiaTheme="minorEastAsia" w:hAnsiTheme="minorEastAsia" w:cs="宋体" w:hint="eastAsia"/>
          <w:color w:val="auto"/>
          <w:szCs w:val="21"/>
          <w:highlight w:val="none"/>
          <w:u w:val="single"/>
        </w:rPr>
        <w:t>月</w:t>
      </w:r>
      <w:r>
        <w:rPr>
          <w:rFonts w:asciiTheme="minorEastAsia" w:eastAsiaTheme="minorEastAsia" w:hAnsiTheme="minorEastAsia" w:cs="宋体" w:hint="eastAsia"/>
          <w:color w:val="auto"/>
          <w:szCs w:val="21"/>
          <w:highlight w:val="none"/>
          <w:u w:val="single"/>
          <w:lang w:val="en-US" w:eastAsia="zh-CN"/>
        </w:rPr>
        <w:t>30</w:t>
      </w:r>
      <w:r>
        <w:rPr>
          <w:rFonts w:asciiTheme="minorEastAsia" w:eastAsiaTheme="minorEastAsia" w:hAnsiTheme="minorEastAsia" w:cs="宋体" w:hint="eastAsia"/>
          <w:color w:val="auto"/>
          <w:szCs w:val="21"/>
          <w:highlight w:val="none"/>
          <w:u w:val="single"/>
        </w:rPr>
        <w:t>日</w:t>
      </w:r>
      <w:r>
        <w:rPr>
          <w:rFonts w:ascii="宋体" w:hAnsi="宋体" w:cs="宋体" w:hint="eastAsia"/>
          <w:color w:val="auto"/>
          <w:szCs w:val="21"/>
          <w:highlight w:val="none"/>
        </w:rPr>
        <w:t>，每天上午00：00至12：00，下午12：00至23：59（北京时间，法定节假日除外）</w:t>
      </w:r>
    </w:p>
    <w:p>
      <w:pPr>
        <w:spacing w:line="360" w:lineRule="auto"/>
        <w:ind w:firstLine="540"/>
        <w:rPr>
          <w:rFonts w:ascii="宋体" w:hAnsi="宋体" w:cs="宋体"/>
          <w:color w:val="auto"/>
          <w:szCs w:val="21"/>
          <w:highlight w:val="none"/>
        </w:rPr>
      </w:pPr>
      <w:r>
        <w:rPr>
          <w:rFonts w:ascii="宋体" w:hAnsi="宋体" w:cs="宋体" w:hint="eastAsia"/>
          <w:color w:val="auto"/>
          <w:szCs w:val="21"/>
          <w:highlight w:val="none"/>
        </w:rPr>
        <w:t>地点：国家税务总局政府采购评审管理系统</w:t>
      </w:r>
    </w:p>
    <w:p>
      <w:pPr>
        <w:spacing w:line="360" w:lineRule="auto"/>
        <w:ind w:firstLine="540"/>
        <w:rPr>
          <w:rFonts w:ascii="宋体" w:hAnsi="宋体" w:cs="宋体"/>
          <w:color w:val="auto"/>
          <w:szCs w:val="21"/>
          <w:highlight w:val="none"/>
        </w:rPr>
      </w:pPr>
      <w:r>
        <w:rPr>
          <w:rFonts w:ascii="宋体" w:hAnsi="宋体" w:cs="宋体" w:hint="eastAsia"/>
          <w:color w:val="auto"/>
          <w:szCs w:val="21"/>
          <w:highlight w:val="none"/>
        </w:rPr>
        <w:t>方式：在线下载</w:t>
      </w:r>
      <w:r>
        <w:rPr>
          <w:rFonts w:ascii="宋体" w:hAnsi="宋体" w:cs="宋体"/>
          <w:color w:val="auto"/>
          <w:szCs w:val="21"/>
          <w:highlight w:val="none"/>
        </w:rPr>
        <w:t xml:space="preserve"> </w:t>
      </w:r>
    </w:p>
    <w:p>
      <w:pPr>
        <w:spacing w:line="360" w:lineRule="auto"/>
        <w:ind w:firstLine="540"/>
        <w:rPr>
          <w:rFonts w:ascii="宋体" w:hAnsi="宋体" w:cs="宋体"/>
          <w:color w:val="auto"/>
          <w:szCs w:val="21"/>
          <w:highlight w:val="none"/>
        </w:rPr>
      </w:pPr>
      <w:r>
        <w:rPr>
          <w:rFonts w:ascii="宋体" w:hAnsi="宋体" w:cs="宋体"/>
          <w:color w:val="auto"/>
          <w:szCs w:val="21"/>
          <w:highlight w:val="none"/>
        </w:rPr>
        <w:t>售价</w:t>
      </w:r>
      <w:r>
        <w:rPr>
          <w:rFonts w:ascii="宋体" w:hAnsi="宋体" w:cs="宋体" w:hint="eastAsia"/>
          <w:color w:val="auto"/>
          <w:szCs w:val="21"/>
          <w:highlight w:val="none"/>
        </w:rPr>
        <w:t>：免费</w:t>
      </w:r>
    </w:p>
    <w:p>
      <w:pPr>
        <w:spacing w:line="360" w:lineRule="auto"/>
        <w:rPr>
          <w:rFonts w:ascii="宋体" w:hAnsi="宋体"/>
          <w:color w:val="auto"/>
          <w:szCs w:val="21"/>
          <w:highlight w:val="none"/>
        </w:rPr>
      </w:pPr>
      <w:r>
        <w:rPr>
          <w:rFonts w:ascii="宋体" w:hAnsi="宋体" w:hint="eastAsia"/>
          <w:color w:val="auto"/>
          <w:szCs w:val="21"/>
          <w:highlight w:val="none"/>
        </w:rPr>
        <w:t>四、提交投标文件截止时间、开标时间和地点</w:t>
      </w:r>
    </w:p>
    <w:p>
      <w:pPr>
        <w:spacing w:line="360" w:lineRule="auto"/>
        <w:ind w:firstLine="420" w:firstLineChars="200"/>
        <w:rPr>
          <w:rFonts w:ascii="宋体" w:hAnsi="宋体"/>
          <w:bCs/>
          <w:color w:val="auto"/>
          <w:szCs w:val="21"/>
          <w:highlight w:val="none"/>
        </w:rPr>
      </w:pPr>
      <w:r>
        <w:rPr>
          <w:rFonts w:ascii="宋体" w:hAnsi="宋体" w:hint="eastAsia"/>
          <w:bCs/>
          <w:color w:val="auto"/>
          <w:szCs w:val="21"/>
          <w:highlight w:val="none"/>
        </w:rPr>
        <w:t>1.投标文件递交截止时间及开标时间：</w:t>
      </w:r>
      <w:r>
        <w:rPr>
          <w:rFonts w:ascii="宋体" w:hAnsi="宋体"/>
          <w:color w:val="auto"/>
          <w:szCs w:val="21"/>
          <w:highlight w:val="none"/>
          <w:u w:val="single"/>
        </w:rPr>
        <w:t>2024</w:t>
      </w:r>
      <w:r>
        <w:rPr>
          <w:rFonts w:ascii="宋体" w:hAnsi="宋体" w:hint="eastAsia"/>
          <w:bCs/>
          <w:color w:val="auto"/>
          <w:szCs w:val="21"/>
          <w:highlight w:val="none"/>
          <w:u w:val="single"/>
        </w:rPr>
        <w:t>年</w:t>
      </w:r>
      <w:r>
        <w:rPr>
          <w:rFonts w:ascii="宋体" w:hAnsi="宋体" w:hint="eastAsia"/>
          <w:bCs/>
          <w:color w:val="auto"/>
          <w:szCs w:val="21"/>
          <w:highlight w:val="none"/>
          <w:u w:val="single"/>
          <w:lang w:val="en-US" w:eastAsia="zh-CN"/>
        </w:rPr>
        <w:t>11</w:t>
      </w:r>
      <w:r>
        <w:rPr>
          <w:rFonts w:ascii="宋体" w:hAnsi="宋体"/>
          <w:bCs/>
          <w:color w:val="auto"/>
          <w:szCs w:val="21"/>
          <w:highlight w:val="none"/>
          <w:u w:val="single"/>
        </w:rPr>
        <w:t>月</w:t>
      </w:r>
      <w:r>
        <w:rPr>
          <w:rFonts w:ascii="宋体" w:hAnsi="宋体" w:hint="eastAsia"/>
          <w:bCs/>
          <w:color w:val="auto"/>
          <w:szCs w:val="21"/>
          <w:highlight w:val="none"/>
          <w:u w:val="single"/>
          <w:lang w:val="en-US" w:eastAsia="zh-CN"/>
        </w:rPr>
        <w:t>13</w:t>
      </w:r>
      <w:r>
        <w:rPr>
          <w:rFonts w:ascii="宋体" w:hAnsi="宋体"/>
          <w:bCs/>
          <w:color w:val="auto"/>
          <w:szCs w:val="21"/>
          <w:highlight w:val="none"/>
          <w:u w:val="single"/>
        </w:rPr>
        <w:t>日</w:t>
      </w:r>
      <w:r>
        <w:rPr>
          <w:rFonts w:asciiTheme="minorEastAsia" w:eastAsiaTheme="minorEastAsia" w:hAnsiTheme="minorEastAsia" w:cs="宋体" w:hint="eastAsia"/>
          <w:color w:val="auto"/>
          <w:szCs w:val="21"/>
          <w:highlight w:val="none"/>
          <w:u w:val="single"/>
        </w:rPr>
        <w:t>9点30分00秒</w:t>
      </w:r>
      <w:r>
        <w:rPr>
          <w:rFonts w:ascii="宋体" w:hAnsi="宋体" w:hint="eastAsia"/>
          <w:bCs/>
          <w:color w:val="auto"/>
          <w:szCs w:val="21"/>
          <w:highlight w:val="none"/>
        </w:rPr>
        <w:t>（北京时间）。</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w:t>
      </w:r>
      <w:r>
        <w:rPr>
          <w:rFonts w:ascii="宋体" w:hAnsi="宋体" w:hint="eastAsia"/>
          <w:bCs/>
          <w:color w:val="auto"/>
          <w:szCs w:val="21"/>
          <w:highlight w:val="none"/>
        </w:rPr>
        <w:t>.地点：本项目采用国家税务总局政府采购评审管理系统进行网上投标、开标。</w:t>
      </w:r>
    </w:p>
    <w:p>
      <w:pPr>
        <w:spacing w:line="360" w:lineRule="auto"/>
        <w:rPr>
          <w:rFonts w:ascii="宋体" w:hAnsi="宋体"/>
          <w:color w:val="auto"/>
          <w:szCs w:val="21"/>
          <w:highlight w:val="none"/>
        </w:rPr>
      </w:pPr>
      <w:r>
        <w:rPr>
          <w:rFonts w:ascii="宋体" w:hAnsi="宋体" w:hint="eastAsia"/>
          <w:color w:val="auto"/>
          <w:szCs w:val="21"/>
          <w:highlight w:val="none"/>
        </w:rPr>
        <w:t>五、公告期限</w:t>
      </w:r>
    </w:p>
    <w:p>
      <w:pPr>
        <w:spacing w:line="360" w:lineRule="auto"/>
        <w:ind w:firstLine="420" w:firstLineChars="200"/>
        <w:rPr>
          <w:rFonts w:ascii="宋体" w:hAnsi="宋体" w:cs="宋体"/>
          <w:color w:val="auto"/>
          <w:kern w:val="0"/>
          <w:szCs w:val="21"/>
          <w:highlight w:val="none"/>
        </w:rPr>
      </w:pPr>
      <w:r>
        <w:rPr>
          <w:rFonts w:ascii="宋体" w:hAnsi="宋体" w:cs="宋体" w:hint="eastAsia"/>
          <w:color w:val="auto"/>
          <w:kern w:val="0"/>
          <w:szCs w:val="21"/>
          <w:highlight w:val="none"/>
        </w:rPr>
        <w:t>自本公告发布之日起5个工作日。</w:t>
      </w:r>
    </w:p>
    <w:p>
      <w:pPr>
        <w:spacing w:line="360" w:lineRule="auto"/>
        <w:rPr>
          <w:rFonts w:ascii="宋体" w:hAnsi="宋体"/>
          <w:color w:val="auto"/>
          <w:szCs w:val="21"/>
          <w:highlight w:val="none"/>
        </w:rPr>
      </w:pPr>
      <w:r>
        <w:rPr>
          <w:rFonts w:ascii="宋体" w:hAnsi="宋体" w:hint="eastAsia"/>
          <w:color w:val="auto"/>
          <w:szCs w:val="21"/>
          <w:highlight w:val="none"/>
        </w:rPr>
        <w:t>六、其他补充事宜</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1.本项目采用国家税务总局政府采购评审管理系统进行招投标，请在投标前详细阅读国家税务总局集中采购中心网站（https://swcg.chinatax.gov.cn）《供应商操作手册》。</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2.供应商在国家税务总局集中采购中心网站，点击“供应商登录”，完成注册，登录国家税务总局政府采购评审管理系统，报名并免费下载采购文件电子版。没有报名的供应商，不能参加本项目采购活动。</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3.供应商制作投标文件前须提前办理数字证书和电子签章，办理方式和注意事项详见网站《供应商操作手册》。</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4.供应商在国家税务总局集中采购中心网站“下载中心”下载并安装“供应商投标工具”，使用投标工具编制投标文件，并在提交投标文件截止时间前加密上传。除上述方式之外，不接受以纸质文件以及其他任何方式提交的投标文件。</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5.本项目通过国家税务总局政府采购评审管理系统进行开标，投标人应在开标前登录系统点击“开标大厅”，参加开标过程并确认开标结果，投标人未参加开标的视同认同开标结果。</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6.供应商在投标过程中涉及系统操作的技术问题，可致电系统服务热线：15195887725。</w:t>
      </w:r>
    </w:p>
    <w:p>
      <w:pPr>
        <w:wordWrap w:val="0"/>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7.公告媒体：中国政府采购网（www.ccgp.gov.cn）、国家税务总局集中采购中心网站（https://swcg.chinatax.gov.cn）、国家税务总局广西壮族自治区税务局网（http://guangxi.chinatax.gov.cn/）、国家税务总局广西壮族自治区税务局柳州频道（http://guangxi.chinatax.gov.cn/liuzhou/）。</w:t>
      </w:r>
    </w:p>
    <w:p>
      <w:pPr>
        <w:spacing w:line="360" w:lineRule="auto"/>
        <w:ind w:firstLine="420" w:firstLineChars="200"/>
        <w:rPr>
          <w:rFonts w:ascii="宋体" w:hAnsi="宋体"/>
          <w:color w:val="auto"/>
          <w:szCs w:val="21"/>
          <w:highlight w:val="none"/>
        </w:rPr>
      </w:pPr>
      <w:r>
        <w:rPr>
          <w:rFonts w:ascii="宋体" w:hAnsi="宋体" w:hint="eastAsia"/>
          <w:color w:val="auto"/>
          <w:szCs w:val="21"/>
          <w:highlight w:val="none"/>
        </w:rPr>
        <w:t>8.本项目需要落实的政府采购政策：（1）政府采购促进中小企业发展政策；（2）政府采购促进残疾人就业政策；（3）政府采购支持监狱企业发展政策。</w:t>
      </w:r>
    </w:p>
    <w:p>
      <w:pPr>
        <w:spacing w:line="360" w:lineRule="auto"/>
        <w:rPr>
          <w:rFonts w:ascii="宋体" w:hAnsi="宋体"/>
          <w:color w:val="auto"/>
          <w:szCs w:val="21"/>
          <w:highlight w:val="none"/>
        </w:rPr>
      </w:pPr>
      <w:r>
        <w:rPr>
          <w:rFonts w:ascii="宋体" w:hAnsi="宋体" w:hint="eastAsia"/>
          <w:color w:val="auto"/>
          <w:szCs w:val="21"/>
          <w:highlight w:val="none"/>
        </w:rPr>
        <w:t>七、对本次招标提出询问，请按以下方式联系。</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1.采购人信息</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名称：</w:t>
      </w:r>
      <w:r>
        <w:rPr>
          <w:rFonts w:ascii="宋体" w:hAnsi="宋体" w:cs="宋体" w:hint="eastAsia"/>
          <w:color w:val="auto"/>
          <w:szCs w:val="21"/>
          <w:highlight w:val="none"/>
          <w:u w:val="single"/>
        </w:rPr>
        <w:t>国家税务总局柳州市税务局</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地址：</w:t>
      </w:r>
      <w:r>
        <w:rPr>
          <w:rFonts w:ascii="宋体" w:hAnsi="宋体" w:cs="宋体" w:hint="eastAsia"/>
          <w:color w:val="auto"/>
          <w:szCs w:val="21"/>
          <w:highlight w:val="none"/>
          <w:u w:val="single"/>
        </w:rPr>
        <w:t>广西柳州市城中区潭中东路26号</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联系方式：</w:t>
      </w:r>
      <w:r>
        <w:rPr>
          <w:rFonts w:ascii="宋体" w:hAnsi="宋体" w:cs="宋体" w:hint="eastAsia"/>
          <w:color w:val="auto"/>
          <w:szCs w:val="21"/>
          <w:highlight w:val="none"/>
          <w:u w:val="single"/>
        </w:rPr>
        <w:t>梁峰瑜，覃燕倩 0771-5562132，0771-5651320</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2.采购代理机构信息：无。</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3.项目联系方式</w:t>
      </w:r>
    </w:p>
    <w:p>
      <w:pPr>
        <w:widowControl/>
        <w:spacing w:line="360" w:lineRule="auto"/>
        <w:ind w:firstLine="420" w:firstLineChars="200"/>
        <w:jc w:val="left"/>
        <w:rPr>
          <w:rFonts w:ascii="宋体" w:hAnsi="宋体" w:cs="宋体"/>
          <w:color w:val="auto"/>
          <w:szCs w:val="21"/>
          <w:highlight w:val="none"/>
        </w:rPr>
      </w:pPr>
      <w:r>
        <w:rPr>
          <w:rFonts w:ascii="宋体" w:hAnsi="宋体" w:cs="宋体" w:hint="eastAsia"/>
          <w:color w:val="auto"/>
          <w:szCs w:val="21"/>
          <w:highlight w:val="none"/>
        </w:rPr>
        <w:t>项目联系人：</w:t>
      </w:r>
      <w:r>
        <w:rPr>
          <w:rFonts w:ascii="宋体" w:hAnsi="宋体" w:cs="宋体" w:hint="eastAsia"/>
          <w:color w:val="auto"/>
          <w:szCs w:val="21"/>
          <w:highlight w:val="none"/>
          <w:u w:val="single"/>
        </w:rPr>
        <w:t xml:space="preserve">梁峰瑜，覃燕倩 </w:t>
      </w:r>
    </w:p>
    <w:p>
      <w:pPr>
        <w:widowControl/>
        <w:spacing w:line="360" w:lineRule="auto"/>
        <w:ind w:firstLine="420" w:firstLineChars="200"/>
        <w:jc w:val="left"/>
        <w:rPr>
          <w:rFonts w:ascii="宋体" w:hAnsi="宋体"/>
          <w:color w:val="auto"/>
          <w:szCs w:val="21"/>
          <w:highlight w:val="none"/>
          <w:u w:val="single"/>
        </w:rPr>
      </w:pPr>
      <w:r>
        <w:rPr>
          <w:rFonts w:ascii="宋体" w:hAnsi="宋体" w:cs="宋体" w:hint="eastAsia"/>
          <w:color w:val="auto"/>
          <w:szCs w:val="21"/>
          <w:highlight w:val="none"/>
        </w:rPr>
        <w:t>电　话：</w:t>
      </w:r>
      <w:r>
        <w:rPr>
          <w:rFonts w:ascii="宋体" w:hAnsi="宋体" w:cs="宋体" w:hint="eastAsia"/>
          <w:color w:val="auto"/>
          <w:szCs w:val="21"/>
          <w:highlight w:val="none"/>
          <w:u w:val="single"/>
        </w:rPr>
        <w:t>0771-5562132，0771-5651320</w:t>
      </w:r>
    </w:p>
    <w:p>
      <w:pPr>
        <w:spacing w:line="360" w:lineRule="auto"/>
        <w:rPr>
          <w:color w:val="auto"/>
          <w:highlight w:val="none"/>
        </w:rPr>
      </w:pPr>
    </w:p>
    <w:p>
      <w:pPr>
        <w:spacing w:line="360" w:lineRule="auto"/>
        <w:rPr>
          <w:color w:val="auto"/>
          <w:highlight w:val="none"/>
        </w:rPr>
        <w:sectPr>
          <w:footerReference w:type="default" r:id="rId5"/>
          <w:footerReference w:type="first" r:id="rId6"/>
          <w:pgSz w:w="11906" w:h="16838"/>
          <w:pgMar w:top="1418" w:right="1418" w:bottom="1418" w:left="1418" w:header="851" w:footer="992" w:gutter="0"/>
          <w:pgNumType w:start="1"/>
          <w:cols w:num="1" w:space="720"/>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第二章　投标人须知</w:t>
      </w: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投标人须知前附表</w:t>
      </w:r>
    </w:p>
    <w:tbl>
      <w:tblPr>
        <w:tblStyle w:val="TableNormal"/>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72"/>
        <w:gridCol w:w="1672"/>
        <w:gridCol w:w="720"/>
        <w:gridCol w:w="5959"/>
      </w:tblGrid>
      <w:tr>
        <w:tblPrEx>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b/>
                <w:color w:val="auto"/>
                <w:szCs w:val="21"/>
                <w:highlight w:val="none"/>
              </w:rPr>
              <w:t>序号</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b/>
                <w:color w:val="auto"/>
                <w:szCs w:val="21"/>
                <w:highlight w:val="none"/>
              </w:rPr>
              <w:t>类</w:t>
            </w:r>
            <w:r>
              <w:rPr>
                <w:rFonts w:ascii="宋体" w:hAnsi="宋体"/>
                <w:b/>
                <w:color w:val="auto"/>
                <w:szCs w:val="21"/>
                <w:highlight w:val="none"/>
              </w:rPr>
              <w:t xml:space="preserve">  </w:t>
            </w:r>
            <w:r>
              <w:rPr>
                <w:rFonts w:ascii="宋体" w:hAnsi="宋体" w:hint="eastAsia"/>
                <w:b/>
                <w:color w:val="auto"/>
                <w:szCs w:val="21"/>
                <w:highlight w:val="none"/>
              </w:rPr>
              <w:t>别</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b/>
                <w:color w:val="auto"/>
                <w:szCs w:val="21"/>
                <w:highlight w:val="none"/>
              </w:rPr>
              <w:t>内</w:t>
            </w:r>
            <w:r>
              <w:rPr>
                <w:rFonts w:ascii="宋体" w:hAnsi="宋体"/>
                <w:b/>
                <w:color w:val="auto"/>
                <w:szCs w:val="21"/>
                <w:highlight w:val="none"/>
              </w:rPr>
              <w:t xml:space="preserve">     </w:t>
            </w:r>
            <w:r>
              <w:rPr>
                <w:rFonts w:ascii="宋体" w:hAnsi="宋体" w:hint="eastAsia"/>
                <w:b/>
                <w:color w:val="auto"/>
                <w:szCs w:val="21"/>
                <w:highlight w:val="none"/>
              </w:rPr>
              <w:t>容</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1672"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color w:val="auto"/>
                <w:szCs w:val="21"/>
                <w:highlight w:val="none"/>
              </w:rPr>
              <w:t>项目名称、编号、预算及最高限价</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color w:val="auto"/>
                <w:szCs w:val="21"/>
                <w:highlight w:val="none"/>
              </w:rPr>
            </w:pPr>
            <w:r>
              <w:rPr>
                <w:rFonts w:ascii="宋体" w:hAnsi="宋体" w:hint="eastAsia"/>
                <w:color w:val="auto"/>
                <w:szCs w:val="21"/>
                <w:highlight w:val="none"/>
              </w:rPr>
              <w:t>项目名称：</w:t>
            </w:r>
            <w:r>
              <w:rPr>
                <w:rFonts w:ascii="宋体" w:hAnsi="宋体" w:hint="eastAsia"/>
                <w:color w:val="auto"/>
                <w:szCs w:val="21"/>
                <w:highlight w:val="none"/>
                <w:u w:val="single"/>
              </w:rPr>
              <w:t>国家税务总局柳州市税务局2025-2026年物业管理服务项目</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项目编号GX2024-ZXGK-C0091-B00：</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项目预算：</w:t>
            </w:r>
            <w:r>
              <w:rPr>
                <w:rFonts w:asciiTheme="minorEastAsia" w:eastAsiaTheme="minorEastAsia" w:hAnsiTheme="minorEastAsia" w:cs="仿宋_GB2312" w:hint="eastAsia"/>
                <w:color w:val="auto"/>
                <w:spacing w:val="11"/>
                <w:szCs w:val="21"/>
                <w:highlight w:val="none"/>
                <w:u w:val="single"/>
              </w:rPr>
              <w:t>人民币（大写）叁佰叁拾叁万陆仟肆佰元整/年，服务期2年（¥3336400</w:t>
            </w:r>
            <w:r>
              <w:rPr>
                <w:rFonts w:asciiTheme="minorEastAsia" w:eastAsiaTheme="minorEastAsia" w:hAnsiTheme="minorEastAsia" w:cs="仿宋_GB2312"/>
                <w:color w:val="auto"/>
                <w:spacing w:val="11"/>
                <w:szCs w:val="21"/>
                <w:highlight w:val="none"/>
                <w:u w:val="single"/>
              </w:rPr>
              <w:t>.00</w:t>
            </w:r>
            <w:r>
              <w:rPr>
                <w:rFonts w:asciiTheme="minorEastAsia" w:eastAsiaTheme="minorEastAsia" w:hAnsiTheme="minorEastAsia" w:cs="仿宋_GB2312" w:hint="eastAsia"/>
                <w:color w:val="auto"/>
                <w:spacing w:val="11"/>
                <w:szCs w:val="21"/>
                <w:highlight w:val="none"/>
                <w:u w:val="single"/>
              </w:rPr>
              <w:t>元/年，服务期2年）；预算总金额为人民币（大写）陆佰陆拾柒万贰仟捌佰元整（¥6672800.00）。</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最高限价：</w:t>
            </w:r>
            <w:r>
              <w:rPr>
                <w:rFonts w:asciiTheme="minorEastAsia" w:eastAsiaTheme="minorEastAsia" w:hAnsiTheme="minorEastAsia" w:cs="仿宋_GB2312" w:hint="eastAsia"/>
                <w:color w:val="auto"/>
                <w:spacing w:val="11"/>
                <w:szCs w:val="21"/>
                <w:highlight w:val="none"/>
                <w:u w:val="single"/>
              </w:rPr>
              <w:t>人民币（大写）叁佰叁拾叁万陆仟肆佰元整/年，服务期2年（¥3336400</w:t>
            </w:r>
            <w:r>
              <w:rPr>
                <w:rFonts w:asciiTheme="minorEastAsia" w:eastAsiaTheme="minorEastAsia" w:hAnsiTheme="minorEastAsia" w:cs="仿宋_GB2312"/>
                <w:color w:val="auto"/>
                <w:spacing w:val="11"/>
                <w:szCs w:val="21"/>
                <w:highlight w:val="none"/>
                <w:u w:val="single"/>
              </w:rPr>
              <w:t>.00</w:t>
            </w:r>
            <w:r>
              <w:rPr>
                <w:rFonts w:asciiTheme="minorEastAsia" w:eastAsiaTheme="minorEastAsia" w:hAnsiTheme="minorEastAsia" w:cs="仿宋_GB2312" w:hint="eastAsia"/>
                <w:color w:val="auto"/>
                <w:spacing w:val="11"/>
                <w:szCs w:val="21"/>
                <w:highlight w:val="none"/>
                <w:u w:val="single"/>
              </w:rPr>
              <w:t>元/年，服务期2年）；预算总金额为人民币（大写）陆佰陆拾柒万贰仟捌佰元整（¥6672800.00）。</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采购需求</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详见《招标文件（技术部分）》</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3</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项目属性</w:t>
            </w:r>
            <w:r>
              <w:rPr>
                <w:rFonts w:ascii="宋体" w:hAnsi="宋体" w:hint="eastAsia"/>
                <w:color w:val="auto"/>
                <w:szCs w:val="21"/>
                <w:highlight w:val="none"/>
              </w:rPr>
              <w:t>、</w:t>
            </w:r>
            <w:r>
              <w:rPr>
                <w:rFonts w:ascii="宋体" w:hAnsi="宋体"/>
                <w:color w:val="auto"/>
                <w:szCs w:val="21"/>
                <w:highlight w:val="none"/>
              </w:rPr>
              <w:t>类别</w:t>
            </w:r>
            <w:r>
              <w:rPr>
                <w:rFonts w:ascii="宋体" w:hAnsi="宋体" w:hint="eastAsia"/>
                <w:color w:val="auto"/>
                <w:szCs w:val="21"/>
                <w:highlight w:val="none"/>
              </w:rPr>
              <w:t>等</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项目属性：</w:t>
            </w:r>
            <w:r>
              <w:rPr>
                <w:rFonts w:ascii="Wingdings 2" w:hAnsi="Wingdings 2"/>
                <w:color w:val="auto"/>
                <w:szCs w:val="21"/>
                <w:highlight w:val="none"/>
              </w:rPr>
              <w:sym w:font="Wingdings 2" w:char="F0A3"/>
            </w:r>
            <w:r>
              <w:rPr>
                <w:rFonts w:ascii="宋体" w:hAnsi="宋体"/>
                <w:color w:val="auto"/>
                <w:szCs w:val="21"/>
                <w:highlight w:val="none"/>
              </w:rPr>
              <w:t xml:space="preserve">货物           </w:t>
            </w:r>
            <w:r>
              <w:rPr>
                <w:rFonts w:ascii="Wingdings 2" w:hAnsi="Wingdings 2"/>
                <w:color w:val="auto"/>
                <w:szCs w:val="21"/>
                <w:highlight w:val="none"/>
              </w:rPr>
              <w:sym w:font="Wingdings 2" w:char="F052"/>
            </w:r>
            <w:r>
              <w:rPr>
                <w:rFonts w:ascii="宋体" w:hAnsi="宋体"/>
                <w:color w:val="auto"/>
                <w:szCs w:val="21"/>
                <w:highlight w:val="none"/>
              </w:rPr>
              <w:t>服务</w:t>
            </w:r>
          </w:p>
          <w:p>
            <w:pPr>
              <w:spacing w:line="360" w:lineRule="auto"/>
              <w:jc w:val="left"/>
              <w:rPr>
                <w:rFonts w:ascii="宋体" w:hAnsi="宋体"/>
                <w:color w:val="auto"/>
                <w:szCs w:val="21"/>
                <w:highlight w:val="none"/>
              </w:rPr>
            </w:pPr>
            <w:r>
              <w:rPr>
                <w:rFonts w:ascii="宋体" w:hAnsi="宋体"/>
                <w:color w:val="auto"/>
                <w:szCs w:val="21"/>
                <w:highlight w:val="none"/>
              </w:rPr>
              <w:t>项目类别：</w:t>
            </w:r>
            <w:r>
              <w:rPr>
                <w:rFonts w:ascii="Wingdings 2" w:hAnsi="Wingdings 2"/>
                <w:color w:val="auto"/>
                <w:szCs w:val="21"/>
                <w:highlight w:val="none"/>
              </w:rPr>
              <w:sym w:font="Wingdings 2" w:char="F0A3"/>
            </w:r>
            <w:r>
              <w:rPr>
                <w:rFonts w:ascii="宋体" w:hAnsi="宋体"/>
                <w:color w:val="auto"/>
                <w:szCs w:val="21"/>
                <w:highlight w:val="none"/>
              </w:rPr>
              <w:t xml:space="preserve">信息化项目     </w:t>
            </w:r>
            <w:r>
              <w:rPr>
                <w:rFonts w:ascii="Wingdings 2" w:hAnsi="Wingdings 2"/>
                <w:color w:val="auto"/>
                <w:szCs w:val="21"/>
                <w:highlight w:val="none"/>
              </w:rPr>
              <w:sym w:font="Wingdings 2" w:char="F052"/>
            </w:r>
            <w:r>
              <w:rPr>
                <w:rFonts w:ascii="宋体" w:hAnsi="宋体"/>
                <w:color w:val="auto"/>
                <w:szCs w:val="21"/>
                <w:highlight w:val="none"/>
              </w:rPr>
              <w:t>非信息化项目</w:t>
            </w:r>
          </w:p>
          <w:p>
            <w:pPr>
              <w:spacing w:line="360" w:lineRule="auto"/>
              <w:jc w:val="left"/>
              <w:rPr>
                <w:rFonts w:ascii="宋体" w:hAnsi="宋体"/>
                <w:color w:val="auto"/>
                <w:szCs w:val="21"/>
                <w:highlight w:val="none"/>
              </w:rPr>
            </w:pPr>
            <w:r>
              <w:rPr>
                <w:rFonts w:ascii="宋体" w:hAnsi="宋体"/>
                <w:color w:val="auto"/>
                <w:szCs w:val="21"/>
                <w:highlight w:val="none"/>
              </w:rPr>
              <w:t>线上采购项目</w:t>
            </w:r>
            <w:r>
              <w:rPr>
                <w:rFonts w:ascii="宋体" w:hAnsi="宋体" w:hint="eastAsia"/>
                <w:color w:val="auto"/>
                <w:szCs w:val="21"/>
                <w:highlight w:val="none"/>
              </w:rPr>
              <w:t>：</w:t>
            </w:r>
            <w:r>
              <w:rPr>
                <w:rFonts w:ascii="Wingdings 2" w:hAnsi="Wingdings 2"/>
                <w:color w:val="auto"/>
                <w:szCs w:val="21"/>
                <w:highlight w:val="none"/>
              </w:rPr>
              <w:sym w:font="Wingdings 2" w:char="F052"/>
            </w:r>
            <w:r>
              <w:rPr>
                <w:rFonts w:ascii="宋体" w:hAnsi="宋体" w:hint="eastAsia"/>
                <w:color w:val="auto"/>
                <w:szCs w:val="21"/>
                <w:highlight w:val="none"/>
              </w:rPr>
              <w:t>是</w:t>
            </w:r>
            <w:r>
              <w:rPr>
                <w:rFonts w:ascii="宋体" w:hAnsi="宋体"/>
                <w:color w:val="auto"/>
                <w:szCs w:val="21"/>
                <w:highlight w:val="none"/>
              </w:rPr>
              <w:t xml:space="preserve">    </w:t>
            </w:r>
            <w:r>
              <w:rPr>
                <w:rFonts w:ascii="宋体" w:hAnsi="宋体" w:hint="eastAsia"/>
                <w:color w:val="auto"/>
                <w:szCs w:val="21"/>
                <w:highlight w:val="none"/>
              </w:rPr>
              <w:t xml:space="preserve">    </w:t>
            </w:r>
            <w:r>
              <w:rPr>
                <w:rFonts w:ascii="宋体" w:hAnsi="宋体"/>
                <w:color w:val="auto"/>
                <w:szCs w:val="21"/>
                <w:highlight w:val="none"/>
              </w:rPr>
              <w:t xml:space="preserve"> </w:t>
            </w:r>
            <w:r>
              <w:rPr>
                <w:rFonts w:ascii="宋体" w:hAnsi="宋体" w:hint="eastAsia"/>
                <w:color w:val="auto"/>
                <w:szCs w:val="21"/>
                <w:highlight w:val="none"/>
              </w:rPr>
              <w:t>□否</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4</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采购人</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名称：国家税务总局柳州市税务局</w:t>
            </w:r>
          </w:p>
          <w:p>
            <w:pPr>
              <w:spacing w:line="360" w:lineRule="auto"/>
              <w:jc w:val="left"/>
              <w:rPr>
                <w:rFonts w:ascii="宋体" w:hAnsi="宋体"/>
                <w:bCs/>
                <w:color w:val="auto"/>
                <w:szCs w:val="21"/>
                <w:highlight w:val="none"/>
              </w:rPr>
            </w:pPr>
            <w:r>
              <w:rPr>
                <w:rFonts w:ascii="宋体" w:hAnsi="宋体" w:hint="eastAsia"/>
                <w:color w:val="auto"/>
                <w:szCs w:val="21"/>
                <w:highlight w:val="none"/>
              </w:rPr>
              <w:t>地址：广西柳州市城中区潭中东路26号</w:t>
            </w:r>
          </w:p>
          <w:p>
            <w:pPr>
              <w:spacing w:line="360" w:lineRule="auto"/>
              <w:jc w:val="left"/>
              <w:rPr>
                <w:rFonts w:ascii="宋体" w:hAnsi="宋体"/>
                <w:bCs/>
                <w:color w:val="auto"/>
                <w:szCs w:val="21"/>
                <w:highlight w:val="none"/>
                <w:u w:val="single"/>
              </w:rPr>
            </w:pPr>
            <w:r>
              <w:rPr>
                <w:rFonts w:ascii="宋体" w:hAnsi="宋体" w:hint="eastAsia"/>
                <w:color w:val="auto"/>
                <w:szCs w:val="21"/>
                <w:highlight w:val="none"/>
              </w:rPr>
              <w:t>联系</w:t>
            </w:r>
            <w:r>
              <w:rPr>
                <w:rFonts w:ascii="宋体" w:hAnsi="宋体" w:hint="eastAsia"/>
                <w:bCs/>
                <w:color w:val="auto"/>
                <w:szCs w:val="21"/>
                <w:highlight w:val="none"/>
              </w:rPr>
              <w:t>电话：0771-5562132，0771-5651320</w:t>
            </w:r>
          </w:p>
          <w:p>
            <w:pPr>
              <w:spacing w:line="360" w:lineRule="auto"/>
              <w:jc w:val="left"/>
              <w:rPr>
                <w:rFonts w:ascii="宋体" w:hAnsi="宋体"/>
                <w:color w:val="auto"/>
                <w:szCs w:val="21"/>
                <w:highlight w:val="none"/>
                <w:lang w:val="zh-CN"/>
              </w:rPr>
            </w:pPr>
            <w:r>
              <w:rPr>
                <w:rFonts w:ascii="宋体" w:hAnsi="宋体" w:hint="eastAsia"/>
                <w:color w:val="auto"/>
                <w:szCs w:val="21"/>
                <w:highlight w:val="none"/>
              </w:rPr>
              <w:t>联系人：梁峰瑜，覃燕倩</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5</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采购代理机构</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6</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投标人资格要求</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1.符合国家有关法律规定，在中国境内（指关境内）注册。</w:t>
            </w:r>
          </w:p>
          <w:p>
            <w:pPr>
              <w:spacing w:line="360" w:lineRule="auto"/>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.满足《中华人民共和国政府采购法》第二十二条规定。</w:t>
            </w:r>
          </w:p>
          <w:p>
            <w:pPr>
              <w:spacing w:line="360" w:lineRule="auto"/>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.落实政府采购政策需满足的资格要求：</w:t>
            </w:r>
            <w:r>
              <w:rPr>
                <w:rFonts w:asciiTheme="minorEastAsia" w:eastAsiaTheme="minorEastAsia" w:hAnsiTheme="minorEastAsia" w:hint="eastAsia"/>
                <w:iCs/>
                <w:color w:val="auto"/>
                <w:szCs w:val="21"/>
                <w:highlight w:val="none"/>
                <w:u w:val="single"/>
              </w:rPr>
              <w:t>本项目属于预留采购预算总额的35%（含）以上专门面向小微企业采购项目，根据《政府采购促进中小企业发展管理办法》财库〔2020〕46号文件要求，如投标人为大型或中型企业的，必须在获得本项目采购合同后，将采购项目预算金额35%（含）以上的比例分包给一家或多家小微型企业。接受分包合同的供应商须为小型、微型企业，接受分包合同的小微企业与分包企业之间不得存在直接控股、管理关系。【供应商须提供采购预留承诺函（格式自拟）。（注：如果供应商本身提供的所有服务均由小微企业提供，视同符合上述资格条件，无需再向小微企业分包。）】</w:t>
            </w:r>
            <w:r>
              <w:rPr>
                <w:rFonts w:asciiTheme="minorEastAsia" w:eastAsiaTheme="minorEastAsia" w:hAnsiTheme="minorEastAsia" w:hint="eastAsia"/>
                <w:color w:val="auto"/>
                <w:szCs w:val="21"/>
                <w:highlight w:val="none"/>
              </w:rPr>
              <w:t>。</w:t>
            </w:r>
          </w:p>
          <w:p>
            <w:pPr>
              <w:spacing w:line="360" w:lineRule="auto"/>
              <w:rPr>
                <w:rFonts w:ascii="宋体" w:hAnsi="宋体"/>
                <w:color w:val="auto"/>
                <w:szCs w:val="21"/>
                <w:highlight w:val="none"/>
                <w:u w:val="single"/>
              </w:rPr>
            </w:pPr>
            <w:r>
              <w:rPr>
                <w:rFonts w:ascii="宋体" w:hAnsi="宋体"/>
                <w:color w:val="auto"/>
                <w:szCs w:val="21"/>
                <w:highlight w:val="none"/>
              </w:rPr>
              <w:t>4</w:t>
            </w:r>
            <w:r>
              <w:rPr>
                <w:rFonts w:ascii="宋体" w:hAnsi="宋体" w:hint="eastAsia"/>
                <w:color w:val="auto"/>
                <w:szCs w:val="21"/>
                <w:highlight w:val="none"/>
              </w:rPr>
              <w:t>.本项目的特定资格要求：</w:t>
            </w:r>
            <w:r>
              <w:rPr>
                <w:rFonts w:ascii="宋体" w:hAnsi="宋体" w:hint="eastAsia"/>
                <w:color w:val="auto"/>
                <w:szCs w:val="21"/>
                <w:highlight w:val="none"/>
                <w:u w:val="single"/>
              </w:rPr>
              <w:t>无</w:t>
            </w:r>
            <w:r>
              <w:rPr>
                <w:rFonts w:ascii="宋体" w:hAnsi="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rPr>
                <w:rFonts w:ascii="宋体" w:hAnsi="宋体" w:cs="宋体"/>
                <w:color w:val="auto"/>
                <w:szCs w:val="21"/>
                <w:highlight w:val="none"/>
              </w:rPr>
            </w:pPr>
            <w:r>
              <w:rPr>
                <w:rFonts w:ascii="宋体" w:hAnsi="宋体" w:cs="宋体" w:hint="eastAsia"/>
                <w:color w:val="auto"/>
                <w:szCs w:val="21"/>
                <w:highlight w:val="none"/>
              </w:rPr>
              <w:t>6.单位负责人为同一人或者存在直接控股、管理关系的不同供应商，不得参加同一合同项下的政府采购活动。</w:t>
            </w:r>
          </w:p>
          <w:p>
            <w:pPr>
              <w:spacing w:line="360" w:lineRule="auto"/>
              <w:rPr>
                <w:rFonts w:ascii="宋体" w:hAnsi="宋体"/>
                <w:i/>
                <w:iCs/>
                <w:color w:val="auto"/>
                <w:szCs w:val="21"/>
                <w:highlight w:val="none"/>
                <w:u w:val="single"/>
              </w:rPr>
            </w:pPr>
            <w:r>
              <w:rPr>
                <w:rFonts w:ascii="宋体" w:hAnsi="宋体" w:cs="宋体" w:hint="eastAsia"/>
                <w:color w:val="auto"/>
                <w:szCs w:val="21"/>
                <w:highlight w:val="none"/>
              </w:rPr>
              <w:t>7.为本项目提供整体设计、规范编制或者项目管理、监理、检测等服务的供应商，不得再参加本次政府采购活动。</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7</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是否接受联合体投标</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不接受</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接受（接受联合体投标且投标人为联合体的，投标人应提供联合体协议；否则无须提供。）</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8</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采购标的对应的中小企业划分标准所属行业</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Theme="minorEastAsia" w:eastAsiaTheme="minorEastAsia" w:hAnsiTheme="minorEastAsia" w:cs="仿宋_GB2312" w:hint="eastAsia"/>
                <w:color w:val="auto"/>
                <w:szCs w:val="21"/>
                <w:highlight w:val="none"/>
              </w:rPr>
              <w:t>物业管理（具体详见《招标文件（技术部分）》）</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9</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非主体、非关键性工作分包</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是否允许中标人将本项目的非主体、非关键性工作进行分包：</w:t>
            </w:r>
          </w:p>
          <w:p>
            <w:pPr>
              <w:spacing w:line="360" w:lineRule="auto"/>
              <w:jc w:val="left"/>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p>
          <w:p>
            <w:pPr>
              <w:spacing w:line="360" w:lineRule="auto"/>
              <w:jc w:val="left"/>
              <w:rPr>
                <w:rFonts w:ascii="宋体" w:hAnsi="宋体"/>
                <w:color w:val="auto"/>
                <w:szCs w:val="21"/>
                <w:highlight w:val="none"/>
              </w:rPr>
            </w:pPr>
            <w:r>
              <w:rPr>
                <w:rFonts w:ascii="宋体" w:hAnsi="宋体" w:hint="eastAsia"/>
                <w:color w:val="auto"/>
                <w:szCs w:val="21"/>
                <w:highlight w:val="none"/>
              </w:rPr>
              <w:t>□不允许</w:t>
            </w:r>
          </w:p>
          <w:p>
            <w:pPr>
              <w:spacing w:line="360" w:lineRule="auto"/>
              <w:jc w:val="left"/>
              <w:rPr>
                <w:rFonts w:ascii="宋体" w:hAnsi="宋体"/>
                <w:b/>
                <w:color w:val="auto"/>
                <w:sz w:val="22"/>
                <w:szCs w:val="21"/>
                <w:highlight w:val="none"/>
                <w:u w:val="single"/>
              </w:rPr>
            </w:pPr>
            <w:r>
              <w:rPr>
                <w:rFonts w:ascii="Wingdings 2" w:hAnsi="Wingdings 2"/>
                <w:color w:val="auto"/>
                <w:szCs w:val="21"/>
                <w:highlight w:val="none"/>
              </w:rPr>
              <w:sym w:font="Wingdings 2" w:char="F052"/>
            </w:r>
            <w:r>
              <w:rPr>
                <w:rFonts w:ascii="宋体" w:hAnsi="宋体" w:hint="eastAsia"/>
                <w:color w:val="auto"/>
                <w:szCs w:val="21"/>
                <w:highlight w:val="none"/>
              </w:rPr>
              <w:t>允许，</w:t>
            </w:r>
            <w:r>
              <w:rPr>
                <w:rFonts w:ascii="宋体" w:hAnsi="宋体" w:hint="eastAsia"/>
                <w:b/>
                <w:color w:val="auto"/>
                <w:sz w:val="22"/>
                <w:szCs w:val="21"/>
                <w:highlight w:val="none"/>
                <w:u w:val="single"/>
              </w:rPr>
              <w:t>（1）如为大中型企业投标，必须预留3</w:t>
            </w:r>
            <w:r>
              <w:rPr>
                <w:rFonts w:ascii="宋体" w:hAnsi="宋体"/>
                <w:b/>
                <w:color w:val="auto"/>
                <w:sz w:val="22"/>
                <w:szCs w:val="21"/>
                <w:highlight w:val="none"/>
                <w:u w:val="single"/>
              </w:rPr>
              <w:t>5</w:t>
            </w:r>
            <w:r>
              <w:rPr>
                <w:rFonts w:ascii="宋体" w:hAnsi="宋体" w:hint="eastAsia"/>
                <w:b/>
                <w:color w:val="auto"/>
                <w:sz w:val="22"/>
                <w:szCs w:val="21"/>
                <w:highlight w:val="none"/>
                <w:u w:val="single"/>
              </w:rPr>
              <w:t>%（含）以上份额分包给一家或多家小微企业，并在分包意向书中承诺满足所分包比例采购服务的相应要求；如投标人自身为小微企业，则在投标文件中提供《中小企业声明函》，且声明为小型或微型企业；投标人为大中型企业，须提供分包意向书以及拟分包小微企业的名称、拟分包的内容（格式自拟），以及《中小企业声明函》，且声明被分包企业为小型或微型企业（由投标人进行声明）。投标人对拟分包的小微企业负连带责任。分包金额为预算金额的3</w:t>
            </w:r>
            <w:r>
              <w:rPr>
                <w:rFonts w:ascii="宋体" w:hAnsi="宋体"/>
                <w:b/>
                <w:color w:val="auto"/>
                <w:sz w:val="22"/>
                <w:szCs w:val="21"/>
                <w:highlight w:val="none"/>
                <w:u w:val="single"/>
              </w:rPr>
              <w:t>5</w:t>
            </w:r>
            <w:r>
              <w:rPr>
                <w:rFonts w:ascii="宋体" w:hAnsi="宋体" w:hint="eastAsia"/>
                <w:b/>
                <w:color w:val="auto"/>
                <w:sz w:val="22"/>
                <w:szCs w:val="21"/>
                <w:highlight w:val="none"/>
                <w:u w:val="single"/>
              </w:rPr>
              <w:t>%（含）以上。</w:t>
            </w:r>
          </w:p>
          <w:p>
            <w:pPr>
              <w:spacing w:line="360" w:lineRule="auto"/>
              <w:jc w:val="left"/>
              <w:rPr>
                <w:rFonts w:ascii="宋体" w:hAnsi="宋体"/>
                <w:color w:val="auto"/>
                <w:szCs w:val="21"/>
                <w:highlight w:val="none"/>
              </w:rPr>
            </w:pPr>
            <w:r>
              <w:rPr>
                <w:rFonts w:ascii="宋体" w:hAnsi="宋体"/>
                <w:color w:val="auto"/>
                <w:szCs w:val="21"/>
                <w:highlight w:val="none"/>
                <w:u w:val="single"/>
              </w:rPr>
              <w:t>（</w:t>
            </w:r>
            <w:r>
              <w:rPr>
                <w:rFonts w:ascii="宋体" w:hAnsi="宋体" w:hint="eastAsia"/>
                <w:color w:val="auto"/>
                <w:szCs w:val="21"/>
                <w:highlight w:val="none"/>
                <w:u w:val="single"/>
              </w:rPr>
              <w:t>2</w:t>
            </w:r>
            <w:r>
              <w:rPr>
                <w:rFonts w:ascii="宋体" w:hAnsi="宋体"/>
                <w:color w:val="auto"/>
                <w:szCs w:val="21"/>
                <w:highlight w:val="none"/>
                <w:u w:val="single"/>
              </w:rPr>
              <w:t>）允许第六章《</w:t>
            </w:r>
            <w:r>
              <w:rPr>
                <w:rFonts w:ascii="宋体" w:hAnsi="宋体" w:hint="eastAsia"/>
                <w:color w:val="auto"/>
                <w:szCs w:val="21"/>
                <w:highlight w:val="none"/>
                <w:u w:val="single"/>
              </w:rPr>
              <w:t>项目采购需求</w:t>
            </w:r>
            <w:r>
              <w:rPr>
                <w:rFonts w:ascii="宋体" w:hAnsi="宋体"/>
                <w:color w:val="auto"/>
                <w:szCs w:val="21"/>
                <w:highlight w:val="none"/>
                <w:u w:val="single"/>
              </w:rPr>
              <w:t>》中服务进行分包，具体分包要求详见</w:t>
            </w:r>
            <w:r>
              <w:rPr>
                <w:rFonts w:ascii="宋体" w:hAnsi="宋体" w:hint="eastAsia"/>
                <w:color w:val="auto"/>
                <w:szCs w:val="21"/>
                <w:highlight w:val="none"/>
                <w:u w:val="single"/>
              </w:rPr>
              <w:t>第六章《项目采购需求》其他要求“分包”列明的要求。该部分分包金额为21万元/年，两年共计42万元。</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10</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核心产品</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货物类项目填写此栏</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无</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有</w:t>
            </w:r>
          </w:p>
          <w:p>
            <w:pPr>
              <w:spacing w:line="360" w:lineRule="auto"/>
              <w:jc w:val="left"/>
              <w:rPr>
                <w:rFonts w:ascii="宋体" w:hAnsi="宋体"/>
                <w:color w:val="auto"/>
                <w:szCs w:val="21"/>
                <w:highlight w:val="none"/>
                <w:u w:val="single"/>
              </w:rPr>
            </w:pPr>
            <w:r>
              <w:rPr>
                <w:rFonts w:ascii="宋体" w:hAnsi="宋体" w:hint="eastAsia"/>
                <w:color w:val="auto"/>
                <w:szCs w:val="21"/>
                <w:highlight w:val="none"/>
              </w:rPr>
              <w:t>产品名称：</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hint="eastAsia"/>
                <w:color w:val="auto"/>
                <w:szCs w:val="21"/>
                <w:highlight w:val="none"/>
                <w:u w:val="single"/>
              </w:rPr>
              <w:t>/</w:t>
            </w:r>
            <w:r>
              <w:rPr>
                <w:rFonts w:asciiTheme="minorEastAsia" w:eastAsiaTheme="minorEastAsia" w:hAnsiTheme="minorEastAsia"/>
                <w:color w:val="auto"/>
                <w:szCs w:val="21"/>
                <w:highlight w:val="none"/>
                <w:u w:val="single"/>
              </w:rPr>
              <w:t xml:space="preserve">   </w:t>
            </w:r>
          </w:p>
          <w:p>
            <w:pPr>
              <w:spacing w:line="360" w:lineRule="auto"/>
              <w:jc w:val="left"/>
              <w:rPr>
                <w:rFonts w:ascii="宋体" w:hAnsi="宋体"/>
                <w:b/>
                <w:bCs/>
                <w:color w:val="auto"/>
                <w:szCs w:val="21"/>
                <w:highlight w:val="none"/>
                <w:lang w:val="zh-CN"/>
              </w:rPr>
            </w:pPr>
            <w:r>
              <w:rPr>
                <w:rFonts w:ascii="宋体" w:hAnsi="宋体" w:hint="eastAsia"/>
                <w:b/>
                <w:bCs/>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hAnsi="宋体"/>
                <w:b/>
                <w:bCs/>
                <w:color w:val="auto"/>
                <w:szCs w:val="21"/>
                <w:highlight w:val="none"/>
                <w:u w:val="single"/>
                <w:lang w:val="zh-CN"/>
              </w:rPr>
              <w:t xml:space="preserve">         </w:t>
            </w:r>
            <w:r>
              <w:rPr>
                <w:rFonts w:ascii="宋体" w:hAnsi="宋体" w:hint="eastAsia"/>
                <w:b/>
                <w:bCs/>
                <w:color w:val="auto"/>
                <w:szCs w:val="21"/>
                <w:highlight w:val="none"/>
                <w:lang w:val="zh-CN"/>
              </w:rPr>
              <w:t>的方式确定一个参加评标的投标人，招标文件未规定的采取随机抽取方式确定，其他投标无效。</w:t>
            </w:r>
          </w:p>
          <w:p>
            <w:pPr>
              <w:spacing w:line="360" w:lineRule="auto"/>
              <w:jc w:val="left"/>
              <w:rPr>
                <w:rFonts w:ascii="宋体" w:hAnsi="宋体"/>
                <w:color w:val="auto"/>
                <w:szCs w:val="21"/>
                <w:highlight w:val="none"/>
                <w:u w:val="single"/>
              </w:rPr>
            </w:pPr>
            <w:r>
              <w:rPr>
                <w:rFonts w:ascii="宋体" w:hAnsi="宋体" w:hint="eastAsia"/>
                <w:b/>
                <w:bCs/>
                <w:color w:val="auto"/>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ascii="宋体" w:hAnsi="宋体" w:hint="eastAsia"/>
                <w:b/>
                <w:color w:val="auto"/>
                <w:szCs w:val="21"/>
                <w:highlight w:val="none"/>
              </w:rPr>
              <w:t>评审得分相同的，由评标委员会按照“</w:t>
            </w:r>
            <w:r>
              <w:rPr>
                <w:rFonts w:ascii="宋体" w:hAnsi="宋体" w:hint="eastAsia"/>
                <w:b/>
                <w:color w:val="auto"/>
                <w:szCs w:val="21"/>
                <w:highlight w:val="none"/>
                <w:u w:val="single"/>
              </w:rPr>
              <w:t>以投标报价由低到高顺序排列；得分相同且投标报价相同的，按技术指标优劣顺序排列</w:t>
            </w:r>
            <w:r>
              <w:rPr>
                <w:rFonts w:ascii="宋体" w:hAnsi="宋体" w:hint="eastAsia"/>
                <w:b/>
                <w:color w:val="auto"/>
                <w:szCs w:val="21"/>
                <w:highlight w:val="none"/>
              </w:rPr>
              <w:t>”的方式确定一个投标人获得中标人推荐资格</w:t>
            </w:r>
            <w:r>
              <w:rPr>
                <w:rFonts w:ascii="宋体" w:hAnsi="宋体" w:hint="eastAsia"/>
                <w:b/>
                <w:bCs/>
                <w:color w:val="auto"/>
                <w:szCs w:val="21"/>
                <w:highlight w:val="none"/>
                <w:lang w:val="zh-CN"/>
              </w:rPr>
              <w:t>），其他同品牌投标人不作为中标候选人。</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11</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采购进口产品</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□本采购项目拒绝进口产品参加投标</w:t>
            </w:r>
          </w:p>
          <w:p>
            <w:pPr>
              <w:spacing w:line="360" w:lineRule="auto"/>
              <w:jc w:val="left"/>
              <w:rPr>
                <w:rFonts w:ascii="宋体" w:hAnsi="宋体"/>
                <w:color w:val="auto"/>
                <w:szCs w:val="21"/>
                <w:highlight w:val="none"/>
              </w:rPr>
            </w:pPr>
            <w:r>
              <w:rPr>
                <w:rFonts w:ascii="宋体" w:hAnsi="宋体" w:hint="eastAsia"/>
                <w:color w:val="auto"/>
                <w:szCs w:val="21"/>
                <w:highlight w:val="none"/>
              </w:rPr>
              <w:t>□本采购项目已经财政部审核同意购买进口产品</w:t>
            </w:r>
          </w:p>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其他</w:t>
            </w:r>
            <w:r>
              <w:rPr>
                <w:rFonts w:asciiTheme="minorEastAsia" w:eastAsiaTheme="minorEastAsia" w:hAnsiTheme="minorEastAsia" w:hint="eastAsia"/>
                <w:color w:val="auto"/>
                <w:szCs w:val="21"/>
                <w:highlight w:val="none"/>
              </w:rPr>
              <w:t>：</w:t>
            </w:r>
            <w:r>
              <w:rPr>
                <w:rFonts w:ascii="Times New Roman" w:hAnsi="Times New Roman" w:hint="eastAsia"/>
                <w:color w:val="auto"/>
                <w:szCs w:val="21"/>
                <w:highlight w:val="none"/>
                <w:u w:val="single"/>
              </w:rPr>
              <w:t>本项目不涉及</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12</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color w:val="auto"/>
                <w:szCs w:val="21"/>
                <w:highlight w:val="none"/>
              </w:rPr>
              <w:t>信息发布媒体</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hint="eastAsia"/>
                <w:color w:val="auto"/>
                <w:szCs w:val="21"/>
                <w:highlight w:val="none"/>
              </w:rPr>
              <w:t>（1）中国政府采购网（www.ccgp.gov.cn）</w:t>
            </w:r>
          </w:p>
          <w:p>
            <w:pPr>
              <w:spacing w:line="360" w:lineRule="auto"/>
              <w:jc w:val="left"/>
              <w:rPr>
                <w:rFonts w:ascii="宋体" w:hAnsi="宋体"/>
                <w:color w:val="auto"/>
                <w:szCs w:val="21"/>
                <w:highlight w:val="none"/>
              </w:rPr>
            </w:pPr>
            <w:r>
              <w:rPr>
                <w:rFonts w:ascii="宋体" w:hAnsi="宋体" w:hint="eastAsia"/>
                <w:color w:val="auto"/>
                <w:szCs w:val="21"/>
                <w:highlight w:val="none"/>
              </w:rPr>
              <w:t>（2）国家税务总局集中采购中心网站（https://swcg.chinatax.gov.cn）</w:t>
            </w:r>
          </w:p>
          <w:p>
            <w:pPr>
              <w:spacing w:line="360" w:lineRule="auto"/>
              <w:jc w:val="left"/>
              <w:rPr>
                <w:rFonts w:ascii="宋体" w:hAnsi="宋体"/>
                <w:color w:val="auto"/>
                <w:szCs w:val="21"/>
                <w:highlight w:val="none"/>
              </w:rPr>
            </w:pPr>
            <w:r>
              <w:rPr>
                <w:rFonts w:ascii="宋体" w:hAnsi="宋体" w:hint="eastAsia"/>
                <w:color w:val="auto"/>
                <w:szCs w:val="21"/>
                <w:highlight w:val="none"/>
              </w:rPr>
              <w:t>（3）国家税务总局广西壮族自治区税务局网（http://guangxi.chinatax.gov.cn/）</w:t>
            </w:r>
          </w:p>
          <w:p>
            <w:pPr>
              <w:spacing w:line="360" w:lineRule="auto"/>
              <w:jc w:val="left"/>
              <w:rPr>
                <w:rFonts w:ascii="宋体" w:hAnsi="宋体"/>
                <w:color w:val="auto"/>
                <w:szCs w:val="21"/>
                <w:highlight w:val="none"/>
              </w:rPr>
            </w:pPr>
            <w:r>
              <w:rPr>
                <w:rFonts w:ascii="宋体" w:hAnsi="宋体" w:hint="eastAsia"/>
                <w:color w:val="auto"/>
                <w:szCs w:val="21"/>
                <w:highlight w:val="none"/>
              </w:rPr>
              <w:t>（4）国家税务总局广西壮族自治区税务局柳州频道（http://guangxi.chinatax.gov.cn/liuzhou/）</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13</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获取招标文件时间、地点和方式等</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12" w:lineRule="auto"/>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时间</w:t>
            </w:r>
            <w:r>
              <w:rPr>
                <w:rFonts w:asciiTheme="minorEastAsia" w:eastAsiaTheme="minorEastAsia" w:hAnsiTheme="minorEastAsia"/>
                <w:bCs/>
                <w:color w:val="auto"/>
                <w:szCs w:val="21"/>
                <w:highlight w:val="none"/>
              </w:rPr>
              <w:t>：</w:t>
            </w:r>
            <w:r>
              <w:rPr>
                <w:rFonts w:asciiTheme="minorEastAsia" w:eastAsiaTheme="minorEastAsia" w:hAnsiTheme="minorEastAsia" w:cs="宋体" w:hint="eastAsia"/>
                <w:color w:val="auto"/>
                <w:szCs w:val="21"/>
                <w:highlight w:val="none"/>
                <w:u w:val="single"/>
              </w:rPr>
              <w:t>详见“第一章 投标邀请”</w:t>
            </w:r>
            <w:r>
              <w:rPr>
                <w:rFonts w:asciiTheme="minorEastAsia" w:eastAsiaTheme="minorEastAsia" w:hAnsiTheme="minorEastAsia" w:cs="宋体" w:hint="eastAsia"/>
                <w:color w:val="auto"/>
                <w:szCs w:val="21"/>
                <w:highlight w:val="none"/>
              </w:rPr>
              <w:t>。</w:t>
            </w:r>
          </w:p>
          <w:p>
            <w:pPr>
              <w:spacing w:line="312" w:lineRule="auto"/>
              <w:rPr>
                <w:rFonts w:asciiTheme="minorEastAsia" w:eastAsiaTheme="minorEastAsia" w:hAnsiTheme="minorEastAsia"/>
                <w:bCs/>
                <w:color w:val="auto"/>
                <w:szCs w:val="21"/>
                <w:highlight w:val="none"/>
              </w:rPr>
            </w:pPr>
            <w:r>
              <w:rPr>
                <w:rFonts w:asciiTheme="minorEastAsia" w:eastAsiaTheme="minorEastAsia" w:hAnsiTheme="minorEastAsia"/>
                <w:color w:val="auto"/>
                <w:szCs w:val="21"/>
                <w:highlight w:val="none"/>
              </w:rPr>
              <w:t>地点：</w:t>
            </w:r>
            <w:r>
              <w:rPr>
                <w:rFonts w:asciiTheme="minorEastAsia" w:eastAsiaTheme="minorEastAsia" w:hAnsiTheme="minorEastAsia" w:cs="宋体" w:hint="eastAsia"/>
                <w:color w:val="auto"/>
                <w:szCs w:val="21"/>
                <w:highlight w:val="none"/>
                <w:u w:val="single"/>
              </w:rPr>
              <w:t>详见“第一章 投标邀请”</w:t>
            </w:r>
            <w:r>
              <w:rPr>
                <w:rFonts w:asciiTheme="minorEastAsia" w:eastAsiaTheme="minorEastAsia" w:hAnsiTheme="minorEastAsia" w:cs="宋体" w:hint="eastAsia"/>
                <w:color w:val="auto"/>
                <w:szCs w:val="21"/>
                <w:highlight w:val="none"/>
              </w:rPr>
              <w:t>。</w:t>
            </w:r>
          </w:p>
          <w:p>
            <w:pPr>
              <w:spacing w:line="360" w:lineRule="auto"/>
              <w:rPr>
                <w:rFonts w:ascii="宋体" w:hAnsi="宋体"/>
                <w:color w:val="auto"/>
                <w:szCs w:val="21"/>
                <w:highlight w:val="none"/>
              </w:rPr>
            </w:pPr>
            <w:r>
              <w:rPr>
                <w:rFonts w:asciiTheme="minorEastAsia" w:eastAsiaTheme="minorEastAsia" w:hAnsiTheme="minorEastAsia"/>
                <w:color w:val="auto"/>
                <w:szCs w:val="21"/>
                <w:highlight w:val="none"/>
              </w:rPr>
              <w:t>方式：</w:t>
            </w:r>
            <w:r>
              <w:rPr>
                <w:rFonts w:asciiTheme="minorEastAsia" w:eastAsiaTheme="minorEastAsia" w:hAnsiTheme="minorEastAsia" w:cs="宋体" w:hint="eastAsia"/>
                <w:color w:val="auto"/>
                <w:szCs w:val="21"/>
                <w:highlight w:val="none"/>
                <w:u w:val="single"/>
              </w:rPr>
              <w:t>详见“第一章 投标邀请”</w:t>
            </w:r>
            <w:r>
              <w:rPr>
                <w:rFonts w:asciiTheme="minorEastAsia" w:eastAsiaTheme="minorEastAsia" w:hAnsiTheme="minorEastAsia" w:cs="宋体" w:hint="eastAsia"/>
                <w:color w:val="auto"/>
                <w:szCs w:val="21"/>
                <w:highlight w:val="none"/>
              </w:rPr>
              <w:t>。</w:t>
            </w:r>
            <w:r>
              <w:rPr>
                <w:rFonts w:ascii="宋体" w:hAnsi="宋体"/>
                <w:color w:val="auto"/>
                <w:szCs w:val="21"/>
                <w:highlight w:val="none"/>
              </w:rPr>
              <w:t xml:space="preserve">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14</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现场考察</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tabs>
                <w:tab w:val="left" w:pos="0"/>
                <w:tab w:val="left" w:pos="420"/>
              </w:tabs>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不组织现场考察</w:t>
            </w:r>
          </w:p>
          <w:p>
            <w:pPr>
              <w:tabs>
                <w:tab w:val="left" w:pos="0"/>
                <w:tab w:val="left" w:pos="420"/>
              </w:tabs>
              <w:spacing w:line="360" w:lineRule="auto"/>
              <w:rPr>
                <w:rFonts w:ascii="宋体" w:hAnsi="宋体"/>
                <w:bCs/>
                <w:color w:val="auto"/>
                <w:szCs w:val="21"/>
                <w:highlight w:val="none"/>
              </w:rPr>
            </w:pPr>
            <w:r>
              <w:rPr>
                <w:rFonts w:ascii="Wingdings 2" w:hAnsi="Wingdings 2"/>
                <w:color w:val="auto"/>
                <w:szCs w:val="21"/>
                <w:highlight w:val="none"/>
              </w:rPr>
              <w:sym w:font="Wingdings 2" w:char="F0A3"/>
            </w:r>
            <w:r>
              <w:rPr>
                <w:rFonts w:ascii="宋体" w:hAnsi="宋体" w:hint="eastAsia"/>
                <w:bCs/>
                <w:color w:val="auto"/>
                <w:szCs w:val="21"/>
                <w:highlight w:val="none"/>
              </w:rPr>
              <w:t>组织现场考察：</w:t>
            </w:r>
          </w:p>
          <w:p>
            <w:pPr>
              <w:tabs>
                <w:tab w:val="left" w:pos="0"/>
                <w:tab w:val="left" w:pos="420"/>
              </w:tabs>
              <w:spacing w:line="360" w:lineRule="auto"/>
              <w:rPr>
                <w:rFonts w:ascii="宋体" w:hAnsi="宋体"/>
                <w:bCs/>
                <w:color w:val="auto"/>
                <w:szCs w:val="21"/>
                <w:highlight w:val="none"/>
              </w:rPr>
            </w:pPr>
            <w:r>
              <w:rPr>
                <w:rFonts w:ascii="宋体" w:hAnsi="宋体" w:hint="eastAsia"/>
                <w:b/>
                <w:color w:val="auto"/>
                <w:szCs w:val="21"/>
                <w:highlight w:val="none"/>
              </w:rPr>
              <w:t>时间：</w:t>
            </w:r>
            <w:r>
              <w:rPr>
                <w:rFonts w:ascii="宋体" w:hAnsi="宋体"/>
                <w:color w:val="auto"/>
                <w:szCs w:val="21"/>
                <w:highlight w:val="none"/>
                <w:u w:val="single"/>
              </w:rPr>
              <w:t xml:space="preserve">   </w:t>
            </w:r>
            <w:r>
              <w:rPr>
                <w:rFonts w:ascii="宋体" w:hAnsi="宋体" w:hint="eastAsia"/>
                <w:bCs/>
                <w:color w:val="auto"/>
                <w:szCs w:val="21"/>
                <w:highlight w:val="none"/>
              </w:rPr>
              <w:t>年</w:t>
            </w:r>
            <w:r>
              <w:rPr>
                <w:rFonts w:ascii="宋体" w:hAnsi="宋体"/>
                <w:color w:val="auto"/>
                <w:szCs w:val="21"/>
                <w:highlight w:val="none"/>
                <w:u w:val="single"/>
              </w:rPr>
              <w:t xml:space="preserve">   </w:t>
            </w:r>
            <w:r>
              <w:rPr>
                <w:rFonts w:ascii="宋体" w:hAnsi="宋体" w:hint="eastAsia"/>
                <w:bCs/>
                <w:color w:val="auto"/>
                <w:szCs w:val="21"/>
                <w:highlight w:val="none"/>
              </w:rPr>
              <w:t>月</w:t>
            </w:r>
            <w:r>
              <w:rPr>
                <w:rFonts w:ascii="宋体" w:hAnsi="宋体"/>
                <w:color w:val="auto"/>
                <w:szCs w:val="21"/>
                <w:highlight w:val="none"/>
                <w:u w:val="single"/>
              </w:rPr>
              <w:t xml:space="preserve">   </w:t>
            </w:r>
            <w:r>
              <w:rPr>
                <w:rFonts w:ascii="宋体" w:hAnsi="宋体" w:hint="eastAsia"/>
                <w:bCs/>
                <w:color w:val="auto"/>
                <w:szCs w:val="21"/>
                <w:highlight w:val="none"/>
              </w:rPr>
              <w:t>日</w:t>
            </w:r>
            <w:r>
              <w:rPr>
                <w:rFonts w:ascii="宋体" w:hAnsi="宋体"/>
                <w:color w:val="auto"/>
                <w:szCs w:val="21"/>
                <w:highlight w:val="none"/>
                <w:u w:val="single"/>
              </w:rPr>
              <w:t xml:space="preserve">   </w:t>
            </w:r>
            <w:r>
              <w:rPr>
                <w:rFonts w:ascii="宋体" w:hAnsi="宋体" w:hint="eastAsia"/>
                <w:bCs/>
                <w:color w:val="auto"/>
                <w:szCs w:val="21"/>
                <w:highlight w:val="none"/>
              </w:rPr>
              <w:t>午</w:t>
            </w:r>
            <w:r>
              <w:rPr>
                <w:rFonts w:ascii="宋体" w:hAnsi="宋体"/>
                <w:color w:val="auto"/>
                <w:szCs w:val="21"/>
                <w:highlight w:val="none"/>
                <w:u w:val="single"/>
              </w:rPr>
              <w:t xml:space="preserve">   </w:t>
            </w:r>
            <w:r>
              <w:rPr>
                <w:rFonts w:ascii="宋体" w:hAnsi="宋体" w:hint="eastAsia"/>
                <w:color w:val="auto"/>
                <w:szCs w:val="21"/>
                <w:highlight w:val="none"/>
              </w:rPr>
              <w:t>（北京时间）</w:t>
            </w:r>
          </w:p>
          <w:p>
            <w:pPr>
              <w:tabs>
                <w:tab w:val="left" w:pos="0"/>
                <w:tab w:val="left" w:pos="420"/>
              </w:tabs>
              <w:spacing w:line="360" w:lineRule="auto"/>
              <w:rPr>
                <w:rFonts w:ascii="宋体" w:hAnsi="宋体"/>
                <w:b/>
                <w:color w:val="auto"/>
                <w:szCs w:val="21"/>
                <w:highlight w:val="none"/>
              </w:rPr>
            </w:pPr>
            <w:r>
              <w:rPr>
                <w:rFonts w:ascii="宋体" w:hAnsi="宋体" w:hint="eastAsia"/>
                <w:b/>
                <w:color w:val="auto"/>
                <w:szCs w:val="21"/>
                <w:highlight w:val="none"/>
              </w:rPr>
              <w:t>地点：</w:t>
            </w:r>
            <w:r>
              <w:rPr>
                <w:rFonts w:ascii="宋体" w:hAnsi="宋体"/>
                <w:b/>
                <w:color w:val="auto"/>
                <w:szCs w:val="21"/>
                <w:highlight w:val="none"/>
                <w:u w:val="single"/>
              </w:rPr>
              <w:t xml:space="preserve">                 </w:t>
            </w:r>
          </w:p>
          <w:p>
            <w:pPr>
              <w:tabs>
                <w:tab w:val="left" w:pos="0"/>
                <w:tab w:val="left" w:pos="420"/>
              </w:tabs>
              <w:spacing w:line="360" w:lineRule="auto"/>
              <w:rPr>
                <w:rFonts w:ascii="宋体" w:hAnsi="宋体"/>
                <w:b/>
                <w:bCs/>
                <w:color w:val="auto"/>
                <w:szCs w:val="21"/>
                <w:highlight w:val="none"/>
              </w:rPr>
            </w:pPr>
            <w:r>
              <w:rPr>
                <w:rFonts w:ascii="宋体" w:hAnsi="宋体" w:hint="eastAsia"/>
                <w:b/>
                <w:color w:val="auto"/>
                <w:szCs w:val="21"/>
                <w:highlight w:val="none"/>
              </w:rPr>
              <w:t>联系人：</w:t>
            </w:r>
            <w:r>
              <w:rPr>
                <w:rFonts w:ascii="宋体" w:hAnsi="宋体"/>
                <w:b/>
                <w:color w:val="auto"/>
                <w:szCs w:val="21"/>
                <w:highlight w:val="none"/>
                <w:u w:val="single"/>
              </w:rPr>
              <w:t xml:space="preserve">               </w:t>
            </w:r>
          </w:p>
          <w:p>
            <w:pPr>
              <w:tabs>
                <w:tab w:val="left" w:pos="0"/>
                <w:tab w:val="left" w:pos="420"/>
              </w:tabs>
              <w:spacing w:line="360" w:lineRule="auto"/>
              <w:rPr>
                <w:rFonts w:ascii="宋体" w:hAnsi="宋体"/>
                <w:bCs/>
                <w:color w:val="auto"/>
                <w:szCs w:val="21"/>
                <w:highlight w:val="none"/>
                <w:u w:val="single"/>
              </w:rPr>
            </w:pPr>
            <w:r>
              <w:rPr>
                <w:rFonts w:ascii="宋体" w:hAnsi="宋体" w:hint="eastAsia"/>
                <w:b/>
                <w:color w:val="auto"/>
                <w:szCs w:val="21"/>
                <w:highlight w:val="none"/>
              </w:rPr>
              <w:t>联系电话：</w:t>
            </w:r>
            <w:r>
              <w:rPr>
                <w:rFonts w:ascii="宋体" w:hAnsi="宋体"/>
                <w:color w:val="auto"/>
                <w:szCs w:val="21"/>
                <w:highlight w:val="none"/>
                <w:u w:val="single"/>
              </w:rPr>
              <w:t xml:space="preserve">             </w:t>
            </w:r>
          </w:p>
          <w:p>
            <w:pPr>
              <w:tabs>
                <w:tab w:val="left" w:pos="0"/>
                <w:tab w:val="left" w:pos="420"/>
              </w:tabs>
              <w:spacing w:line="360" w:lineRule="auto"/>
              <w:rPr>
                <w:rFonts w:ascii="宋体" w:hAnsi="宋体"/>
                <w:color w:val="auto"/>
                <w:szCs w:val="21"/>
                <w:highlight w:val="none"/>
              </w:rPr>
            </w:pPr>
            <w:r>
              <w:rPr>
                <w:rFonts w:ascii="宋体" w:hAnsi="宋体" w:hint="eastAsia"/>
                <w:b/>
                <w:color w:val="auto"/>
                <w:szCs w:val="21"/>
                <w:highlight w:val="none"/>
              </w:rPr>
              <w:t>要求：</w:t>
            </w:r>
            <w:r>
              <w:rPr>
                <w:rFonts w:ascii="宋体" w:hAnsi="宋体"/>
                <w:color w:val="auto"/>
                <w:szCs w:val="21"/>
                <w:highlight w:val="none"/>
                <w:u w:val="single"/>
              </w:rPr>
              <w:t xml:space="preserve">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15</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样品</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不要求提供</w:t>
            </w:r>
          </w:p>
          <w:p>
            <w:pPr>
              <w:spacing w:line="360" w:lineRule="auto"/>
              <w:jc w:val="left"/>
              <w:rPr>
                <w:rFonts w:ascii="宋体" w:hAnsi="宋体"/>
                <w:bCs/>
                <w:color w:val="auto"/>
                <w:szCs w:val="21"/>
                <w:highlight w:val="none"/>
              </w:rPr>
            </w:pPr>
            <w:r>
              <w:rPr>
                <w:rFonts w:ascii="Wingdings 2" w:hAnsi="Wingdings 2"/>
                <w:color w:val="auto"/>
                <w:szCs w:val="21"/>
                <w:highlight w:val="none"/>
              </w:rPr>
              <w:sym w:font="Wingdings 2" w:char="F0A3"/>
            </w:r>
            <w:r>
              <w:rPr>
                <w:rFonts w:ascii="宋体" w:hAnsi="宋体" w:hint="eastAsia"/>
                <w:bCs/>
                <w:color w:val="auto"/>
                <w:szCs w:val="21"/>
                <w:highlight w:val="none"/>
              </w:rPr>
              <w:t>要求提供：</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样品制作的标准和要求：</w:t>
            </w:r>
            <w:r>
              <w:rPr>
                <w:rFonts w:ascii="宋体" w:hAnsi="宋体"/>
                <w:color w:val="auto"/>
                <w:szCs w:val="21"/>
                <w:highlight w:val="none"/>
              </w:rPr>
              <w:t>____________________</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样品检测报告：</w:t>
            </w:r>
            <w:r>
              <w:rPr>
                <w:rFonts w:ascii="宋体" w:hAnsi="宋体"/>
                <w:color w:val="auto"/>
                <w:szCs w:val="21"/>
                <w:highlight w:val="none"/>
              </w:rPr>
              <w:t>(</w:t>
            </w:r>
            <w:r>
              <w:rPr>
                <w:rFonts w:ascii="宋体" w:hAnsi="宋体" w:hint="eastAsia"/>
                <w:color w:val="auto"/>
                <w:szCs w:val="21"/>
                <w:highlight w:val="none"/>
              </w:rPr>
              <w:t>□否；□是，检测机构的要求、检测内容详见第六章项目采购需求</w:t>
            </w:r>
            <w:r>
              <w:rPr>
                <w:rFonts w:ascii="宋体" w:hAnsi="宋体"/>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样品的评审方法及评审标准：内容详见第三章评标办法及标准</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16</w:t>
            </w:r>
          </w:p>
        </w:tc>
        <w:tc>
          <w:tcPr>
            <w:tcW w:w="1672"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投标文件组成</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Cs/>
                <w:color w:val="auto"/>
                <w:szCs w:val="21"/>
                <w:highlight w:val="none"/>
              </w:rPr>
            </w:pPr>
            <w:r>
              <w:rPr>
                <w:rFonts w:ascii="宋体" w:hAnsi="宋体" w:hint="eastAsia"/>
                <w:color w:val="auto"/>
                <w:szCs w:val="21"/>
                <w:highlight w:val="none"/>
              </w:rPr>
              <w:t>商务部</w:t>
            </w:r>
            <w:r>
              <w:rPr>
                <w:rFonts w:ascii="宋体" w:hAnsi="宋体" w:hint="eastAsia"/>
                <w:bCs/>
                <w:color w:val="auto"/>
                <w:szCs w:val="21"/>
                <w:highlight w:val="none"/>
              </w:rPr>
              <w:t>分</w:t>
            </w:r>
          </w:p>
        </w:tc>
        <w:tc>
          <w:tcPr>
            <w:tcW w:w="5959" w:type="dxa"/>
            <w:tcBorders>
              <w:top w:val="single" w:sz="4" w:space="0" w:color="auto"/>
              <w:left w:val="single" w:sz="4" w:space="0" w:color="auto"/>
              <w:bottom w:val="single" w:sz="4" w:space="0" w:color="auto"/>
              <w:right w:val="single" w:sz="4" w:space="0" w:color="auto"/>
            </w:tcBorders>
            <w:vAlign w:val="center"/>
          </w:tcPr>
          <w:p>
            <w:pPr>
              <w:widowControl/>
              <w:tabs>
                <w:tab w:val="left" w:pos="0"/>
                <w:tab w:val="left" w:pos="420"/>
              </w:tabs>
              <w:spacing w:line="360" w:lineRule="auto"/>
              <w:jc w:val="left"/>
              <w:rPr>
                <w:rFonts w:ascii="宋体" w:hAnsi="宋体"/>
                <w:color w:val="auto"/>
                <w:szCs w:val="21"/>
                <w:highlight w:val="none"/>
              </w:rPr>
            </w:pPr>
            <w:r>
              <w:rPr>
                <w:rFonts w:ascii="宋体" w:hAnsi="宋体"/>
                <w:b/>
                <w:color w:val="auto"/>
                <w:szCs w:val="21"/>
                <w:highlight w:val="none"/>
              </w:rPr>
              <w:t>一、资格证明文件：</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投标人基本情况（需上传</w:t>
            </w:r>
            <w:r>
              <w:rPr>
                <w:rFonts w:ascii="宋体" w:hAnsi="宋体"/>
                <w:color w:val="auto"/>
                <w:szCs w:val="21"/>
                <w:highlight w:val="none"/>
              </w:rPr>
              <w:t>法人或者其他组织的营业执照等证明文件</w:t>
            </w:r>
            <w:r>
              <w:rPr>
                <w:rFonts w:ascii="宋体" w:hAnsi="宋体" w:hint="eastAsia"/>
                <w:color w:val="auto"/>
                <w:szCs w:val="21"/>
                <w:highlight w:val="none"/>
              </w:rPr>
              <w:t>扫描</w:t>
            </w:r>
            <w:r>
              <w:rPr>
                <w:rFonts w:ascii="宋体" w:hAnsi="宋体"/>
                <w:color w:val="auto"/>
                <w:szCs w:val="21"/>
                <w:highlight w:val="none"/>
              </w:rPr>
              <w:t>件</w:t>
            </w:r>
            <w:r>
              <w:rPr>
                <w:rFonts w:ascii="宋体" w:hAnsi="宋体" w:hint="eastAsia"/>
                <w:color w:val="auto"/>
                <w:szCs w:val="21"/>
                <w:highlight w:val="none"/>
              </w:rPr>
              <w:t>；投标人如为</w:t>
            </w:r>
            <w:r>
              <w:rPr>
                <w:rFonts w:ascii="宋体" w:hAnsi="宋体"/>
                <w:color w:val="auto"/>
                <w:szCs w:val="21"/>
                <w:highlight w:val="none"/>
              </w:rPr>
              <w:t>自然人</w:t>
            </w:r>
            <w:r>
              <w:rPr>
                <w:rFonts w:ascii="宋体" w:hAnsi="宋体" w:hint="eastAsia"/>
                <w:color w:val="auto"/>
                <w:szCs w:val="21"/>
                <w:highlight w:val="none"/>
              </w:rPr>
              <w:t>，上传自然人</w:t>
            </w:r>
            <w:r>
              <w:rPr>
                <w:rFonts w:ascii="宋体" w:hAnsi="宋体"/>
                <w:color w:val="auto"/>
                <w:szCs w:val="21"/>
                <w:highlight w:val="none"/>
              </w:rPr>
              <w:t>的身份证明</w:t>
            </w:r>
            <w:r>
              <w:rPr>
                <w:rFonts w:ascii="宋体" w:hAnsi="宋体" w:hint="eastAsia"/>
                <w:color w:val="auto"/>
                <w:szCs w:val="21"/>
                <w:highlight w:val="none"/>
              </w:rPr>
              <w:t>扫描件）</w:t>
            </w:r>
            <w:r>
              <w:rPr>
                <w:rFonts w:ascii="宋体" w:hAnsi="宋体"/>
                <w:color w:val="auto"/>
                <w:szCs w:val="21"/>
                <w:highlight w:val="none"/>
              </w:rPr>
              <w:t>。</w:t>
            </w:r>
          </w:p>
          <w:p>
            <w:pPr>
              <w:spacing w:line="360" w:lineRule="auto"/>
              <w:jc w:val="left"/>
              <w:rPr>
                <w:rFonts w:ascii="宋体" w:hAnsi="宋体" w:cstheme="minorEastAsia"/>
                <w:color w:val="auto"/>
                <w:szCs w:val="21"/>
                <w:highlight w:val="none"/>
              </w:rPr>
            </w:pPr>
            <w:r>
              <w:rPr>
                <w:rFonts w:ascii="宋体" w:hAnsi="宋体" w:cstheme="minorEastAsia" w:hint="eastAsia"/>
                <w:color w:val="auto"/>
                <w:szCs w:val="21"/>
                <w:highlight w:val="none"/>
              </w:rPr>
              <w:t>2.★财务状况报告：</w:t>
            </w:r>
            <w:r>
              <w:rPr>
                <w:rFonts w:ascii="宋体" w:hAnsi="宋体" w:hint="eastAsia"/>
                <w:color w:val="auto"/>
                <w:szCs w:val="21"/>
                <w:highlight w:val="none"/>
              </w:rPr>
              <w:t>上一年度的</w:t>
            </w:r>
            <w:r>
              <w:rPr>
                <w:rFonts w:ascii="宋体" w:hAnsi="宋体" w:cstheme="minorEastAsia" w:hint="eastAsia"/>
                <w:color w:val="auto"/>
                <w:szCs w:val="21"/>
                <w:highlight w:val="none"/>
              </w:rPr>
              <w:t>经会计师事务所审计的财务</w:t>
            </w:r>
            <w:r>
              <w:rPr>
                <w:rFonts w:asciiTheme="minorEastAsia" w:eastAsiaTheme="minorEastAsia" w:hAnsiTheme="minorEastAsia" w:cstheme="minorEastAsia" w:hint="eastAsia"/>
                <w:color w:val="auto"/>
                <w:szCs w:val="21"/>
                <w:highlight w:val="none"/>
              </w:rPr>
              <w:t>状况</w:t>
            </w:r>
            <w:r>
              <w:rPr>
                <w:rFonts w:ascii="宋体" w:hAnsi="宋体" w:cstheme="minorEastAsia" w:hint="eastAsia"/>
                <w:color w:val="auto"/>
                <w:szCs w:val="21"/>
                <w:highlight w:val="none"/>
              </w:rPr>
              <w:t>报告（须上传加盖会计师事务所公章及注册会计师签章的扫描件）；没有经审计的财务</w:t>
            </w:r>
            <w:r>
              <w:rPr>
                <w:rFonts w:asciiTheme="minorEastAsia" w:eastAsiaTheme="minorEastAsia" w:hAnsiTheme="minorEastAsia" w:cstheme="minorEastAsia" w:hint="eastAsia"/>
                <w:color w:val="auto"/>
                <w:szCs w:val="21"/>
                <w:highlight w:val="none"/>
              </w:rPr>
              <w:t>状况</w:t>
            </w:r>
            <w:r>
              <w:rPr>
                <w:rFonts w:ascii="宋体" w:hAnsi="宋体" w:cstheme="minorEastAsia" w:hint="eastAsia"/>
                <w:color w:val="auto"/>
                <w:szCs w:val="21"/>
                <w:highlight w:val="none"/>
              </w:rPr>
              <w:t>报告的，可以上传基本开户银行出具的资信证明扫描件；</w:t>
            </w:r>
            <w:r>
              <w:rPr>
                <w:rFonts w:ascii="宋体" w:hAnsi="宋体" w:cs="宋体" w:hint="eastAsia"/>
                <w:color w:val="auto"/>
                <w:szCs w:val="21"/>
                <w:highlight w:val="none"/>
              </w:rPr>
              <w:t>如供应商为投标当年新成立公司的，应上传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PlainText"/>
              <w:spacing w:line="360" w:lineRule="auto"/>
              <w:rPr>
                <w:rFonts w:hAnsi="宋体"/>
                <w:color w:val="auto"/>
                <w:highlight w:val="none"/>
              </w:rPr>
            </w:pPr>
            <w:r>
              <w:rPr>
                <w:rFonts w:hAnsi="宋体" w:cstheme="minorEastAsia" w:hint="eastAsia"/>
                <w:color w:val="auto"/>
                <w:highlight w:val="none"/>
              </w:rPr>
              <w:t>3.★依法缴纳税收：</w:t>
            </w:r>
            <w:r>
              <w:rPr>
                <w:rFonts w:hAnsi="宋体" w:hint="eastAsia"/>
                <w:color w:val="auto"/>
                <w:highlight w:val="none"/>
              </w:rPr>
              <w:t>投标截止之日前半年内投标人连续三个月的</w:t>
            </w:r>
            <w:r>
              <w:rPr>
                <w:rFonts w:hAnsi="宋体" w:cstheme="minorEastAsia" w:hint="eastAsia"/>
                <w:color w:val="auto"/>
                <w:highlight w:val="none"/>
              </w:rPr>
              <w:t>依法缴纳税收（不包括个人所得税）的相关材料</w:t>
            </w:r>
            <w:r>
              <w:rPr>
                <w:rFonts w:hAnsi="宋体" w:hint="eastAsia"/>
                <w:color w:val="auto"/>
                <w:highlight w:val="none"/>
              </w:rPr>
              <w:t>，</w:t>
            </w:r>
            <w:r>
              <w:rPr>
                <w:rFonts w:hAnsi="宋体" w:cstheme="minorEastAsia" w:hint="eastAsia"/>
                <w:color w:val="auto"/>
                <w:highlight w:val="none"/>
              </w:rPr>
              <w:t>如依法免税或不需要纳税的，应上传相应证明材料扫描件</w:t>
            </w:r>
            <w:r>
              <w:rPr>
                <w:rFonts w:hAnsi="宋体" w:hint="eastAsia"/>
                <w:color w:val="auto"/>
                <w:highlight w:val="none"/>
              </w:rPr>
              <w:t>；投标人无纳税记录或为新成立公司，应</w:t>
            </w:r>
            <w:r>
              <w:rPr>
                <w:rFonts w:hAnsi="宋体" w:cstheme="minorEastAsia" w:hint="eastAsia"/>
                <w:color w:val="auto"/>
                <w:highlight w:val="none"/>
              </w:rPr>
              <w:t>上传</w:t>
            </w:r>
            <w:r>
              <w:rPr>
                <w:rFonts w:hAnsi="宋体" w:hint="eastAsia"/>
                <w:color w:val="auto"/>
                <w:highlight w:val="none"/>
              </w:rPr>
              <w:t>由投标人所在地主管税务部门出具的依法纳税或依法免税证明（扫描件）。</w:t>
            </w:r>
          </w:p>
          <w:p>
            <w:pPr>
              <w:spacing w:line="360" w:lineRule="auto"/>
              <w:jc w:val="left"/>
              <w:rPr>
                <w:rFonts w:ascii="宋体" w:hAnsi="宋体"/>
                <w:color w:val="auto"/>
                <w:szCs w:val="21"/>
                <w:highlight w:val="none"/>
              </w:rPr>
            </w:pPr>
            <w:r>
              <w:rPr>
                <w:rFonts w:ascii="宋体" w:hAnsi="宋体"/>
                <w:color w:val="auto"/>
                <w:szCs w:val="21"/>
                <w:highlight w:val="none"/>
              </w:rPr>
              <w:t>4.★</w:t>
            </w:r>
            <w:r>
              <w:rPr>
                <w:rFonts w:asciiTheme="minorEastAsia" w:eastAsiaTheme="minorEastAsia" w:hAnsiTheme="minorEastAsia" w:hint="eastAsia"/>
                <w:color w:val="auto"/>
                <w:szCs w:val="21"/>
                <w:highlight w:val="none"/>
              </w:rPr>
              <w:t>依法缴纳</w:t>
            </w:r>
            <w:r>
              <w:rPr>
                <w:rFonts w:ascii="宋体" w:hAnsi="宋体"/>
                <w:color w:val="auto"/>
                <w:szCs w:val="21"/>
                <w:highlight w:val="none"/>
              </w:rPr>
              <w:t>社会保障资金：</w:t>
            </w:r>
            <w:r>
              <w:rPr>
                <w:rFonts w:ascii="宋体" w:hAnsi="宋体" w:hint="eastAsia"/>
                <w:color w:val="auto"/>
                <w:szCs w:val="21"/>
                <w:highlight w:val="none"/>
              </w:rPr>
              <w:t>投标截止之日前半年内投标人连续三个月的依法缴纳</w:t>
            </w:r>
            <w:r>
              <w:rPr>
                <w:rFonts w:ascii="宋体" w:hAnsi="宋体"/>
                <w:color w:val="auto"/>
                <w:szCs w:val="21"/>
                <w:highlight w:val="none"/>
              </w:rPr>
              <w:t>社会保障资金的相关材料，如依法不需要缴纳社会保障资金的，则应</w:t>
            </w:r>
            <w:r>
              <w:rPr>
                <w:rFonts w:ascii="宋体" w:hAnsi="宋体" w:hint="eastAsia"/>
                <w:color w:val="auto"/>
                <w:szCs w:val="21"/>
                <w:highlight w:val="none"/>
              </w:rPr>
              <w:t>上传</w:t>
            </w:r>
            <w:r>
              <w:rPr>
                <w:rFonts w:ascii="宋体" w:hAnsi="宋体"/>
                <w:color w:val="auto"/>
                <w:szCs w:val="21"/>
                <w:highlight w:val="none"/>
              </w:rPr>
              <w:t>相应证明材料</w:t>
            </w:r>
            <w:r>
              <w:rPr>
                <w:rFonts w:hAnsi="宋体" w:cstheme="minorEastAsia" w:hint="eastAsia"/>
                <w:color w:val="auto"/>
                <w:highlight w:val="none"/>
              </w:rPr>
              <w:t>扫描件</w:t>
            </w:r>
            <w:r>
              <w:rPr>
                <w:rFonts w:ascii="宋体" w:hAnsi="宋体"/>
                <w:color w:val="auto"/>
                <w:szCs w:val="21"/>
                <w:highlight w:val="none"/>
              </w:rPr>
              <w:t>；</w:t>
            </w:r>
            <w:r>
              <w:rPr>
                <w:rFonts w:ascii="宋体" w:hAnsi="宋体" w:hint="eastAsia"/>
                <w:color w:val="auto"/>
                <w:szCs w:val="21"/>
                <w:highlight w:val="none"/>
              </w:rPr>
              <w:t>投标人无缴费记录或为新成立公司，应</w:t>
            </w:r>
            <w:r>
              <w:rPr>
                <w:rFonts w:hAnsi="宋体" w:cstheme="minorEastAsia" w:hint="eastAsia"/>
                <w:color w:val="auto"/>
                <w:highlight w:val="none"/>
              </w:rPr>
              <w:t>上传</w:t>
            </w:r>
            <w:r>
              <w:rPr>
                <w:rFonts w:ascii="宋体" w:hAnsi="宋体" w:hint="eastAsia"/>
                <w:color w:val="auto"/>
                <w:szCs w:val="21"/>
                <w:highlight w:val="none"/>
              </w:rPr>
              <w:t>由投标人所在地社保部门出具的依法缴纳或依法免缴社保费证明（扫描件）。</w:t>
            </w:r>
          </w:p>
          <w:p>
            <w:pPr>
              <w:spacing w:line="360" w:lineRule="auto"/>
              <w:jc w:val="left"/>
              <w:rPr>
                <w:rFonts w:ascii="宋体" w:hAnsi="宋体"/>
                <w:color w:val="auto"/>
                <w:szCs w:val="21"/>
                <w:highlight w:val="none"/>
              </w:rPr>
            </w:pPr>
            <w:r>
              <w:rPr>
                <w:rFonts w:ascii="宋体" w:hAnsi="宋体"/>
                <w:color w:val="auto"/>
                <w:szCs w:val="21"/>
                <w:highlight w:val="none"/>
              </w:rPr>
              <w:t>5.具备履行合同所必需的设备和专业技术能力的证明材料</w:t>
            </w:r>
            <w:r>
              <w:rPr>
                <w:rFonts w:ascii="宋体" w:hAnsi="宋体" w:hint="eastAsia"/>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6.★参加政府采购活动前3年内在经营活动中没有重大违法记录的书面声明</w:t>
            </w:r>
            <w:r>
              <w:rPr>
                <w:rFonts w:ascii="宋体" w:hAnsi="宋体" w:hint="eastAsia"/>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7.</w:t>
            </w:r>
            <w:r>
              <w:rPr>
                <w:rFonts w:ascii="宋体" w:hAnsi="宋体" w:hint="eastAsia"/>
                <w:color w:val="auto"/>
                <w:szCs w:val="21"/>
                <w:highlight w:val="none"/>
              </w:rPr>
              <w:t>★</w:t>
            </w:r>
            <w:r>
              <w:rPr>
                <w:rFonts w:ascii="宋体" w:hAnsi="宋体"/>
                <w:color w:val="auto"/>
                <w:szCs w:val="21"/>
                <w:highlight w:val="none"/>
              </w:rPr>
              <w:t>具备法律、行政法规规定的其他条件的证明材料</w:t>
            </w:r>
            <w:r>
              <w:rPr>
                <w:rFonts w:ascii="宋体" w:hAnsi="宋体" w:hint="eastAsia"/>
                <w:color w:val="auto"/>
                <w:szCs w:val="21"/>
                <w:highlight w:val="none"/>
              </w:rPr>
              <w:t>：《采购预留承诺函》，如为小微企业则提供《中小企业声明函》或监狱企业证明文件【监狱企业投标的，应提交省级以上监狱管理局、戒毒管理局（含新疆生产建设兵团）出具的证明文件】或残疾人福利性单位声明函。</w:t>
            </w:r>
          </w:p>
          <w:p>
            <w:pPr>
              <w:spacing w:line="360" w:lineRule="auto"/>
              <w:jc w:val="left"/>
              <w:rPr>
                <w:rFonts w:ascii="宋体" w:hAnsi="宋体"/>
                <w:color w:val="auto"/>
                <w:szCs w:val="21"/>
                <w:highlight w:val="none"/>
              </w:rPr>
            </w:pPr>
            <w:r>
              <w:rPr>
                <w:rFonts w:ascii="宋体" w:hAnsi="宋体" w:hint="eastAsia"/>
                <w:color w:val="auto"/>
                <w:szCs w:val="21"/>
                <w:highlight w:val="none"/>
              </w:rPr>
              <w:t>★</w:t>
            </w:r>
            <w:r>
              <w:rPr>
                <w:rFonts w:ascii="宋体" w:hAnsi="宋体" w:hint="eastAsia"/>
                <w:color w:val="auto"/>
                <w:szCs w:val="21"/>
                <w:highlight w:val="none"/>
              </w:rPr>
              <w:t>8.（1）《中小企业声明函》或监狱企业证明文件【监狱企业投标的，应提交省级以上监狱管理局、戒毒管理局（含新疆生产建设兵团）出具的证明文件】或残疾人福利性单位声明函。</w:t>
            </w:r>
            <w:r>
              <w:rPr>
                <w:rFonts w:ascii="宋体" w:hAnsi="宋体" w:hint="eastAsia"/>
                <w:b/>
                <w:color w:val="auto"/>
                <w:szCs w:val="21"/>
                <w:highlight w:val="none"/>
              </w:rPr>
              <w:t>投标人为小微企业按该要求提供。</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分包意向书以及《中小企业声明函》或监狱企业证明文件【监狱企业投标的，应提交省级以上监狱管理局、戒毒管理局（含新疆生产建设兵团）出具的证明文件】或残疾人福利性单位声明函（由投标人进行声明）。</w:t>
            </w:r>
            <w:r>
              <w:rPr>
                <w:rFonts w:ascii="宋体" w:hAnsi="宋体" w:hint="eastAsia"/>
                <w:b/>
                <w:color w:val="auto"/>
                <w:szCs w:val="21"/>
                <w:highlight w:val="none"/>
              </w:rPr>
              <w:t>投标人自身为大中型企业按该要求提供。</w:t>
            </w:r>
          </w:p>
          <w:p>
            <w:pPr>
              <w:spacing w:line="360" w:lineRule="auto"/>
              <w:jc w:val="left"/>
              <w:rPr>
                <w:color w:val="auto"/>
                <w:highlight w:val="none"/>
              </w:rPr>
            </w:pPr>
            <w:r>
              <w:rPr>
                <w:rFonts w:ascii="宋体" w:hAnsi="宋体" w:hint="eastAsia"/>
                <w:color w:val="auto"/>
                <w:szCs w:val="21"/>
                <w:highlight w:val="none"/>
              </w:rPr>
              <w:t>9.投标人认为需提供的其他资格证明资料。</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72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Cs/>
                <w:color w:val="auto"/>
                <w:szCs w:val="21"/>
                <w:highlight w:val="none"/>
              </w:rPr>
            </w:pPr>
          </w:p>
        </w:tc>
        <w:tc>
          <w:tcPr>
            <w:tcW w:w="5959" w:type="dxa"/>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bCs/>
                <w:color w:val="auto"/>
                <w:szCs w:val="21"/>
                <w:highlight w:val="none"/>
              </w:rPr>
            </w:pPr>
            <w:r>
              <w:rPr>
                <w:rFonts w:ascii="宋体" w:hAnsi="宋体" w:hint="eastAsia"/>
                <w:b/>
                <w:bCs/>
                <w:color w:val="auto"/>
                <w:szCs w:val="21"/>
                <w:highlight w:val="none"/>
              </w:rPr>
              <w:t>二、</w:t>
            </w:r>
            <w:r>
              <w:rPr>
                <w:rFonts w:ascii="宋体" w:hAnsi="宋体" w:hint="eastAsia"/>
                <w:b/>
                <w:color w:val="auto"/>
                <w:szCs w:val="21"/>
                <w:highlight w:val="none"/>
              </w:rPr>
              <w:t>开标一览表</w:t>
            </w:r>
            <w:r>
              <w:rPr>
                <w:rFonts w:ascii="宋体" w:hAnsi="宋体" w:hint="eastAsia"/>
                <w:b/>
                <w:bCs/>
                <w:color w:val="auto"/>
                <w:szCs w:val="21"/>
                <w:highlight w:val="none"/>
              </w:rPr>
              <w:t>：</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cs="Segoe UI Symbol"/>
                <w:color w:val="auto"/>
                <w:szCs w:val="21"/>
                <w:highlight w:val="none"/>
              </w:rPr>
              <w:t>★</w:t>
            </w:r>
            <w:r>
              <w:rPr>
                <w:rFonts w:ascii="宋体" w:hAnsi="宋体" w:hint="eastAsia"/>
                <w:color w:val="auto"/>
                <w:szCs w:val="21"/>
                <w:highlight w:val="none"/>
              </w:rPr>
              <w:t>投标报价表（线上采购项目，投标人应按照投标工具的流程和提示编制并上传）。</w:t>
            </w:r>
          </w:p>
          <w:p>
            <w:pPr>
              <w:spacing w:line="360" w:lineRule="auto"/>
              <w:jc w:val="left"/>
              <w:rPr>
                <w:color w:val="auto"/>
                <w:highlight w:val="none"/>
              </w:rPr>
            </w:pPr>
            <w:r>
              <w:rPr>
                <w:rFonts w:ascii="宋体" w:hAnsi="宋体" w:hint="eastAsia"/>
                <w:color w:val="auto"/>
                <w:szCs w:val="21"/>
                <w:highlight w:val="none"/>
              </w:rPr>
              <w:t>2</w:t>
            </w:r>
            <w:r>
              <w:rPr>
                <w:rFonts w:ascii="宋体" w:hAnsi="宋体"/>
                <w:color w:val="auto"/>
                <w:szCs w:val="21"/>
                <w:highlight w:val="none"/>
              </w:rPr>
              <w:t>.★</w:t>
            </w:r>
            <w:r>
              <w:rPr>
                <w:rFonts w:ascii="宋体" w:hAnsi="宋体" w:hint="eastAsia"/>
                <w:color w:val="auto"/>
                <w:szCs w:val="21"/>
                <w:highlight w:val="none"/>
              </w:rPr>
              <w:t>分项价格表。</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72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Cs/>
                <w:color w:val="auto"/>
                <w:szCs w:val="21"/>
                <w:highlight w:val="none"/>
              </w:rPr>
            </w:pPr>
          </w:p>
        </w:tc>
        <w:tc>
          <w:tcPr>
            <w:tcW w:w="5959" w:type="dxa"/>
            <w:tcBorders>
              <w:top w:val="single" w:sz="4" w:space="0" w:color="auto"/>
              <w:left w:val="single" w:sz="4" w:space="0" w:color="auto"/>
              <w:bottom w:val="single" w:sz="4" w:space="0" w:color="auto"/>
              <w:right w:val="single" w:sz="4" w:space="0" w:color="auto"/>
            </w:tcBorders>
            <w:vAlign w:val="center"/>
          </w:tcPr>
          <w:p>
            <w:pPr>
              <w:widowControl/>
              <w:shd w:val="clear" w:color="auto" w:fill="FFFFFF"/>
              <w:tabs>
                <w:tab w:val="left" w:pos="475"/>
                <w:tab w:val="left" w:pos="617"/>
              </w:tabs>
              <w:spacing w:line="360" w:lineRule="auto"/>
              <w:jc w:val="left"/>
              <w:rPr>
                <w:rFonts w:ascii="宋体" w:hAnsi="宋体"/>
                <w:color w:val="auto"/>
                <w:szCs w:val="21"/>
                <w:highlight w:val="none"/>
              </w:rPr>
            </w:pPr>
            <w:r>
              <w:rPr>
                <w:rFonts w:ascii="宋体" w:hAnsi="宋体" w:hint="eastAsia"/>
                <w:b/>
                <w:bCs/>
                <w:color w:val="auto"/>
                <w:szCs w:val="21"/>
                <w:highlight w:val="none"/>
              </w:rPr>
              <w:t>三、其他文件及资料：</w:t>
            </w:r>
          </w:p>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cs="Segoe UI Symbol"/>
                <w:color w:val="auto"/>
                <w:szCs w:val="21"/>
                <w:highlight w:val="none"/>
              </w:rPr>
              <w:t>★</w:t>
            </w:r>
            <w:r>
              <w:rPr>
                <w:rFonts w:ascii="宋体" w:hAnsi="宋体" w:hint="eastAsia"/>
                <w:color w:val="auto"/>
                <w:szCs w:val="21"/>
                <w:highlight w:val="none"/>
              </w:rPr>
              <w:t>授权委托书。</w:t>
            </w:r>
          </w:p>
          <w:p>
            <w:pPr>
              <w:spacing w:line="360" w:lineRule="auto"/>
              <w:jc w:val="left"/>
              <w:rPr>
                <w:rFonts w:ascii="宋体" w:hAnsi="宋体"/>
                <w:color w:val="auto"/>
                <w:szCs w:val="21"/>
                <w:highlight w:val="none"/>
              </w:rPr>
            </w:pPr>
            <w:r>
              <w:rPr>
                <w:rFonts w:ascii="宋体" w:hAnsi="宋体"/>
                <w:color w:val="auto"/>
                <w:szCs w:val="21"/>
                <w:highlight w:val="none"/>
              </w:rPr>
              <w:t>2.</w:t>
            </w:r>
            <w:r>
              <w:rPr>
                <w:rFonts w:ascii="宋体" w:hAnsi="宋体" w:cs="Segoe UI Symbol"/>
                <w:color w:val="auto"/>
                <w:szCs w:val="21"/>
                <w:highlight w:val="none"/>
              </w:rPr>
              <w:t>★</w:t>
            </w:r>
            <w:r>
              <w:rPr>
                <w:rFonts w:ascii="宋体" w:hAnsi="宋体" w:hint="eastAsia"/>
                <w:color w:val="auto"/>
                <w:szCs w:val="21"/>
                <w:highlight w:val="none"/>
              </w:rPr>
              <w:t>投标函。</w:t>
            </w:r>
          </w:p>
          <w:p>
            <w:pPr>
              <w:spacing w:line="360" w:lineRule="auto"/>
              <w:jc w:val="left"/>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★商务条款偏离表。</w:t>
            </w:r>
          </w:p>
          <w:p>
            <w:pPr>
              <w:spacing w:line="360" w:lineRule="auto"/>
              <w:jc w:val="left"/>
              <w:rPr>
                <w:rFonts w:ascii="宋体" w:hAnsi="宋体"/>
                <w:bCs/>
                <w:color w:val="auto"/>
                <w:szCs w:val="21"/>
                <w:highlight w:val="none"/>
              </w:rPr>
            </w:pPr>
            <w:r>
              <w:rPr>
                <w:rFonts w:ascii="宋体" w:hAnsi="宋体" w:hint="eastAsia"/>
                <w:color w:val="auto"/>
                <w:szCs w:val="21"/>
                <w:highlight w:val="none"/>
              </w:rPr>
              <w:t>4</w:t>
            </w:r>
            <w:r>
              <w:rPr>
                <w:rFonts w:ascii="宋体" w:hAnsi="宋体"/>
                <w:color w:val="auto"/>
                <w:szCs w:val="21"/>
                <w:highlight w:val="none"/>
              </w:rPr>
              <w:t>.</w:t>
            </w:r>
            <w:r>
              <w:rPr>
                <w:rFonts w:ascii="宋体" w:hAnsi="宋体" w:hint="eastAsia"/>
                <w:color w:val="auto"/>
                <w:szCs w:val="21"/>
                <w:highlight w:val="none"/>
              </w:rPr>
              <w:t>投标人认为需要提供的其它说明和资料。</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720"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Cs/>
                <w:color w:val="auto"/>
                <w:szCs w:val="21"/>
                <w:highlight w:val="none"/>
              </w:rPr>
            </w:pPr>
            <w:r>
              <w:rPr>
                <w:rFonts w:ascii="宋体" w:hAnsi="宋体" w:hint="eastAsia"/>
                <w:color w:val="auto"/>
                <w:szCs w:val="21"/>
                <w:highlight w:val="none"/>
              </w:rPr>
              <w:t>技术部分</w:t>
            </w:r>
          </w:p>
        </w:tc>
        <w:tc>
          <w:tcPr>
            <w:tcW w:w="5959" w:type="dxa"/>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★技术条款偏离表。</w:t>
            </w:r>
          </w:p>
          <w:p>
            <w:pPr>
              <w:spacing w:line="360" w:lineRule="auto"/>
              <w:jc w:val="left"/>
              <w:rPr>
                <w:rFonts w:ascii="宋体" w:hAnsi="宋体"/>
                <w:color w:val="auto"/>
                <w:szCs w:val="21"/>
                <w:highlight w:val="none"/>
              </w:rPr>
            </w:pPr>
            <w:r>
              <w:rPr>
                <w:rFonts w:ascii="宋体" w:hAnsi="宋体" w:hint="eastAsia"/>
                <w:color w:val="auto"/>
                <w:szCs w:val="21"/>
                <w:highlight w:val="none"/>
              </w:rPr>
              <w:t>2.服务方案。</w:t>
            </w:r>
          </w:p>
          <w:p>
            <w:pPr>
              <w:spacing w:line="360" w:lineRule="auto"/>
              <w:jc w:val="left"/>
              <w:rPr>
                <w:rFonts w:ascii="宋体" w:eastAsia="宋体" w:hAnsi="宋体" w:hint="eastAsia"/>
                <w:color w:val="auto"/>
                <w:szCs w:val="21"/>
                <w:highlight w:val="none"/>
                <w:lang w:eastAsia="zh-CN"/>
              </w:rPr>
            </w:pPr>
            <w:r>
              <w:rPr>
                <w:rFonts w:ascii="宋体" w:hAnsi="宋体" w:hint="eastAsia"/>
                <w:color w:val="auto"/>
                <w:szCs w:val="21"/>
                <w:highlight w:val="none"/>
              </w:rPr>
              <w:t>3.★技术力量一览表</w:t>
            </w:r>
            <w:r>
              <w:rPr>
                <w:rFonts w:ascii="宋体" w:hAnsi="宋体" w:hint="eastAsia"/>
                <w:color w:val="auto"/>
                <w:szCs w:val="21"/>
                <w:highlight w:val="none"/>
                <w:lang w:eastAsia="zh-CN"/>
              </w:rPr>
              <w:t>。</w:t>
            </w:r>
          </w:p>
          <w:p>
            <w:pPr>
              <w:spacing w:line="360" w:lineRule="auto"/>
              <w:jc w:val="left"/>
              <w:rPr>
                <w:rFonts w:ascii="宋体" w:hAnsi="宋体"/>
                <w:color w:val="auto"/>
                <w:szCs w:val="21"/>
                <w:highlight w:val="none"/>
              </w:rPr>
            </w:pPr>
            <w:r>
              <w:rPr>
                <w:rFonts w:ascii="宋体" w:hAnsi="宋体" w:hint="eastAsia"/>
                <w:color w:val="auto"/>
                <w:szCs w:val="21"/>
                <w:highlight w:val="none"/>
              </w:rPr>
              <w:t>4.投标人认为需要提供的其它说明和资料。</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color w:val="auto"/>
                <w:szCs w:val="21"/>
                <w:highlight w:val="none"/>
              </w:rPr>
            </w:pPr>
            <w:r>
              <w:rPr>
                <w:rFonts w:ascii="宋体" w:hAnsi="宋体"/>
                <w:b/>
                <w:color w:val="auto"/>
                <w:szCs w:val="21"/>
                <w:highlight w:val="none"/>
              </w:rPr>
              <w:t>1.</w:t>
            </w:r>
            <w:r>
              <w:rPr>
                <w:rFonts w:ascii="宋体" w:hAnsi="宋体" w:hint="eastAsia"/>
                <w:b/>
                <w:color w:val="auto"/>
                <w:szCs w:val="21"/>
                <w:highlight w:val="none"/>
              </w:rPr>
              <w:t>以上带</w:t>
            </w:r>
            <w:r>
              <w:rPr>
                <w:rFonts w:ascii="宋体" w:hAnsi="宋体" w:cs="Segoe UI Symbol" w:hint="eastAsia"/>
                <w:b/>
                <w:color w:val="auto"/>
                <w:szCs w:val="21"/>
                <w:highlight w:val="none"/>
              </w:rPr>
              <w:t>★</w:t>
            </w:r>
            <w:r>
              <w:rPr>
                <w:rFonts w:ascii="宋体" w:hAnsi="宋体" w:hint="eastAsia"/>
                <w:b/>
                <w:color w:val="auto"/>
                <w:szCs w:val="21"/>
                <w:highlight w:val="none"/>
              </w:rPr>
              <w:t>的文件及资料未提供或提供的无效，则投标无效。</w:t>
            </w:r>
          </w:p>
          <w:p>
            <w:pPr>
              <w:spacing w:line="360" w:lineRule="auto"/>
              <w:jc w:val="left"/>
              <w:rPr>
                <w:rFonts w:ascii="宋体" w:hAnsi="宋体"/>
                <w:color w:val="auto"/>
                <w:szCs w:val="21"/>
                <w:highlight w:val="none"/>
              </w:rPr>
            </w:pPr>
            <w:r>
              <w:rPr>
                <w:rFonts w:ascii="宋体" w:hAnsi="宋体"/>
                <w:b/>
                <w:color w:val="auto"/>
                <w:szCs w:val="21"/>
                <w:highlight w:val="none"/>
              </w:rPr>
              <w:t>2.</w:t>
            </w:r>
            <w:r>
              <w:rPr>
                <w:rFonts w:ascii="宋体" w:hAnsi="宋体" w:hint="eastAsia"/>
                <w:b/>
                <w:color w:val="auto"/>
                <w:szCs w:val="21"/>
                <w:highlight w:val="none"/>
              </w:rPr>
              <w:t>以上带★的文件及资料，</w:t>
            </w:r>
            <w:r>
              <w:rPr>
                <w:rFonts w:ascii="宋体" w:hAnsi="宋体" w:cs="Segoe UI Symbol" w:hint="eastAsia"/>
                <w:b/>
                <w:color w:val="auto"/>
                <w:szCs w:val="21"/>
                <w:highlight w:val="none"/>
              </w:rPr>
              <w:t>必须加盖投标人公章，否则按无效投标处理。</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17</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投标有效期</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从提交投标文件的截止之日起计算</w:t>
            </w:r>
            <w:r>
              <w:rPr>
                <w:rFonts w:ascii="宋体" w:hAnsi="宋体"/>
                <w:color w:val="auto"/>
                <w:szCs w:val="21"/>
                <w:highlight w:val="none"/>
                <w:u w:val="single"/>
              </w:rPr>
              <w:t xml:space="preserve"> 90 </w:t>
            </w:r>
            <w:r>
              <w:rPr>
                <w:rFonts w:ascii="宋体" w:hAnsi="宋体" w:hint="eastAsia"/>
                <w:color w:val="auto"/>
                <w:szCs w:val="21"/>
                <w:highlight w:val="none"/>
              </w:rPr>
              <w:t>日历日。</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18</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提交投标文件方式、截止时间、开标时间、地点</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b/>
                <w:color w:val="auto"/>
                <w:szCs w:val="21"/>
                <w:highlight w:val="none"/>
              </w:rPr>
              <w:t>提交方式：</w:t>
            </w:r>
            <w:r>
              <w:rPr>
                <w:rFonts w:ascii="宋体" w:hAnsi="宋体" w:hint="eastAsia"/>
                <w:color w:val="auto"/>
                <w:szCs w:val="21"/>
                <w:highlight w:val="none"/>
                <w:u w:val="single"/>
              </w:rPr>
              <w:t>线上电子文件提交</w:t>
            </w:r>
          </w:p>
          <w:p>
            <w:pPr>
              <w:topLinePunct/>
              <w:autoSpaceDE w:val="0"/>
              <w:autoSpaceDN w:val="0"/>
              <w:spacing w:line="360" w:lineRule="auto"/>
              <w:rPr>
                <w:rFonts w:ascii="宋体" w:hAnsi="宋体"/>
                <w:color w:val="auto"/>
                <w:szCs w:val="21"/>
                <w:highlight w:val="none"/>
              </w:rPr>
            </w:pPr>
            <w:r>
              <w:rPr>
                <w:rFonts w:ascii="宋体" w:hAnsi="宋体" w:hint="eastAsia"/>
                <w:b/>
                <w:color w:val="auto"/>
                <w:szCs w:val="21"/>
                <w:highlight w:val="none"/>
              </w:rPr>
              <w:t>投标截止时间和开标时间：</w:t>
            </w:r>
            <w:r>
              <w:rPr>
                <w:rFonts w:ascii="宋体" w:hAnsi="宋体"/>
                <w:color w:val="auto"/>
                <w:szCs w:val="21"/>
                <w:highlight w:val="none"/>
                <w:u w:val="single"/>
              </w:rPr>
              <w:t>2024</w:t>
            </w:r>
            <w:r>
              <w:rPr>
                <w:rFonts w:ascii="宋体" w:hAnsi="宋体" w:hint="eastAsia"/>
                <w:bCs/>
                <w:color w:val="auto"/>
                <w:szCs w:val="21"/>
                <w:highlight w:val="none"/>
                <w:u w:val="single"/>
              </w:rPr>
              <w:t>年</w:t>
            </w:r>
            <w:r>
              <w:rPr>
                <w:rFonts w:ascii="宋体" w:hAnsi="宋体" w:hint="eastAsia"/>
                <w:bCs/>
                <w:color w:val="auto"/>
                <w:szCs w:val="21"/>
                <w:highlight w:val="none"/>
                <w:u w:val="single"/>
                <w:lang w:val="en-US" w:eastAsia="zh-CN"/>
              </w:rPr>
              <w:t>11</w:t>
            </w:r>
            <w:r>
              <w:rPr>
                <w:rFonts w:ascii="宋体" w:hAnsi="宋体"/>
                <w:bCs/>
                <w:color w:val="auto"/>
                <w:szCs w:val="21"/>
                <w:highlight w:val="none"/>
                <w:u w:val="single"/>
              </w:rPr>
              <w:t>月</w:t>
            </w:r>
            <w:r>
              <w:rPr>
                <w:rFonts w:ascii="宋体" w:hAnsi="宋体" w:hint="eastAsia"/>
                <w:bCs/>
                <w:color w:val="auto"/>
                <w:szCs w:val="21"/>
                <w:highlight w:val="none"/>
                <w:u w:val="single"/>
                <w:lang w:val="en-US" w:eastAsia="zh-CN"/>
              </w:rPr>
              <w:t>13</w:t>
            </w:r>
            <w:r>
              <w:rPr>
                <w:rFonts w:ascii="宋体" w:hAnsi="宋体"/>
                <w:bCs/>
                <w:color w:val="auto"/>
                <w:szCs w:val="21"/>
                <w:highlight w:val="none"/>
                <w:u w:val="single"/>
              </w:rPr>
              <w:t>日</w:t>
            </w:r>
            <w:r>
              <w:rPr>
                <w:rFonts w:asciiTheme="minorEastAsia" w:eastAsiaTheme="minorEastAsia" w:hAnsiTheme="minorEastAsia" w:cs="宋体" w:hint="eastAsia"/>
                <w:color w:val="auto"/>
                <w:szCs w:val="21"/>
                <w:highlight w:val="none"/>
                <w:u w:val="single"/>
              </w:rPr>
              <w:t>9点30分00秒</w:t>
            </w:r>
            <w:r>
              <w:rPr>
                <w:rFonts w:ascii="宋体" w:hAnsi="宋体" w:hint="eastAsia"/>
                <w:color w:val="auto"/>
                <w:szCs w:val="21"/>
                <w:highlight w:val="none"/>
              </w:rPr>
              <w:t>（北京时间）</w:t>
            </w:r>
          </w:p>
          <w:p>
            <w:pPr>
              <w:topLinePunct/>
              <w:autoSpaceDE w:val="0"/>
              <w:autoSpaceDN w:val="0"/>
              <w:spacing w:line="360" w:lineRule="auto"/>
              <w:rPr>
                <w:rFonts w:ascii="宋体" w:hAnsi="宋体"/>
                <w:color w:val="auto"/>
                <w:szCs w:val="21"/>
                <w:highlight w:val="none"/>
              </w:rPr>
            </w:pPr>
            <w:r>
              <w:rPr>
                <w:rFonts w:ascii="宋体" w:hAnsi="宋体" w:hint="eastAsia"/>
                <w:b/>
                <w:color w:val="auto"/>
                <w:szCs w:val="21"/>
                <w:highlight w:val="none"/>
              </w:rPr>
              <w:t>开标方式：</w:t>
            </w:r>
            <w:r>
              <w:rPr>
                <w:rFonts w:ascii="宋体" w:hAnsi="宋体" w:hint="eastAsia"/>
                <w:color w:val="auto"/>
                <w:szCs w:val="21"/>
                <w:highlight w:val="none"/>
                <w:u w:val="single"/>
              </w:rPr>
              <w:t>线上电子开标</w:t>
            </w:r>
          </w:p>
          <w:p>
            <w:pPr>
              <w:topLinePunct/>
              <w:autoSpaceDE w:val="0"/>
              <w:autoSpaceDN w:val="0"/>
              <w:spacing w:line="360" w:lineRule="auto"/>
              <w:rPr>
                <w:rFonts w:ascii="宋体" w:hAnsi="宋体"/>
                <w:color w:val="auto"/>
                <w:szCs w:val="21"/>
                <w:highlight w:val="none"/>
                <w:u w:val="single"/>
              </w:rPr>
            </w:pPr>
            <w:r>
              <w:rPr>
                <w:rFonts w:ascii="宋体" w:hAnsi="宋体" w:hint="eastAsia"/>
                <w:b/>
                <w:color w:val="auto"/>
                <w:szCs w:val="21"/>
                <w:highlight w:val="none"/>
              </w:rPr>
              <w:t>提交投标文件地点：</w:t>
            </w:r>
            <w:r>
              <w:rPr>
                <w:rFonts w:ascii="宋体" w:hAnsi="宋体" w:hint="eastAsia"/>
                <w:color w:val="auto"/>
                <w:szCs w:val="21"/>
                <w:highlight w:val="none"/>
                <w:u w:val="single"/>
              </w:rPr>
              <w:t xml:space="preserve">国家税务总局政府采购评审管理系统 </w:t>
            </w:r>
          </w:p>
          <w:p>
            <w:pPr>
              <w:topLinePunct/>
              <w:autoSpaceDE w:val="0"/>
              <w:autoSpaceDN w:val="0"/>
              <w:spacing w:line="360" w:lineRule="auto"/>
              <w:rPr>
                <w:rFonts w:ascii="宋体" w:hAnsi="宋体"/>
                <w:b/>
                <w:color w:val="auto"/>
                <w:szCs w:val="21"/>
                <w:highlight w:val="none"/>
              </w:rPr>
            </w:pPr>
            <w:r>
              <w:rPr>
                <w:rFonts w:ascii="宋体" w:hAnsi="宋体" w:hint="eastAsia"/>
                <w:b/>
                <w:color w:val="auto"/>
                <w:szCs w:val="21"/>
                <w:highlight w:val="none"/>
              </w:rPr>
              <w:t>开标地点：</w:t>
            </w:r>
            <w:r>
              <w:rPr>
                <w:rFonts w:ascii="宋体" w:hAnsi="宋体" w:hint="eastAsia"/>
                <w:color w:val="auto"/>
                <w:szCs w:val="21"/>
                <w:highlight w:val="none"/>
                <w:u w:val="single"/>
                <w:lang w:bidi="ar"/>
              </w:rPr>
              <w:t>本项目通过国家税务总局政府采购评审管理系统进行开标，投标人应在开标前登录系统点击“开标大厅”，参加开标过程并确认开标结果，投标人未参加开标的视同认同开标结果。</w:t>
            </w:r>
            <w:r>
              <w:rPr>
                <w:rFonts w:ascii="宋体" w:hAnsi="宋体"/>
                <w:b/>
                <w:color w:val="auto"/>
                <w:szCs w:val="21"/>
                <w:highlight w:val="none"/>
              </w:rPr>
              <w:t xml:space="preserve"> </w:t>
            </w:r>
          </w:p>
          <w:p>
            <w:pPr>
              <w:topLinePunct/>
              <w:autoSpaceDE w:val="0"/>
              <w:autoSpaceDN w:val="0"/>
              <w:spacing w:line="360" w:lineRule="auto"/>
              <w:rPr>
                <w:rFonts w:ascii="宋体" w:hAnsi="宋体"/>
                <w:b/>
                <w:color w:val="auto"/>
                <w:szCs w:val="21"/>
                <w:highlight w:val="none"/>
              </w:rPr>
            </w:pPr>
            <w:r>
              <w:rPr>
                <w:rFonts w:ascii="宋体" w:hAnsi="宋体" w:hint="eastAsia"/>
                <w:b/>
                <w:color w:val="auto"/>
                <w:szCs w:val="21"/>
                <w:highlight w:val="none"/>
              </w:rPr>
              <w:t>联系电话：</w:t>
            </w:r>
            <w:r>
              <w:rPr>
                <w:rFonts w:ascii="宋体" w:hAnsi="宋体" w:cs="宋体" w:hint="eastAsia"/>
                <w:color w:val="auto"/>
                <w:szCs w:val="21"/>
                <w:highlight w:val="none"/>
                <w:u w:val="single"/>
              </w:rPr>
              <w:t>梁峰瑜，覃燕倩 0771-5562132，0771-5651320</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19</w:t>
            </w:r>
          </w:p>
        </w:tc>
        <w:tc>
          <w:tcPr>
            <w:tcW w:w="1672" w:type="dxa"/>
            <w:tcBorders>
              <w:top w:val="single" w:sz="4" w:space="0" w:color="auto"/>
              <w:left w:val="single" w:sz="4" w:space="0" w:color="auto"/>
              <w:bottom w:val="single" w:sz="4" w:space="0" w:color="auto"/>
              <w:right w:val="single" w:sz="4" w:space="0" w:color="auto"/>
            </w:tcBorders>
            <w:vAlign w:val="center"/>
          </w:tcPr>
          <w:p>
            <w:pPr>
              <w:tabs>
                <w:tab w:val="left" w:pos="1875"/>
              </w:tabs>
              <w:spacing w:line="360" w:lineRule="auto"/>
              <w:jc w:val="center"/>
              <w:rPr>
                <w:rFonts w:ascii="宋体" w:hAnsi="宋体"/>
                <w:b/>
                <w:color w:val="auto"/>
                <w:szCs w:val="21"/>
                <w:highlight w:val="none"/>
              </w:rPr>
            </w:pPr>
            <w:r>
              <w:rPr>
                <w:rFonts w:ascii="宋体" w:hAnsi="宋体" w:hint="eastAsia"/>
                <w:color w:val="auto"/>
                <w:szCs w:val="21"/>
                <w:highlight w:val="none"/>
              </w:rPr>
              <w:t>投标保证金</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snapToGrid w:val="0"/>
                <w:color w:val="auto"/>
                <w:szCs w:val="21"/>
                <w:highlight w:val="none"/>
                <w:lang w:val="zh-CN"/>
              </w:rPr>
            </w:pPr>
            <w:r>
              <w:rPr>
                <w:rFonts w:ascii="Wingdings 2" w:hAnsi="Wingdings 2"/>
                <w:color w:val="auto"/>
                <w:szCs w:val="21"/>
                <w:highlight w:val="none"/>
              </w:rPr>
              <w:sym w:font="Wingdings 2" w:char="F052"/>
            </w:r>
            <w:r>
              <w:rPr>
                <w:rFonts w:ascii="宋体" w:hAnsi="宋体" w:hint="eastAsia"/>
                <w:color w:val="auto"/>
                <w:szCs w:val="21"/>
                <w:highlight w:val="none"/>
              </w:rPr>
              <w:t>不要求提供</w:t>
            </w:r>
          </w:p>
          <w:p>
            <w:pPr>
              <w:topLinePunct/>
              <w:autoSpaceDE w:val="0"/>
              <w:autoSpaceDN w:val="0"/>
              <w:spacing w:line="360" w:lineRule="auto"/>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要求提供：</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1</w:t>
            </w:r>
            <w:r>
              <w:rPr>
                <w:rFonts w:ascii="宋体" w:hAnsi="宋体" w:hint="eastAsia"/>
                <w:color w:val="auto"/>
                <w:szCs w:val="21"/>
                <w:highlight w:val="none"/>
              </w:rPr>
              <w:t>）金额：</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2</w:t>
            </w:r>
            <w:r>
              <w:rPr>
                <w:rFonts w:ascii="宋体" w:hAnsi="宋体" w:hint="eastAsia"/>
                <w:color w:val="auto"/>
                <w:szCs w:val="21"/>
                <w:highlight w:val="none"/>
              </w:rPr>
              <w:t>）提交方式：</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收款人户名：</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开户银行：</w:t>
            </w:r>
            <w:r>
              <w:rPr>
                <w:rFonts w:ascii="宋体" w:hAnsi="宋体" w:hint="eastAsia"/>
                <w:color w:val="auto"/>
                <w:szCs w:val="21"/>
                <w:highlight w:val="none"/>
                <w:u w:val="single"/>
              </w:rPr>
              <w:t xml:space="preserve">   /   </w:t>
            </w:r>
            <w:r>
              <w:rPr>
                <w:rFonts w:ascii="宋体" w:hAnsi="宋体" w:hint="eastAsia"/>
                <w:color w:val="auto"/>
                <w:szCs w:val="21"/>
                <w:highlight w:val="none"/>
              </w:rPr>
              <w:t>。</w:t>
            </w:r>
          </w:p>
          <w:p>
            <w:pPr>
              <w:spacing w:line="360" w:lineRule="auto"/>
              <w:rPr>
                <w:rFonts w:ascii="宋体" w:hAnsi="宋体"/>
                <w:color w:val="auto"/>
                <w:szCs w:val="21"/>
                <w:highlight w:val="none"/>
              </w:rPr>
            </w:pPr>
            <w:r>
              <w:rPr>
                <w:rFonts w:ascii="宋体" w:hAnsi="宋体" w:hint="eastAsia"/>
                <w:color w:val="auto"/>
                <w:szCs w:val="21"/>
                <w:highlight w:val="none"/>
              </w:rPr>
              <w:t>银行账号：</w:t>
            </w:r>
            <w:r>
              <w:rPr>
                <w:rFonts w:ascii="宋体" w:hAnsi="宋体" w:hint="eastAsia"/>
                <w:color w:val="auto"/>
                <w:szCs w:val="21"/>
                <w:highlight w:val="none"/>
                <w:u w:val="single"/>
              </w:rPr>
              <w:t xml:space="preserve">   /   </w:t>
            </w:r>
            <w:r>
              <w:rPr>
                <w:rFonts w:ascii="宋体" w:hAnsi="宋体" w:hint="eastAsia"/>
                <w:color w:val="auto"/>
                <w:szCs w:val="21"/>
                <w:highlight w:val="none"/>
              </w:rPr>
              <w:t>。</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20</w:t>
            </w:r>
          </w:p>
        </w:tc>
        <w:tc>
          <w:tcPr>
            <w:tcW w:w="1672" w:type="dxa"/>
            <w:vMerge w:val="restart"/>
            <w:tcBorders>
              <w:top w:val="single" w:sz="4" w:space="0" w:color="auto"/>
              <w:left w:val="single" w:sz="4" w:space="0" w:color="auto"/>
              <w:bottom w:val="single" w:sz="4" w:space="0" w:color="auto"/>
              <w:right w:val="single" w:sz="4" w:space="0" w:color="auto"/>
            </w:tcBorders>
            <w:vAlign w:val="center"/>
          </w:tcPr>
          <w:p>
            <w:pPr>
              <w:tabs>
                <w:tab w:val="left" w:pos="1875"/>
              </w:tabs>
              <w:spacing w:line="360" w:lineRule="auto"/>
              <w:jc w:val="center"/>
              <w:rPr>
                <w:rFonts w:ascii="宋体" w:hAnsi="宋体"/>
                <w:color w:val="auto"/>
                <w:szCs w:val="21"/>
                <w:highlight w:val="none"/>
              </w:rPr>
            </w:pPr>
            <w:r>
              <w:rPr>
                <w:rFonts w:ascii="宋体" w:hAnsi="宋体" w:hint="eastAsia"/>
                <w:color w:val="auto"/>
                <w:szCs w:val="21"/>
                <w:highlight w:val="none"/>
              </w:rPr>
              <w:t>不予退还投标保证金的情形</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有下列情形之一的，投标保证金将不予退还：</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1</w:t>
            </w:r>
            <w:r>
              <w:rPr>
                <w:rFonts w:ascii="宋体" w:hAnsi="宋体" w:hint="eastAsia"/>
                <w:color w:val="auto"/>
                <w:szCs w:val="21"/>
                <w:highlight w:val="none"/>
              </w:rPr>
              <w:t>）投标人串通投标或有视为串通投标情形之一的；</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2</w:t>
            </w:r>
            <w:r>
              <w:rPr>
                <w:rFonts w:ascii="宋体" w:hAnsi="宋体" w:hint="eastAsia"/>
                <w:color w:val="auto"/>
                <w:szCs w:val="21"/>
                <w:highlight w:val="none"/>
              </w:rPr>
              <w:t>）投标人提供虚假材料；</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3</w:t>
            </w:r>
            <w:r>
              <w:rPr>
                <w:rFonts w:ascii="宋体" w:hAnsi="宋体" w:hint="eastAsia"/>
                <w:color w:val="auto"/>
                <w:szCs w:val="21"/>
                <w:highlight w:val="none"/>
              </w:rPr>
              <w:t>）投标人采取不正当手段诋毁、排挤其他投标人；</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4</w:t>
            </w:r>
            <w:r>
              <w:rPr>
                <w:rFonts w:ascii="宋体" w:hAnsi="宋体" w:hint="eastAsia"/>
                <w:color w:val="auto"/>
                <w:szCs w:val="21"/>
                <w:highlight w:val="none"/>
              </w:rPr>
              <w:t>）投标截止时间后，投标人在投标有效期内撤销投标文件；</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5</w:t>
            </w:r>
            <w:r>
              <w:rPr>
                <w:rFonts w:ascii="宋体" w:hAnsi="宋体" w:hint="eastAsia"/>
                <w:color w:val="auto"/>
                <w:szCs w:val="21"/>
                <w:highlight w:val="none"/>
              </w:rPr>
              <w:t>）中标人有下列情形之一的：</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t>a.</w:t>
            </w:r>
            <w:r>
              <w:rPr>
                <w:rFonts w:ascii="宋体" w:hAnsi="宋体" w:hint="eastAsia"/>
                <w:color w:val="auto"/>
                <w:szCs w:val="21"/>
                <w:highlight w:val="none"/>
              </w:rPr>
              <w:t>除不可抗力外，因中标人自身原因未在中标通知书要求的期限内与采购人签订政府采购合同；</w:t>
            </w:r>
          </w:p>
          <w:p>
            <w:pPr>
              <w:topLinePunct/>
              <w:autoSpaceDE w:val="0"/>
              <w:autoSpaceDN w:val="0"/>
              <w:spacing w:line="360" w:lineRule="auto"/>
              <w:rPr>
                <w:rFonts w:ascii="宋体" w:hAnsi="宋体"/>
                <w:color w:val="auto"/>
                <w:szCs w:val="21"/>
                <w:highlight w:val="none"/>
              </w:rPr>
            </w:pPr>
            <w:r>
              <w:rPr>
                <w:rFonts w:ascii="宋体" w:hAnsi="宋体"/>
                <w:color w:val="auto"/>
                <w:szCs w:val="21"/>
                <w:highlight w:val="none"/>
              </w:rPr>
              <w:t>b.</w:t>
            </w:r>
            <w:r>
              <w:rPr>
                <w:rFonts w:ascii="宋体" w:hAnsi="宋体" w:hint="eastAsia"/>
                <w:color w:val="auto"/>
                <w:szCs w:val="21"/>
                <w:highlight w:val="none"/>
              </w:rPr>
              <w:t>未按照招标文件、投标文件的约定签订政府采购合同或提交履约保证金。</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注：若上述投标保证金不予退还情形给采购人造成损失，则投标人还要承担相应的赔偿责任。</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其他不予退还投标保证金的情形：</w:t>
            </w:r>
            <w:r>
              <w:rPr>
                <w:rFonts w:ascii="宋体" w:hAnsi="宋体" w:hint="eastAsia"/>
                <w:color w:val="auto"/>
                <w:szCs w:val="21"/>
                <w:highlight w:val="none"/>
                <w:u w:val="single"/>
              </w:rPr>
              <w:t>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21</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Cs w:val="21"/>
                <w:highlight w:val="none"/>
              </w:rPr>
            </w:pPr>
            <w:r>
              <w:rPr>
                <w:rFonts w:ascii="宋体" w:hAnsi="宋体" w:hint="eastAsia"/>
                <w:color w:val="auto"/>
                <w:szCs w:val="21"/>
                <w:highlight w:val="none"/>
              </w:rPr>
              <w:t>信用记录审查</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snapToGrid w:val="0"/>
                <w:color w:val="auto"/>
                <w:szCs w:val="21"/>
                <w:highlight w:val="none"/>
              </w:rPr>
            </w:pPr>
            <w:r>
              <w:rPr>
                <w:rFonts w:ascii="宋体" w:hAnsi="宋体" w:hint="eastAsia"/>
                <w:color w:val="auto"/>
                <w:szCs w:val="21"/>
                <w:highlight w:val="none"/>
              </w:rPr>
              <w:t>根据《财政部关于在政府采购活动中查询及使用信用记录有关问题的通知》（财库〔</w:t>
            </w:r>
            <w:r>
              <w:rPr>
                <w:rFonts w:ascii="宋体" w:hAnsi="宋体"/>
                <w:color w:val="auto"/>
                <w:szCs w:val="21"/>
                <w:highlight w:val="none"/>
              </w:rPr>
              <w:t>2016</w:t>
            </w:r>
            <w:r>
              <w:rPr>
                <w:rFonts w:ascii="宋体" w:hAnsi="宋体" w:hint="eastAsia"/>
                <w:color w:val="auto"/>
                <w:szCs w:val="21"/>
                <w:highlight w:val="none"/>
              </w:rPr>
              <w:t>〕</w:t>
            </w:r>
            <w:r>
              <w:rPr>
                <w:rFonts w:ascii="宋体" w:hAnsi="宋体"/>
                <w:color w:val="auto"/>
                <w:szCs w:val="21"/>
                <w:highlight w:val="none"/>
              </w:rPr>
              <w:t>125</w:t>
            </w:r>
            <w:r>
              <w:rPr>
                <w:rFonts w:ascii="宋体" w:hAnsi="宋体" w:hint="eastAsia"/>
                <w:color w:val="auto"/>
                <w:szCs w:val="21"/>
                <w:highlight w:val="none"/>
              </w:rPr>
              <w:t>号）规定，开标结束后，采购人将通过</w:t>
            </w:r>
            <w:r>
              <w:rPr>
                <w:rFonts w:ascii="宋体" w:hAnsi="宋体"/>
                <w:color w:val="auto"/>
                <w:szCs w:val="21"/>
                <w:highlight w:val="none"/>
              </w:rPr>
              <w:t>“</w:t>
            </w:r>
            <w:r>
              <w:rPr>
                <w:rFonts w:ascii="宋体" w:hAnsi="宋体" w:hint="eastAsia"/>
                <w:color w:val="auto"/>
                <w:szCs w:val="21"/>
                <w:highlight w:val="none"/>
              </w:rPr>
              <w:t>信用中国</w:t>
            </w:r>
            <w:r>
              <w:rPr>
                <w:rFonts w:ascii="宋体" w:hAnsi="宋体"/>
                <w:color w:val="auto"/>
                <w:szCs w:val="21"/>
                <w:highlight w:val="none"/>
              </w:rPr>
              <w:t>”</w:t>
            </w:r>
            <w:r>
              <w:rPr>
                <w:rFonts w:ascii="宋体" w:hAnsi="宋体" w:hint="eastAsia"/>
                <w:color w:val="auto"/>
                <w:szCs w:val="21"/>
                <w:highlight w:val="none"/>
              </w:rPr>
              <w:t>网站（</w:t>
            </w:r>
            <w:r>
              <w:rPr>
                <w:rFonts w:ascii="宋体" w:hAnsi="宋体"/>
                <w:color w:val="auto"/>
                <w:szCs w:val="21"/>
                <w:highlight w:val="none"/>
              </w:rPr>
              <w:t>www.creditchina.gov.cn</w:t>
            </w:r>
            <w:r>
              <w:rPr>
                <w:rFonts w:ascii="宋体" w:hAnsi="宋体" w:hint="eastAsia"/>
                <w:color w:val="auto"/>
                <w:szCs w:val="21"/>
                <w:highlight w:val="none"/>
              </w:rPr>
              <w:t>）、中国政府采购网（</w:t>
            </w:r>
            <w:r>
              <w:rPr>
                <w:rFonts w:ascii="宋体" w:hAnsi="宋体"/>
                <w:color w:val="auto"/>
                <w:szCs w:val="21"/>
                <w:highlight w:val="none"/>
              </w:rPr>
              <w:t>www.ccgp.gov.cn</w:t>
            </w:r>
            <w:r>
              <w:rPr>
                <w:rFonts w:ascii="宋体" w:hAnsi="宋体" w:hint="eastAsia"/>
                <w:color w:val="auto"/>
                <w:szCs w:val="21"/>
                <w:highlight w:val="none"/>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本次查询的信用记录仅限于本项目使用，查询结果将留存在采购档案中。</w:t>
            </w:r>
          </w:p>
          <w:p>
            <w:pPr>
              <w:spacing w:line="360" w:lineRule="auto"/>
              <w:jc w:val="left"/>
              <w:rPr>
                <w:rFonts w:ascii="宋体" w:hAnsi="宋体"/>
                <w:color w:val="auto"/>
                <w:szCs w:val="21"/>
                <w:highlight w:val="none"/>
              </w:rPr>
            </w:pPr>
            <w:r>
              <w:rPr>
                <w:rFonts w:ascii="宋体" w:hAnsi="宋体" w:hint="eastAsia"/>
                <w:color w:val="auto"/>
                <w:szCs w:val="21"/>
                <w:highlight w:val="none"/>
              </w:rPr>
              <w:t>在上述指定网站不能查询信用信息的投标人，应提供相关证明材料（原件加盖公章）。</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22</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支持中小型</w:t>
            </w:r>
          </w:p>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企业发展</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根据《政府采购促进中小型企业发展管理办法》（财库〔</w:t>
            </w:r>
            <w:r>
              <w:rPr>
                <w:rFonts w:ascii="宋体" w:hAnsi="宋体"/>
                <w:color w:val="auto"/>
                <w:szCs w:val="21"/>
                <w:highlight w:val="none"/>
              </w:rPr>
              <w:t>2020</w:t>
            </w:r>
            <w:r>
              <w:rPr>
                <w:rFonts w:ascii="宋体" w:hAnsi="宋体" w:hint="eastAsia"/>
                <w:color w:val="auto"/>
                <w:szCs w:val="21"/>
                <w:highlight w:val="none"/>
              </w:rPr>
              <w:t>〕</w:t>
            </w:r>
            <w:r>
              <w:rPr>
                <w:rFonts w:ascii="宋体" w:hAnsi="宋体"/>
                <w:color w:val="auto"/>
                <w:szCs w:val="21"/>
                <w:highlight w:val="none"/>
              </w:rPr>
              <w:t>46</w:t>
            </w:r>
            <w:r>
              <w:rPr>
                <w:rFonts w:ascii="宋体" w:hAnsi="宋体" w:hint="eastAsia"/>
                <w:color w:val="auto"/>
                <w:szCs w:val="21"/>
                <w:highlight w:val="none"/>
              </w:rPr>
              <w:t>号），鼓励中小企业参加本项目采购活动。</w:t>
            </w:r>
          </w:p>
          <w:p>
            <w:pPr>
              <w:spacing w:line="360" w:lineRule="auto"/>
              <w:rPr>
                <w:rFonts w:ascii="宋体" w:hAnsi="宋体"/>
                <w:color w:val="auto"/>
                <w:szCs w:val="21"/>
                <w:highlight w:val="none"/>
              </w:rPr>
            </w:pPr>
            <w:r>
              <w:rPr>
                <w:rFonts w:ascii="宋体" w:hAnsi="宋体" w:hint="eastAsia"/>
                <w:color w:val="auto"/>
                <w:szCs w:val="21"/>
                <w:highlight w:val="none"/>
              </w:rPr>
              <w:t>在货物采购项目中，满足所有标的均由中小企业制造，即所有标的均由中小企业生产且使用该中小企业商号或者注册商标的，可享受中小企业扶持政策。</w:t>
            </w:r>
          </w:p>
          <w:p>
            <w:pPr>
              <w:spacing w:line="360" w:lineRule="auto"/>
              <w:rPr>
                <w:rFonts w:ascii="宋体" w:hAnsi="宋体"/>
                <w:color w:val="auto"/>
                <w:szCs w:val="21"/>
                <w:highlight w:val="none"/>
              </w:rPr>
            </w:pPr>
            <w:r>
              <w:rPr>
                <w:rFonts w:ascii="宋体" w:hAnsi="宋体" w:hint="eastAsia"/>
                <w:color w:val="auto"/>
                <w:szCs w:val="21"/>
                <w:highlight w:val="none"/>
              </w:rPr>
              <w:t>在服务采购项目中，满足服务由中小企业承接，即提供服务的人员为中小企业依照《中华人民共和国劳动合同法》订立劳动合同的从业人员的，可享受中小企业扶持政策。</w:t>
            </w:r>
          </w:p>
          <w:p>
            <w:pPr>
              <w:spacing w:line="360" w:lineRule="auto"/>
              <w:rPr>
                <w:rFonts w:ascii="宋体" w:hAnsi="宋体"/>
                <w:color w:val="auto"/>
                <w:szCs w:val="21"/>
                <w:highlight w:val="none"/>
              </w:rPr>
            </w:pPr>
            <w:r>
              <w:rPr>
                <w:rFonts w:ascii="宋体" w:hAnsi="宋体" w:hint="eastAsia"/>
                <w:color w:val="auto"/>
                <w:szCs w:val="21"/>
                <w:highlight w:val="none"/>
              </w:rPr>
              <w:t>本项目：</w:t>
            </w:r>
          </w:p>
          <w:p>
            <w:pPr>
              <w:spacing w:line="360" w:lineRule="auto"/>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专门面向小微企业采购项目。</w:t>
            </w:r>
          </w:p>
          <w:p>
            <w:pPr>
              <w:spacing w:line="360" w:lineRule="auto"/>
              <w:rPr>
                <w:rFonts w:ascii="宋体" w:hAnsi="宋体"/>
                <w:color w:val="auto"/>
                <w:szCs w:val="21"/>
                <w:highlight w:val="none"/>
              </w:rPr>
            </w:pPr>
            <w:r>
              <w:rPr>
                <w:rFonts w:ascii="Wingdings 2" w:hAnsi="Wingdings 2"/>
                <w:color w:val="auto"/>
                <w:kern w:val="0"/>
                <w:szCs w:val="21"/>
                <w:highlight w:val="none"/>
              </w:rPr>
              <w:sym w:font="Wingdings 2" w:char="F052"/>
            </w:r>
            <w:r>
              <w:rPr>
                <w:rFonts w:ascii="宋体" w:hAnsi="宋体" w:hint="eastAsia"/>
                <w:color w:val="auto"/>
                <w:szCs w:val="21"/>
                <w:highlight w:val="none"/>
              </w:rPr>
              <w:t>预留份额面向中小企业采购项目（说明：</w:t>
            </w:r>
            <w:r>
              <w:rPr>
                <w:rFonts w:ascii="宋体" w:hAnsi="宋体" w:hint="eastAsia"/>
                <w:color w:val="auto"/>
                <w:szCs w:val="21"/>
                <w:highlight w:val="none"/>
                <w:u w:val="single"/>
              </w:rPr>
              <w:t>本项目属于预留采购预算总额的35%（含）以上专门面向小微企业采购项目，根据《政府采购促进中小企业发展管理办法》财库〔2020〕46号文件要求，如投标人为大型或中型企业的，必须在获得本项目采购合同后，将采购项目预算金额35%（含）以上的比例分包给一家或多家小微型企业。接受分包合同的供应商须为小型、微型企业，接受分包合同的小微企业与分包企业之间不得存在直接控股、管理关系。</w:t>
            </w:r>
            <w:r>
              <w:rPr>
                <w:rFonts w:ascii="宋体" w:hAnsi="宋体" w:hint="eastAsia"/>
                <w:color w:val="auto"/>
                <w:szCs w:val="21"/>
                <w:highlight w:val="none"/>
              </w:rPr>
              <w:t>）。</w:t>
            </w:r>
          </w:p>
          <w:p>
            <w:pPr>
              <w:spacing w:line="360" w:lineRule="auto"/>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非专门面向中小企业采购项目。对小型和微型企业的投标价格给予</w:t>
            </w:r>
            <w:r>
              <w:rPr>
                <w:rFonts w:ascii="宋体" w:hAnsi="宋体" w:hint="eastAsia"/>
                <w:color w:val="auto"/>
                <w:szCs w:val="21"/>
                <w:highlight w:val="none"/>
                <w:u w:val="single"/>
              </w:rPr>
              <w:t xml:space="preserve">   </w:t>
            </w:r>
            <w:r>
              <w:rPr>
                <w:rFonts w:ascii="宋体" w:hAnsi="宋体"/>
                <w:color w:val="auto"/>
                <w:szCs w:val="21"/>
                <w:highlight w:val="none"/>
              </w:rPr>
              <w:t>%</w:t>
            </w:r>
            <w:r>
              <w:rPr>
                <w:rFonts w:ascii="宋体" w:hAnsi="宋体" w:hint="eastAsia"/>
                <w:color w:val="auto"/>
                <w:szCs w:val="21"/>
                <w:highlight w:val="none"/>
              </w:rPr>
              <w:t xml:space="preserve">的扣除，用扣除后的价格参与评审。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23</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支持监狱企业发展</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b/>
                <w:color w:val="auto"/>
                <w:szCs w:val="21"/>
                <w:highlight w:val="none"/>
              </w:rPr>
            </w:pPr>
            <w:r>
              <w:rPr>
                <w:rFonts w:ascii="宋体" w:hAnsi="宋体" w:hint="eastAsia"/>
                <w:color w:val="auto"/>
                <w:szCs w:val="21"/>
                <w:highlight w:val="none"/>
              </w:rPr>
              <w:t>根据《关于政府采购支持监狱企业发展有关问题的通知》（财库〔</w:t>
            </w:r>
            <w:r>
              <w:rPr>
                <w:rFonts w:ascii="宋体" w:hAnsi="宋体"/>
                <w:color w:val="auto"/>
                <w:szCs w:val="21"/>
                <w:highlight w:val="none"/>
              </w:rPr>
              <w:t>2014</w:t>
            </w:r>
            <w:r>
              <w:rPr>
                <w:rFonts w:ascii="宋体" w:hAnsi="宋体" w:hint="eastAsia"/>
                <w:color w:val="auto"/>
                <w:szCs w:val="21"/>
                <w:highlight w:val="none"/>
              </w:rPr>
              <w:t>〕</w:t>
            </w:r>
            <w:r>
              <w:rPr>
                <w:rFonts w:ascii="宋体" w:hAnsi="宋体"/>
                <w:color w:val="auto"/>
                <w:szCs w:val="21"/>
                <w:highlight w:val="none"/>
              </w:rPr>
              <w:t>68</w:t>
            </w:r>
            <w:r>
              <w:rPr>
                <w:rFonts w:ascii="宋体" w:hAnsi="宋体" w:hint="eastAsia"/>
                <w:color w:val="auto"/>
                <w:szCs w:val="21"/>
                <w:highlight w:val="none"/>
              </w:rPr>
              <w:t>号），监狱企业视同小型、微型企业，按照</w:t>
            </w:r>
            <w:r>
              <w:rPr>
                <w:rFonts w:ascii="宋体" w:hAnsi="宋体" w:hint="eastAsia"/>
                <w:b/>
                <w:bCs/>
                <w:color w:val="auto"/>
                <w:szCs w:val="21"/>
                <w:highlight w:val="none"/>
              </w:rPr>
              <w:t>投标人须知前附表第</w:t>
            </w:r>
            <w:r>
              <w:rPr>
                <w:rFonts w:ascii="宋体" w:hAnsi="宋体"/>
                <w:b/>
                <w:bCs/>
                <w:color w:val="auto"/>
                <w:szCs w:val="21"/>
                <w:highlight w:val="none"/>
              </w:rPr>
              <w:t>22</w:t>
            </w:r>
            <w:r>
              <w:rPr>
                <w:rFonts w:ascii="宋体" w:hAnsi="宋体" w:hint="eastAsia"/>
                <w:b/>
                <w:bCs/>
                <w:color w:val="auto"/>
                <w:szCs w:val="21"/>
                <w:highlight w:val="none"/>
              </w:rPr>
              <w:t>项</w:t>
            </w:r>
            <w:r>
              <w:rPr>
                <w:rFonts w:ascii="宋体" w:hAnsi="宋体" w:hint="eastAsia"/>
                <w:color w:val="auto"/>
                <w:szCs w:val="21"/>
                <w:highlight w:val="none"/>
              </w:rPr>
              <w:t>享受价格扣除政策。</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24</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促进残疾人</w:t>
            </w:r>
          </w:p>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就业</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根据《关于促进残疾人就业政府采购政策的通知》（财库〔</w:t>
            </w:r>
            <w:r>
              <w:rPr>
                <w:rFonts w:ascii="宋体" w:hAnsi="宋体"/>
                <w:color w:val="auto"/>
                <w:szCs w:val="21"/>
                <w:highlight w:val="none"/>
              </w:rPr>
              <w:t>2017</w:t>
            </w:r>
            <w:r>
              <w:rPr>
                <w:rFonts w:ascii="宋体" w:hAnsi="宋体" w:hint="eastAsia"/>
                <w:color w:val="auto"/>
                <w:szCs w:val="21"/>
                <w:highlight w:val="none"/>
              </w:rPr>
              <w:t>〕</w:t>
            </w:r>
            <w:r>
              <w:rPr>
                <w:rFonts w:ascii="宋体" w:hAnsi="宋体"/>
                <w:color w:val="auto"/>
                <w:szCs w:val="21"/>
                <w:highlight w:val="none"/>
              </w:rPr>
              <w:t>141</w:t>
            </w:r>
            <w:r>
              <w:rPr>
                <w:rFonts w:ascii="宋体" w:hAnsi="宋体" w:hint="eastAsia"/>
                <w:color w:val="auto"/>
                <w:szCs w:val="21"/>
                <w:highlight w:val="none"/>
              </w:rPr>
              <w:t>号），残疾人福利性单位视同小型、微型企业，按照</w:t>
            </w:r>
            <w:r>
              <w:rPr>
                <w:rFonts w:ascii="宋体" w:hAnsi="宋体" w:hint="eastAsia"/>
                <w:b/>
                <w:bCs/>
                <w:color w:val="auto"/>
                <w:szCs w:val="21"/>
                <w:highlight w:val="none"/>
              </w:rPr>
              <w:t>投标人须知前附表第</w:t>
            </w:r>
            <w:r>
              <w:rPr>
                <w:rFonts w:ascii="宋体" w:hAnsi="宋体"/>
                <w:b/>
                <w:bCs/>
                <w:color w:val="auto"/>
                <w:szCs w:val="21"/>
                <w:highlight w:val="none"/>
              </w:rPr>
              <w:t>22</w:t>
            </w:r>
            <w:r>
              <w:rPr>
                <w:rFonts w:ascii="宋体" w:hAnsi="宋体" w:hint="eastAsia"/>
                <w:b/>
                <w:bCs/>
                <w:color w:val="auto"/>
                <w:szCs w:val="21"/>
                <w:highlight w:val="none"/>
              </w:rPr>
              <w:t>项</w:t>
            </w:r>
            <w:r>
              <w:rPr>
                <w:rFonts w:ascii="宋体" w:hAnsi="宋体" w:hint="eastAsia"/>
                <w:color w:val="auto"/>
                <w:szCs w:val="21"/>
                <w:highlight w:val="none"/>
              </w:rPr>
              <w:t>享受价格扣除政策。</w:t>
            </w:r>
          </w:p>
        </w:tc>
      </w:tr>
      <w:tr>
        <w:tblPrEx>
          <w:tblW w:w="9023" w:type="dxa"/>
          <w:jc w:val="center"/>
          <w:tblCellMar>
            <w:top w:w="0" w:type="dxa"/>
            <w:left w:w="108" w:type="dxa"/>
            <w:bottom w:w="0" w:type="dxa"/>
            <w:right w:w="108" w:type="dxa"/>
          </w:tblCellMar>
        </w:tblPrEx>
        <w:trPr>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color w:val="auto"/>
                <w:szCs w:val="21"/>
                <w:highlight w:val="none"/>
              </w:rPr>
              <w:t>25</w:t>
            </w:r>
          </w:p>
        </w:tc>
        <w:tc>
          <w:tcPr>
            <w:tcW w:w="1672" w:type="dxa"/>
            <w:vMerge w:val="restart"/>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其他法律法规强制性规定或扶持政策</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本项目中强制采购节能产品的货物名称：无。</w:t>
            </w:r>
          </w:p>
          <w:p>
            <w:pPr>
              <w:spacing w:line="360" w:lineRule="auto"/>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r>
              <w:rPr>
                <w:rFonts w:ascii="宋体" w:hAnsi="宋体"/>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b/>
                <w:color w:val="auto"/>
                <w:szCs w:val="21"/>
                <w:highlight w:val="none"/>
              </w:rPr>
            </w:pPr>
            <w:r>
              <w:rPr>
                <w:rFonts w:ascii="宋体" w:hAnsi="宋体" w:hint="eastAsia"/>
                <w:color w:val="auto"/>
                <w:szCs w:val="21"/>
                <w:highlight w:val="none"/>
              </w:rPr>
              <w:t>注：</w:t>
            </w:r>
            <w:r>
              <w:rPr>
                <w:rFonts w:ascii="宋体" w:hAnsi="宋体" w:hint="eastAsia"/>
                <w:b/>
                <w:color w:val="auto"/>
                <w:szCs w:val="21"/>
                <w:highlight w:val="none"/>
              </w:rPr>
              <w:t>投标人所投上述产品必须具有节能产品认证证书，并提供依据国家确定的认证机构出具的、处于有效期之内的节能产品认证证书复印件，否则投标无效。</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本项目中采购信息安全产品的货物名称：无。</w:t>
            </w:r>
          </w:p>
          <w:p>
            <w:pPr>
              <w:spacing w:line="360" w:lineRule="auto"/>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r>
              <w:rPr>
                <w:rFonts w:ascii="宋体" w:hAnsi="宋体"/>
                <w:color w:val="auto"/>
                <w:szCs w:val="21"/>
                <w:highlight w:val="none"/>
                <w:u w:val="single"/>
              </w:rPr>
              <w:t xml:space="preserve">     /       </w:t>
            </w:r>
            <w:r>
              <w:rPr>
                <w:rFonts w:ascii="宋体" w:hAnsi="宋体" w:hint="eastAsia"/>
                <w:color w:val="auto"/>
                <w:szCs w:val="21"/>
                <w:highlight w:val="none"/>
              </w:rPr>
              <w:t>。</w:t>
            </w:r>
          </w:p>
          <w:p>
            <w:pPr>
              <w:topLinePunct/>
              <w:autoSpaceDE w:val="0"/>
              <w:autoSpaceDN w:val="0"/>
              <w:spacing w:line="360" w:lineRule="auto"/>
              <w:rPr>
                <w:rFonts w:ascii="宋体" w:hAnsi="宋体"/>
                <w:b/>
                <w:color w:val="auto"/>
                <w:szCs w:val="21"/>
                <w:highlight w:val="none"/>
              </w:rPr>
            </w:pPr>
            <w:r>
              <w:rPr>
                <w:rFonts w:ascii="宋体" w:hAnsi="宋体" w:hint="eastAsia"/>
                <w:color w:val="auto"/>
                <w:szCs w:val="21"/>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W w:w="9023" w:type="dxa"/>
          <w:jc w:val="center"/>
          <w:tblCellMar>
            <w:top w:w="0" w:type="dxa"/>
            <w:left w:w="108" w:type="dxa"/>
            <w:bottom w:w="0" w:type="dxa"/>
            <w:right w:w="108" w:type="dxa"/>
          </w:tblCellMar>
        </w:tblPrEx>
        <w:trPr>
          <w:jc w:val="center"/>
        </w:trPr>
        <w:tc>
          <w:tcPr>
            <w:tcW w:w="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color w:val="auto"/>
                <w:szCs w:val="21"/>
                <w:highlight w:val="none"/>
              </w:rPr>
            </w:pPr>
          </w:p>
        </w:tc>
        <w:tc>
          <w:tcPr>
            <w:tcW w:w="1672"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hAnsi="宋体"/>
                <w:b/>
                <w:color w:val="auto"/>
                <w:szCs w:val="21"/>
                <w:highlight w:val="none"/>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其他法律法规强制性规定或扶持政策：无。</w:t>
            </w:r>
          </w:p>
          <w:p>
            <w:pPr>
              <w:topLinePunct/>
              <w:autoSpaceDE w:val="0"/>
              <w:autoSpaceDN w:val="0"/>
              <w:spacing w:line="360" w:lineRule="auto"/>
              <w:rPr>
                <w:rFonts w:ascii="宋体" w:hAnsi="宋体"/>
                <w:color w:val="auto"/>
                <w:szCs w:val="21"/>
                <w:highlight w:val="none"/>
              </w:rPr>
            </w:pPr>
            <w:r>
              <w:rPr>
                <w:rFonts w:ascii="宋体" w:hAnsi="宋体" w:hint="eastAsia"/>
                <w:color w:val="auto"/>
                <w:szCs w:val="21"/>
                <w:highlight w:val="none"/>
              </w:rPr>
              <w:t>采购包</w:t>
            </w:r>
            <w:r>
              <w:rPr>
                <w:rFonts w:ascii="宋体" w:hAnsi="宋体"/>
                <w:color w:val="auto"/>
                <w:szCs w:val="21"/>
                <w:highlight w:val="none"/>
              </w:rPr>
              <w:t>1</w:t>
            </w:r>
            <w:r>
              <w:rPr>
                <w:rFonts w:ascii="宋体" w:hAnsi="宋体" w:hint="eastAsia"/>
                <w:color w:val="auto"/>
                <w:szCs w:val="21"/>
                <w:highlight w:val="none"/>
              </w:rPr>
              <w:t>：</w:t>
            </w:r>
            <w:r>
              <w:rPr>
                <w:rFonts w:ascii="宋体" w:hAnsi="宋体"/>
                <w:color w:val="auto"/>
                <w:szCs w:val="21"/>
                <w:highlight w:val="none"/>
                <w:u w:val="single"/>
              </w:rPr>
              <w:t xml:space="preserve">     /       </w:t>
            </w:r>
            <w:r>
              <w:rPr>
                <w:rFonts w:ascii="宋体" w:hAnsi="宋体" w:hint="eastAsia"/>
                <w:color w:val="auto"/>
                <w:szCs w:val="21"/>
                <w:highlight w:val="none"/>
              </w:rPr>
              <w:t>。</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26</w:t>
            </w:r>
          </w:p>
        </w:tc>
        <w:tc>
          <w:tcPr>
            <w:tcW w:w="1672" w:type="dxa"/>
            <w:tcBorders>
              <w:top w:val="single" w:sz="4" w:space="0" w:color="auto"/>
              <w:left w:val="single" w:sz="4" w:space="0" w:color="auto"/>
              <w:bottom w:val="single" w:sz="4" w:space="0" w:color="auto"/>
              <w:right w:val="single" w:sz="4" w:space="0" w:color="auto"/>
            </w:tcBorders>
            <w:vAlign w:val="center"/>
          </w:tcPr>
          <w:p>
            <w:pPr>
              <w:tabs>
                <w:tab w:val="left" w:pos="1875"/>
              </w:tabs>
              <w:spacing w:line="360" w:lineRule="auto"/>
              <w:jc w:val="center"/>
              <w:rPr>
                <w:rFonts w:ascii="宋体" w:hAnsi="宋体"/>
                <w:color w:val="auto"/>
                <w:szCs w:val="21"/>
                <w:highlight w:val="none"/>
              </w:rPr>
            </w:pPr>
            <w:r>
              <w:rPr>
                <w:rFonts w:ascii="宋体" w:hAnsi="宋体" w:hint="eastAsia"/>
                <w:color w:val="auto"/>
                <w:szCs w:val="21"/>
                <w:highlight w:val="none"/>
              </w:rPr>
              <w:t>评标方法</w:t>
            </w:r>
          </w:p>
          <w:p>
            <w:pPr>
              <w:tabs>
                <w:tab w:val="left" w:pos="1875"/>
              </w:tabs>
              <w:spacing w:line="360" w:lineRule="auto"/>
              <w:jc w:val="center"/>
              <w:rPr>
                <w:rFonts w:ascii="宋体" w:hAnsi="宋体"/>
                <w:b/>
                <w:color w:val="auto"/>
                <w:szCs w:val="21"/>
                <w:highlight w:val="none"/>
              </w:rPr>
            </w:pPr>
            <w:r>
              <w:rPr>
                <w:rFonts w:ascii="宋体" w:hAnsi="宋体" w:hint="eastAsia"/>
                <w:color w:val="auto"/>
                <w:szCs w:val="21"/>
                <w:highlight w:val="none"/>
              </w:rPr>
              <w:t>及分值</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本项目采用最低评标价法，详见招标文件商务部分第三章。</w:t>
            </w:r>
          </w:p>
          <w:p>
            <w:pPr>
              <w:spacing w:line="360" w:lineRule="auto"/>
              <w:jc w:val="left"/>
              <w:rPr>
                <w:rFonts w:ascii="宋体" w:hAnsi="宋体"/>
                <w:color w:val="auto"/>
                <w:szCs w:val="21"/>
                <w:highlight w:val="none"/>
              </w:rPr>
            </w:pPr>
            <w:r>
              <w:rPr>
                <w:rFonts w:ascii="Wingdings 2" w:hAnsi="Wingdings 2"/>
                <w:color w:val="auto"/>
                <w:kern w:val="0"/>
                <w:szCs w:val="21"/>
                <w:highlight w:val="none"/>
              </w:rPr>
              <w:sym w:font="Wingdings 2" w:char="F052"/>
            </w:r>
            <w:r>
              <w:rPr>
                <w:rFonts w:ascii="宋体" w:hAnsi="宋体" w:hint="eastAsia"/>
                <w:color w:val="auto"/>
                <w:szCs w:val="21"/>
                <w:highlight w:val="none"/>
              </w:rPr>
              <w:t>本项目采用综合评分法，其中价格分值为</w:t>
            </w:r>
            <w:r>
              <w:rPr>
                <w:rFonts w:ascii="宋体" w:hAnsi="宋体" w:hint="eastAsia"/>
                <w:color w:val="auto"/>
                <w:szCs w:val="21"/>
                <w:highlight w:val="none"/>
                <w:u w:val="single"/>
              </w:rPr>
              <w:t>15</w:t>
            </w:r>
            <w:r>
              <w:rPr>
                <w:rFonts w:ascii="宋体" w:hAnsi="宋体" w:hint="eastAsia"/>
                <w:color w:val="auto"/>
                <w:szCs w:val="21"/>
                <w:highlight w:val="none"/>
              </w:rPr>
              <w:t>分，其他因素分值为</w:t>
            </w:r>
            <w:r>
              <w:rPr>
                <w:rFonts w:ascii="宋体" w:hAnsi="宋体" w:hint="eastAsia"/>
                <w:color w:val="auto"/>
                <w:szCs w:val="21"/>
                <w:highlight w:val="none"/>
                <w:u w:val="single"/>
              </w:rPr>
              <w:t>85</w:t>
            </w:r>
            <w:r>
              <w:rPr>
                <w:rFonts w:ascii="宋体" w:hAnsi="宋体" w:hint="eastAsia"/>
                <w:color w:val="auto"/>
                <w:szCs w:val="21"/>
                <w:highlight w:val="none"/>
              </w:rPr>
              <w:t xml:space="preserve">分，详见招标文件商务部分第三章。（注：定标原则：得分相同时，以投标报价由低到高顺序排列；得分相同且投标报价相同的，按技术指标优劣顺序排列）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27</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履约保证金</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left"/>
              <w:rPr>
                <w:rFonts w:ascii="宋体" w:hAnsi="宋体"/>
                <w:color w:val="auto"/>
                <w:szCs w:val="21"/>
                <w:highlight w:val="none"/>
              </w:rPr>
            </w:pPr>
            <w:r>
              <w:rPr>
                <w:rFonts w:ascii="Wingdings 2" w:hAnsi="Wingdings 2"/>
                <w:color w:val="auto"/>
                <w:szCs w:val="21"/>
                <w:highlight w:val="none"/>
              </w:rPr>
              <w:sym w:font="Wingdings 2" w:char="F0A3"/>
            </w:r>
            <w:r>
              <w:rPr>
                <w:rFonts w:ascii="宋体" w:hAnsi="宋体" w:hint="eastAsia"/>
                <w:color w:val="auto"/>
                <w:szCs w:val="21"/>
                <w:highlight w:val="none"/>
              </w:rPr>
              <w:t>不要求提供</w:t>
            </w:r>
          </w:p>
          <w:p>
            <w:pPr>
              <w:spacing w:line="360" w:lineRule="auto"/>
              <w:rPr>
                <w:rFonts w:ascii="宋体" w:hAnsi="宋体"/>
                <w:color w:val="auto"/>
                <w:szCs w:val="21"/>
                <w:highlight w:val="none"/>
              </w:rPr>
            </w:pPr>
            <w:r>
              <w:rPr>
                <w:rFonts w:ascii="Wingdings 2" w:hAnsi="Wingdings 2"/>
                <w:color w:val="auto"/>
                <w:szCs w:val="21"/>
                <w:highlight w:val="none"/>
              </w:rPr>
              <w:sym w:font="Wingdings 2" w:char="F052"/>
            </w:r>
            <w:r>
              <w:rPr>
                <w:rFonts w:ascii="宋体" w:hAnsi="宋体" w:hint="eastAsia"/>
                <w:color w:val="auto"/>
                <w:szCs w:val="21"/>
                <w:highlight w:val="none"/>
              </w:rPr>
              <w:t>要求提供，本项目履约保证金为合同总金额的</w:t>
            </w:r>
            <w:r>
              <w:rPr>
                <w:rFonts w:ascii="宋体" w:hAnsi="宋体" w:hint="eastAsia"/>
                <w:color w:val="auto"/>
                <w:szCs w:val="21"/>
                <w:highlight w:val="none"/>
                <w:u w:val="single"/>
              </w:rPr>
              <w:t>3</w:t>
            </w:r>
            <w:r>
              <w:rPr>
                <w:rFonts w:ascii="宋体" w:hAnsi="宋体" w:hint="eastAsia"/>
                <w:color w:val="auto"/>
                <w:szCs w:val="21"/>
                <w:highlight w:val="none"/>
              </w:rPr>
              <w:t>%（取整到元），中标人在签订合同前应提交履约保证金，否则，不予签订合同。提交方式为支票、汇票、本票或者金融机构、担保机构出具的保函等非现金形式。采用转账、电汇方式的，由中标人在签订合同前按规定的金额从中标人银行账户直接缴入采购人账户。</w:t>
            </w:r>
          </w:p>
          <w:p>
            <w:pPr>
              <w:spacing w:line="360" w:lineRule="auto"/>
              <w:rPr>
                <w:rFonts w:ascii="宋体" w:hAnsi="宋体"/>
                <w:color w:val="auto"/>
                <w:szCs w:val="21"/>
                <w:highlight w:val="none"/>
              </w:rPr>
            </w:pPr>
            <w:r>
              <w:rPr>
                <w:rFonts w:ascii="宋体" w:hAnsi="宋体" w:hint="eastAsia"/>
                <w:color w:val="auto"/>
                <w:szCs w:val="21"/>
                <w:highlight w:val="none"/>
              </w:rPr>
              <w:t>合同期满，中标人应提供履约保证金返还申请（格式另附）、合同或合同关键页复印件、合同约定的其他资料，涉及验收的，应同时提交采购人需求部门出具的项目终验意见或质量保证期（服务期）满验收意见。</w:t>
            </w:r>
          </w:p>
          <w:p>
            <w:pPr>
              <w:spacing w:line="360" w:lineRule="auto"/>
              <w:jc w:val="left"/>
              <w:rPr>
                <w:rFonts w:ascii="宋体" w:hAnsi="宋体"/>
                <w:color w:val="auto"/>
                <w:szCs w:val="21"/>
                <w:highlight w:val="none"/>
              </w:rPr>
            </w:pPr>
            <w:r>
              <w:rPr>
                <w:rFonts w:ascii="宋体" w:hAnsi="宋体" w:hint="eastAsia"/>
                <w:color w:val="auto"/>
                <w:szCs w:val="21"/>
                <w:highlight w:val="none"/>
              </w:rPr>
              <w:t>满足履约保证金返还条件且双方对核实结果无异议的，自完成核实之日起30日内，采购人根据项目验收意见扣除应扣除的款项（如有）后，原路无息返还履约保证金。</w:t>
            </w:r>
          </w:p>
          <w:p>
            <w:pPr>
              <w:pStyle w:val="CommentText"/>
              <w:rPr>
                <w:rFonts w:ascii="宋体" w:hAnsi="宋体"/>
                <w:color w:val="auto"/>
                <w:szCs w:val="21"/>
                <w:highlight w:val="none"/>
              </w:rPr>
            </w:pPr>
            <w:r>
              <w:rPr>
                <w:rFonts w:ascii="宋体" w:hAnsi="宋体" w:hint="eastAsia"/>
                <w:color w:val="auto"/>
                <w:szCs w:val="21"/>
                <w:highlight w:val="none"/>
              </w:rPr>
              <w:t>采购人账户：</w:t>
            </w:r>
            <w:r>
              <w:rPr>
                <w:color w:val="auto"/>
                <w:highlight w:val="none"/>
              </w:rPr>
              <w:t>国家税务总局柳州市税务局</w:t>
            </w:r>
          </w:p>
          <w:p>
            <w:pPr>
              <w:spacing w:line="360" w:lineRule="auto"/>
              <w:jc w:val="left"/>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 xml:space="preserve">收款人户名：国家税务总局柳州市税务局 </w:t>
            </w:r>
          </w:p>
          <w:p>
            <w:pPr>
              <w:spacing w:line="360" w:lineRule="auto"/>
              <w:jc w:val="left"/>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开户银行：</w:t>
            </w:r>
            <w:r>
              <w:rPr>
                <w:color w:val="auto"/>
                <w:highlight w:val="none"/>
              </w:rPr>
              <w:t>中国银行柳州市高新区科技支行</w:t>
            </w:r>
            <w:r>
              <w:rPr>
                <w:rFonts w:asciiTheme="minorEastAsia" w:eastAsiaTheme="minorEastAsia" w:hAnsiTheme="minorEastAsia" w:cs="宋体" w:hint="eastAsia"/>
                <w:color w:val="auto"/>
                <w:szCs w:val="21"/>
                <w:highlight w:val="none"/>
              </w:rPr>
              <w:t xml:space="preserve"> </w:t>
            </w:r>
          </w:p>
          <w:p>
            <w:pPr>
              <w:spacing w:line="360" w:lineRule="auto"/>
              <w:jc w:val="left"/>
              <w:rPr>
                <w:rFonts w:ascii="宋体" w:hAnsi="宋体" w:eastAsiaTheme="minorEastAsia"/>
                <w:color w:val="auto"/>
                <w:szCs w:val="21"/>
                <w:highlight w:val="none"/>
              </w:rPr>
            </w:pPr>
            <w:r>
              <w:rPr>
                <w:rFonts w:asciiTheme="minorEastAsia" w:eastAsiaTheme="minorEastAsia" w:hAnsiTheme="minorEastAsia" w:cs="宋体" w:hint="eastAsia"/>
                <w:color w:val="auto"/>
                <w:szCs w:val="21"/>
                <w:highlight w:val="none"/>
              </w:rPr>
              <w:t xml:space="preserve">银行账号：611977005491 </w:t>
            </w:r>
          </w:p>
          <w:p>
            <w:pPr>
              <w:spacing w:line="360" w:lineRule="auto"/>
              <w:jc w:val="left"/>
              <w:rPr>
                <w:rFonts w:ascii="宋体" w:hAnsi="宋体"/>
                <w:b/>
                <w:color w:val="auto"/>
                <w:szCs w:val="21"/>
                <w:highlight w:val="none"/>
              </w:rPr>
            </w:pPr>
            <w:r>
              <w:rPr>
                <w:rFonts w:ascii="宋体" w:hAnsi="宋体" w:hint="eastAsia"/>
                <w:color w:val="auto"/>
                <w:szCs w:val="21"/>
                <w:highlight w:val="none"/>
              </w:rPr>
              <w:t>注：以电汇方式递交履约保证金须在电汇凭据附言栏中写明采购编号、包号及用途(履约保证金)。</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28</w:t>
            </w:r>
          </w:p>
        </w:tc>
        <w:tc>
          <w:tcPr>
            <w:tcW w:w="1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b/>
                <w:color w:val="auto"/>
                <w:szCs w:val="21"/>
                <w:highlight w:val="none"/>
              </w:rPr>
            </w:pPr>
            <w:r>
              <w:rPr>
                <w:rFonts w:ascii="宋体" w:hAnsi="宋体" w:hint="eastAsia"/>
                <w:color w:val="auto"/>
                <w:szCs w:val="21"/>
                <w:highlight w:val="none"/>
              </w:rPr>
              <w:t>接收质疑的方式、部门、电话和通讯地址</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olor w:val="auto"/>
                <w:szCs w:val="21"/>
                <w:highlight w:val="none"/>
              </w:rPr>
            </w:pPr>
            <w:r>
              <w:rPr>
                <w:rFonts w:ascii="宋体" w:hAnsi="宋体" w:hint="eastAsia"/>
                <w:color w:val="auto"/>
                <w:szCs w:val="21"/>
                <w:highlight w:val="none"/>
              </w:rPr>
              <w:t>质疑联系方式：</w:t>
            </w:r>
          </w:p>
          <w:p>
            <w:pPr>
              <w:spacing w:line="360" w:lineRule="auto"/>
              <w:rPr>
                <w:rFonts w:ascii="宋体" w:hAnsi="宋体"/>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1</w:t>
            </w:r>
            <w:r>
              <w:rPr>
                <w:rFonts w:ascii="宋体" w:hAnsi="宋体" w:hint="eastAsia"/>
                <w:color w:val="auto"/>
                <w:szCs w:val="21"/>
                <w:highlight w:val="none"/>
              </w:rPr>
              <w:t>）接收质疑函的方式：</w:t>
            </w:r>
            <w:r>
              <w:rPr>
                <w:rFonts w:ascii="宋体" w:hAnsi="宋体" w:hint="eastAsia"/>
                <w:color w:val="auto"/>
                <w:szCs w:val="21"/>
                <w:highlight w:val="none"/>
                <w:u w:val="single"/>
              </w:rPr>
              <w:t>书面形式</w:t>
            </w:r>
          </w:p>
          <w:p>
            <w:pPr>
              <w:spacing w:line="360" w:lineRule="auto"/>
              <w:rPr>
                <w:rFonts w:ascii="宋体" w:hAnsi="宋体"/>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2</w:t>
            </w:r>
            <w:r>
              <w:rPr>
                <w:rFonts w:ascii="宋体" w:hAnsi="宋体" w:hint="eastAsia"/>
                <w:color w:val="auto"/>
                <w:szCs w:val="21"/>
                <w:highlight w:val="none"/>
              </w:rPr>
              <w:t>）联系部门：</w:t>
            </w:r>
            <w:r>
              <w:rPr>
                <w:rFonts w:ascii="宋体" w:hAnsi="宋体" w:hint="eastAsia"/>
                <w:color w:val="auto"/>
                <w:szCs w:val="21"/>
                <w:highlight w:val="none"/>
                <w:u w:val="single"/>
              </w:rPr>
              <w:t>国家税务总局广西壮族自治区税务局财务管理处</w:t>
            </w:r>
          </w:p>
          <w:p>
            <w:pPr>
              <w:spacing w:line="360" w:lineRule="auto"/>
              <w:rPr>
                <w:rFonts w:asciiTheme="minorEastAsia" w:eastAsiaTheme="minorEastAsia" w:hAnsiTheme="minorEastAsia"/>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3</w:t>
            </w:r>
            <w:r>
              <w:rPr>
                <w:rFonts w:ascii="宋体" w:hAnsi="宋体" w:hint="eastAsia"/>
                <w:color w:val="auto"/>
                <w:szCs w:val="21"/>
                <w:highlight w:val="none"/>
              </w:rPr>
              <w:t>）联系电话：</w:t>
            </w:r>
            <w:r>
              <w:rPr>
                <w:rFonts w:ascii="宋体" w:hAnsi="宋体" w:cs="宋体" w:hint="eastAsia"/>
                <w:color w:val="auto"/>
                <w:szCs w:val="21"/>
                <w:highlight w:val="none"/>
                <w:u w:val="single"/>
              </w:rPr>
              <w:t>梁峰瑜，覃燕倩 0771-5562132，0771-5651320</w:t>
            </w:r>
          </w:p>
          <w:p>
            <w:pPr>
              <w:spacing w:line="360" w:lineRule="auto"/>
              <w:rPr>
                <w:rFonts w:ascii="宋体" w:hAnsi="宋体"/>
                <w:color w:val="auto"/>
                <w:szCs w:val="21"/>
                <w:highlight w:val="none"/>
                <w:u w:val="single"/>
              </w:rPr>
            </w:pPr>
            <w:r>
              <w:rPr>
                <w:rFonts w:ascii="宋体" w:hAnsi="宋体" w:hint="eastAsia"/>
                <w:color w:val="auto"/>
                <w:szCs w:val="21"/>
                <w:highlight w:val="none"/>
              </w:rPr>
              <w:t>（</w:t>
            </w:r>
            <w:r>
              <w:rPr>
                <w:rFonts w:ascii="宋体" w:hAnsi="宋体"/>
                <w:color w:val="auto"/>
                <w:szCs w:val="21"/>
                <w:highlight w:val="none"/>
              </w:rPr>
              <w:t>4</w:t>
            </w:r>
            <w:r>
              <w:rPr>
                <w:rFonts w:ascii="宋体" w:hAnsi="宋体" w:hint="eastAsia"/>
                <w:color w:val="auto"/>
                <w:szCs w:val="21"/>
                <w:highlight w:val="none"/>
              </w:rPr>
              <w:t>）通讯地址：</w:t>
            </w:r>
            <w:r>
              <w:rPr>
                <w:rFonts w:ascii="宋体" w:hAnsi="宋体" w:hint="eastAsia"/>
                <w:color w:val="auto"/>
                <w:szCs w:val="21"/>
                <w:highlight w:val="none"/>
                <w:u w:val="single"/>
              </w:rPr>
              <w:t>广西南宁市青秀区民族大道105号</w:t>
            </w:r>
          </w:p>
          <w:p>
            <w:pPr>
              <w:spacing w:line="360" w:lineRule="auto"/>
              <w:rPr>
                <w:rFonts w:ascii="宋体" w:hAnsi="宋体"/>
                <w:color w:val="auto"/>
                <w:szCs w:val="21"/>
                <w:highlight w:val="none"/>
              </w:rPr>
            </w:pPr>
            <w:r>
              <w:rPr>
                <w:rFonts w:ascii="宋体" w:hAnsi="宋体" w:hint="eastAsia"/>
                <w:color w:val="auto"/>
                <w:szCs w:val="21"/>
                <w:highlight w:val="none"/>
              </w:rPr>
              <w:t>（</w:t>
            </w:r>
            <w:r>
              <w:rPr>
                <w:rFonts w:ascii="宋体" w:hAnsi="宋体"/>
                <w:color w:val="auto"/>
                <w:szCs w:val="21"/>
                <w:highlight w:val="none"/>
              </w:rPr>
              <w:t>5</w:t>
            </w:r>
            <w:r>
              <w:rPr>
                <w:rFonts w:ascii="宋体" w:hAnsi="宋体" w:hint="eastAsia"/>
                <w:color w:val="auto"/>
                <w:szCs w:val="21"/>
                <w:highlight w:val="none"/>
              </w:rPr>
              <w:t>）电子邮箱：</w:t>
            </w:r>
            <w:r>
              <w:rPr>
                <w:rFonts w:ascii="宋体" w:hAnsi="宋体"/>
                <w:color w:val="auto"/>
                <w:szCs w:val="21"/>
                <w:highlight w:val="none"/>
                <w:u w:val="single"/>
              </w:rPr>
              <w:t xml:space="preserve">        /          </w:t>
            </w:r>
          </w:p>
        </w:tc>
      </w:tr>
      <w:tr>
        <w:tblPrEx>
          <w:tblW w:w="9023" w:type="dxa"/>
          <w:jc w:val="center"/>
          <w:tblCellMar>
            <w:top w:w="0" w:type="dxa"/>
            <w:left w:w="108" w:type="dxa"/>
            <w:bottom w:w="0" w:type="dxa"/>
            <w:right w:w="108" w:type="dxa"/>
          </w:tblCellMar>
        </w:tblPrEx>
        <w:trPr>
          <w:jc w:val="center"/>
        </w:trPr>
        <w:tc>
          <w:tcPr>
            <w:tcW w:w="672" w:type="dxa"/>
            <w:tcBorders>
              <w:top w:val="single" w:sz="4" w:space="0" w:color="auto"/>
              <w:left w:val="single" w:sz="4" w:space="0" w:color="auto"/>
              <w:bottom w:val="single" w:sz="4" w:space="0" w:color="auto"/>
              <w:right w:val="single" w:sz="4" w:space="0" w:color="auto"/>
            </w:tcBorders>
            <w:vAlign w:val="center"/>
          </w:tcPr>
          <w:p>
            <w:pPr>
              <w:topLinePunct/>
              <w:autoSpaceDE w:val="0"/>
              <w:autoSpaceDN w:val="0"/>
              <w:spacing w:line="360" w:lineRule="auto"/>
              <w:jc w:val="center"/>
              <w:rPr>
                <w:rFonts w:ascii="宋体" w:hAnsi="宋体"/>
                <w:color w:val="auto"/>
                <w:szCs w:val="21"/>
                <w:highlight w:val="none"/>
              </w:rPr>
            </w:pPr>
            <w:r>
              <w:rPr>
                <w:rFonts w:ascii="宋体" w:hAnsi="宋体" w:hint="eastAsia"/>
                <w:color w:val="auto"/>
                <w:szCs w:val="21"/>
                <w:highlight w:val="none"/>
              </w:rPr>
              <w:t>29</w:t>
            </w:r>
          </w:p>
        </w:tc>
        <w:tc>
          <w:tcPr>
            <w:tcW w:w="1672"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其他补充事项</w:t>
            </w:r>
          </w:p>
        </w:tc>
        <w:tc>
          <w:tcPr>
            <w:tcW w:w="6679" w:type="dxa"/>
            <w:gridSpan w:val="2"/>
            <w:tcBorders>
              <w:top w:val="single" w:sz="4" w:space="0" w:color="auto"/>
              <w:left w:val="single" w:sz="4" w:space="0" w:color="auto"/>
              <w:bottom w:val="single" w:sz="4" w:space="0" w:color="auto"/>
              <w:right w:val="single" w:sz="4" w:space="0" w:color="auto"/>
            </w:tcBorders>
            <w:vAlign w:val="center"/>
          </w:tcPr>
          <w:p>
            <w:pPr>
              <w:widowControl/>
              <w:spacing w:line="360" w:lineRule="auto"/>
              <w:rPr>
                <w:rFonts w:asciiTheme="minorEastAsia" w:eastAsiaTheme="minorEastAsia" w:hAnsiTheme="minorEastAsia" w:cs="宋体"/>
                <w:color w:val="auto"/>
                <w:kern w:val="0"/>
                <w:szCs w:val="21"/>
                <w:highlight w:val="none"/>
              </w:rPr>
            </w:pPr>
            <w:r>
              <w:rPr>
                <w:rFonts w:asciiTheme="minorEastAsia" w:eastAsiaTheme="minorEastAsia" w:hAnsiTheme="minorEastAsia" w:cs="宋体" w:hint="eastAsia"/>
                <w:color w:val="auto"/>
                <w:kern w:val="0"/>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360" w:lineRule="auto"/>
              <w:rPr>
                <w:rFonts w:asciiTheme="minorEastAsia" w:eastAsiaTheme="minorEastAsia" w:hAnsiTheme="minorEastAsia" w:cs="宋体"/>
                <w:color w:val="auto"/>
                <w:kern w:val="0"/>
                <w:szCs w:val="21"/>
                <w:highlight w:val="none"/>
              </w:rPr>
            </w:pPr>
            <w:r>
              <w:rPr>
                <w:rFonts w:asciiTheme="minorEastAsia" w:eastAsiaTheme="minorEastAsia" w:hAnsiTheme="minorEastAsia" w:cs="宋体" w:hint="eastAsia"/>
                <w:color w:val="auto"/>
                <w:kern w:val="0"/>
                <w:szCs w:val="21"/>
                <w:highlight w:val="none"/>
              </w:rPr>
              <w:t>（2）本招标文件中描述投标人的“签字”是指投标人的法定代表人（负责人）或被授权人亲自在招标文件规定签署处亲笔写上个人的名字的行为，私章、签字章、印鉴、影印等其它形式均不能代替亲笔签字。</w:t>
            </w:r>
          </w:p>
          <w:p>
            <w:pPr>
              <w:widowControl/>
              <w:spacing w:line="360" w:lineRule="auto"/>
              <w:rPr>
                <w:rFonts w:asciiTheme="minorEastAsia" w:eastAsiaTheme="minorEastAsia" w:hAnsiTheme="minorEastAsia" w:cs="宋体"/>
                <w:color w:val="auto"/>
                <w:kern w:val="0"/>
                <w:szCs w:val="21"/>
                <w:highlight w:val="none"/>
              </w:rPr>
            </w:pPr>
            <w:r>
              <w:rPr>
                <w:rFonts w:asciiTheme="minorEastAsia" w:eastAsiaTheme="minorEastAsia" w:hAnsiTheme="minorEastAsia" w:cs="宋体" w:hint="eastAsia"/>
                <w:color w:val="auto"/>
                <w:kern w:val="0"/>
                <w:szCs w:val="21"/>
                <w:highlight w:val="none"/>
              </w:rPr>
              <w:t>（3）中标人享受中小企业扶持政策的，采购人应当随中标结果公开中标人的《中小企业声明函》。</w:t>
            </w:r>
          </w:p>
          <w:p>
            <w:pPr>
              <w:widowControl/>
              <w:spacing w:line="360" w:lineRule="auto"/>
              <w:rPr>
                <w:rFonts w:ascii="宋体" w:hAnsi="宋体"/>
                <w:color w:val="auto"/>
                <w:szCs w:val="21"/>
                <w:highlight w:val="none"/>
              </w:rPr>
            </w:pPr>
            <w:r>
              <w:rPr>
                <w:rFonts w:asciiTheme="minorEastAsia" w:eastAsiaTheme="minorEastAsia" w:hAnsiTheme="minorEastAsia" w:cs="宋体" w:hint="eastAsia"/>
                <w:color w:val="auto"/>
                <w:kern w:val="0"/>
                <w:szCs w:val="21"/>
                <w:highlight w:val="none"/>
              </w:rPr>
              <w:t>（4）中标人为残疾人福利性单位的，采购人应当随中标结果同时公告其《残疾人福利性单位声明函》，接受社会监督。</w:t>
            </w:r>
          </w:p>
        </w:tc>
      </w:tr>
    </w:tbl>
    <w:p>
      <w:pPr>
        <w:rPr>
          <w:color w:val="auto"/>
          <w:highlight w:val="none"/>
        </w:rPr>
      </w:pPr>
    </w:p>
    <w:p>
      <w:pPr>
        <w:rPr>
          <w:color w:val="auto"/>
          <w:highlight w:val="none"/>
        </w:rPr>
        <w:sectPr>
          <w:pgSz w:w="11906" w:h="16838"/>
          <w:pgMar w:top="1418" w:right="1418" w:bottom="1418" w:left="1418" w:header="851" w:footer="992" w:gutter="0"/>
          <w:cols w:num="1" w:space="720"/>
          <w:titlePg/>
          <w:docGrid w:type="linesAndChars" w:linePitch="312" w:charSpace="0"/>
        </w:sectPr>
      </w:pP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一、总则</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预算资金及来源</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1.1 </w:t>
      </w:r>
      <w:r>
        <w:rPr>
          <w:rFonts w:asciiTheme="minorEastAsia" w:eastAsiaTheme="minorEastAsia" w:hAnsiTheme="minorEastAsia" w:hint="eastAsia"/>
          <w:color w:val="auto"/>
          <w:szCs w:val="21"/>
          <w:highlight w:val="none"/>
          <w:lang w:bidi="ar"/>
        </w:rPr>
        <w:t>本项目已经</w:t>
      </w:r>
      <w:r>
        <w:rPr>
          <w:rFonts w:asciiTheme="minorEastAsia" w:eastAsiaTheme="minorEastAsia" w:hAnsiTheme="minorEastAsia" w:hint="eastAsia"/>
          <w:b/>
          <w:bCs/>
          <w:color w:val="auto"/>
          <w:szCs w:val="21"/>
          <w:highlight w:val="none"/>
          <w:u w:val="single"/>
          <w:lang w:bidi="ar"/>
        </w:rPr>
        <w:t>国家税务总局柳州市税务局</w:t>
      </w:r>
      <w:r>
        <w:rPr>
          <w:rFonts w:asciiTheme="minorEastAsia" w:eastAsiaTheme="minorEastAsia" w:hAnsiTheme="minorEastAsia" w:hint="eastAsia"/>
          <w:color w:val="auto"/>
          <w:szCs w:val="21"/>
          <w:highlight w:val="none"/>
          <w:lang w:bidi="ar"/>
        </w:rPr>
        <w:t>批准立项。</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1.2 </w:t>
      </w:r>
      <w:r>
        <w:rPr>
          <w:rFonts w:asciiTheme="minorEastAsia" w:eastAsiaTheme="minorEastAsia" w:hAnsiTheme="minorEastAsia" w:hint="eastAsia"/>
          <w:color w:val="auto"/>
          <w:szCs w:val="21"/>
          <w:highlight w:val="none"/>
          <w:lang w:bidi="ar"/>
        </w:rPr>
        <w:t>本项目预算资金见</w:t>
      </w:r>
      <w:r>
        <w:rPr>
          <w:rFonts w:asciiTheme="minorEastAsia" w:eastAsiaTheme="minorEastAsia" w:hAnsiTheme="minorEastAsia" w:hint="eastAsia"/>
          <w:b/>
          <w:bCs/>
          <w:color w:val="auto"/>
          <w:szCs w:val="21"/>
          <w:highlight w:val="none"/>
          <w:lang w:bidi="ar"/>
        </w:rPr>
        <w:t>投标人须知前附表</w:t>
      </w:r>
      <w:r>
        <w:rPr>
          <w:rFonts w:asciiTheme="minorEastAsia" w:eastAsiaTheme="minorEastAsia" w:hAnsiTheme="minorEastAsia" w:hint="eastAsia"/>
          <w:color w:val="auto"/>
          <w:szCs w:val="21"/>
          <w:highlight w:val="none"/>
          <w:lang w:bidi="ar"/>
        </w:rPr>
        <w:t>，已列入</w:t>
      </w:r>
      <w:r>
        <w:rPr>
          <w:rFonts w:asciiTheme="minorEastAsia" w:eastAsiaTheme="minorEastAsia" w:hAnsiTheme="minorEastAsia" w:hint="eastAsia"/>
          <w:b/>
          <w:bCs/>
          <w:color w:val="auto"/>
          <w:szCs w:val="21"/>
          <w:highlight w:val="none"/>
          <w:u w:val="single"/>
          <w:lang w:bidi="ar"/>
        </w:rPr>
        <w:t>国家税务总局柳州市税务局</w:t>
      </w:r>
      <w:r>
        <w:rPr>
          <w:rFonts w:asciiTheme="minorEastAsia" w:eastAsiaTheme="minorEastAsia" w:hAnsiTheme="minorEastAsia" w:hint="eastAsia"/>
          <w:color w:val="auto"/>
          <w:szCs w:val="21"/>
          <w:highlight w:val="none"/>
          <w:lang w:bidi="ar"/>
        </w:rPr>
        <w:t>预算。</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合格的产品和服务</w:t>
      </w:r>
    </w:p>
    <w:p>
      <w:pPr>
        <w:tabs>
          <w:tab w:val="left" w:pos="216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 </w:t>
      </w:r>
      <w:r>
        <w:rPr>
          <w:rFonts w:asciiTheme="minorEastAsia" w:eastAsiaTheme="minorEastAsia" w:hAnsiTheme="minorEastAsia" w:hint="eastAsia"/>
          <w:color w:val="auto"/>
          <w:szCs w:val="21"/>
          <w:highlight w:val="none"/>
          <w:lang w:bidi="ar"/>
        </w:rPr>
        <w:t>本项目所涉及的所有产品和服务均应来自中国境内（指关境内），合同金额的支付也仅限于这些产品和服务。</w:t>
      </w:r>
    </w:p>
    <w:p>
      <w:pPr>
        <w:tabs>
          <w:tab w:val="left" w:pos="216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2.2 </w:t>
      </w:r>
      <w:r>
        <w:rPr>
          <w:rFonts w:asciiTheme="minorEastAsia" w:eastAsiaTheme="minorEastAsia" w:hAnsiTheme="minorEastAsia" w:hint="eastAsia"/>
          <w:color w:val="auto"/>
          <w:szCs w:val="21"/>
          <w:highlight w:val="none"/>
          <w:lang w:bidi="ar"/>
        </w:rPr>
        <w:t>合格的产品和服务即</w:t>
      </w:r>
      <w:r>
        <w:rPr>
          <w:rFonts w:asciiTheme="minorEastAsia" w:eastAsiaTheme="minorEastAsia" w:hAnsiTheme="minorEastAsia" w:hint="eastAsia"/>
          <w:b/>
          <w:bCs/>
          <w:color w:val="auto"/>
          <w:szCs w:val="21"/>
          <w:highlight w:val="none"/>
          <w:lang w:bidi="ar"/>
        </w:rPr>
        <w:t>采购需求</w:t>
      </w:r>
      <w:r>
        <w:rPr>
          <w:rFonts w:asciiTheme="minorEastAsia" w:eastAsiaTheme="minorEastAsia" w:hAnsiTheme="minorEastAsia" w:hint="eastAsia"/>
          <w:color w:val="auto"/>
          <w:szCs w:val="21"/>
          <w:highlight w:val="none"/>
          <w:lang w:bidi="ar"/>
        </w:rPr>
        <w:t>见</w:t>
      </w:r>
      <w:r>
        <w:rPr>
          <w:rFonts w:asciiTheme="minorEastAsia" w:eastAsiaTheme="minorEastAsia" w:hAnsiTheme="minorEastAsia" w:hint="eastAsia"/>
          <w:b/>
          <w:color w:val="auto"/>
          <w:szCs w:val="21"/>
          <w:highlight w:val="none"/>
          <w:lang w:bidi="ar"/>
        </w:rPr>
        <w:t>招标文件（技术部分）。</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2.3 </w:t>
      </w:r>
      <w:r>
        <w:rPr>
          <w:rFonts w:asciiTheme="minorEastAsia" w:eastAsiaTheme="minorEastAsia" w:hAnsiTheme="minorEastAsia" w:hint="eastAsia"/>
          <w:color w:val="auto"/>
          <w:szCs w:val="21"/>
          <w:highlight w:val="none"/>
          <w:lang w:bidi="ar"/>
        </w:rPr>
        <w:t>投标人应保证所提供的产品及服务免受第三方提出侵犯其知识产权（专利权、商标权、工业设计权及使用权）的请求及起诉。</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合格的投标人</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3.1一般规定</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3.1.2投标人的资格要求及本项目的特定资格要求见</w:t>
      </w:r>
      <w:r>
        <w:rPr>
          <w:rFonts w:asciiTheme="minorEastAsia" w:eastAsiaTheme="minorEastAsia" w:hAnsiTheme="minorEastAsia" w:hint="eastAsia"/>
          <w:b/>
          <w:bCs/>
          <w:color w:val="auto"/>
          <w:kern w:val="0"/>
          <w:szCs w:val="21"/>
          <w:highlight w:val="none"/>
        </w:rPr>
        <w:t>投标人须知前附表</w:t>
      </w:r>
      <w:r>
        <w:rPr>
          <w:rFonts w:asciiTheme="minorEastAsia" w:eastAsiaTheme="minorEastAsia" w:hAnsiTheme="minorEastAsia" w:hint="eastAsia"/>
          <w:color w:val="auto"/>
          <w:kern w:val="0"/>
          <w:szCs w:val="21"/>
          <w:highlight w:val="none"/>
        </w:rPr>
        <w:t>。</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3.1.3资格条件中所称“重大违法记录”，是指投标人因违法经营受到刑事处罚或者责令停产停业、吊销许可证或者执照、较大数额罚款等行政处罚。</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投标人在参加政府采购活动前3年内因违法经营被禁止在一定期限内参加政府采购活动，期限届满的，可以参加政府采购活动。</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“较大数额罚款”认定为200万元以上的罚款，法律、行政法规以及国务院有关部门明确规定相关领域“较大数额罚款”标准高于200万元的，从其规定。</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3.1.4信用记录要求</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采购人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3.2联合体</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3.2.1若本项目接受联合体投标，则两个以上的自然人、法人或者其他组织可以组成一个联合体，以一个投标人的身份共同参加政府采购。</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3.2.2以联合体形式参加投标的，联合体各方应按第二章要求提供资格条件材料。</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3.2.3联合体中有同类资质的投标人按照联合体分工承担相同工作的，应当按照资质等级较低的投标人确定资质等级。</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3.2.4联合体应当提交联合协议，载明联合体各方承担的工作和义务。</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3.2.5联合体各方应当共同与采购人签订采购合同，就采购合同约定的事项对采购人承担连带责任。</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3.2.6以联合体形式参加政府采购活动的，联合体各方不得再单独参加或者与其他投标人另外组成联合体参加同一合同项下的政府采购活动。</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3.3禁止规定</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3.3.1单位负责人为同一人或者存在直接控股、管理关系的不同投标人，不得参加同一采购包的政府采购活动。</w:t>
      </w:r>
      <w:r>
        <w:rPr>
          <w:rFonts w:asciiTheme="minorEastAsia" w:eastAsiaTheme="minorEastAsia" w:hAnsiTheme="minorEastAsia" w:hint="eastAsia"/>
          <w:b/>
          <w:bCs/>
          <w:color w:val="auto"/>
          <w:kern w:val="0"/>
          <w:szCs w:val="21"/>
          <w:highlight w:val="none"/>
        </w:rPr>
        <w:t>否则投标均无效。</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3.3.2除单一来源采购项目外，为采购项目提供整体设计、规范编制或者项目管理、监理、检测等服务的供应商，不得再参加该采购项目的其他采购活动。</w:t>
      </w:r>
      <w:r>
        <w:rPr>
          <w:rFonts w:asciiTheme="minorEastAsia" w:eastAsiaTheme="minorEastAsia" w:hAnsiTheme="minorEastAsia" w:hint="eastAsia"/>
          <w:b/>
          <w:bCs/>
          <w:color w:val="auto"/>
          <w:kern w:val="0"/>
          <w:szCs w:val="21"/>
          <w:highlight w:val="none"/>
        </w:rPr>
        <w:t>否则投标无效。</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4.</w:t>
      </w:r>
      <w:r>
        <w:rPr>
          <w:rFonts w:asciiTheme="minorEastAsia" w:eastAsiaTheme="minorEastAsia" w:hAnsiTheme="minorEastAsia" w:hint="eastAsia"/>
          <w:b/>
          <w:color w:val="auto"/>
          <w:szCs w:val="21"/>
          <w:highlight w:val="none"/>
          <w:lang w:bidi="ar"/>
        </w:rPr>
        <w:t>投标费用</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4.1 </w:t>
      </w:r>
      <w:r>
        <w:rPr>
          <w:rFonts w:asciiTheme="minorEastAsia" w:eastAsiaTheme="minorEastAsia" w:hAnsiTheme="minorEastAsia" w:hint="eastAsia"/>
          <w:color w:val="auto"/>
          <w:szCs w:val="21"/>
          <w:highlight w:val="none"/>
          <w:lang w:bidi="ar"/>
        </w:rPr>
        <w:t>投标人应承担所有与编写、提交投标文件有关的费用，不论招标的结果如何，采购人在任何情况下均无义务和责任承担这些费用。</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二、招标文件</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5.</w:t>
      </w:r>
      <w:r>
        <w:rPr>
          <w:rFonts w:asciiTheme="minorEastAsia" w:eastAsiaTheme="minorEastAsia" w:hAnsiTheme="minorEastAsia" w:hint="eastAsia"/>
          <w:b/>
          <w:color w:val="auto"/>
          <w:szCs w:val="21"/>
          <w:highlight w:val="none"/>
          <w:lang w:bidi="ar"/>
        </w:rPr>
        <w:t>招标文件构成</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第一部分</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商务部分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1</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s="宋体" w:hint="eastAsia"/>
          <w:color w:val="auto"/>
          <w:szCs w:val="21"/>
          <w:highlight w:val="none"/>
          <w:lang w:bidi="ar"/>
        </w:rPr>
        <w:t>投标邀请</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2</w:t>
      </w:r>
      <w:r>
        <w:rPr>
          <w:rFonts w:asciiTheme="minorEastAsia" w:eastAsiaTheme="minorEastAsia" w:hAnsiTheme="minorEastAsia" w:hint="eastAsia"/>
          <w:color w:val="auto"/>
          <w:szCs w:val="21"/>
          <w:highlight w:val="none"/>
          <w:lang w:bidi="ar"/>
        </w:rPr>
        <w:t>）投标人须知</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）评标方法及标准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4</w:t>
      </w:r>
      <w:r>
        <w:rPr>
          <w:rFonts w:asciiTheme="minorEastAsia" w:eastAsiaTheme="minorEastAsia" w:hAnsiTheme="minorEastAsia" w:hint="eastAsia"/>
          <w:color w:val="auto"/>
          <w:szCs w:val="21"/>
          <w:highlight w:val="none"/>
          <w:lang w:bidi="ar"/>
        </w:rPr>
        <w:t>）政府采购合同文本</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5</w:t>
      </w:r>
      <w:r>
        <w:rPr>
          <w:rFonts w:asciiTheme="minorEastAsia" w:eastAsiaTheme="minorEastAsia" w:hAnsiTheme="minorEastAsia" w:hint="eastAsia"/>
          <w:color w:val="auto"/>
          <w:szCs w:val="21"/>
          <w:highlight w:val="none"/>
          <w:lang w:bidi="ar"/>
        </w:rPr>
        <w:t>）投标文件格式</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第二部分</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技术部分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6</w:t>
      </w:r>
      <w:r>
        <w:rPr>
          <w:rFonts w:asciiTheme="minorEastAsia" w:eastAsiaTheme="minorEastAsia" w:hAnsiTheme="minorEastAsia" w:hint="eastAsia"/>
          <w:color w:val="auto"/>
          <w:szCs w:val="21"/>
          <w:highlight w:val="none"/>
          <w:lang w:bidi="ar"/>
        </w:rPr>
        <w:t>）项目采购需求</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6.</w:t>
      </w:r>
      <w:r>
        <w:rPr>
          <w:rFonts w:asciiTheme="minorEastAsia" w:eastAsiaTheme="minorEastAsia" w:hAnsiTheme="minorEastAsia" w:hint="eastAsia"/>
          <w:b/>
          <w:color w:val="auto"/>
          <w:szCs w:val="21"/>
          <w:highlight w:val="none"/>
          <w:lang w:bidi="ar"/>
        </w:rPr>
        <w:t>招标文件询问、澄清或修改</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6.1 </w:t>
      </w:r>
      <w:r>
        <w:rPr>
          <w:rFonts w:asciiTheme="minorEastAsia" w:eastAsiaTheme="minorEastAsia" w:hAnsiTheme="minorEastAsia" w:hint="eastAsia"/>
          <w:color w:val="auto"/>
          <w:szCs w:val="21"/>
          <w:highlight w:val="none"/>
          <w:lang w:bidi="ar"/>
        </w:rPr>
        <w:t>投标人对招标文件如有疑问的，可以向采购人提出询问，采购人应当在</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个工作日内作出答复，但答复的内容不得涉及商业秘密。如有必要，采购人可对招标文件进行澄清或者修改。</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6.2 </w:t>
      </w:r>
      <w:r>
        <w:rPr>
          <w:rFonts w:asciiTheme="minorEastAsia" w:eastAsiaTheme="minorEastAsia" w:hAnsiTheme="minorEastAsia" w:hint="eastAsia"/>
          <w:color w:val="auto"/>
          <w:szCs w:val="21"/>
          <w:highlight w:val="none"/>
          <w:lang w:bidi="ar"/>
        </w:rPr>
        <w:t>采购人可主动对招标文件进行必要的澄清或者修改，但不得改变采购标的和资格条件。</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6.3 </w:t>
      </w:r>
      <w:r>
        <w:rPr>
          <w:rFonts w:asciiTheme="minorEastAsia" w:eastAsiaTheme="minorEastAsia" w:hAnsiTheme="minorEastAsia" w:hint="eastAsia"/>
          <w:color w:val="auto"/>
          <w:szCs w:val="21"/>
          <w:highlight w:val="none"/>
          <w:lang w:bidi="ar"/>
        </w:rPr>
        <w:t>澄清或者修改应当在原公告发布媒体上发布更正公告，并通过国家税务总局政府采购评审管理系统（以下简称“评审管理系统”）通知所有获取招标文件的潜在投标人。</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6.4 </w:t>
      </w:r>
      <w:r>
        <w:rPr>
          <w:rFonts w:asciiTheme="minorEastAsia" w:eastAsiaTheme="minorEastAsia" w:hAnsiTheme="minorEastAsia" w:hint="eastAsia"/>
          <w:color w:val="auto"/>
          <w:szCs w:val="21"/>
          <w:highlight w:val="none"/>
          <w:lang w:bidi="ar"/>
        </w:rPr>
        <w:t>澄清或者修改的内容可能影响投标文件编制的，采购人应当在投标截止时间至少</w:t>
      </w:r>
      <w:r>
        <w:rPr>
          <w:rFonts w:asciiTheme="minorEastAsia" w:eastAsiaTheme="minorEastAsia" w:hAnsiTheme="minorEastAsia"/>
          <w:color w:val="auto"/>
          <w:szCs w:val="21"/>
          <w:highlight w:val="none"/>
          <w:lang w:bidi="ar"/>
        </w:rPr>
        <w:t>15</w:t>
      </w:r>
      <w:r>
        <w:rPr>
          <w:rFonts w:asciiTheme="minorEastAsia" w:eastAsiaTheme="minorEastAsia" w:hAnsiTheme="minorEastAsia" w:hint="eastAsia"/>
          <w:color w:val="auto"/>
          <w:szCs w:val="21"/>
          <w:highlight w:val="none"/>
          <w:lang w:bidi="ar"/>
        </w:rPr>
        <w:t>日前，通过评审管理系统通知所有获取招标文件的潜在投标人；不足</w:t>
      </w:r>
      <w:r>
        <w:rPr>
          <w:rFonts w:asciiTheme="minorEastAsia" w:eastAsiaTheme="minorEastAsia" w:hAnsiTheme="minorEastAsia"/>
          <w:color w:val="auto"/>
          <w:szCs w:val="21"/>
          <w:highlight w:val="none"/>
          <w:lang w:bidi="ar"/>
        </w:rPr>
        <w:t>15</w:t>
      </w:r>
      <w:r>
        <w:rPr>
          <w:rFonts w:asciiTheme="minorEastAsia" w:eastAsiaTheme="minorEastAsia" w:hAnsiTheme="minorEastAsia" w:hint="eastAsia"/>
          <w:color w:val="auto"/>
          <w:szCs w:val="21"/>
          <w:highlight w:val="none"/>
          <w:lang w:bidi="ar"/>
        </w:rPr>
        <w:t>日的，采购人应当顺延提交投标文件的截止时间。</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6.5 </w:t>
      </w:r>
      <w:r>
        <w:rPr>
          <w:rFonts w:asciiTheme="minorEastAsia" w:eastAsiaTheme="minorEastAsia" w:hAnsiTheme="minorEastAsia" w:hint="eastAsia"/>
          <w:color w:val="auto"/>
          <w:szCs w:val="21"/>
          <w:highlight w:val="none"/>
          <w:lang w:bidi="ar"/>
        </w:rPr>
        <w:t>澄清或者修改的内容为招标文件的组成部分。</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三、投标文件</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7</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投标文件编制</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7.1投标文件的编制</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7.1.1投标人应先仔细阅读招标文件的全部内容后，再进行投标文件的编制。</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7.2投标文件的语言</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7.2.1除招标文件另有规定外，投标文件应使用中文文本并使用中文简化字，若有不同文本，以中文简化字文本为准。</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7.2.2投标文件提供的全部资料中，若属于非中文描述的，应同时提供中文简化字译本。</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7.2.3除在招标文件的要求中另有规定外，投标文件计量单位应使用中华人民共和国法定计量单位。</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8.</w:t>
      </w:r>
      <w:r>
        <w:rPr>
          <w:rFonts w:asciiTheme="minorEastAsia" w:eastAsiaTheme="minorEastAsia" w:hAnsiTheme="minorEastAsia" w:hint="eastAsia"/>
          <w:b/>
          <w:color w:val="auto"/>
          <w:szCs w:val="21"/>
          <w:highlight w:val="none"/>
          <w:lang w:bidi="ar"/>
        </w:rPr>
        <w:t>投标文件的组成</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8.1 </w:t>
      </w:r>
      <w:r>
        <w:rPr>
          <w:rFonts w:asciiTheme="minorEastAsia" w:eastAsiaTheme="minorEastAsia" w:hAnsiTheme="minorEastAsia" w:hint="eastAsia"/>
          <w:color w:val="auto"/>
          <w:szCs w:val="21"/>
          <w:highlight w:val="none"/>
          <w:lang w:bidi="ar"/>
        </w:rPr>
        <w:t>投标文件包括商务部分和技术部分。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8.2 </w:t>
      </w:r>
      <w:r>
        <w:rPr>
          <w:rFonts w:asciiTheme="minorEastAsia" w:eastAsiaTheme="minorEastAsia" w:hAnsiTheme="minorEastAsia" w:hint="eastAsia"/>
          <w:color w:val="auto"/>
          <w:szCs w:val="21"/>
          <w:highlight w:val="none"/>
          <w:lang w:bidi="ar"/>
        </w:rPr>
        <w:t>投标文件</w:t>
      </w:r>
      <w:r>
        <w:rPr>
          <w:rFonts w:asciiTheme="minorEastAsia" w:eastAsiaTheme="minorEastAsia" w:hAnsiTheme="minorEastAsia" w:hint="eastAsia"/>
          <w:b/>
          <w:bCs/>
          <w:color w:val="auto"/>
          <w:szCs w:val="21"/>
          <w:highlight w:val="none"/>
          <w:lang w:bidi="ar"/>
        </w:rPr>
        <w:t>商务部分</w:t>
      </w:r>
      <w:r>
        <w:rPr>
          <w:rFonts w:asciiTheme="minorEastAsia" w:eastAsiaTheme="minorEastAsia" w:hAnsiTheme="minorEastAsia" w:hint="eastAsia"/>
          <w:color w:val="auto"/>
          <w:szCs w:val="21"/>
          <w:highlight w:val="none"/>
          <w:lang w:bidi="ar"/>
        </w:rPr>
        <w:t>主要包括的文件和资料：</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8.2.1 </w:t>
      </w:r>
      <w:r>
        <w:rPr>
          <w:rFonts w:asciiTheme="minorEastAsia" w:eastAsiaTheme="minorEastAsia" w:hAnsiTheme="minorEastAsia" w:hint="eastAsia"/>
          <w:color w:val="auto"/>
          <w:szCs w:val="21"/>
          <w:highlight w:val="none"/>
          <w:lang w:bidi="ar"/>
        </w:rPr>
        <w:t>资格证明文件，见</w:t>
      </w:r>
      <w:r>
        <w:rPr>
          <w:rFonts w:asciiTheme="minorEastAsia" w:eastAsiaTheme="minorEastAsia" w:hAnsiTheme="minorEastAsia" w:hint="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8.2.2 </w:t>
      </w:r>
      <w:r>
        <w:rPr>
          <w:rFonts w:asciiTheme="minorEastAsia" w:eastAsiaTheme="minorEastAsia" w:hAnsiTheme="minorEastAsia" w:hint="eastAsia"/>
          <w:color w:val="auto"/>
          <w:szCs w:val="21"/>
          <w:highlight w:val="none"/>
          <w:lang w:bidi="ar"/>
        </w:rPr>
        <w:t>其他文件及资料，见</w:t>
      </w:r>
      <w:r>
        <w:rPr>
          <w:rFonts w:asciiTheme="minorEastAsia" w:eastAsiaTheme="minorEastAsia" w:hAnsiTheme="minorEastAsia" w:hint="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8.3 </w:t>
      </w:r>
      <w:r>
        <w:rPr>
          <w:rFonts w:asciiTheme="minorEastAsia" w:eastAsiaTheme="minorEastAsia" w:hAnsiTheme="minorEastAsia" w:hint="eastAsia"/>
          <w:color w:val="auto"/>
          <w:szCs w:val="21"/>
          <w:highlight w:val="none"/>
          <w:lang w:bidi="ar"/>
        </w:rPr>
        <w:t>投标文件</w:t>
      </w:r>
      <w:r>
        <w:rPr>
          <w:rFonts w:asciiTheme="minorEastAsia" w:eastAsiaTheme="minorEastAsia" w:hAnsiTheme="minorEastAsia" w:hint="eastAsia"/>
          <w:b/>
          <w:bCs/>
          <w:color w:val="auto"/>
          <w:szCs w:val="21"/>
          <w:highlight w:val="none"/>
          <w:lang w:bidi="ar"/>
        </w:rPr>
        <w:t>技术部分</w:t>
      </w:r>
      <w:r>
        <w:rPr>
          <w:rFonts w:asciiTheme="minorEastAsia" w:eastAsiaTheme="minorEastAsia" w:hAnsiTheme="minorEastAsia" w:hint="eastAsia"/>
          <w:color w:val="auto"/>
          <w:szCs w:val="21"/>
          <w:highlight w:val="none"/>
          <w:lang w:bidi="ar"/>
        </w:rPr>
        <w:t>主要包括的文件及资料，见</w:t>
      </w:r>
      <w:r>
        <w:rPr>
          <w:rFonts w:asciiTheme="minorEastAsia" w:eastAsiaTheme="minorEastAsia" w:hAnsiTheme="minorEastAsia" w:hint="eastAsia"/>
          <w:b/>
          <w:color w:val="auto"/>
          <w:szCs w:val="21"/>
          <w:highlight w:val="none"/>
          <w:lang w:bidi="ar"/>
        </w:rPr>
        <w:t>投标人须知前附表。</w:t>
      </w:r>
    </w:p>
    <w:p>
      <w:pPr>
        <w:overflowPunct w:val="0"/>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8.4 </w:t>
      </w:r>
      <w:r>
        <w:rPr>
          <w:rFonts w:asciiTheme="minorEastAsia" w:eastAsiaTheme="minorEastAsia" w:hAnsiTheme="minorEastAsia" w:hint="eastAsia"/>
          <w:color w:val="auto"/>
          <w:szCs w:val="21"/>
          <w:highlight w:val="none"/>
          <w:lang w:bidi="ar"/>
        </w:rPr>
        <w:t>证明资料如标明有效期的，必须在有效期内。</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9.</w:t>
      </w:r>
      <w:r>
        <w:rPr>
          <w:rFonts w:asciiTheme="minorEastAsia" w:eastAsiaTheme="minorEastAsia" w:hAnsiTheme="minorEastAsia" w:hint="eastAsia"/>
          <w:b/>
          <w:color w:val="auto"/>
          <w:szCs w:val="21"/>
          <w:highlight w:val="none"/>
          <w:lang w:bidi="ar"/>
        </w:rPr>
        <w:t>报价要求</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9.1 除招标文件另有规定外，投标应以人民币报价，线上采购项目还须按照投标工具的流程和提示编制并上传投标报价表。</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9.2 本项目不接受任何形式的赠送、“零”报价和折扣报价。</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9.3 本项目以投标报价为依据计算价格分。投标报价应包括招标文件中要求投标人承担所有工作内容的全部费用。</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9.5 最低报价不能作为中标的保证。</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10.</w:t>
      </w:r>
      <w:r>
        <w:rPr>
          <w:rFonts w:asciiTheme="minorEastAsia" w:eastAsiaTheme="minorEastAsia" w:hAnsiTheme="minorEastAsia" w:hint="eastAsia"/>
          <w:b/>
          <w:color w:val="auto"/>
          <w:szCs w:val="21"/>
          <w:highlight w:val="none"/>
          <w:lang w:bidi="ar"/>
        </w:rPr>
        <w:t>投标文件的签署、盖章</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10.1 </w:t>
      </w:r>
      <w:r>
        <w:rPr>
          <w:rFonts w:asciiTheme="minorEastAsia" w:eastAsiaTheme="minorEastAsia" w:hAnsiTheme="minorEastAsia" w:hint="eastAsia"/>
          <w:color w:val="auto"/>
          <w:szCs w:val="21"/>
          <w:highlight w:val="none"/>
          <w:lang w:bidi="ar"/>
        </w:rPr>
        <w:t>投标文件必须按照招标文件给出文件格式的签署要求进行电子签署。</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10.2 </w:t>
      </w:r>
      <w:r>
        <w:rPr>
          <w:rFonts w:asciiTheme="minorEastAsia" w:eastAsiaTheme="minorEastAsia" w:hAnsiTheme="minorEastAsia" w:hint="eastAsia"/>
          <w:color w:val="auto"/>
          <w:szCs w:val="21"/>
          <w:highlight w:val="none"/>
          <w:lang w:bidi="ar"/>
        </w:rPr>
        <w:t>投标人在</w:t>
      </w:r>
      <w:r>
        <w:rPr>
          <w:rFonts w:asciiTheme="minorEastAsia" w:eastAsiaTheme="minorEastAsia" w:hAnsiTheme="minorEastAsia" w:hint="eastAsia"/>
          <w:b/>
          <w:color w:val="auto"/>
          <w:szCs w:val="21"/>
          <w:highlight w:val="none"/>
          <w:lang w:bidi="ar"/>
        </w:rPr>
        <w:t>“投标函”“法定代表人授权委托书”</w:t>
      </w:r>
      <w:r>
        <w:rPr>
          <w:rFonts w:asciiTheme="minorEastAsia" w:eastAsiaTheme="minorEastAsia" w:hAnsiTheme="minorEastAsia" w:hint="eastAsia"/>
          <w:color w:val="auto"/>
          <w:szCs w:val="21"/>
          <w:highlight w:val="none"/>
          <w:lang w:bidi="ar"/>
        </w:rPr>
        <w:t>上应当按格式要求加盖与投标人名称全称一致的标准公章，并按照招标文件第五章投标文件格式中的相应格式文件要求签署全名或加盖名章。</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10.3 </w:t>
      </w:r>
      <w:r>
        <w:rPr>
          <w:rFonts w:asciiTheme="minorEastAsia" w:eastAsiaTheme="minorEastAsia" w:hAnsiTheme="minorEastAsia" w:hint="eastAsia"/>
          <w:color w:val="auto"/>
          <w:szCs w:val="21"/>
          <w:highlight w:val="none"/>
          <w:lang w:bidi="ar"/>
        </w:rPr>
        <w:t>投标文件中的“盖章”指加盖投标人的“公章”，而非“合同专用章”、“投标专用章”等其他非公章。</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11</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投标有效期</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11.1 </w:t>
      </w:r>
      <w:r>
        <w:rPr>
          <w:rFonts w:asciiTheme="minorEastAsia" w:eastAsiaTheme="minorEastAsia" w:hAnsiTheme="minorEastAsia" w:hint="eastAsia"/>
          <w:color w:val="auto"/>
          <w:szCs w:val="21"/>
          <w:highlight w:val="none"/>
          <w:lang w:bidi="ar"/>
        </w:rPr>
        <w:t>投标有效期见</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，在此期间，投标文件对投标人具有法律约束力，以保证采购人有足够的时间完成评标、定标以及签订合同。投标文件中承诺的投标有效期应当不少于招标文件中载明的投标有效期，否则作为无效投标处理。</w:t>
      </w:r>
    </w:p>
    <w:p>
      <w:pPr>
        <w:spacing w:line="360" w:lineRule="auto"/>
        <w:ind w:firstLine="420" w:firstLineChars="200"/>
        <w:rPr>
          <w:rFonts w:asciiTheme="minorEastAsia" w:eastAsiaTheme="minorEastAsia" w:hAnsiTheme="minorEastAsia"/>
          <w:color w:val="auto"/>
          <w:szCs w:val="21"/>
          <w:highlight w:val="none"/>
          <w:lang w:bidi="ar"/>
        </w:rPr>
      </w:pPr>
      <w:r>
        <w:rPr>
          <w:rFonts w:asciiTheme="minorEastAsia" w:eastAsiaTheme="minorEastAsia" w:hAnsiTheme="minorEastAsia"/>
          <w:color w:val="auto"/>
          <w:szCs w:val="21"/>
          <w:highlight w:val="none"/>
          <w:lang w:bidi="ar"/>
        </w:rPr>
        <w:t xml:space="preserve">11.2 </w:t>
      </w:r>
      <w:r>
        <w:rPr>
          <w:rFonts w:asciiTheme="minorEastAsia" w:eastAsiaTheme="minorEastAsia" w:hAnsiTheme="minorEastAsia" w:hint="eastAsia"/>
          <w:color w:val="auto"/>
          <w:szCs w:val="21"/>
          <w:highlight w:val="none"/>
          <w:lang w:bidi="ar"/>
        </w:rPr>
        <w:t>特殊情况下，在原投标有效期期满之前，采购人可征得投标人同意延长投标有效期。</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四、投标文件递交</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12</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投标文件递交</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12.1 </w:t>
      </w:r>
      <w:r>
        <w:rPr>
          <w:rFonts w:asciiTheme="minorEastAsia" w:eastAsiaTheme="minorEastAsia" w:hAnsiTheme="minorEastAsia" w:hint="eastAsia"/>
          <w:color w:val="auto"/>
          <w:szCs w:val="21"/>
          <w:highlight w:val="none"/>
          <w:lang w:bidi="ar"/>
        </w:rPr>
        <w:t>投标人应当在</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要求提交投标文件截止时间前，登录评审管理系统并使用投标工具加密上传投标文件。除上述方式之外，不接受投标人以纸质文件以及其他任何方式提交的投标文件。投标人应充分考虑网络传输时间等因素，合理安排上传时间。</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12.2 </w:t>
      </w:r>
      <w:r>
        <w:rPr>
          <w:rFonts w:asciiTheme="minorEastAsia" w:eastAsiaTheme="minorEastAsia" w:hAnsiTheme="minorEastAsia" w:hint="eastAsia"/>
          <w:color w:val="auto"/>
          <w:szCs w:val="21"/>
          <w:highlight w:val="none"/>
          <w:lang w:bidi="ar"/>
        </w:rPr>
        <w:t>提交投标文件截止时间后，评审管理系统不提供投标文件上传功能。投标人未完成投标文件上传的，投标将被拒绝。</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13</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投标文件补充、修改或撤回</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13.1 投标人在投标截止时间前，可以对所递交的投标文件进行补充、修改或者撤回，并书面通知采购人。补充、修改的内容应当按照招标文件要求签署、盖章、密封后，作为投标文件的组成部分。</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13.2 线上采购项目，投标人在投标截止时间前，可以登录评审管理系统对所提交的投标文件进行撤回、补充、修改、重新提交。补充、修改的内容应当按照招标文件要求签署、盖章。</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13.3 提交投标文件截止时间后，不得对已提交的投标文件作任何补充、修改或者撤回。</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五、开标与评标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b/>
          <w:color w:val="auto"/>
          <w:szCs w:val="21"/>
          <w:highlight w:val="none"/>
          <w:lang w:bidi="ar"/>
        </w:rPr>
        <w:t>14</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开标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14.1 </w:t>
      </w:r>
      <w:r>
        <w:rPr>
          <w:rFonts w:asciiTheme="minorEastAsia" w:eastAsiaTheme="minorEastAsia" w:hAnsiTheme="minorEastAsia" w:hint="eastAsia"/>
          <w:color w:val="auto"/>
          <w:szCs w:val="21"/>
          <w:highlight w:val="none"/>
          <w:lang w:bidi="ar"/>
        </w:rPr>
        <w:t>采购人将在</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规定的时间进行电子开标，采购人将对开标、评标现场活动进行全程录音录像，音像资料作为采购文件一并存档。开标由采购人主持，投标人通过登录评审管理系统进入开标大厅远程参加。</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14.2 </w:t>
      </w:r>
      <w:r>
        <w:rPr>
          <w:rFonts w:asciiTheme="minorEastAsia" w:eastAsiaTheme="minorEastAsia" w:hAnsiTheme="minorEastAsia" w:hint="eastAsia"/>
          <w:color w:val="auto"/>
          <w:szCs w:val="21"/>
          <w:highlight w:val="none"/>
          <w:lang w:bidi="ar"/>
        </w:rPr>
        <w:t>提交投标文件截止时间后进入解密程序，由采购人对所有完成投递的电子投标文件进行解密。投标人不足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家的，不进入解密程序。</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14.3 </w:t>
      </w:r>
      <w:r>
        <w:rPr>
          <w:rFonts w:asciiTheme="minorEastAsia" w:eastAsiaTheme="minorEastAsia" w:hAnsiTheme="minorEastAsia" w:hint="eastAsia"/>
          <w:color w:val="auto"/>
          <w:szCs w:val="21"/>
          <w:highlight w:val="none"/>
          <w:lang w:bidi="ar"/>
        </w:rPr>
        <w:t>解密完成后，进行电子开标。开标结束后，采购人发起开标结果确认，投标人在开标大厅于规定时间内确认开标结果，未按时确认的系统将自动确认。</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14.4 </w:t>
      </w:r>
      <w:r>
        <w:rPr>
          <w:rFonts w:asciiTheme="minorEastAsia" w:eastAsiaTheme="minorEastAsia" w:hAnsiTheme="minorEastAsia" w:hint="eastAsia"/>
          <w:color w:val="auto"/>
          <w:szCs w:val="21"/>
          <w:highlight w:val="none"/>
          <w:lang w:bidi="ar"/>
        </w:rPr>
        <w:t>投标人未参加开标的，视同认可开标结果。</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14.5 </w:t>
      </w:r>
      <w:r>
        <w:rPr>
          <w:rFonts w:asciiTheme="minorEastAsia" w:eastAsiaTheme="minorEastAsia" w:hAnsiTheme="minorEastAsia" w:hint="eastAsia"/>
          <w:color w:val="auto"/>
          <w:szCs w:val="21"/>
          <w:highlight w:val="none"/>
          <w:lang w:bidi="ar"/>
        </w:rPr>
        <w:t>投标人代表对开标过程和开标记录有疑义，以及认为采购人相关工作人员有需要回避情形的，应及时提出询问或者回避申请。采购人对投标人代表提出的询问或者回避申请应当及时处理。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14.6 </w:t>
      </w:r>
      <w:r>
        <w:rPr>
          <w:rFonts w:asciiTheme="minorEastAsia" w:eastAsiaTheme="minorEastAsia" w:hAnsiTheme="minorEastAsia" w:hint="eastAsia"/>
          <w:color w:val="auto"/>
          <w:szCs w:val="21"/>
          <w:highlight w:val="none"/>
          <w:lang w:bidi="ar"/>
        </w:rPr>
        <w:t>未解密或解密失败的投标文件，按无效投标处理。若解密成功的投标人不足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家，不进入后续程序。</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15</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投标资格审查</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15.1 公开招标采购项目开标结束后，由采购人依法对投标人的资格进行审查，以确定投标人是否具备投标资格。</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15.1.1 </w:t>
      </w:r>
      <w:r>
        <w:rPr>
          <w:rFonts w:asciiTheme="minorEastAsia" w:eastAsiaTheme="minorEastAsia" w:hAnsiTheme="minorEastAsia" w:hint="eastAsia"/>
          <w:color w:val="auto"/>
          <w:szCs w:val="21"/>
          <w:highlight w:val="none"/>
          <w:lang w:bidi="ar"/>
        </w:rPr>
        <w:t>审查投标人按照</w:t>
      </w:r>
      <w:r>
        <w:rPr>
          <w:rFonts w:asciiTheme="minorEastAsia" w:eastAsiaTheme="minorEastAsia" w:hAnsiTheme="minorEastAsia"/>
          <w:color w:val="auto"/>
          <w:szCs w:val="21"/>
          <w:highlight w:val="none"/>
          <w:lang w:bidi="ar"/>
        </w:rPr>
        <w:t>8.2.1</w:t>
      </w:r>
      <w:r>
        <w:rPr>
          <w:rFonts w:asciiTheme="minorEastAsia" w:eastAsiaTheme="minorEastAsia" w:hAnsiTheme="minorEastAsia" w:hint="eastAsia"/>
          <w:color w:val="auto"/>
          <w:szCs w:val="21"/>
          <w:highlight w:val="none"/>
          <w:lang w:bidi="ar"/>
        </w:rPr>
        <w:t>提交的</w:t>
      </w:r>
      <w:r>
        <w:rPr>
          <w:rFonts w:asciiTheme="minorEastAsia" w:eastAsiaTheme="minorEastAsia" w:hAnsiTheme="minorEastAsia" w:hint="eastAsia"/>
          <w:b/>
          <w:color w:val="auto"/>
          <w:szCs w:val="21"/>
          <w:highlight w:val="none"/>
          <w:lang w:bidi="ar"/>
        </w:rPr>
        <w:t>“资格证明文件”</w:t>
      </w:r>
      <w:r>
        <w:rPr>
          <w:rFonts w:asciiTheme="minorEastAsia" w:eastAsiaTheme="minorEastAsia" w:hAnsiTheme="minorEastAsia" w:hint="eastAsia"/>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15.1.2 </w:t>
      </w:r>
      <w:r>
        <w:rPr>
          <w:rFonts w:asciiTheme="minorEastAsia" w:eastAsiaTheme="minorEastAsia" w:hAnsiTheme="minorEastAsia" w:hint="eastAsia"/>
          <w:color w:val="auto"/>
          <w:szCs w:val="21"/>
          <w:highlight w:val="none"/>
          <w:lang w:bidi="ar"/>
        </w:rPr>
        <w:t>信用记录审查。</w:t>
      </w:r>
      <w:r>
        <w:rPr>
          <w:rFonts w:asciiTheme="minorEastAsia" w:eastAsiaTheme="minorEastAsia" w:hAnsiTheme="minorEastAsia" w:hint="eastAsia"/>
          <w:b/>
          <w:color w:val="auto"/>
          <w:szCs w:val="21"/>
          <w:highlight w:val="none"/>
          <w:lang w:bidi="ar"/>
        </w:rPr>
        <w:t>见投标人须知前附表</w:t>
      </w:r>
      <w:r>
        <w:rPr>
          <w:rFonts w:asciiTheme="minorEastAsia" w:eastAsiaTheme="minorEastAsia" w:hAnsiTheme="minorEastAsia" w:hint="eastAsia"/>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15.2 </w:t>
      </w:r>
      <w:r>
        <w:rPr>
          <w:rFonts w:asciiTheme="minorEastAsia" w:eastAsiaTheme="minorEastAsia" w:hAnsiTheme="minorEastAsia" w:hint="eastAsia"/>
          <w:color w:val="auto"/>
          <w:szCs w:val="21"/>
          <w:highlight w:val="none"/>
          <w:lang w:bidi="ar"/>
        </w:rPr>
        <w:t>未通过资格审查的投标人，其投标无效。</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15.3 </w:t>
      </w:r>
      <w:r>
        <w:rPr>
          <w:rFonts w:asciiTheme="minorEastAsia" w:eastAsiaTheme="minorEastAsia" w:hAnsiTheme="minorEastAsia" w:hint="eastAsia"/>
          <w:color w:val="auto"/>
          <w:szCs w:val="21"/>
          <w:highlight w:val="none"/>
          <w:lang w:bidi="ar"/>
        </w:rPr>
        <w:t>合格投标人不足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家的，不得评标。</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16</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评标委员会的组成</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lang w:bidi="ar"/>
        </w:rPr>
      </w:pPr>
      <w:r>
        <w:rPr>
          <w:rFonts w:asciiTheme="minorEastAsia" w:eastAsiaTheme="minorEastAsia" w:hAnsiTheme="minorEastAsia"/>
          <w:color w:val="auto"/>
          <w:szCs w:val="21"/>
          <w:highlight w:val="none"/>
          <w:lang w:bidi="ar"/>
        </w:rPr>
        <w:t xml:space="preserve">16.1 </w:t>
      </w:r>
      <w:r>
        <w:rPr>
          <w:rFonts w:asciiTheme="minorEastAsia" w:eastAsiaTheme="minorEastAsia" w:hAnsiTheme="minorEastAsia" w:hint="eastAsia"/>
          <w:color w:val="auto"/>
          <w:szCs w:val="21"/>
          <w:highlight w:val="none"/>
          <w:lang w:bidi="ar"/>
        </w:rPr>
        <w:t xml:space="preserve">根据有关法律法规规定组建评标委员会，评标委员会由采购人代表和评审专家组成。   </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17</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投标符合性审查</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17.1 </w:t>
      </w:r>
      <w:r>
        <w:rPr>
          <w:rFonts w:asciiTheme="minorEastAsia" w:eastAsiaTheme="minorEastAsia" w:hAnsiTheme="minorEastAsia" w:hint="eastAsia"/>
          <w:color w:val="auto"/>
          <w:szCs w:val="21"/>
          <w:highlight w:val="none"/>
          <w:lang w:bidi="ar"/>
        </w:rPr>
        <w:t>评标委员会对符合资格的投标人的投标文件进行符合性审查，以确定其是否符合招标文件的商务、技术等实质性要求。</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17.2 </w:t>
      </w:r>
      <w:r>
        <w:rPr>
          <w:rFonts w:asciiTheme="minorEastAsia" w:eastAsiaTheme="minorEastAsia" w:hAnsiTheme="minorEastAsia" w:hint="eastAsia"/>
          <w:color w:val="auto"/>
          <w:szCs w:val="21"/>
          <w:highlight w:val="none"/>
          <w:lang w:bidi="ar"/>
        </w:rPr>
        <w:t>未通过符合性审查的投标人，其投标无效。</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17.3 </w:t>
      </w:r>
      <w:r>
        <w:rPr>
          <w:rFonts w:asciiTheme="minorEastAsia" w:eastAsiaTheme="minorEastAsia" w:hAnsiTheme="minorEastAsia" w:hint="eastAsia"/>
          <w:color w:val="auto"/>
          <w:szCs w:val="21"/>
          <w:highlight w:val="none"/>
          <w:lang w:bidi="ar"/>
        </w:rPr>
        <w:t>通过符合性审查的投标人不足</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家的，应予以废标。</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18</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投标文件的澄清</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18.1对于投标文件中含义不明确、同类问题表述不一致或者有明显文字和计算错误的内容，评标委员会应当以书面形式要求投标人作出必要的澄清、说明或者补正。</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18.3关于投标描述（即投标文件中描述的内容）</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（1）投标描述前后不一致且不涉及证明材料的：按照本节第18.1条规定执行。</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（2）投标描述与证明材料不一致或多份证明材料之间不一致的：</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①评标委员会将要求投标人进行书面澄清，无法澄清的将按照不利于投标人的内容进行评标。</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18.4 除评标委员会要求投标人做出的澄清、说明或者补正以外，评标委员会不接受投标人的任何询问、说明、更改及文件。</w:t>
      </w:r>
    </w:p>
    <w:p>
      <w:pPr>
        <w:topLinePunct/>
        <w:autoSpaceDE w:val="0"/>
        <w:autoSpaceDN w:val="0"/>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hint="eastAsia"/>
          <w:color w:val="auto"/>
          <w:kern w:val="0"/>
          <w:szCs w:val="21"/>
          <w:highlight w:val="none"/>
        </w:rPr>
        <w:t>18.5 投标人的澄清必须在规定的时间内提交。</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19</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核价原则</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bCs/>
          <w:color w:val="auto"/>
          <w:szCs w:val="21"/>
          <w:highlight w:val="none"/>
          <w:lang w:bidi="ar"/>
        </w:rPr>
        <w:t xml:space="preserve">19.1 </w:t>
      </w:r>
      <w:r>
        <w:rPr>
          <w:rFonts w:asciiTheme="minorEastAsia" w:eastAsiaTheme="minorEastAsia" w:hAnsiTheme="minorEastAsia" w:hint="eastAsia"/>
          <w:bCs/>
          <w:color w:val="auto"/>
          <w:szCs w:val="21"/>
          <w:highlight w:val="none"/>
          <w:lang w:bidi="ar"/>
        </w:rPr>
        <w:t>投标文件报价出现前后不一致的，除招标文件另有规定外，按照下列规定修正：</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1</w:t>
      </w:r>
      <w:r>
        <w:rPr>
          <w:rFonts w:asciiTheme="minorEastAsia" w:eastAsiaTheme="minorEastAsia" w:hAnsiTheme="minorEastAsia" w:hint="eastAsia"/>
          <w:bCs/>
          <w:color w:val="auto"/>
          <w:szCs w:val="21"/>
          <w:highlight w:val="none"/>
          <w:lang w:bidi="ar"/>
        </w:rPr>
        <w:t>）投标文件中开标一览表（总报价表）内容与投标文件中相应内容不一致的，以开标一览表（总报价表）为准；</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2</w:t>
      </w:r>
      <w:r>
        <w:rPr>
          <w:rFonts w:asciiTheme="minorEastAsia" w:eastAsiaTheme="minorEastAsia" w:hAnsiTheme="minorEastAsia" w:hint="eastAsia"/>
          <w:bCs/>
          <w:color w:val="auto"/>
          <w:szCs w:val="21"/>
          <w:highlight w:val="none"/>
          <w:lang w:bidi="ar"/>
        </w:rPr>
        <w:t>）大写金额和小写金额不一致的，以大写金额为准；</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3</w:t>
      </w:r>
      <w:r>
        <w:rPr>
          <w:rFonts w:asciiTheme="minorEastAsia" w:eastAsiaTheme="minorEastAsia" w:hAnsiTheme="minorEastAsia" w:hint="eastAsia"/>
          <w:bCs/>
          <w:color w:val="auto"/>
          <w:szCs w:val="21"/>
          <w:highlight w:val="none"/>
          <w:lang w:bidi="ar"/>
        </w:rPr>
        <w:t>）单价金额小数点或者百分比有明显错位的，以开标一览表的总价为准，并修改单价；</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4</w:t>
      </w:r>
      <w:r>
        <w:rPr>
          <w:rFonts w:asciiTheme="minorEastAsia" w:eastAsiaTheme="minorEastAsia" w:hAnsiTheme="minorEastAsia" w:hint="eastAsia"/>
          <w:bCs/>
          <w:color w:val="auto"/>
          <w:szCs w:val="21"/>
          <w:highlight w:val="none"/>
          <w:lang w:bidi="ar"/>
        </w:rPr>
        <w:t>）总价金额与按单价汇总金额不一致的，以单价金额计算结果为准。</w:t>
      </w:r>
    </w:p>
    <w:p>
      <w:pPr>
        <w:topLinePunct/>
        <w:autoSpaceDE w:val="0"/>
        <w:autoSpaceDN w:val="0"/>
        <w:spacing w:line="360" w:lineRule="auto"/>
        <w:ind w:firstLine="420" w:firstLineChars="200"/>
        <w:rPr>
          <w:rFonts w:asciiTheme="minorEastAsia" w:eastAsiaTheme="minorEastAsia" w:hAnsiTheme="minorEastAsia"/>
          <w:bCs/>
          <w:color w:val="auto"/>
          <w:szCs w:val="21"/>
          <w:highlight w:val="none"/>
        </w:rPr>
      </w:pPr>
      <w:r>
        <w:rPr>
          <w:rFonts w:asciiTheme="minorEastAsia" w:eastAsiaTheme="minorEastAsia" w:hAnsiTheme="minorEastAsia" w:hint="eastAsia"/>
          <w:bCs/>
          <w:color w:val="auto"/>
          <w:szCs w:val="21"/>
          <w:highlight w:val="none"/>
          <w:lang w:bidi="ar"/>
        </w:rPr>
        <w:t>（</w:t>
      </w:r>
      <w:r>
        <w:rPr>
          <w:rFonts w:asciiTheme="minorEastAsia" w:eastAsiaTheme="minorEastAsia" w:hAnsiTheme="minorEastAsia"/>
          <w:bCs/>
          <w:color w:val="auto"/>
          <w:szCs w:val="21"/>
          <w:highlight w:val="none"/>
          <w:lang w:bidi="ar"/>
        </w:rPr>
        <w:t>5</w:t>
      </w:r>
      <w:r>
        <w:rPr>
          <w:rFonts w:asciiTheme="minorEastAsia" w:eastAsiaTheme="minorEastAsia" w:hAnsiTheme="minorEastAsia" w:hint="eastAsia"/>
          <w:bCs/>
          <w:color w:val="auto"/>
          <w:szCs w:val="21"/>
          <w:highlight w:val="none"/>
          <w:lang w:bidi="ar"/>
        </w:rPr>
        <w:t>）同时出现两种以上不一致的，按照前款规定的顺序修正。修正后的报价按照</w:t>
      </w:r>
      <w:r>
        <w:rPr>
          <w:rFonts w:asciiTheme="minorEastAsia" w:eastAsiaTheme="minorEastAsia" w:hAnsiTheme="minorEastAsia"/>
          <w:bCs/>
          <w:color w:val="auto"/>
          <w:szCs w:val="21"/>
          <w:highlight w:val="none"/>
          <w:lang w:bidi="ar"/>
        </w:rPr>
        <w:t>18.2</w:t>
      </w:r>
      <w:r>
        <w:rPr>
          <w:rFonts w:asciiTheme="minorEastAsia" w:eastAsiaTheme="minorEastAsia" w:hAnsiTheme="minorEastAsia" w:hint="eastAsia"/>
          <w:bCs/>
          <w:color w:val="auto"/>
          <w:szCs w:val="21"/>
          <w:highlight w:val="none"/>
          <w:lang w:bidi="ar"/>
        </w:rPr>
        <w:t>条的规定经投标人确认后产生约束力，投标人不确认的，其投标无效。</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20</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投标无效</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20.1 </w:t>
      </w:r>
      <w:r>
        <w:rPr>
          <w:rFonts w:asciiTheme="minorEastAsia" w:eastAsiaTheme="minorEastAsia" w:hAnsiTheme="minorEastAsia" w:hint="eastAsia"/>
          <w:b/>
          <w:color w:val="auto"/>
          <w:szCs w:val="21"/>
          <w:highlight w:val="none"/>
          <w:lang w:bidi="ar"/>
        </w:rPr>
        <w:t>投标人及投标文件有下列情况之一的，应当在资格审查时按照投标无效处理：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不具备招标文件中规定的资格要求的；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投标文件组成中“资格证明文件”未提供或无效的；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未通过信用记录审查或未提供相关证明材料的。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20.2 </w:t>
      </w:r>
      <w:r>
        <w:rPr>
          <w:rFonts w:asciiTheme="minorEastAsia" w:eastAsiaTheme="minorEastAsia" w:hAnsiTheme="minorEastAsia" w:hint="eastAsia"/>
          <w:b/>
          <w:color w:val="auto"/>
          <w:szCs w:val="21"/>
          <w:highlight w:val="none"/>
          <w:lang w:bidi="ar"/>
        </w:rPr>
        <w:t>投标人及投标文件有下列情况之一的，应当在符合性审查时按照投标无效处理：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投标文件组成中除“资格证明文件”外，★条款相关文件及资料未提供或提供无效的</w:t>
      </w:r>
      <w:r>
        <w:rPr>
          <w:rFonts w:asciiTheme="minorEastAsia" w:eastAsiaTheme="minorEastAsia" w:hAnsiTheme="minorEastAsia"/>
          <w:b/>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投标文件未按招标文件要求签署、盖章的；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投标报价超过招标文件中规定的预算金额或者最高限价的；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4</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投标有效期不足的；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5</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投标文件含有采购人不能接受的附加条件的；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20.3 </w:t>
      </w:r>
      <w:r>
        <w:rPr>
          <w:rFonts w:asciiTheme="minorEastAsia" w:eastAsiaTheme="minorEastAsia" w:hAnsiTheme="minorEastAsia" w:hint="eastAsia"/>
          <w:b/>
          <w:color w:val="auto"/>
          <w:szCs w:val="21"/>
          <w:highlight w:val="none"/>
          <w:lang w:bidi="ar"/>
        </w:rPr>
        <w:t>除</w:t>
      </w:r>
      <w:r>
        <w:rPr>
          <w:rFonts w:asciiTheme="minorEastAsia" w:eastAsiaTheme="minorEastAsia" w:hAnsiTheme="minorEastAsia"/>
          <w:b/>
          <w:color w:val="auto"/>
          <w:szCs w:val="21"/>
          <w:highlight w:val="none"/>
          <w:lang w:bidi="ar"/>
        </w:rPr>
        <w:t>20.1</w:t>
      </w:r>
      <w:r>
        <w:rPr>
          <w:rFonts w:asciiTheme="minorEastAsia" w:eastAsiaTheme="minorEastAsia" w:hAnsiTheme="minorEastAsia" w:hint="eastAsia"/>
          <w:b/>
          <w:color w:val="auto"/>
          <w:szCs w:val="21"/>
          <w:highlight w:val="none"/>
          <w:lang w:bidi="ar"/>
        </w:rPr>
        <w:t>及</w:t>
      </w:r>
      <w:r>
        <w:rPr>
          <w:rFonts w:asciiTheme="minorEastAsia" w:eastAsiaTheme="minorEastAsia" w:hAnsiTheme="minorEastAsia"/>
          <w:b/>
          <w:color w:val="auto"/>
          <w:szCs w:val="21"/>
          <w:highlight w:val="none"/>
          <w:lang w:bidi="ar"/>
        </w:rPr>
        <w:t>20.2</w:t>
      </w:r>
      <w:r>
        <w:rPr>
          <w:rFonts w:asciiTheme="minorEastAsia" w:eastAsiaTheme="minorEastAsia" w:hAnsiTheme="minorEastAsia" w:hint="eastAsia"/>
          <w:b/>
          <w:color w:val="auto"/>
          <w:szCs w:val="21"/>
          <w:highlight w:val="none"/>
          <w:lang w:bidi="ar"/>
        </w:rPr>
        <w:t>情形外，投标人及投标文件有下列情况之一的，应当按照投标无效处理：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1</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提供虚假投标文件材料的；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2</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投标人串通投标的；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3</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投标报价明显低于其他通过符合性审查投标人的报价，且不能证明其报价合理性的。</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4</w:t>
      </w:r>
      <w:r>
        <w:rPr>
          <w:rFonts w:asciiTheme="minorEastAsia" w:eastAsiaTheme="minorEastAsia" w:hAnsiTheme="minorEastAsia" w:hint="eastAsia"/>
          <w:b/>
          <w:color w:val="auto"/>
          <w:szCs w:val="21"/>
          <w:highlight w:val="none"/>
          <w:lang w:bidi="ar"/>
        </w:rPr>
        <w:t>）</w:t>
      </w:r>
      <w:r>
        <w:rPr>
          <w:rFonts w:asciiTheme="minorEastAsia" w:eastAsiaTheme="minorEastAsia" w:hAnsiTheme="minorEastAsia"/>
          <w:b/>
          <w:color w:val="auto"/>
          <w:szCs w:val="21"/>
          <w:highlight w:val="none"/>
          <w:lang w:bidi="ar"/>
        </w:rPr>
        <w:t xml:space="preserve"> </w:t>
      </w:r>
      <w:r>
        <w:rPr>
          <w:rFonts w:asciiTheme="minorEastAsia" w:eastAsiaTheme="minorEastAsia" w:hAnsiTheme="minorEastAsia" w:hint="eastAsia"/>
          <w:b/>
          <w:color w:val="auto"/>
          <w:szCs w:val="21"/>
          <w:highlight w:val="none"/>
          <w:lang w:bidi="ar"/>
        </w:rPr>
        <w:t>法律、法规和招标文件规定的其他无效情形。</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21</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比较与评价</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21.1 </w:t>
      </w:r>
      <w:r>
        <w:rPr>
          <w:rFonts w:asciiTheme="minorEastAsia" w:eastAsiaTheme="minorEastAsia" w:hAnsiTheme="minorEastAsia" w:hint="eastAsia"/>
          <w:color w:val="auto"/>
          <w:szCs w:val="21"/>
          <w:highlight w:val="none"/>
          <w:lang w:bidi="ar"/>
        </w:rPr>
        <w:t>评标委员会按照招标文件中规定的评标方法和标准，对符合性审查合格的投标文件进行商务和技术评估，综合比较与评价。</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21.2 </w:t>
      </w:r>
      <w:r>
        <w:rPr>
          <w:rFonts w:asciiTheme="minorEastAsia" w:eastAsiaTheme="minorEastAsia" w:hAnsiTheme="minorEastAsia" w:hint="eastAsia"/>
          <w:color w:val="auto"/>
          <w:szCs w:val="21"/>
          <w:highlight w:val="none"/>
          <w:lang w:bidi="ar"/>
        </w:rPr>
        <w:t>价格分应当采用低价优先法计算。小型、微型企业和监狱企业、残疾人福利性单位的投标报价按照</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21.3 </w:t>
      </w:r>
      <w:r>
        <w:rPr>
          <w:rFonts w:asciiTheme="minorEastAsia" w:eastAsiaTheme="minorEastAsia" w:hAnsiTheme="minorEastAsia" w:hint="eastAsia"/>
          <w:color w:val="auto"/>
          <w:szCs w:val="21"/>
          <w:highlight w:val="none"/>
          <w:lang w:bidi="ar"/>
        </w:rPr>
        <w:t>评标委员会各成员独立对每个投标人的投标文件进行评价，并汇总得出每个投标人的评审得分。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21.4 </w:t>
      </w:r>
      <w:r>
        <w:rPr>
          <w:rFonts w:asciiTheme="minorEastAsia" w:eastAsiaTheme="minorEastAsia" w:hAnsiTheme="minorEastAsia" w:hint="eastAsia"/>
          <w:color w:val="auto"/>
          <w:szCs w:val="21"/>
          <w:highlight w:val="none"/>
          <w:lang w:bidi="ar"/>
        </w:rPr>
        <w:t>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21.5 </w:t>
      </w:r>
      <w:r>
        <w:rPr>
          <w:rFonts w:asciiTheme="minorEastAsia" w:eastAsiaTheme="minorEastAsia" w:hAnsiTheme="minorEastAsia" w:hint="eastAsia"/>
          <w:color w:val="auto"/>
          <w:szCs w:val="21"/>
          <w:highlight w:val="none"/>
          <w:lang w:bidi="ar"/>
        </w:rPr>
        <w:t>评标方法及标准</w:t>
      </w:r>
      <w:r>
        <w:rPr>
          <w:rFonts w:asciiTheme="minorEastAsia" w:eastAsiaTheme="minorEastAsia" w:hAnsiTheme="minorEastAsia" w:hint="eastAsia"/>
          <w:b/>
          <w:color w:val="auto"/>
          <w:szCs w:val="21"/>
          <w:highlight w:val="none"/>
          <w:lang w:bidi="ar"/>
        </w:rPr>
        <w:t>详见招标文件商务部分第三章</w:t>
      </w:r>
      <w:r>
        <w:rPr>
          <w:rFonts w:asciiTheme="minorEastAsia" w:eastAsiaTheme="minorEastAsia" w:hAnsiTheme="minorEastAsia" w:hint="eastAsia"/>
          <w:color w:val="auto"/>
          <w:szCs w:val="21"/>
          <w:highlight w:val="none"/>
          <w:lang w:bidi="ar"/>
        </w:rPr>
        <w:t>。</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21.6 </w:t>
      </w:r>
      <w:r>
        <w:rPr>
          <w:rFonts w:asciiTheme="minorEastAsia" w:eastAsiaTheme="minorEastAsia" w:hAnsiTheme="minorEastAsia" w:hint="eastAsia"/>
          <w:color w:val="auto"/>
          <w:szCs w:val="21"/>
          <w:highlight w:val="none"/>
          <w:lang w:bidi="ar"/>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22</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废标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22.1 </w:t>
      </w:r>
      <w:r>
        <w:rPr>
          <w:rFonts w:asciiTheme="minorEastAsia" w:eastAsiaTheme="minorEastAsia" w:hAnsiTheme="minorEastAsia" w:hint="eastAsia"/>
          <w:color w:val="auto"/>
          <w:szCs w:val="21"/>
          <w:highlight w:val="none"/>
          <w:lang w:bidi="ar"/>
        </w:rPr>
        <w:t>在招标采购中，出现下列情形之一的，应予废标：</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1</w:t>
      </w:r>
      <w:r>
        <w:rPr>
          <w:rFonts w:asciiTheme="minorEastAsia" w:eastAsiaTheme="minorEastAsia" w:hAnsiTheme="minorEastAsia" w:hint="eastAsia"/>
          <w:color w:val="auto"/>
          <w:szCs w:val="21"/>
          <w:highlight w:val="none"/>
          <w:lang w:bidi="ar"/>
        </w:rPr>
        <w:t>）符合专业条件的供应商或者对招标文件作实质响应的供应商不足三家的；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2</w:t>
      </w:r>
      <w:r>
        <w:rPr>
          <w:rFonts w:asciiTheme="minorEastAsia" w:eastAsiaTheme="minorEastAsia" w:hAnsiTheme="minorEastAsia" w:hint="eastAsia"/>
          <w:color w:val="auto"/>
          <w:szCs w:val="21"/>
          <w:highlight w:val="none"/>
          <w:lang w:bidi="ar"/>
        </w:rPr>
        <w:t>）出现影响采购公正的违法、违规行为的；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3</w:t>
      </w:r>
      <w:r>
        <w:rPr>
          <w:rFonts w:asciiTheme="minorEastAsia" w:eastAsiaTheme="minorEastAsia" w:hAnsiTheme="minorEastAsia" w:hint="eastAsia"/>
          <w:color w:val="auto"/>
          <w:szCs w:val="21"/>
          <w:highlight w:val="none"/>
          <w:lang w:bidi="ar"/>
        </w:rPr>
        <w:t>）投标人的报价均超过了采购预算，采购人不能支付的；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color w:val="auto"/>
          <w:szCs w:val="21"/>
          <w:highlight w:val="none"/>
          <w:lang w:bidi="ar"/>
        </w:rPr>
        <w:t>4</w:t>
      </w:r>
      <w:r>
        <w:rPr>
          <w:rFonts w:asciiTheme="minorEastAsia" w:eastAsiaTheme="minorEastAsia" w:hAnsiTheme="minorEastAsia" w:hint="eastAsia"/>
          <w:color w:val="auto"/>
          <w:szCs w:val="21"/>
          <w:highlight w:val="none"/>
          <w:lang w:bidi="ar"/>
        </w:rPr>
        <w:t>）因重大变故，采购任务取消的。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22.2 </w:t>
      </w:r>
      <w:r>
        <w:rPr>
          <w:rFonts w:asciiTheme="minorEastAsia" w:eastAsiaTheme="minorEastAsia" w:hAnsiTheme="minorEastAsia" w:hint="eastAsia"/>
          <w:color w:val="auto"/>
          <w:szCs w:val="21"/>
          <w:highlight w:val="none"/>
          <w:lang w:bidi="ar"/>
        </w:rPr>
        <w:t>废标后，采购人将废标理由通知所有投标人。</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六、中标和合同</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hint="eastAsia"/>
          <w:b/>
          <w:color w:val="auto"/>
          <w:szCs w:val="21"/>
          <w:highlight w:val="none"/>
        </w:rPr>
        <w:t>23．中标信息公告</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23.1中标人确定之日起2个工作日内，采购人应将中标结果在</w:t>
      </w:r>
      <w:r>
        <w:rPr>
          <w:rFonts w:asciiTheme="minorEastAsia" w:eastAsiaTheme="minorEastAsia" w:hAnsiTheme="minorEastAsia" w:hint="eastAsia"/>
          <w:b/>
          <w:bCs/>
          <w:color w:val="auto"/>
          <w:szCs w:val="21"/>
          <w:highlight w:val="none"/>
        </w:rPr>
        <w:t>投标人须知前附表</w:t>
      </w:r>
      <w:r>
        <w:rPr>
          <w:rFonts w:asciiTheme="minorEastAsia" w:eastAsiaTheme="minorEastAsia" w:hAnsiTheme="minorEastAsia" w:hint="eastAsia"/>
          <w:color w:val="auto"/>
          <w:szCs w:val="21"/>
          <w:highlight w:val="none"/>
        </w:rPr>
        <w:t>中规定的公告媒体上公布。</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23.2 招标文件随中标结果同时公告。但中标结果公告前招标文件已公告的，不再重复公告。</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23.3 采购人应当自发布中标公告的同时，发出中标通知书，中标通知书对采购人和中标人具有同等法律效力。</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23.4 中标通知书发出后，采购人不得违法改变中标结果，中标人无正当理由不得放弃中标。</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24</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签订合同</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24.1 采购人应当自中标通知书发出之日起25日内，按照招标文件和中标人投标文件的规定，与中标人签订合同。线上采购项目可通过评审管理系统签订合同。</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24.2 所签订的合同不得对招标文件确定的事项和中标人投标文件作实质性修改。</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24.3 采购人不得向中标人提出任何不合理的要求作为签订合同的条件。</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24.4 中标人拒绝与采购人签订合同的，采购人可以按照评审报告推荐的中标候选人名单排序，确定下一候选人为中标人，也可以重新开展政府采购活动。</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25</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履约保证金</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25.1 </w:t>
      </w:r>
      <w:r>
        <w:rPr>
          <w:rFonts w:asciiTheme="minorEastAsia" w:eastAsiaTheme="minorEastAsia" w:hAnsiTheme="minorEastAsia" w:hint="eastAsia"/>
          <w:color w:val="auto"/>
          <w:szCs w:val="21"/>
          <w:highlight w:val="none"/>
          <w:lang w:bidi="ar"/>
        </w:rPr>
        <w:t>需提交履约保证金的项目，中标人应按照</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的规定，向采购人提交履约保证金。</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七、询问和质疑</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26. </w:t>
      </w:r>
      <w:r>
        <w:rPr>
          <w:rFonts w:asciiTheme="minorEastAsia" w:eastAsiaTheme="minorEastAsia" w:hAnsiTheme="minorEastAsia" w:hint="eastAsia"/>
          <w:b/>
          <w:color w:val="auto"/>
          <w:szCs w:val="21"/>
          <w:highlight w:val="none"/>
          <w:lang w:bidi="ar"/>
        </w:rPr>
        <w:t>询问</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26.1潜在投标人、投标人对政府采购活动事项有疑问的，可以向采购人提出询问，采购人应当在3个工作日内对依法提出的询问作出答复，但答复的内容不得涉及商业秘密。</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27</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质疑</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27.1 </w:t>
      </w:r>
      <w:r>
        <w:rPr>
          <w:rFonts w:asciiTheme="minorEastAsia" w:eastAsiaTheme="minorEastAsia" w:hAnsiTheme="minorEastAsia" w:hint="eastAsia"/>
          <w:color w:val="auto"/>
          <w:szCs w:val="21"/>
          <w:highlight w:val="none"/>
          <w:lang w:bidi="ar"/>
        </w:rPr>
        <w:t>供应商认为招标文件、招标过程和中标结果使自己的权益受到损害的，可以在知道或者应知其权益受到损害之日起</w:t>
      </w:r>
      <w:r>
        <w:rPr>
          <w:rFonts w:asciiTheme="minorEastAsia" w:eastAsiaTheme="minorEastAsia" w:hAnsiTheme="minorEastAsia"/>
          <w:color w:val="auto"/>
          <w:szCs w:val="21"/>
          <w:highlight w:val="none"/>
          <w:lang w:bidi="ar"/>
        </w:rPr>
        <w:t>7</w:t>
      </w:r>
      <w:r>
        <w:rPr>
          <w:rFonts w:asciiTheme="minorEastAsia" w:eastAsiaTheme="minorEastAsia" w:hAnsiTheme="minorEastAsia" w:hint="eastAsia"/>
          <w:color w:val="auto"/>
          <w:szCs w:val="21"/>
          <w:highlight w:val="none"/>
          <w:lang w:bidi="ar"/>
        </w:rPr>
        <w:t>个工作日内通过评审管理系统等书面形式向采购人提出质疑。联系部门、联系电话、通讯地址、电子邮箱见</w:t>
      </w:r>
      <w:r>
        <w:rPr>
          <w:rFonts w:asciiTheme="minorEastAsia" w:eastAsiaTheme="minorEastAsia" w:hAnsiTheme="minorEastAsia" w:hint="eastAsia"/>
          <w:b/>
          <w:color w:val="auto"/>
          <w:szCs w:val="21"/>
          <w:highlight w:val="none"/>
          <w:lang w:bidi="ar"/>
        </w:rPr>
        <w:t>投标人须知前附表</w:t>
      </w:r>
      <w:r>
        <w:rPr>
          <w:rFonts w:asciiTheme="minorEastAsia" w:eastAsiaTheme="minorEastAsia" w:hAnsiTheme="minorEastAsia" w:hint="eastAsia"/>
          <w:color w:val="auto"/>
          <w:szCs w:val="21"/>
          <w:highlight w:val="none"/>
          <w:lang w:bidi="ar"/>
        </w:rPr>
        <w:t>。在法定质疑期内，针对同一采购程序环节的质疑应一次性提出。</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27.2 </w:t>
      </w:r>
      <w:r>
        <w:rPr>
          <w:rFonts w:asciiTheme="minorEastAsia" w:eastAsiaTheme="minorEastAsia" w:hAnsiTheme="minorEastAsia" w:hint="eastAsia"/>
          <w:color w:val="auto"/>
          <w:szCs w:val="21"/>
          <w:highlight w:val="none"/>
          <w:lang w:bidi="ar"/>
        </w:rPr>
        <w:t>供应商提出质疑应当提交质疑函和必要的证明材料。供应商为自然人的，应当由本人签字；供应商为法人或者其他组织的，应当由法定代表人、主要负责人，或者其授权代表签字或者签章，并加盖公章。</w:t>
      </w:r>
    </w:p>
    <w:p>
      <w:pPr>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27.3 </w:t>
      </w:r>
      <w:r>
        <w:rPr>
          <w:rFonts w:asciiTheme="minorEastAsia" w:eastAsiaTheme="minorEastAsia" w:hAnsiTheme="minorEastAsia" w:hint="eastAsia"/>
          <w:color w:val="auto"/>
          <w:szCs w:val="21"/>
          <w:highlight w:val="none"/>
          <w:lang w:bidi="ar"/>
        </w:rPr>
        <w:t>采购人应当在收到供应商的质疑函后</w:t>
      </w:r>
      <w:r>
        <w:rPr>
          <w:rFonts w:asciiTheme="minorEastAsia" w:eastAsiaTheme="minorEastAsia" w:hAnsiTheme="minorEastAsia"/>
          <w:color w:val="auto"/>
          <w:szCs w:val="21"/>
          <w:highlight w:val="none"/>
          <w:lang w:bidi="ar"/>
        </w:rPr>
        <w:t>7</w:t>
      </w:r>
      <w:r>
        <w:rPr>
          <w:rFonts w:asciiTheme="minorEastAsia" w:eastAsiaTheme="minorEastAsia" w:hAnsiTheme="minorEastAsia" w:hint="eastAsia"/>
          <w:color w:val="auto"/>
          <w:szCs w:val="21"/>
          <w:highlight w:val="none"/>
          <w:lang w:bidi="ar"/>
        </w:rPr>
        <w:t>个工作日内，对质疑内容作出答复，并通过评审管理系统等书面形式通知质疑供应商和其他有关供应商，但答复内容不得涉及商业秘密。</w:t>
      </w:r>
    </w:p>
    <w:p>
      <w:pPr>
        <w:spacing w:line="360" w:lineRule="auto"/>
        <w:ind w:firstLine="420" w:firstLineChars="200"/>
        <w:rPr>
          <w:rFonts w:asciiTheme="minorEastAsia" w:eastAsiaTheme="minorEastAsia" w:hAnsiTheme="minorEastAsia"/>
          <w:color w:val="auto"/>
          <w:kern w:val="0"/>
          <w:szCs w:val="21"/>
          <w:highlight w:val="none"/>
        </w:rPr>
      </w:pPr>
      <w:r>
        <w:rPr>
          <w:rFonts w:asciiTheme="minorEastAsia" w:eastAsiaTheme="minorEastAsia" w:hAnsiTheme="minorEastAsia"/>
          <w:color w:val="auto"/>
          <w:szCs w:val="21"/>
          <w:highlight w:val="none"/>
          <w:lang w:bidi="ar"/>
        </w:rPr>
        <w:t xml:space="preserve">27.4 </w:t>
      </w:r>
      <w:r>
        <w:rPr>
          <w:rFonts w:asciiTheme="minorEastAsia" w:eastAsiaTheme="minorEastAsia" w:hAnsiTheme="minorEastAsia" w:hint="eastAsia"/>
          <w:color w:val="auto"/>
          <w:szCs w:val="21"/>
          <w:highlight w:val="none"/>
          <w:lang w:bidi="ar"/>
        </w:rPr>
        <w:t>质疑供应商对采购人的答复不满意或者采购人未在规定时间内作出答复的，可以在答复期满后</w:t>
      </w:r>
      <w:r>
        <w:rPr>
          <w:rFonts w:asciiTheme="minorEastAsia" w:eastAsiaTheme="minorEastAsia" w:hAnsiTheme="minorEastAsia"/>
          <w:color w:val="auto"/>
          <w:szCs w:val="21"/>
          <w:highlight w:val="none"/>
          <w:lang w:bidi="ar"/>
        </w:rPr>
        <w:t>15</w:t>
      </w:r>
      <w:r>
        <w:rPr>
          <w:rFonts w:asciiTheme="minorEastAsia" w:eastAsiaTheme="minorEastAsia" w:hAnsiTheme="minorEastAsia" w:hint="eastAsia"/>
          <w:color w:val="auto"/>
          <w:szCs w:val="21"/>
          <w:highlight w:val="none"/>
          <w:lang w:bidi="ar"/>
        </w:rPr>
        <w:t>个工作日内按有关规定，向同级人民政府财政部门投诉。</w:t>
      </w:r>
    </w:p>
    <w:p>
      <w:pPr>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lang w:bidi="ar"/>
        </w:rPr>
        <w:t>八、其他</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28</w:t>
      </w:r>
      <w:r>
        <w:rPr>
          <w:rFonts w:asciiTheme="minorEastAsia" w:eastAsiaTheme="minorEastAsia" w:hAnsiTheme="minorEastAsia" w:hint="eastAsia"/>
          <w:color w:val="auto"/>
          <w:szCs w:val="21"/>
          <w:highlight w:val="none"/>
          <w:lang w:bidi="ar"/>
        </w:rPr>
        <w:t>．</w:t>
      </w:r>
      <w:r>
        <w:rPr>
          <w:rFonts w:asciiTheme="minorEastAsia" w:eastAsiaTheme="minorEastAsia" w:hAnsiTheme="minorEastAsia" w:hint="eastAsia"/>
          <w:b/>
          <w:color w:val="auto"/>
          <w:szCs w:val="21"/>
          <w:highlight w:val="none"/>
          <w:lang w:bidi="ar"/>
        </w:rPr>
        <w:t>保密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28.1 </w:t>
      </w:r>
      <w:r>
        <w:rPr>
          <w:rFonts w:asciiTheme="minorEastAsia" w:eastAsiaTheme="minorEastAsia" w:hAnsiTheme="minorEastAsia" w:hint="eastAsia"/>
          <w:color w:val="auto"/>
          <w:szCs w:val="21"/>
          <w:highlight w:val="none"/>
          <w:lang w:bidi="ar"/>
        </w:rPr>
        <w:t>采购人应当采取必要措施，保证评标在严格保密的情况下进行。除采购人代表、评标现场组织人员外，采购人的其他工作人员以及与评标工作无关的人员不得进入评标现场。</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28.2 </w:t>
      </w:r>
      <w:r>
        <w:rPr>
          <w:rFonts w:asciiTheme="minorEastAsia" w:eastAsiaTheme="minorEastAsia" w:hAnsiTheme="minorEastAsia" w:hint="eastAsia"/>
          <w:color w:val="auto"/>
          <w:szCs w:val="21"/>
          <w:highlight w:val="none"/>
          <w:lang w:bidi="ar"/>
        </w:rPr>
        <w:t>评标委员会成员和参与评标工作的有关人员对评标情况以及在评标过程中获悉的国家秘密、商业秘密负有保密责任。</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bidi="ar"/>
        </w:rPr>
        <w:t xml:space="preserve">29. </w:t>
      </w:r>
      <w:r>
        <w:rPr>
          <w:rFonts w:asciiTheme="minorEastAsia" w:eastAsiaTheme="minorEastAsia" w:hAnsiTheme="minorEastAsia" w:hint="eastAsia"/>
          <w:b/>
          <w:color w:val="auto"/>
          <w:szCs w:val="21"/>
          <w:highlight w:val="none"/>
          <w:lang w:bidi="ar"/>
        </w:rPr>
        <w:t>知识产权与规避专利、版权纠纷</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29.1 </w:t>
      </w:r>
      <w:r>
        <w:rPr>
          <w:rFonts w:asciiTheme="minorEastAsia" w:eastAsiaTheme="minorEastAsia" w:hAnsiTheme="minorEastAsia" w:hint="eastAsia"/>
          <w:color w:val="auto"/>
          <w:szCs w:val="21"/>
          <w:highlight w:val="none"/>
          <w:lang w:bidi="ar"/>
        </w:rPr>
        <w:t>知识产权</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29.1.1 </w:t>
      </w:r>
      <w:r>
        <w:rPr>
          <w:rFonts w:asciiTheme="minorEastAsia" w:eastAsiaTheme="minorEastAsia" w:hAnsiTheme="minorEastAsia" w:hint="eastAsia"/>
          <w:color w:val="auto"/>
          <w:szCs w:val="21"/>
          <w:highlight w:val="none"/>
          <w:lang w:bidi="ar"/>
        </w:rPr>
        <w:t>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 </w:t>
      </w:r>
      <w:r>
        <w:rPr>
          <w:rFonts w:asciiTheme="minorEastAsia" w:eastAsiaTheme="minorEastAsia" w:hAnsiTheme="minorEastAsia" w:hint="eastAsia"/>
          <w:color w:val="auto"/>
          <w:szCs w:val="21"/>
          <w:highlight w:val="none"/>
          <w:lang w:bidi="ar"/>
        </w:rPr>
        <w:t>规避专利、版权纠纷</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29.2.1 </w:t>
      </w:r>
      <w:r>
        <w:rPr>
          <w:rFonts w:asciiTheme="minorEastAsia" w:eastAsiaTheme="minorEastAsia" w:hAnsiTheme="minorEastAsia" w:hint="eastAsia"/>
          <w:color w:val="auto"/>
          <w:szCs w:val="21"/>
          <w:highlight w:val="none"/>
          <w:lang w:bidi="ar"/>
        </w:rPr>
        <w:t>投标人应保证其投标方案中的有关软件、文件、图纸等没有违反有关专利和版权等知识产权的规定。</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29.2.2 </w:t>
      </w:r>
      <w:r>
        <w:rPr>
          <w:rFonts w:asciiTheme="minorEastAsia" w:eastAsiaTheme="minorEastAsia" w:hAnsiTheme="minorEastAsia" w:hint="eastAsia"/>
          <w:color w:val="auto"/>
          <w:szCs w:val="21"/>
          <w:highlight w:val="none"/>
          <w:lang w:bidi="ar"/>
        </w:rPr>
        <w:t>中标人应保证采购人在中华人民共和国使用本项目成果任何一部分、或接受乙方服务时，免受第三方提出的侵犯其专利权、商标权或工业设计权等知识产权的索赔或起诉。</w:t>
      </w:r>
    </w:p>
    <w:p>
      <w:pPr>
        <w:widowControl/>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lang w:bidi="ar"/>
        </w:rPr>
        <w:t xml:space="preserve">29.2.3 </w:t>
      </w:r>
      <w:r>
        <w:rPr>
          <w:rFonts w:asciiTheme="minorEastAsia" w:eastAsiaTheme="minorEastAsia" w:hAnsiTheme="minorEastAsia" w:hint="eastAsia"/>
          <w:color w:val="auto"/>
          <w:szCs w:val="21"/>
          <w:highlight w:val="none"/>
          <w:lang w:bidi="ar"/>
        </w:rPr>
        <w:t>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topLinePunct/>
        <w:autoSpaceDE w:val="0"/>
        <w:autoSpaceDN w:val="0"/>
        <w:spacing w:line="360" w:lineRule="auto"/>
        <w:ind w:firstLine="420" w:firstLineChars="200"/>
        <w:rPr>
          <w:rFonts w:ascii="Times New Roman" w:hAnsi="Times New Roman"/>
          <w:color w:val="auto"/>
          <w:szCs w:val="21"/>
          <w:highlight w:val="none"/>
        </w:rPr>
      </w:pPr>
      <w:r>
        <w:rPr>
          <w:rFonts w:asciiTheme="minorEastAsia" w:eastAsiaTheme="minorEastAsia" w:hAnsiTheme="minorEastAsia"/>
          <w:color w:val="auto"/>
          <w:szCs w:val="21"/>
          <w:highlight w:val="none"/>
          <w:lang w:bidi="ar"/>
        </w:rPr>
        <w:t xml:space="preserve">29.2.4 </w:t>
      </w:r>
      <w:r>
        <w:rPr>
          <w:rFonts w:asciiTheme="minorEastAsia" w:eastAsiaTheme="minorEastAsia" w:hAnsiTheme="minorEastAsia" w:hint="eastAsia"/>
          <w:color w:val="auto"/>
          <w:szCs w:val="21"/>
          <w:highlight w:val="none"/>
          <w:lang w:bidi="ar"/>
        </w:rPr>
        <w:t>如果采购人发现任何第三方在采购人未被许可的范围内非法使用采购人获得的知识产权，采购人应通知中标人。中标人应在收到采购人通知后</w:t>
      </w:r>
      <w:r>
        <w:rPr>
          <w:rFonts w:asciiTheme="minorEastAsia" w:eastAsiaTheme="minorEastAsia" w:hAnsiTheme="minorEastAsia"/>
          <w:color w:val="auto"/>
          <w:szCs w:val="21"/>
          <w:highlight w:val="none"/>
          <w:lang w:bidi="ar"/>
        </w:rPr>
        <w:t>14</w:t>
      </w:r>
      <w:r>
        <w:rPr>
          <w:rFonts w:asciiTheme="minorEastAsia" w:eastAsiaTheme="minorEastAsia" w:hAnsiTheme="minorEastAsia" w:hint="eastAsia"/>
          <w:color w:val="auto"/>
          <w:szCs w:val="21"/>
          <w:highlight w:val="none"/>
          <w:lang w:bidi="ar"/>
        </w:rPr>
        <w:t>天内采取行动制止非法使用行为，否则由中标人承担相应的责任。</w:t>
      </w:r>
    </w:p>
    <w:p>
      <w:pPr>
        <w:spacing w:line="360" w:lineRule="auto"/>
        <w:rPr>
          <w:rFonts w:ascii="Times New Roman" w:hAnsi="Times New Roman"/>
          <w:color w:val="auto"/>
          <w:szCs w:val="21"/>
          <w:highlight w:val="none"/>
        </w:rPr>
        <w:sectPr>
          <w:pgSz w:w="11906" w:h="16838"/>
          <w:pgMar w:top="1418" w:right="1418" w:bottom="1418" w:left="1418" w:header="851" w:footer="992" w:gutter="0"/>
          <w:cols w:num="1" w:space="720"/>
          <w:titlePg/>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第三章  评标方法及标准</w:t>
      </w:r>
    </w:p>
    <w:p>
      <w:pPr>
        <w:topLinePunct/>
        <w:autoSpaceDE w:val="0"/>
        <w:autoSpaceDN w:val="0"/>
        <w:spacing w:before="156" w:beforeLines="50"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w:t>
      </w:r>
      <w:r>
        <w:rPr>
          <w:rFonts w:ascii="Times New Roman" w:hAnsi="Times New Roman" w:hint="eastAsia"/>
          <w:b/>
          <w:color w:val="auto"/>
          <w:szCs w:val="21"/>
          <w:highlight w:val="none"/>
        </w:rPr>
        <w:t>评标方法</w:t>
      </w:r>
    </w:p>
    <w:p>
      <w:pPr>
        <w:widowControl/>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 </w:t>
      </w:r>
      <w:r>
        <w:rPr>
          <w:rFonts w:ascii="Times New Roman" w:hAnsi="Times New Roman" w:hint="eastAsia"/>
          <w:color w:val="auto"/>
          <w:szCs w:val="21"/>
          <w:highlight w:val="none"/>
        </w:rPr>
        <w:t>本项目评标方法：</w:t>
      </w:r>
      <w:r>
        <w:rPr>
          <w:rFonts w:ascii="Times New Roman" w:hAnsi="Times New Roman" w:hint="eastAsia"/>
          <w:b/>
          <w:color w:val="auto"/>
          <w:szCs w:val="21"/>
          <w:highlight w:val="none"/>
          <w:u w:val="single"/>
        </w:rPr>
        <w:t>采用综合评分法</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w:t>
      </w:r>
      <w:r>
        <w:rPr>
          <w:rFonts w:ascii="Times New Roman" w:hAnsi="Times New Roman" w:hint="eastAsia"/>
          <w:b/>
          <w:color w:val="auto"/>
          <w:szCs w:val="21"/>
          <w:highlight w:val="none"/>
        </w:rPr>
        <w:t>评标标准</w:t>
      </w:r>
    </w:p>
    <w:p>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 xml:space="preserve">2.1 </w:t>
      </w:r>
      <w:r>
        <w:rPr>
          <w:rFonts w:ascii="Times New Roman" w:hAnsi="Times New Roman" w:hint="eastAsia"/>
          <w:color w:val="auto"/>
          <w:kern w:val="0"/>
          <w:szCs w:val="21"/>
          <w:highlight w:val="none"/>
        </w:rPr>
        <w:t>本项目</w:t>
      </w:r>
      <w:r>
        <w:rPr>
          <w:rFonts w:ascii="Times New Roman" w:hAnsi="Times New Roman" w:hint="eastAsia"/>
          <w:b/>
          <w:color w:val="auto"/>
          <w:kern w:val="0"/>
          <w:szCs w:val="21"/>
          <w:highlight w:val="none"/>
          <w:u w:val="single"/>
        </w:rPr>
        <w:t>采用</w:t>
      </w:r>
      <w:r>
        <w:rPr>
          <w:rFonts w:ascii="Times New Roman" w:hAnsi="Times New Roman" w:hint="eastAsia"/>
          <w:b/>
          <w:color w:val="auto"/>
          <w:szCs w:val="21"/>
          <w:highlight w:val="none"/>
          <w:u w:val="single"/>
        </w:rPr>
        <w:t>百分制</w:t>
      </w:r>
      <w:r>
        <w:rPr>
          <w:rFonts w:ascii="Times New Roman" w:hAnsi="Times New Roman" w:hint="eastAsia"/>
          <w:b/>
          <w:color w:val="auto"/>
          <w:kern w:val="0"/>
          <w:szCs w:val="21"/>
          <w:highlight w:val="none"/>
          <w:u w:val="single"/>
        </w:rPr>
        <w:t>综合评分法</w:t>
      </w:r>
      <w:r>
        <w:rPr>
          <w:rFonts w:ascii="Times New Roman" w:hAnsi="Times New Roman" w:hint="eastAsia"/>
          <w:color w:val="auto"/>
          <w:kern w:val="0"/>
          <w:szCs w:val="21"/>
          <w:highlight w:val="none"/>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2.2 </w:t>
      </w:r>
      <w:r>
        <w:rPr>
          <w:rFonts w:ascii="Times New Roman" w:hAnsi="Times New Roman" w:hint="eastAsia"/>
          <w:color w:val="auto"/>
          <w:szCs w:val="21"/>
          <w:highlight w:val="none"/>
        </w:rPr>
        <w:t>本项目价格分值为</w:t>
      </w:r>
      <w:r>
        <w:rPr>
          <w:rFonts w:ascii="Times New Roman" w:hAnsi="Times New Roman" w:hint="eastAsia"/>
          <w:color w:val="auto"/>
          <w:szCs w:val="21"/>
          <w:highlight w:val="none"/>
          <w:u w:val="single"/>
        </w:rPr>
        <w:t>15</w:t>
      </w:r>
      <w:r>
        <w:rPr>
          <w:rFonts w:ascii="Times New Roman" w:hAnsi="Times New Roman" w:hint="eastAsia"/>
          <w:color w:val="auto"/>
          <w:szCs w:val="21"/>
          <w:highlight w:val="none"/>
        </w:rPr>
        <w:t>分，其余评审因素分值为</w:t>
      </w:r>
      <w:r>
        <w:rPr>
          <w:rFonts w:ascii="Times New Roman" w:hAnsi="Times New Roman" w:hint="eastAsia"/>
          <w:color w:val="auto"/>
          <w:szCs w:val="21"/>
          <w:highlight w:val="none"/>
          <w:u w:val="single"/>
        </w:rPr>
        <w:t>85</w:t>
      </w:r>
      <w:r>
        <w:rPr>
          <w:rFonts w:ascii="Times New Roman" w:hAnsi="Times New Roman" w:hint="eastAsia"/>
          <w:color w:val="auto"/>
          <w:szCs w:val="21"/>
          <w:highlight w:val="none"/>
        </w:rPr>
        <w:t>分，按四舍五入取至百分位。</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hint="eastAsia"/>
          <w:b/>
          <w:color w:val="auto"/>
          <w:szCs w:val="21"/>
          <w:highlight w:val="none"/>
        </w:rPr>
        <w:t>3</w:t>
      </w:r>
      <w:r>
        <w:rPr>
          <w:rFonts w:ascii="Times New Roman" w:hAnsi="Times New Roman"/>
          <w:b/>
          <w:color w:val="auto"/>
          <w:szCs w:val="21"/>
          <w:highlight w:val="none"/>
        </w:rPr>
        <w:t>.</w:t>
      </w:r>
      <w:r>
        <w:rPr>
          <w:rFonts w:ascii="Times New Roman" w:hAnsi="Times New Roman" w:hint="eastAsia"/>
          <w:b/>
          <w:color w:val="auto"/>
          <w:szCs w:val="21"/>
          <w:highlight w:val="none"/>
        </w:rPr>
        <w:t>评委构成：</w:t>
      </w:r>
    </w:p>
    <w:p>
      <w:pPr>
        <w:spacing w:line="360" w:lineRule="auto"/>
        <w:ind w:firstLine="420" w:firstLineChars="200"/>
        <w:rPr>
          <w:rFonts w:ascii="宋体" w:hAnsi="宋体" w:cs="宋体"/>
          <w:color w:val="auto"/>
          <w:szCs w:val="21"/>
          <w:highlight w:val="none"/>
        </w:rPr>
      </w:pPr>
      <w:r>
        <w:rPr>
          <w:rFonts w:ascii="Times New Roman" w:hAnsi="Times New Roman" w:hint="eastAsia"/>
          <w:color w:val="auto"/>
          <w:szCs w:val="21"/>
          <w:highlight w:val="none"/>
        </w:rPr>
        <w:t>本项目评标委员会由采购人代表和评审专家组成，成员人数为5人单数，其中评审专家不得少于成员总数的三分之二。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本办法所称的“以上”“以下”“内”“以内”，包括本数；所称的“不足”，不包括本数。</w:t>
      </w:r>
    </w:p>
    <w:p>
      <w:pPr>
        <w:topLinePunct/>
        <w:autoSpaceDE w:val="0"/>
        <w:autoSpaceDN w:val="0"/>
        <w:spacing w:line="360" w:lineRule="auto"/>
        <w:ind w:firstLine="420" w:firstLineChars="200"/>
        <w:rPr>
          <w:rFonts w:ascii="Times New Roman" w:hAnsi="Times New Roman" w:hint="eastAsia"/>
          <w:color w:val="auto"/>
          <w:szCs w:val="21"/>
          <w:highlight w:val="none"/>
        </w:rPr>
      </w:pPr>
      <w:r>
        <w:rPr>
          <w:rFonts w:ascii="Times New Roman" w:hAnsi="Times New Roman" w:hint="eastAsia"/>
          <w:color w:val="auto"/>
          <w:szCs w:val="21"/>
          <w:highlight w:val="none"/>
        </w:rPr>
        <w:t>评审标准如下表：</w:t>
      </w:r>
    </w:p>
    <w:tbl>
      <w:tblPr>
        <w:tblStyle w:val="TableNormal"/>
        <w:tblW w:w="90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452"/>
        <w:gridCol w:w="1071"/>
        <w:gridCol w:w="1071"/>
        <w:gridCol w:w="5599"/>
        <w:gridCol w:w="833"/>
      </w:tblGrid>
      <w:tr>
        <w:tblPrEx>
          <w:tblW w:w="90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jc w:val="center"/>
        </w:trPr>
        <w:tc>
          <w:tcPr>
            <w:tcW w:w="454" w:type="dxa"/>
            <w:tcBorders>
              <w:top w:val="single" w:sz="4" w:space="0" w:color="auto"/>
              <w:left w:val="single" w:sz="4" w:space="0" w:color="auto"/>
              <w:bottom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序号</w:t>
            </w:r>
          </w:p>
        </w:tc>
        <w:tc>
          <w:tcPr>
            <w:tcW w:w="1077" w:type="dxa"/>
            <w:tcBorders>
              <w:top w:val="single" w:sz="4" w:space="0" w:color="auto"/>
              <w:left w:val="single" w:sz="4" w:space="0" w:color="auto"/>
              <w:bottom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评审</w:t>
            </w:r>
          </w:p>
          <w:p>
            <w:pPr>
              <w:widowControl/>
              <w:overflowPunct w:val="0"/>
              <w:autoSpaceDE w:val="0"/>
              <w:autoSpaceDN w:val="0"/>
              <w:adjustRightInd w:val="0"/>
              <w:spacing w:line="380" w:lineRule="exact"/>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因素</w:t>
            </w:r>
          </w:p>
        </w:tc>
        <w:tc>
          <w:tcPr>
            <w:tcW w:w="1077" w:type="dxa"/>
            <w:tcBorders>
              <w:top w:val="single" w:sz="4" w:space="0" w:color="auto"/>
              <w:left w:val="single" w:sz="4" w:space="0" w:color="auto"/>
              <w:bottom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主要</w:t>
            </w:r>
          </w:p>
          <w:p>
            <w:pPr>
              <w:widowControl/>
              <w:overflowPunct w:val="0"/>
              <w:autoSpaceDE w:val="0"/>
              <w:autoSpaceDN w:val="0"/>
              <w:adjustRightInd w:val="0"/>
              <w:spacing w:line="380" w:lineRule="exact"/>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内容</w:t>
            </w:r>
          </w:p>
        </w:tc>
        <w:tc>
          <w:tcPr>
            <w:tcW w:w="5641" w:type="dxa"/>
            <w:tcBorders>
              <w:top w:val="single" w:sz="4" w:space="0" w:color="auto"/>
              <w:left w:val="single" w:sz="4" w:space="0" w:color="auto"/>
              <w:bottom w:val="single" w:sz="4" w:space="0" w:color="auto"/>
              <w:right w:val="single" w:sz="4" w:space="0" w:color="auto"/>
            </w:tcBorders>
            <w:noWrap/>
            <w:vAlign w:val="center"/>
          </w:tcPr>
          <w:p>
            <w:pPr>
              <w:widowControl/>
              <w:overflowPunct w:val="0"/>
              <w:autoSpaceDE w:val="0"/>
              <w:autoSpaceDN w:val="0"/>
              <w:adjustRightInd w:val="0"/>
              <w:spacing w:line="380" w:lineRule="exact"/>
              <w:ind w:left="-250" w:leftChars="-119"/>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指标要求</w:t>
            </w:r>
          </w:p>
        </w:tc>
        <w:tc>
          <w:tcPr>
            <w:tcW w:w="838" w:type="dxa"/>
            <w:tcBorders>
              <w:top w:val="single" w:sz="4" w:space="0" w:color="auto"/>
              <w:left w:val="single" w:sz="4" w:space="0" w:color="auto"/>
              <w:bottom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细项</w:t>
            </w:r>
          </w:p>
          <w:p>
            <w:pPr>
              <w:widowControl/>
              <w:overflowPunct w:val="0"/>
              <w:autoSpaceDE w:val="0"/>
              <w:autoSpaceDN w:val="0"/>
              <w:adjustRightInd w:val="0"/>
              <w:spacing w:line="380" w:lineRule="exact"/>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分值</w:t>
            </w:r>
          </w:p>
        </w:tc>
      </w:tr>
      <w:tr>
        <w:tblPrEx>
          <w:tblW w:w="9026" w:type="dxa"/>
          <w:jc w:val="center"/>
          <w:tblLayout w:type="fixed"/>
          <w:tblCellMar>
            <w:top w:w="0" w:type="dxa"/>
            <w:left w:w="108" w:type="dxa"/>
            <w:bottom w:w="0" w:type="dxa"/>
            <w:right w:w="108" w:type="dxa"/>
          </w:tblCellMar>
        </w:tblPrEx>
        <w:trPr>
          <w:jc w:val="center"/>
        </w:trPr>
        <w:tc>
          <w:tcPr>
            <w:tcW w:w="454" w:type="dxa"/>
            <w:tcBorders>
              <w:top w:val="single" w:sz="4" w:space="0" w:color="auto"/>
              <w:left w:val="single" w:sz="4" w:space="0" w:color="auto"/>
              <w:bottom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1</w:t>
            </w:r>
          </w:p>
        </w:tc>
        <w:tc>
          <w:tcPr>
            <w:tcW w:w="10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投标</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报价</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bCs/>
                <w:color w:val="auto"/>
                <w:sz w:val="21"/>
                <w:szCs w:val="21"/>
                <w:highlight w:val="none"/>
                <w:lang w:val="zh-CN"/>
              </w:rPr>
              <w:t>(</w:t>
            </w:r>
            <w:r>
              <w:rPr>
                <w:rFonts w:ascii="宋体" w:eastAsia="宋体" w:hAnsi="宋体" w:cs="宋体" w:hint="eastAsia"/>
                <w:bCs/>
                <w:color w:val="auto"/>
                <w:sz w:val="21"/>
                <w:szCs w:val="21"/>
                <w:highlight w:val="none"/>
              </w:rPr>
              <w:t>15分)</w:t>
            </w:r>
          </w:p>
        </w:tc>
        <w:tc>
          <w:tcPr>
            <w:tcW w:w="10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价格</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w:t>
            </w:r>
            <w:r>
              <w:rPr>
                <w:rFonts w:ascii="宋体" w:eastAsia="宋体" w:hAnsi="宋体" w:cs="宋体" w:hint="eastAsia"/>
                <w:color w:val="auto"/>
                <w:sz w:val="21"/>
                <w:szCs w:val="21"/>
                <w:highlight w:val="none"/>
              </w:rPr>
              <w:t>15分)</w:t>
            </w:r>
          </w:p>
        </w:tc>
        <w:tc>
          <w:tcPr>
            <w:tcW w:w="5641" w:type="dxa"/>
            <w:tcBorders>
              <w:top w:val="single" w:sz="4" w:space="0" w:color="auto"/>
              <w:left w:val="single" w:sz="4" w:space="0" w:color="auto"/>
              <w:bottom w:val="single" w:sz="4" w:space="0" w:color="auto"/>
              <w:right w:val="single" w:sz="4" w:space="0" w:color="auto"/>
            </w:tcBorders>
            <w:noWrap/>
            <w:vAlign w:val="center"/>
          </w:tcPr>
          <w:p>
            <w:pPr>
              <w:pStyle w:val="null3"/>
              <w:keepNext w:val="0"/>
              <w:keepLines w:val="0"/>
              <w:pageBreakBefore w:val="0"/>
              <w:widowControl/>
              <w:kinsoku/>
              <w:wordWrap/>
              <w:topLinePunct w:val="0"/>
              <w:bidi w:val="0"/>
              <w:snapToGrid/>
              <w:spacing w:line="380" w:lineRule="exact"/>
              <w:ind w:firstLine="42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投标报价得分=（评标基准价／投标报价）×满分值</w:t>
            </w:r>
          </w:p>
          <w:p>
            <w:pPr>
              <w:pStyle w:val="null3"/>
              <w:keepNext w:val="0"/>
              <w:keepLines w:val="0"/>
              <w:pageBreakBefore w:val="0"/>
              <w:widowControl/>
              <w:kinsoku/>
              <w:wordWrap/>
              <w:topLinePunct w:val="0"/>
              <w:bidi w:val="0"/>
              <w:snapToGrid/>
              <w:spacing w:line="380" w:lineRule="exact"/>
              <w:ind w:firstLine="42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（1）评标基准价是指满足招标文件要求且投标价格最低的投标报价。</w:t>
            </w:r>
          </w:p>
          <w:p>
            <w:pPr>
              <w:pStyle w:val="null3"/>
              <w:keepNext w:val="0"/>
              <w:keepLines w:val="0"/>
              <w:pageBreakBefore w:val="0"/>
              <w:widowControl/>
              <w:kinsoku/>
              <w:wordWrap/>
              <w:topLinePunct w:val="0"/>
              <w:bidi w:val="0"/>
              <w:snapToGrid/>
              <w:spacing w:line="380" w:lineRule="exact"/>
              <w:ind w:firstLine="42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（2）因落实政府采购政策进行价格调整的，以调整后的价格计算评标基准价和投标报价。</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b/>
                <w:color w:val="auto"/>
                <w:sz w:val="21"/>
                <w:szCs w:val="21"/>
                <w:highlight w:val="none"/>
                <w:lang w:val="zh-CN"/>
              </w:rPr>
            </w:pPr>
            <w:r>
              <w:rPr>
                <w:rFonts w:ascii="宋体" w:eastAsia="宋体" w:hAnsi="宋体" w:cs="宋体" w:hint="eastAsia"/>
                <w:color w:val="auto"/>
                <w:sz w:val="21"/>
                <w:szCs w:val="21"/>
                <w:highlight w:val="none"/>
              </w:rPr>
              <w:t>（3）调整后的价格只是作为评标时使用，最终中标人的中标金额＝投标报价。</w:t>
            </w:r>
          </w:p>
        </w:tc>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15分</w:t>
            </w:r>
          </w:p>
        </w:tc>
      </w:tr>
      <w:tr>
        <w:tblPrEx>
          <w:tblW w:w="9026" w:type="dxa"/>
          <w:jc w:val="center"/>
          <w:tblLayout w:type="fixed"/>
          <w:tblCellMar>
            <w:top w:w="0" w:type="dxa"/>
            <w:left w:w="108" w:type="dxa"/>
            <w:bottom w:w="0" w:type="dxa"/>
            <w:right w:w="108" w:type="dxa"/>
          </w:tblCellMar>
        </w:tblPrEx>
        <w:trPr>
          <w:jc w:val="center"/>
        </w:trPr>
        <w:tc>
          <w:tcPr>
            <w:tcW w:w="454" w:type="dxa"/>
            <w:vMerge w:val="restart"/>
            <w:tcBorders>
              <w:top w:val="single" w:sz="4" w:space="0" w:color="auto"/>
              <w:left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val="0"/>
                <w:bCs w:val="0"/>
                <w:color w:val="auto"/>
                <w:kern w:val="0"/>
                <w:sz w:val="21"/>
                <w:szCs w:val="21"/>
                <w:highlight w:val="none"/>
              </w:rPr>
              <w:t>2</w:t>
            </w:r>
          </w:p>
        </w:tc>
        <w:tc>
          <w:tcPr>
            <w:tcW w:w="1077"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技术</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zh-CN"/>
              </w:rPr>
              <w:t>因素</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w:t>
            </w:r>
            <w:r>
              <w:rPr>
                <w:rFonts w:ascii="宋体" w:eastAsia="宋体" w:hAnsi="宋体" w:cs="宋体" w:hint="eastAsia"/>
                <w:color w:val="auto"/>
                <w:sz w:val="21"/>
                <w:szCs w:val="21"/>
                <w:highlight w:val="none"/>
              </w:rPr>
              <w:t>30分</w:t>
            </w:r>
            <w:r>
              <w:rPr>
                <w:rFonts w:ascii="宋体" w:eastAsia="宋体" w:hAnsi="宋体" w:cs="宋体" w:hint="eastAsia"/>
                <w:color w:val="auto"/>
                <w:sz w:val="21"/>
                <w:szCs w:val="21"/>
                <w:highlight w:val="none"/>
                <w:lang w:val="en-US" w:eastAsia="zh-CN"/>
              </w:rPr>
              <w:t>)</w:t>
            </w:r>
          </w:p>
        </w:tc>
        <w:tc>
          <w:tcPr>
            <w:tcW w:w="10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综合</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服务及</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会议</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服务</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方案</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c>
          <w:tcPr>
            <w:tcW w:w="564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b/>
                <w:color w:val="auto"/>
                <w:sz w:val="21"/>
                <w:szCs w:val="21"/>
                <w:highlight w:val="none"/>
              </w:rPr>
            </w:pPr>
            <w:r>
              <w:rPr>
                <w:rFonts w:ascii="宋体" w:eastAsia="宋体" w:hAnsi="宋体" w:cs="宋体" w:hint="eastAsia"/>
                <w:b/>
                <w:color w:val="auto"/>
                <w:sz w:val="21"/>
                <w:szCs w:val="21"/>
                <w:highlight w:val="none"/>
              </w:rPr>
              <w:t>由评标委员会对投标人提供的综合服务及会议服务方案内容进行评价。以下各项不重复计分：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①投标人的综合服务及会议服务方案能完全响应项目采购需求的服务内容要求前提下，根据服务要求制订具体的综合及会议服务措施，得2分；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②在本项①项的基础上，能根据项目采购需求的综合服务及会议服务要求制订有针对性的、具体的服务流程、服务计划，得4分；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③在本项②项的基础上，针对综合服务及会议服务要求制订有内部管理架构；综合服务及会议服务相关的管理制度齐全；岗位责任和岗位培训方案完善；承诺：</w:t>
            </w:r>
            <w:r>
              <w:rPr>
                <w:rFonts w:ascii="宋体" w:eastAsia="宋体" w:hAnsi="宋体" w:cs="宋体" w:hint="eastAsia"/>
                <w:snapToGrid w:val="0"/>
                <w:color w:val="auto"/>
                <w:spacing w:val="8"/>
                <w:kern w:val="0"/>
                <w:sz w:val="21"/>
                <w:szCs w:val="21"/>
                <w:highlight w:val="none"/>
              </w:rPr>
              <w:t>每季进行两次专职会务员业务培训</w:t>
            </w:r>
            <w:r>
              <w:rPr>
                <w:rFonts w:ascii="宋体" w:eastAsia="宋体" w:hAnsi="宋体" w:cs="宋体" w:hint="eastAsia"/>
                <w:color w:val="auto"/>
                <w:sz w:val="21"/>
                <w:szCs w:val="21"/>
                <w:highlight w:val="none"/>
              </w:rPr>
              <w:t>，</w:t>
            </w:r>
            <w:r>
              <w:rPr>
                <w:rFonts w:ascii="宋体" w:eastAsia="宋体" w:hAnsi="宋体" w:cs="宋体" w:hint="eastAsia"/>
                <w:snapToGrid w:val="0"/>
                <w:color w:val="auto"/>
                <w:spacing w:val="11"/>
                <w:kern w:val="0"/>
                <w:sz w:val="21"/>
                <w:szCs w:val="21"/>
                <w:highlight w:val="none"/>
              </w:rPr>
              <w:t>每季</w:t>
            </w:r>
            <w:r>
              <w:rPr>
                <w:rFonts w:ascii="宋体" w:eastAsia="宋体" w:hAnsi="宋体" w:cs="宋体" w:hint="eastAsia"/>
                <w:snapToGrid w:val="0"/>
                <w:color w:val="auto"/>
                <w:spacing w:val="10"/>
                <w:kern w:val="0"/>
                <w:sz w:val="21"/>
                <w:szCs w:val="21"/>
                <w:highlight w:val="none"/>
              </w:rPr>
              <w:t>度进行两次向客户采用走</w:t>
            </w:r>
            <w:r>
              <w:rPr>
                <w:rFonts w:ascii="宋体" w:eastAsia="宋体" w:hAnsi="宋体" w:cs="宋体" w:hint="eastAsia"/>
                <w:snapToGrid w:val="0"/>
                <w:color w:val="auto"/>
                <w:spacing w:val="11"/>
                <w:kern w:val="0"/>
                <w:sz w:val="21"/>
                <w:szCs w:val="21"/>
                <w:highlight w:val="none"/>
              </w:rPr>
              <w:t>访、问卷调查等形式，开展物业管理服务满意度调查</w:t>
            </w:r>
            <w:r>
              <w:rPr>
                <w:rFonts w:ascii="宋体" w:eastAsia="宋体" w:hAnsi="宋体" w:cs="宋体" w:hint="eastAsia"/>
                <w:color w:val="auto"/>
                <w:sz w:val="21"/>
                <w:szCs w:val="21"/>
                <w:highlight w:val="none"/>
              </w:rPr>
              <w:t>，得6分。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lang w:val="zh-CN"/>
              </w:rPr>
            </w:pPr>
            <w:r>
              <w:rPr>
                <w:rFonts w:ascii="宋体" w:eastAsia="宋体" w:hAnsi="宋体" w:cs="宋体" w:hint="eastAsia"/>
                <w:b/>
                <w:color w:val="auto"/>
                <w:sz w:val="21"/>
                <w:szCs w:val="21"/>
                <w:highlight w:val="none"/>
                <w:lang w:val="zh-CN"/>
              </w:rPr>
              <w:t>注：未提供综合服务及会议服务方案或综合服务及会议服务方案未达到①标准要求的，得0分。</w:t>
            </w:r>
          </w:p>
        </w:tc>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454" w:type="dxa"/>
            <w:vMerge/>
            <w:tcBorders>
              <w:top w:val="single" w:sz="4" w:space="0" w:color="auto"/>
              <w:left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b/>
                <w:bCs/>
                <w:color w:val="auto"/>
                <w:kern w:val="0"/>
                <w:sz w:val="21"/>
                <w:szCs w:val="21"/>
                <w:highlight w:val="none"/>
              </w:rPr>
            </w:pPr>
          </w:p>
        </w:tc>
        <w:tc>
          <w:tcPr>
            <w:tcW w:w="1077" w:type="dxa"/>
            <w:vMerge/>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left"/>
              <w:textAlignment w:val="baseline"/>
              <w:rPr>
                <w:rFonts w:ascii="宋体" w:eastAsia="宋体" w:hAnsi="宋体" w:cs="宋体" w:hint="eastAsia"/>
                <w:color w:val="auto"/>
                <w:sz w:val="21"/>
                <w:szCs w:val="21"/>
                <w:highlight w:val="none"/>
                <w:lang w:val="zh-CN"/>
              </w:rPr>
            </w:pPr>
          </w:p>
        </w:tc>
        <w:tc>
          <w:tcPr>
            <w:tcW w:w="10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房屋</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日常</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snapToGrid w:val="0"/>
                <w:color w:val="auto"/>
                <w:spacing w:val="8"/>
                <w:kern w:val="0"/>
                <w:sz w:val="21"/>
                <w:szCs w:val="21"/>
                <w:highlight w:val="none"/>
              </w:rPr>
            </w:pPr>
            <w:r>
              <w:rPr>
                <w:rFonts w:ascii="宋体" w:eastAsia="宋体" w:hAnsi="宋体" w:cs="宋体" w:hint="eastAsia"/>
                <w:color w:val="auto"/>
                <w:sz w:val="21"/>
                <w:szCs w:val="21"/>
                <w:highlight w:val="none"/>
                <w:lang w:val="zh-CN"/>
              </w:rPr>
              <w:t>养护及</w:t>
            </w:r>
            <w:r>
              <w:rPr>
                <w:rFonts w:ascii="宋体" w:eastAsia="宋体" w:hAnsi="宋体" w:cs="宋体" w:hint="eastAsia"/>
                <w:snapToGrid w:val="0"/>
                <w:color w:val="auto"/>
                <w:spacing w:val="8"/>
                <w:kern w:val="0"/>
                <w:sz w:val="21"/>
                <w:szCs w:val="21"/>
                <w:highlight w:val="none"/>
              </w:rPr>
              <w:t>公共设施设备日常清洁养</w:t>
            </w:r>
            <w:r>
              <w:rPr>
                <w:rFonts w:ascii="宋体" w:eastAsia="宋体" w:hAnsi="宋体" w:cs="宋体" w:hint="eastAsia"/>
                <w:snapToGrid w:val="0"/>
                <w:color w:val="auto"/>
                <w:spacing w:val="8"/>
                <w:kern w:val="0"/>
                <w:sz w:val="21"/>
                <w:szCs w:val="21"/>
                <w:highlight w:val="none"/>
                <w:lang w:eastAsia="zh-CN"/>
              </w:rPr>
              <w:t>护</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snapToGrid w:val="0"/>
                <w:color w:val="auto"/>
                <w:spacing w:val="8"/>
                <w:kern w:val="0"/>
                <w:sz w:val="21"/>
                <w:szCs w:val="21"/>
                <w:highlight w:val="none"/>
              </w:rPr>
              <w:t>管理</w:t>
            </w:r>
            <w:r>
              <w:rPr>
                <w:rFonts w:ascii="宋体" w:eastAsia="宋体" w:hAnsi="宋体" w:cs="宋体" w:hint="eastAsia"/>
                <w:color w:val="auto"/>
                <w:sz w:val="21"/>
                <w:szCs w:val="21"/>
                <w:highlight w:val="none"/>
                <w:lang w:val="zh-CN"/>
              </w:rPr>
              <w:t>方案</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c>
          <w:tcPr>
            <w:tcW w:w="564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snapToGrid/>
              <w:spacing w:line="380" w:lineRule="exact"/>
              <w:ind w:firstLine="420" w:firstLineChars="200"/>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由评标委员会对投标人提供的房屋的日常养护及公共设施设备的日常清洁、养护及管理方案【包括公共的上下水管道、落水管；公共照明；楼内消防系统；供配电系统；中央空调；充电桩；二次加压供水系统；设备机房；监控及安防系统；电梯系统等】内容进行评价。以下各项不重复计分：</w:t>
            </w:r>
          </w:p>
          <w:p>
            <w:pPr>
              <w:keepNext w:val="0"/>
              <w:keepLines w:val="0"/>
              <w:pageBreakBefore w:val="0"/>
              <w:widowControl/>
              <w:kinsoku/>
              <w:wordWrap/>
              <w:overflowPunct w:val="0"/>
              <w:topLinePunct w:val="0"/>
              <w:autoSpaceDE w:val="0"/>
              <w:autoSpaceDN w:val="0"/>
              <w:bidi w:val="0"/>
              <w:adjustRightInd/>
              <w:snapToGrid/>
              <w:spacing w:line="372"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①投标人的日常养护及公共设施设备的日常清洁方案【包括</w:t>
            </w:r>
            <w:r>
              <w:rPr>
                <w:rFonts w:ascii="宋体" w:eastAsia="宋体" w:hAnsi="宋体" w:cs="宋体" w:hint="eastAsia"/>
                <w:snapToGrid w:val="0"/>
                <w:color w:val="auto"/>
                <w:spacing w:val="8"/>
                <w:kern w:val="0"/>
                <w:sz w:val="21"/>
                <w:szCs w:val="21"/>
                <w:highlight w:val="none"/>
              </w:rPr>
              <w:t>公共的上下水管道、落水管；公</w:t>
            </w:r>
            <w:r>
              <w:rPr>
                <w:rFonts w:ascii="宋体" w:eastAsia="宋体" w:hAnsi="宋体" w:cs="宋体" w:hint="eastAsia"/>
                <w:snapToGrid w:val="0"/>
                <w:color w:val="auto"/>
                <w:spacing w:val="10"/>
                <w:kern w:val="0"/>
                <w:sz w:val="21"/>
                <w:szCs w:val="21"/>
                <w:highlight w:val="none"/>
              </w:rPr>
              <w:t>共照明；楼内消防系统；供配电系统；中央空调；充电桩；二次加压供水系统；</w:t>
            </w:r>
            <w:r>
              <w:rPr>
                <w:rFonts w:ascii="宋体" w:eastAsia="宋体" w:hAnsi="宋体" w:cs="宋体" w:hint="eastAsia"/>
                <w:snapToGrid w:val="0"/>
                <w:color w:val="auto"/>
                <w:spacing w:val="9"/>
                <w:kern w:val="0"/>
                <w:sz w:val="21"/>
                <w:szCs w:val="21"/>
                <w:highlight w:val="none"/>
              </w:rPr>
              <w:t>设备机房；监控及</w:t>
            </w:r>
            <w:r>
              <w:rPr>
                <w:rFonts w:ascii="宋体" w:eastAsia="宋体" w:hAnsi="宋体" w:cs="宋体" w:hint="eastAsia"/>
                <w:snapToGrid w:val="0"/>
                <w:color w:val="auto"/>
                <w:spacing w:val="10"/>
                <w:kern w:val="0"/>
                <w:sz w:val="21"/>
                <w:szCs w:val="21"/>
                <w:highlight w:val="none"/>
              </w:rPr>
              <w:t>安防系统；电梯系统等</w:t>
            </w:r>
            <w:r>
              <w:rPr>
                <w:rFonts w:ascii="宋体" w:eastAsia="宋体" w:hAnsi="宋体" w:cs="宋体" w:hint="eastAsia"/>
                <w:color w:val="auto"/>
                <w:sz w:val="21"/>
                <w:szCs w:val="21"/>
                <w:highlight w:val="none"/>
                <w:lang w:val="zh-CN"/>
              </w:rPr>
              <w:t>】能完全响应项目采购需求的服务内容要求前提下，根据服务要求制订具体的服务措施，得2分；</w:t>
            </w:r>
          </w:p>
          <w:p>
            <w:pPr>
              <w:keepNext w:val="0"/>
              <w:keepLines w:val="0"/>
              <w:pageBreakBefore w:val="0"/>
              <w:widowControl/>
              <w:kinsoku/>
              <w:wordWrap/>
              <w:overflowPunct w:val="0"/>
              <w:topLinePunct w:val="0"/>
              <w:autoSpaceDE w:val="0"/>
              <w:autoSpaceDN w:val="0"/>
              <w:bidi w:val="0"/>
              <w:adjustRightInd/>
              <w:snapToGrid/>
              <w:spacing w:line="372"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②在本项第①项的基础上，制订有具体的巡检、维护、维修计划、服务流程；房屋及公共设备设施的巡检、维护、维修记录台账（表单）齐全；设备设施维护、消防等培训计划及培训方案完善，得4分；</w:t>
            </w:r>
          </w:p>
          <w:p>
            <w:pPr>
              <w:keepNext w:val="0"/>
              <w:keepLines w:val="0"/>
              <w:pageBreakBefore w:val="0"/>
              <w:widowControl/>
              <w:kinsoku/>
              <w:wordWrap/>
              <w:overflowPunct w:val="0"/>
              <w:topLinePunct w:val="0"/>
              <w:autoSpaceDE w:val="0"/>
              <w:autoSpaceDN w:val="0"/>
              <w:bidi w:val="0"/>
              <w:adjustRightInd/>
              <w:snapToGrid/>
              <w:spacing w:line="370"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项的基础上，针对日常养护及公共设施设备的日常清洁内容提出服务的重点难点，并能提供解决措施；具有节能节水节电的管理经验，能针对采购人主要耗能对象提出有建设性、切实可行的节能节水节电方案建议，</w:t>
            </w:r>
            <w:r>
              <w:rPr>
                <w:rFonts w:ascii="宋体" w:eastAsia="宋体" w:hAnsi="宋体" w:cs="宋体" w:hint="eastAsia"/>
                <w:snapToGrid w:val="0"/>
                <w:color w:val="auto"/>
                <w:spacing w:val="9"/>
                <w:kern w:val="0"/>
                <w:sz w:val="21"/>
                <w:szCs w:val="21"/>
                <w:highlight w:val="none"/>
              </w:rPr>
              <w:t>每年不少于三次对生活水池进行检验及清洗的，</w:t>
            </w:r>
            <w:r>
              <w:rPr>
                <w:rFonts w:ascii="宋体" w:eastAsia="宋体" w:hAnsi="宋体" w:cs="宋体" w:hint="eastAsia"/>
                <w:color w:val="auto"/>
                <w:sz w:val="21"/>
                <w:szCs w:val="21"/>
                <w:highlight w:val="none"/>
                <w:lang w:val="zh-CN"/>
              </w:rPr>
              <w:t>得6分。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b/>
                <w:color w:val="auto"/>
                <w:sz w:val="21"/>
                <w:szCs w:val="21"/>
                <w:highlight w:val="none"/>
                <w:lang w:val="zh-CN"/>
              </w:rPr>
              <w:t>注：投标人未提</w:t>
            </w:r>
            <w:r>
              <w:rPr>
                <w:rFonts w:ascii="宋体" w:eastAsia="宋体" w:hAnsi="宋体" w:cs="宋体" w:hint="eastAsia"/>
                <w:b/>
                <w:color w:val="auto"/>
                <w:sz w:val="21"/>
                <w:szCs w:val="21"/>
                <w:highlight w:val="none"/>
              </w:rPr>
              <w:t>供</w:t>
            </w:r>
            <w:r>
              <w:rPr>
                <w:rFonts w:ascii="宋体" w:eastAsia="宋体" w:hAnsi="宋体" w:cs="宋体" w:hint="eastAsia"/>
                <w:b/>
                <w:color w:val="auto"/>
                <w:sz w:val="21"/>
                <w:szCs w:val="21"/>
                <w:highlight w:val="none"/>
                <w:lang w:val="zh-CN"/>
              </w:rPr>
              <w:t>房屋的日常养护及公共设施设备的日常清洁、养护及管理方案或房屋的日常养护及公共设施设备的日常清洁、养护及管理方案未达到①标准要求的，得0分。</w:t>
            </w:r>
          </w:p>
        </w:tc>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454" w:type="dxa"/>
            <w:vMerge/>
            <w:tcBorders>
              <w:top w:val="single" w:sz="4" w:space="0" w:color="auto"/>
              <w:left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b/>
                <w:bCs/>
                <w:color w:val="auto"/>
                <w:kern w:val="0"/>
                <w:sz w:val="21"/>
                <w:szCs w:val="21"/>
                <w:highlight w:val="none"/>
              </w:rPr>
            </w:pPr>
          </w:p>
        </w:tc>
        <w:tc>
          <w:tcPr>
            <w:tcW w:w="1077" w:type="dxa"/>
            <w:vMerge/>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left"/>
              <w:textAlignment w:val="baseline"/>
              <w:rPr>
                <w:rFonts w:ascii="宋体" w:eastAsia="宋体" w:hAnsi="宋体" w:cs="宋体" w:hint="eastAsia"/>
                <w:color w:val="auto"/>
                <w:sz w:val="21"/>
                <w:szCs w:val="21"/>
                <w:highlight w:val="none"/>
                <w:lang w:val="zh-CN"/>
              </w:rPr>
            </w:pPr>
          </w:p>
        </w:tc>
        <w:tc>
          <w:tcPr>
            <w:tcW w:w="10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pacing w:val="8"/>
                <w:sz w:val="21"/>
                <w:szCs w:val="21"/>
                <w:highlight w:val="none"/>
              </w:rPr>
            </w:pPr>
            <w:r>
              <w:rPr>
                <w:rFonts w:ascii="宋体" w:eastAsia="宋体" w:hAnsi="宋体" w:cs="宋体" w:hint="eastAsia"/>
                <w:color w:val="auto"/>
                <w:spacing w:val="8"/>
                <w:sz w:val="21"/>
                <w:szCs w:val="21"/>
                <w:highlight w:val="none"/>
              </w:rPr>
              <w:t>保洁绿化服务方案</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en-US" w:eastAsia="zh-CN"/>
              </w:rPr>
            </w:pPr>
            <w:r>
              <w:rPr>
                <w:rFonts w:ascii="宋体" w:eastAsia="宋体" w:hAnsi="宋体" w:cs="宋体" w:hint="eastAsia"/>
                <w:color w:val="auto"/>
                <w:spacing w:val="8"/>
                <w:sz w:val="21"/>
                <w:szCs w:val="21"/>
                <w:highlight w:val="none"/>
                <w:lang w:val="en-US" w:eastAsia="zh-CN"/>
              </w:rPr>
              <w:t>(</w:t>
            </w:r>
            <w:r>
              <w:rPr>
                <w:rFonts w:ascii="宋体" w:eastAsia="宋体" w:hAnsi="宋体" w:cs="宋体" w:hint="eastAsia"/>
                <w:color w:val="auto"/>
                <w:spacing w:val="8"/>
                <w:sz w:val="21"/>
                <w:szCs w:val="21"/>
                <w:highlight w:val="none"/>
              </w:rPr>
              <w:t>6分</w:t>
            </w:r>
            <w:r>
              <w:rPr>
                <w:rFonts w:ascii="宋体" w:eastAsia="宋体" w:hAnsi="宋体" w:cs="宋体" w:hint="eastAsia"/>
                <w:color w:val="auto"/>
                <w:spacing w:val="8"/>
                <w:sz w:val="21"/>
                <w:szCs w:val="21"/>
                <w:highlight w:val="none"/>
                <w:lang w:val="en-US" w:eastAsia="zh-CN"/>
              </w:rPr>
              <w:t>)</w:t>
            </w:r>
          </w:p>
        </w:tc>
        <w:tc>
          <w:tcPr>
            <w:tcW w:w="564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ind w:firstLine="420" w:firstLineChars="200"/>
              <w:jc w:val="left"/>
              <w:textAlignment w:val="baseline"/>
              <w:rPr>
                <w:rFonts w:ascii="宋体" w:eastAsia="宋体" w:hAnsi="宋体" w:cs="宋体" w:hint="eastAsia"/>
                <w:b/>
                <w:bCs/>
                <w:color w:val="auto"/>
                <w:spacing w:val="8"/>
                <w:sz w:val="21"/>
                <w:szCs w:val="21"/>
                <w:highlight w:val="none"/>
              </w:rPr>
            </w:pPr>
            <w:r>
              <w:rPr>
                <w:rFonts w:ascii="宋体" w:eastAsia="宋体" w:hAnsi="宋体" w:cs="宋体" w:hint="eastAsia"/>
                <w:b/>
                <w:bCs/>
                <w:color w:val="auto"/>
                <w:spacing w:val="8"/>
                <w:sz w:val="21"/>
                <w:szCs w:val="21"/>
                <w:highlight w:val="none"/>
              </w:rPr>
              <w:t>由评标委员会对投标人提供的保洁、绿化服务方案内容进行评价。以下各项不重复计分：</w:t>
            </w:r>
          </w:p>
          <w:p>
            <w:pPr>
              <w:keepNext w:val="0"/>
              <w:keepLines w:val="0"/>
              <w:pageBreakBefore w:val="0"/>
              <w:widowControl/>
              <w:kinsoku/>
              <w:wordWrap/>
              <w:overflowPunct w:val="0"/>
              <w:topLinePunct w:val="0"/>
              <w:autoSpaceDE w:val="0"/>
              <w:autoSpaceDN w:val="0"/>
              <w:bidi w:val="0"/>
              <w:adjustRightInd w:val="0"/>
              <w:snapToGrid/>
              <w:spacing w:line="380" w:lineRule="exact"/>
              <w:ind w:firstLine="420" w:firstLineChars="200"/>
              <w:jc w:val="left"/>
              <w:textAlignment w:val="baseline"/>
              <w:rPr>
                <w:rFonts w:ascii="宋体" w:eastAsia="宋体" w:hAnsi="宋体" w:cs="宋体" w:hint="eastAsia"/>
                <w:color w:val="auto"/>
                <w:spacing w:val="8"/>
                <w:sz w:val="21"/>
                <w:szCs w:val="21"/>
                <w:highlight w:val="none"/>
              </w:rPr>
            </w:pPr>
            <w:r>
              <w:rPr>
                <w:rFonts w:ascii="宋体" w:eastAsia="宋体" w:hAnsi="宋体" w:cs="宋体" w:hint="eastAsia"/>
                <w:color w:val="auto"/>
                <w:spacing w:val="8"/>
                <w:sz w:val="21"/>
                <w:szCs w:val="21"/>
                <w:highlight w:val="none"/>
              </w:rPr>
              <w:t>①投标人的保洁、绿化服务方案能完全响应项目采购需求的服务内容要求前提下，根据服务要求制订具体的服务措施，得2分；</w:t>
            </w:r>
          </w:p>
          <w:p>
            <w:pPr>
              <w:keepNext w:val="0"/>
              <w:keepLines w:val="0"/>
              <w:pageBreakBefore w:val="0"/>
              <w:widowControl/>
              <w:kinsoku/>
              <w:wordWrap/>
              <w:overflowPunct w:val="0"/>
              <w:topLinePunct w:val="0"/>
              <w:autoSpaceDE w:val="0"/>
              <w:autoSpaceDN w:val="0"/>
              <w:bidi w:val="0"/>
              <w:adjustRightInd w:val="0"/>
              <w:snapToGrid/>
              <w:spacing w:line="396" w:lineRule="exact"/>
              <w:ind w:firstLine="420" w:firstLineChars="200"/>
              <w:jc w:val="left"/>
              <w:textAlignment w:val="baseline"/>
              <w:rPr>
                <w:rFonts w:ascii="宋体" w:eastAsia="宋体" w:hAnsi="宋体" w:cs="宋体" w:hint="eastAsia"/>
                <w:color w:val="auto"/>
                <w:spacing w:val="8"/>
                <w:sz w:val="21"/>
                <w:szCs w:val="21"/>
                <w:highlight w:val="none"/>
              </w:rPr>
            </w:pPr>
            <w:r>
              <w:rPr>
                <w:rFonts w:ascii="宋体" w:eastAsia="宋体" w:hAnsi="宋体" w:cs="宋体" w:hint="eastAsia"/>
                <w:color w:val="auto"/>
                <w:sz w:val="21"/>
                <w:szCs w:val="21"/>
                <w:highlight w:val="none"/>
                <w:lang w:val="zh-CN"/>
              </w:rPr>
              <w:t>②</w:t>
            </w:r>
            <w:r>
              <w:rPr>
                <w:rFonts w:ascii="宋体" w:eastAsia="宋体" w:hAnsi="宋体" w:cs="宋体" w:hint="eastAsia"/>
                <w:color w:val="auto"/>
                <w:spacing w:val="8"/>
                <w:sz w:val="21"/>
                <w:szCs w:val="21"/>
                <w:highlight w:val="none"/>
              </w:rPr>
              <w:t>在本项①</w:t>
            </w:r>
            <w:r>
              <w:rPr>
                <w:rFonts w:ascii="宋体" w:eastAsia="宋体" w:hAnsi="宋体" w:cs="宋体" w:hint="eastAsia"/>
                <w:color w:val="auto"/>
                <w:sz w:val="21"/>
                <w:szCs w:val="21"/>
                <w:highlight w:val="none"/>
              </w:rPr>
              <w:t>项的基础上，</w:t>
            </w:r>
            <w:r>
              <w:rPr>
                <w:rFonts w:ascii="宋体" w:eastAsia="宋体" w:hAnsi="宋体" w:cs="宋体" w:hint="eastAsia"/>
                <w:color w:val="auto"/>
                <w:spacing w:val="8"/>
                <w:sz w:val="21"/>
                <w:szCs w:val="21"/>
                <w:highlight w:val="none"/>
              </w:rPr>
              <w:t>能制订具体的日常保洁、绿化养护服务计划及服务流程；承诺</w:t>
            </w:r>
            <w:r>
              <w:rPr>
                <w:rFonts w:ascii="宋体" w:eastAsia="宋体" w:hAnsi="宋体" w:cs="宋体" w:hint="eastAsia"/>
                <w:color w:val="auto"/>
                <w:sz w:val="21"/>
                <w:szCs w:val="21"/>
                <w:highlight w:val="none"/>
              </w:rPr>
              <w:t>每天不少于3次</w:t>
            </w:r>
            <w:r>
              <w:rPr>
                <w:rFonts w:ascii="宋体" w:eastAsia="宋体" w:hAnsi="宋体" w:cs="宋体" w:hint="eastAsia"/>
                <w:color w:val="auto"/>
                <w:spacing w:val="8"/>
                <w:sz w:val="21"/>
                <w:szCs w:val="21"/>
                <w:highlight w:val="none"/>
              </w:rPr>
              <w:t>对保洁区域进行巡视检查，巡回保洁；保洁、绿化日常工作检查</w:t>
            </w:r>
            <w:r>
              <w:rPr>
                <w:rFonts w:ascii="宋体" w:eastAsia="宋体" w:hAnsi="宋体" w:cs="宋体" w:hint="eastAsia"/>
                <w:color w:val="auto"/>
                <w:spacing w:val="9"/>
                <w:sz w:val="21"/>
                <w:szCs w:val="21"/>
                <w:highlight w:val="none"/>
              </w:rPr>
              <w:t>的记录表单齐全；</w:t>
            </w:r>
            <w:r>
              <w:rPr>
                <w:rFonts w:ascii="宋体" w:eastAsia="宋体" w:hAnsi="宋体" w:cs="宋体" w:hint="eastAsia"/>
                <w:color w:val="auto"/>
                <w:sz w:val="21"/>
                <w:szCs w:val="21"/>
                <w:highlight w:val="none"/>
              </w:rPr>
              <w:t>制订有针对</w:t>
            </w:r>
            <w:r>
              <w:rPr>
                <w:rFonts w:ascii="宋体" w:eastAsia="宋体" w:hAnsi="宋体" w:cs="宋体" w:hint="eastAsia"/>
                <w:color w:val="auto"/>
                <w:spacing w:val="8"/>
                <w:sz w:val="21"/>
                <w:szCs w:val="21"/>
                <w:highlight w:val="none"/>
              </w:rPr>
              <w:t>保洁、绿化</w:t>
            </w:r>
            <w:r>
              <w:rPr>
                <w:rFonts w:ascii="宋体" w:eastAsia="宋体" w:hAnsi="宋体" w:cs="宋体" w:hint="eastAsia"/>
                <w:color w:val="auto"/>
                <w:sz w:val="21"/>
                <w:szCs w:val="21"/>
                <w:highlight w:val="none"/>
              </w:rPr>
              <w:t>服务内容</w:t>
            </w:r>
            <w:r>
              <w:rPr>
                <w:rFonts w:ascii="宋体" w:eastAsia="宋体" w:hAnsi="宋体" w:cs="宋体" w:hint="eastAsia"/>
                <w:color w:val="auto"/>
                <w:spacing w:val="8"/>
                <w:sz w:val="21"/>
                <w:szCs w:val="21"/>
                <w:highlight w:val="none"/>
              </w:rPr>
              <w:t>的相应</w:t>
            </w:r>
            <w:r>
              <w:rPr>
                <w:rFonts w:ascii="宋体" w:eastAsia="宋体" w:hAnsi="宋体" w:cs="宋体" w:hint="eastAsia"/>
                <w:color w:val="auto"/>
                <w:spacing w:val="7"/>
                <w:sz w:val="21"/>
                <w:szCs w:val="21"/>
                <w:highlight w:val="none"/>
              </w:rPr>
              <w:t>管理制度、考核制度；</w:t>
            </w:r>
            <w:r>
              <w:rPr>
                <w:rFonts w:ascii="宋体" w:eastAsia="宋体" w:hAnsi="宋体" w:cs="宋体" w:hint="eastAsia"/>
                <w:color w:val="auto"/>
                <w:spacing w:val="8"/>
                <w:sz w:val="21"/>
                <w:szCs w:val="21"/>
                <w:highlight w:val="none"/>
              </w:rPr>
              <w:t>得4分；</w:t>
            </w:r>
          </w:p>
          <w:p>
            <w:pPr>
              <w:keepNext w:val="0"/>
              <w:keepLines w:val="0"/>
              <w:pageBreakBefore w:val="0"/>
              <w:widowControl/>
              <w:kinsoku/>
              <w:wordWrap/>
              <w:overflowPunct w:val="0"/>
              <w:topLinePunct w:val="0"/>
              <w:autoSpaceDE w:val="0"/>
              <w:autoSpaceDN w:val="0"/>
              <w:bidi w:val="0"/>
              <w:adjustRightInd w:val="0"/>
              <w:snapToGrid/>
              <w:spacing w:line="396" w:lineRule="exact"/>
              <w:ind w:firstLine="420" w:firstLineChars="200"/>
              <w:jc w:val="left"/>
              <w:textAlignment w:val="baseline"/>
              <w:rPr>
                <w:rFonts w:ascii="宋体" w:eastAsia="宋体" w:hAnsi="宋体" w:cs="宋体" w:hint="eastAsia"/>
                <w:color w:val="auto"/>
                <w:spacing w:val="9"/>
                <w:sz w:val="21"/>
                <w:szCs w:val="21"/>
                <w:highlight w:val="none"/>
              </w:rPr>
            </w:pPr>
            <w:r>
              <w:rPr>
                <w:rFonts w:ascii="宋体" w:eastAsia="宋体" w:hAnsi="宋体" w:cs="宋体" w:hint="eastAsia"/>
                <w:color w:val="auto"/>
                <w:spacing w:val="8"/>
                <w:sz w:val="21"/>
                <w:szCs w:val="21"/>
                <w:highlight w:val="none"/>
              </w:rPr>
              <w:t>③在本项第</w:t>
            </w:r>
            <w:r>
              <w:rPr>
                <w:rFonts w:ascii="宋体" w:eastAsia="宋体" w:hAnsi="宋体" w:cs="宋体" w:hint="eastAsia"/>
                <w:color w:val="auto"/>
                <w:sz w:val="21"/>
                <w:szCs w:val="21"/>
                <w:highlight w:val="none"/>
                <w:lang w:val="zh-CN"/>
              </w:rPr>
              <w:t>②</w:t>
            </w:r>
            <w:r>
              <w:rPr>
                <w:rFonts w:ascii="宋体" w:eastAsia="宋体" w:hAnsi="宋体" w:cs="宋体" w:hint="eastAsia"/>
                <w:color w:val="auto"/>
                <w:sz w:val="21"/>
                <w:szCs w:val="21"/>
                <w:highlight w:val="none"/>
              </w:rPr>
              <w:t>项的基础上，</w:t>
            </w:r>
            <w:r>
              <w:rPr>
                <w:rFonts w:ascii="宋体" w:eastAsia="宋体" w:hAnsi="宋体" w:cs="宋体" w:hint="eastAsia"/>
                <w:color w:val="auto"/>
                <w:spacing w:val="9"/>
                <w:sz w:val="21"/>
                <w:szCs w:val="21"/>
                <w:highlight w:val="none"/>
              </w:rPr>
              <w:t>针对</w:t>
            </w:r>
            <w:r>
              <w:rPr>
                <w:rFonts w:ascii="宋体" w:eastAsia="宋体" w:hAnsi="宋体" w:cs="宋体" w:hint="eastAsia"/>
                <w:color w:val="auto"/>
                <w:spacing w:val="8"/>
                <w:sz w:val="21"/>
                <w:szCs w:val="21"/>
                <w:highlight w:val="none"/>
              </w:rPr>
              <w:t>保洁、绿化服务</w:t>
            </w:r>
            <w:r>
              <w:rPr>
                <w:rFonts w:ascii="宋体" w:eastAsia="宋体" w:hAnsi="宋体" w:cs="宋体" w:hint="eastAsia"/>
                <w:color w:val="auto"/>
                <w:spacing w:val="9"/>
                <w:sz w:val="21"/>
                <w:szCs w:val="21"/>
                <w:highlight w:val="none"/>
              </w:rPr>
              <w:t>内容</w:t>
            </w:r>
            <w:r>
              <w:rPr>
                <w:rFonts w:ascii="宋体" w:eastAsia="宋体" w:hAnsi="宋体" w:cs="宋体" w:hint="eastAsia"/>
                <w:color w:val="auto"/>
                <w:spacing w:val="8"/>
                <w:sz w:val="21"/>
                <w:szCs w:val="21"/>
                <w:highlight w:val="none"/>
              </w:rPr>
              <w:t>提出服务的重点难点，</w:t>
            </w:r>
            <w:r>
              <w:rPr>
                <w:rFonts w:ascii="宋体" w:eastAsia="宋体" w:hAnsi="宋体" w:cs="宋体" w:hint="eastAsia"/>
                <w:color w:val="auto"/>
                <w:spacing w:val="9"/>
                <w:sz w:val="21"/>
                <w:szCs w:val="21"/>
                <w:highlight w:val="none"/>
              </w:rPr>
              <w:t>并能提供解决措施；针对垃圾分类管理工作提出切实可行的宣传策划、实施方案及落实保障措施，得6分。</w:t>
            </w:r>
          </w:p>
          <w:p>
            <w:pPr>
              <w:keepNext w:val="0"/>
              <w:keepLines w:val="0"/>
              <w:pageBreakBefore w:val="0"/>
              <w:widowControl/>
              <w:kinsoku/>
              <w:wordWrap/>
              <w:topLinePunct w:val="0"/>
              <w:bidi w:val="0"/>
              <w:snapToGrid/>
              <w:spacing w:line="396"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b/>
                <w:bCs/>
                <w:color w:val="auto"/>
                <w:sz w:val="21"/>
                <w:szCs w:val="21"/>
                <w:highlight w:val="none"/>
              </w:rPr>
              <w:t>注：未提供保洁、绿化服务方案或保洁、绿化服务方案未达到①标准要求的，得0分。</w:t>
            </w:r>
          </w:p>
        </w:tc>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454" w:type="dxa"/>
            <w:vMerge/>
            <w:tcBorders>
              <w:left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color w:val="auto"/>
                <w:kern w:val="0"/>
                <w:sz w:val="21"/>
                <w:szCs w:val="21"/>
                <w:highlight w:val="none"/>
              </w:rPr>
            </w:pPr>
          </w:p>
        </w:tc>
        <w:tc>
          <w:tcPr>
            <w:tcW w:w="1077" w:type="dxa"/>
            <w:vMerge/>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topLinePunct w:val="0"/>
              <w:bidi w:val="0"/>
              <w:snapToGrid/>
              <w:spacing w:line="380" w:lineRule="exact"/>
              <w:jc w:val="left"/>
              <w:rPr>
                <w:rFonts w:ascii="宋体" w:eastAsia="宋体" w:hAnsi="宋体" w:cs="宋体" w:hint="eastAsia"/>
                <w:color w:val="auto"/>
                <w:sz w:val="21"/>
                <w:szCs w:val="21"/>
                <w:highlight w:val="none"/>
                <w:lang w:val="zh-CN"/>
              </w:rPr>
            </w:pPr>
          </w:p>
        </w:tc>
        <w:tc>
          <w:tcPr>
            <w:tcW w:w="10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秩序</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维护</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服务</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zh-CN"/>
              </w:rPr>
              <w:t>方</w:t>
            </w:r>
            <w:r>
              <w:rPr>
                <w:rFonts w:ascii="宋体" w:eastAsia="宋体" w:hAnsi="宋体" w:cs="宋体" w:hint="eastAsia"/>
                <w:color w:val="auto"/>
                <w:sz w:val="21"/>
                <w:szCs w:val="21"/>
                <w:highlight w:val="none"/>
              </w:rPr>
              <w:t>案</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rPr>
              <w:t>(6分)</w:t>
            </w:r>
          </w:p>
        </w:tc>
        <w:tc>
          <w:tcPr>
            <w:tcW w:w="564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snapToGrid/>
              <w:spacing w:line="380" w:lineRule="exact"/>
              <w:ind w:firstLine="420" w:firstLineChars="200"/>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由评标委员会对投标人提供的</w:t>
            </w:r>
            <w:r>
              <w:rPr>
                <w:rFonts w:ascii="宋体" w:eastAsia="宋体" w:hAnsi="宋体" w:cs="宋体" w:hint="eastAsia"/>
                <w:b/>
                <w:color w:val="auto"/>
                <w:sz w:val="21"/>
                <w:szCs w:val="21"/>
                <w:highlight w:val="none"/>
              </w:rPr>
              <w:t>秩序维护</w:t>
            </w:r>
            <w:r>
              <w:rPr>
                <w:rFonts w:ascii="宋体" w:eastAsia="宋体" w:hAnsi="宋体" w:cs="宋体" w:hint="eastAsia"/>
                <w:b/>
                <w:color w:val="auto"/>
                <w:sz w:val="21"/>
                <w:szCs w:val="21"/>
                <w:highlight w:val="none"/>
                <w:lang w:val="zh-CN"/>
              </w:rPr>
              <w:t>服务方案内容进行评价。以下各项不重复计分：</w:t>
            </w:r>
          </w:p>
          <w:p>
            <w:pPr>
              <w:keepNext w:val="0"/>
              <w:keepLines w:val="0"/>
              <w:pageBreakBefore w:val="0"/>
              <w:widowControl/>
              <w:kinsoku/>
              <w:wordWrap/>
              <w:overflowPunct w:val="0"/>
              <w:topLinePunct w:val="0"/>
              <w:autoSpaceDE w:val="0"/>
              <w:autoSpaceDN w:val="0"/>
              <w:bidi w:val="0"/>
              <w:snapToGrid/>
              <w:spacing w:line="380"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服务方案能完全响应项目采购需求的服务内容要求前提下，能根据</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服务要求制订具体的服务措施，得2分；</w:t>
            </w:r>
          </w:p>
          <w:p>
            <w:pPr>
              <w:keepNext w:val="0"/>
              <w:keepLines w:val="0"/>
              <w:pageBreakBefore w:val="0"/>
              <w:widowControl/>
              <w:kinsoku/>
              <w:wordWrap/>
              <w:overflowPunct w:val="0"/>
              <w:topLinePunct w:val="0"/>
              <w:autoSpaceDE w:val="0"/>
              <w:autoSpaceDN w:val="0"/>
              <w:bidi w:val="0"/>
              <w:snapToGrid/>
              <w:spacing w:line="380"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②在本项第①项的基础上，建立明确的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服务工作职责，工作流程；针对本项目制定相对固定的巡视路线，对重要区域、部位、节假日、夜间制订重点巡查方案；建立有完善的进出管理制度、交接制度、车辆管理制度等，</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服务措施得力，得4分；</w:t>
            </w:r>
          </w:p>
          <w:p>
            <w:pPr>
              <w:keepNext w:val="0"/>
              <w:keepLines w:val="0"/>
              <w:pageBreakBefore w:val="0"/>
              <w:widowControl/>
              <w:kinsoku/>
              <w:wordWrap/>
              <w:overflowPunct w:val="0"/>
              <w:topLinePunct w:val="0"/>
              <w:autoSpaceDE w:val="0"/>
              <w:autoSpaceDN w:val="0"/>
              <w:bidi w:val="0"/>
              <w:adjustRightInd/>
              <w:snapToGrid/>
              <w:spacing w:line="390"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③在本项第②项的基础上，制订有齐全的日常安全巡检的记录台账（表单），制订有明确的</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人员录用、培训、考核、日常安全演练等管理方案，针对</w:t>
            </w:r>
            <w:r>
              <w:rPr>
                <w:rFonts w:ascii="宋体" w:eastAsia="宋体" w:hAnsi="宋体" w:cs="宋体" w:hint="eastAsia"/>
                <w:color w:val="auto"/>
                <w:sz w:val="21"/>
                <w:szCs w:val="21"/>
                <w:highlight w:val="none"/>
              </w:rPr>
              <w:t>秩序维护</w:t>
            </w:r>
            <w:r>
              <w:rPr>
                <w:rFonts w:ascii="宋体" w:eastAsia="宋体" w:hAnsi="宋体" w:cs="宋体" w:hint="eastAsia"/>
                <w:color w:val="auto"/>
                <w:sz w:val="21"/>
                <w:szCs w:val="21"/>
                <w:highlight w:val="none"/>
                <w:lang w:val="zh-CN"/>
              </w:rPr>
              <w:t>服务内容提出服务的重点难点，并能提供解决措施，得6分。</w:t>
            </w:r>
          </w:p>
          <w:p>
            <w:pPr>
              <w:keepNext w:val="0"/>
              <w:keepLines w:val="0"/>
              <w:pageBreakBefore w:val="0"/>
              <w:widowControl/>
              <w:kinsoku/>
              <w:wordWrap/>
              <w:topLinePunct w:val="0"/>
              <w:bidi w:val="0"/>
              <w:adjustRightInd/>
              <w:snapToGrid/>
              <w:spacing w:line="390" w:lineRule="exact"/>
              <w:ind w:firstLine="420" w:firstLineChars="200"/>
              <w:rPr>
                <w:rFonts w:ascii="宋体" w:eastAsia="宋体" w:hAnsi="宋体" w:cs="宋体" w:hint="eastAsia"/>
                <w:color w:val="auto"/>
                <w:sz w:val="21"/>
                <w:szCs w:val="21"/>
                <w:highlight w:val="none"/>
                <w:lang w:val="zh-CN"/>
              </w:rPr>
            </w:pPr>
            <w:r>
              <w:rPr>
                <w:rFonts w:ascii="宋体" w:eastAsia="宋体" w:hAnsi="宋体" w:cs="宋体" w:hint="eastAsia"/>
                <w:b/>
                <w:color w:val="auto"/>
                <w:sz w:val="21"/>
                <w:szCs w:val="21"/>
                <w:highlight w:val="none"/>
                <w:lang w:val="zh-CN"/>
              </w:rPr>
              <w:t>注：投标人未提</w:t>
            </w:r>
            <w:r>
              <w:rPr>
                <w:rFonts w:ascii="宋体" w:eastAsia="宋体" w:hAnsi="宋体" w:cs="宋体" w:hint="eastAsia"/>
                <w:b/>
                <w:bCs/>
                <w:color w:val="auto"/>
                <w:sz w:val="21"/>
                <w:szCs w:val="21"/>
                <w:highlight w:val="none"/>
                <w:lang w:val="zh-CN"/>
              </w:rPr>
              <w:t>供</w:t>
            </w:r>
            <w:r>
              <w:rPr>
                <w:rFonts w:ascii="宋体" w:eastAsia="宋体" w:hAnsi="宋体" w:cs="宋体" w:hint="eastAsia"/>
                <w:b/>
                <w:bCs/>
                <w:color w:val="auto"/>
                <w:sz w:val="21"/>
                <w:szCs w:val="21"/>
                <w:highlight w:val="none"/>
              </w:rPr>
              <w:t>秩序维护</w:t>
            </w:r>
            <w:r>
              <w:rPr>
                <w:rFonts w:ascii="宋体" w:eastAsia="宋体" w:hAnsi="宋体" w:cs="宋体" w:hint="eastAsia"/>
                <w:b/>
                <w:bCs/>
                <w:color w:val="auto"/>
                <w:sz w:val="21"/>
                <w:szCs w:val="21"/>
                <w:highlight w:val="none"/>
                <w:lang w:val="zh-CN"/>
              </w:rPr>
              <w:t>服务方案或</w:t>
            </w:r>
            <w:r>
              <w:rPr>
                <w:rFonts w:ascii="宋体" w:eastAsia="宋体" w:hAnsi="宋体" w:cs="宋体" w:hint="eastAsia"/>
                <w:b/>
                <w:bCs/>
                <w:color w:val="auto"/>
                <w:sz w:val="21"/>
                <w:szCs w:val="21"/>
                <w:highlight w:val="none"/>
              </w:rPr>
              <w:t>秩序维护</w:t>
            </w:r>
            <w:r>
              <w:rPr>
                <w:rFonts w:ascii="宋体" w:eastAsia="宋体" w:hAnsi="宋体" w:cs="宋体" w:hint="eastAsia"/>
                <w:b/>
                <w:bCs/>
                <w:color w:val="auto"/>
                <w:sz w:val="21"/>
                <w:szCs w:val="21"/>
                <w:highlight w:val="none"/>
                <w:lang w:val="zh-CN"/>
              </w:rPr>
              <w:t>服务方案未达到①标准要求的</w:t>
            </w:r>
            <w:r>
              <w:rPr>
                <w:rFonts w:ascii="宋体" w:eastAsia="宋体" w:hAnsi="宋体" w:cs="宋体" w:hint="eastAsia"/>
                <w:b/>
                <w:color w:val="auto"/>
                <w:sz w:val="21"/>
                <w:szCs w:val="21"/>
                <w:highlight w:val="none"/>
                <w:lang w:val="zh-CN"/>
              </w:rPr>
              <w:t>，得0分。</w:t>
            </w:r>
          </w:p>
        </w:tc>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trHeight w:val="6906"/>
          <w:jc w:val="center"/>
        </w:trPr>
        <w:tc>
          <w:tcPr>
            <w:tcW w:w="454" w:type="dxa"/>
            <w:vMerge/>
            <w:tcBorders>
              <w:left w:val="single" w:sz="4" w:space="0" w:color="auto"/>
              <w:bottom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color w:val="auto"/>
                <w:kern w:val="0"/>
                <w:sz w:val="21"/>
                <w:szCs w:val="21"/>
                <w:highlight w:val="none"/>
              </w:rPr>
            </w:pPr>
          </w:p>
        </w:tc>
        <w:tc>
          <w:tcPr>
            <w:tcW w:w="1077" w:type="dxa"/>
            <w:vMerge/>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topLinePunct w:val="0"/>
              <w:bidi w:val="0"/>
              <w:snapToGrid/>
              <w:spacing w:line="380" w:lineRule="exact"/>
              <w:jc w:val="left"/>
              <w:rPr>
                <w:rFonts w:ascii="宋体" w:eastAsia="宋体" w:hAnsi="宋体" w:cs="宋体" w:hint="eastAsia"/>
                <w:color w:val="auto"/>
                <w:sz w:val="21"/>
                <w:szCs w:val="21"/>
                <w:highlight w:val="none"/>
                <w:lang w:val="zh-CN"/>
              </w:rPr>
            </w:pPr>
          </w:p>
        </w:tc>
        <w:tc>
          <w:tcPr>
            <w:tcW w:w="10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突发</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事件</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应急</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预案</w:t>
            </w:r>
          </w:p>
          <w:p>
            <w:pPr>
              <w:keepNext w:val="0"/>
              <w:keepLines w:val="0"/>
              <w:pageBreakBefore w:val="0"/>
              <w:widowControl/>
              <w:kinsoku/>
              <w:wordWrap/>
              <w:overflowPunct w:val="0"/>
              <w:topLinePunct w:val="0"/>
              <w:autoSpaceDE w:val="0"/>
              <w:autoSpaceDN w:val="0"/>
              <w:bidi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c>
          <w:tcPr>
            <w:tcW w:w="564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snapToGrid/>
              <w:spacing w:line="400" w:lineRule="exact"/>
              <w:ind w:firstLine="420" w:firstLineChars="200"/>
              <w:jc w:val="left"/>
              <w:textAlignment w:val="baseline"/>
              <w:rPr>
                <w:rFonts w:ascii="宋体" w:eastAsia="宋体" w:hAnsi="宋体" w:cs="宋体" w:hint="eastAsia"/>
                <w:b/>
                <w:color w:val="auto"/>
                <w:sz w:val="21"/>
                <w:szCs w:val="21"/>
                <w:highlight w:val="none"/>
                <w:lang w:val="zh-CN"/>
              </w:rPr>
            </w:pPr>
            <w:r>
              <w:rPr>
                <w:rFonts w:ascii="宋体" w:eastAsia="宋体" w:hAnsi="宋体" w:cs="宋体" w:hint="eastAsia"/>
                <w:b/>
                <w:color w:val="auto"/>
                <w:sz w:val="21"/>
                <w:szCs w:val="21"/>
                <w:highlight w:val="none"/>
                <w:lang w:val="zh-CN"/>
              </w:rPr>
              <w:t>由评标委员会对投标人提供的突发事件应急方案（包括各类突发事件应急预案、人员及物资、处置方案、处理响应时间等）进行评价。以下各项不重复计分：</w:t>
            </w:r>
          </w:p>
          <w:p>
            <w:pPr>
              <w:keepNext w:val="0"/>
              <w:keepLines w:val="0"/>
              <w:pageBreakBefore w:val="0"/>
              <w:widowControl/>
              <w:kinsoku/>
              <w:wordWrap/>
              <w:overflowPunct w:val="0"/>
              <w:topLinePunct w:val="0"/>
              <w:autoSpaceDE w:val="0"/>
              <w:autoSpaceDN w:val="0"/>
              <w:bidi w:val="0"/>
              <w:adjustRightInd/>
              <w:snapToGrid/>
              <w:spacing w:line="400"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①投标人的突发事件应急预案能完全响应本项目应急服务需求的前提下，能针对应急服务需求制订应急措施，得2分；</w:t>
            </w:r>
          </w:p>
          <w:p>
            <w:pPr>
              <w:keepNext w:val="0"/>
              <w:keepLines w:val="0"/>
              <w:pageBreakBefore w:val="0"/>
              <w:widowControl/>
              <w:kinsoku/>
              <w:wordWrap/>
              <w:overflowPunct w:val="0"/>
              <w:topLinePunct w:val="0"/>
              <w:autoSpaceDE w:val="0"/>
              <w:autoSpaceDN w:val="0"/>
              <w:bidi w:val="0"/>
              <w:adjustRightInd/>
              <w:snapToGrid/>
              <w:spacing w:line="400"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②在本项第①的基础上，成立有专门的应急部门，应急人员配备到位、责任明确；应急物资配备齐全；制订有完善的处置流程图，能较快速地启动应急处理措施，得4分；</w:t>
            </w:r>
          </w:p>
          <w:p>
            <w:pPr>
              <w:keepNext w:val="0"/>
              <w:keepLines w:val="0"/>
              <w:pageBreakBefore w:val="0"/>
              <w:widowControl/>
              <w:kinsoku/>
              <w:wordWrap/>
              <w:overflowPunct w:val="0"/>
              <w:topLinePunct w:val="0"/>
              <w:autoSpaceDE w:val="0"/>
              <w:autoSpaceDN w:val="0"/>
              <w:bidi w:val="0"/>
              <w:adjustRightInd/>
              <w:snapToGrid/>
              <w:spacing w:line="400"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③在本项第②的基础上，针对各类突发事件（</w:t>
            </w:r>
            <w:r>
              <w:rPr>
                <w:rFonts w:ascii="宋体" w:eastAsia="宋体" w:hAnsi="宋体" w:cs="宋体" w:hint="eastAsia"/>
                <w:snapToGrid w:val="0"/>
                <w:color w:val="auto"/>
                <w:spacing w:val="9"/>
                <w:kern w:val="0"/>
                <w:sz w:val="21"/>
                <w:szCs w:val="21"/>
                <w:highlight w:val="none"/>
              </w:rPr>
              <w:t>包括但不限于出现灾害性天气、突发火灾、停电、供水管</w:t>
            </w:r>
            <w:r>
              <w:rPr>
                <w:rFonts w:ascii="宋体" w:eastAsia="宋体" w:hAnsi="宋体" w:cs="宋体" w:hint="eastAsia"/>
                <w:snapToGrid w:val="0"/>
                <w:color w:val="auto"/>
                <w:spacing w:val="10"/>
                <w:kern w:val="0"/>
                <w:sz w:val="21"/>
                <w:szCs w:val="21"/>
                <w:highlight w:val="none"/>
              </w:rPr>
              <w:t>道爆裂、燃气管道泄露、突发治安或刑事事件等）</w:t>
            </w:r>
            <w:r>
              <w:rPr>
                <w:rFonts w:ascii="宋体" w:eastAsia="宋体" w:hAnsi="宋体" w:cs="宋体" w:hint="eastAsia"/>
                <w:color w:val="auto"/>
                <w:sz w:val="21"/>
                <w:szCs w:val="21"/>
                <w:highlight w:val="none"/>
                <w:lang w:val="zh-CN"/>
              </w:rPr>
              <w:t>制订合理、有预见性、有针对性的处置措施，制订有针对不同突发事件的应急演练计划及应急演练方案，提高服务人员快速处置应急能力，得6分。</w:t>
            </w:r>
          </w:p>
          <w:p>
            <w:pPr>
              <w:keepNext w:val="0"/>
              <w:keepLines w:val="0"/>
              <w:pageBreakBefore w:val="0"/>
              <w:widowControl/>
              <w:kinsoku/>
              <w:wordWrap/>
              <w:topLinePunct w:val="0"/>
              <w:bidi w:val="0"/>
              <w:adjustRightInd/>
              <w:snapToGrid/>
              <w:spacing w:line="400" w:lineRule="exact"/>
              <w:ind w:firstLine="420" w:firstLineChars="200"/>
              <w:rPr>
                <w:rFonts w:ascii="宋体" w:eastAsia="宋体" w:hAnsi="宋体" w:cs="宋体" w:hint="eastAsia"/>
                <w:color w:val="auto"/>
                <w:sz w:val="21"/>
                <w:szCs w:val="21"/>
                <w:highlight w:val="none"/>
                <w:lang w:val="zh-CN"/>
              </w:rPr>
            </w:pPr>
            <w:r>
              <w:rPr>
                <w:rFonts w:ascii="宋体" w:eastAsia="宋体" w:hAnsi="宋体" w:cs="宋体" w:hint="eastAsia"/>
                <w:b/>
                <w:color w:val="auto"/>
                <w:sz w:val="21"/>
                <w:szCs w:val="21"/>
                <w:highlight w:val="none"/>
                <w:lang w:val="zh-CN"/>
              </w:rPr>
              <w:t>注：投标人未提供突发事件应急预案或突发事件应急预案未达到①标准要求的，得0分。</w:t>
            </w:r>
          </w:p>
        </w:tc>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6分</w:t>
            </w:r>
          </w:p>
        </w:tc>
      </w:tr>
      <w:tr>
        <w:tblPrEx>
          <w:tblW w:w="9026" w:type="dxa"/>
          <w:jc w:val="center"/>
          <w:tblLayout w:type="fixed"/>
          <w:tblCellMar>
            <w:top w:w="0" w:type="dxa"/>
            <w:left w:w="108" w:type="dxa"/>
            <w:bottom w:w="0" w:type="dxa"/>
            <w:right w:w="108" w:type="dxa"/>
          </w:tblCellMar>
        </w:tblPrEx>
        <w:trPr>
          <w:jc w:val="center"/>
        </w:trPr>
        <w:tc>
          <w:tcPr>
            <w:tcW w:w="454" w:type="dxa"/>
            <w:vMerge w:val="restart"/>
            <w:tcBorders>
              <w:top w:val="single" w:sz="4" w:space="0" w:color="auto"/>
              <w:left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color w:val="auto"/>
                <w:kern w:val="0"/>
                <w:sz w:val="21"/>
                <w:szCs w:val="21"/>
                <w:highlight w:val="none"/>
              </w:rPr>
            </w:pPr>
            <w:r>
              <w:rPr>
                <w:rFonts w:ascii="宋体" w:eastAsia="宋体" w:hAnsi="宋体" w:cs="宋体" w:hint="eastAsia"/>
                <w:color w:val="auto"/>
                <w:kern w:val="0"/>
                <w:sz w:val="21"/>
                <w:szCs w:val="21"/>
                <w:highlight w:val="none"/>
              </w:rPr>
              <w:t>3</w:t>
            </w:r>
          </w:p>
        </w:tc>
        <w:tc>
          <w:tcPr>
            <w:tcW w:w="1077"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商务</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zh-CN"/>
              </w:rPr>
              <w:t>因素</w:t>
            </w:r>
            <w:r>
              <w:rPr>
                <w:rFonts w:ascii="宋体" w:eastAsia="宋体" w:hAnsi="宋体" w:cs="宋体" w:hint="eastAsia"/>
                <w:color w:val="auto"/>
                <w:sz w:val="21"/>
                <w:szCs w:val="21"/>
                <w:highlight w:val="none"/>
                <w:lang w:val="en-US" w:eastAsia="zh-CN"/>
              </w:rPr>
              <w:t>(</w:t>
            </w:r>
            <w:r>
              <w:rPr>
                <w:rFonts w:ascii="宋体" w:eastAsia="宋体" w:hAnsi="宋体" w:cs="宋体" w:hint="eastAsia"/>
                <w:color w:val="auto"/>
                <w:sz w:val="21"/>
                <w:szCs w:val="21"/>
                <w:highlight w:val="none"/>
                <w:lang w:val="zh-CN"/>
              </w:rPr>
              <w:t>55分</w:t>
            </w:r>
            <w:r>
              <w:rPr>
                <w:rFonts w:ascii="宋体" w:eastAsia="宋体" w:hAnsi="宋体" w:cs="宋体" w:hint="eastAsia"/>
                <w:color w:val="auto"/>
                <w:sz w:val="21"/>
                <w:szCs w:val="21"/>
                <w:highlight w:val="none"/>
                <w:lang w:val="en-US" w:eastAsia="zh-CN"/>
              </w:rPr>
              <w:t>)</w:t>
            </w:r>
          </w:p>
        </w:tc>
        <w:tc>
          <w:tcPr>
            <w:tcW w:w="10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相关</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证书</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w:t>
            </w:r>
            <w:r>
              <w:rPr>
                <w:rFonts w:ascii="宋体" w:eastAsia="宋体" w:hAnsi="宋体" w:cs="宋体" w:hint="eastAsia"/>
                <w:color w:val="auto"/>
                <w:sz w:val="21"/>
                <w:szCs w:val="21"/>
                <w:highlight w:val="none"/>
                <w:lang w:val="zh-CN"/>
              </w:rPr>
              <w:t>8分</w:t>
            </w:r>
            <w:r>
              <w:rPr>
                <w:rFonts w:ascii="宋体" w:eastAsia="宋体" w:hAnsi="宋体" w:cs="宋体" w:hint="eastAsia"/>
                <w:color w:val="auto"/>
                <w:sz w:val="21"/>
                <w:szCs w:val="21"/>
                <w:highlight w:val="none"/>
                <w:lang w:val="en-US" w:eastAsia="zh-CN"/>
              </w:rPr>
              <w:t>)</w:t>
            </w:r>
          </w:p>
        </w:tc>
        <w:tc>
          <w:tcPr>
            <w:tcW w:w="564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snapToGrid/>
              <w:spacing w:line="380"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投标人具有有效的社会责任管理体系认证（SA8000或GB/T39604）或者环境管理体系认证（ISO14001或GB/T24001）或者质量管理体系认证（ISO9001或GB/T19001）或者职业健康安全管理体系认证（ISO45001或GB/T45001）的，每提供一个得2分，满分8分（投标文件中提供证书扫描件）。</w:t>
            </w:r>
          </w:p>
        </w:tc>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8分</w:t>
            </w:r>
          </w:p>
        </w:tc>
      </w:tr>
      <w:tr>
        <w:tblPrEx>
          <w:tblW w:w="9026" w:type="dxa"/>
          <w:jc w:val="center"/>
          <w:tblLayout w:type="fixed"/>
          <w:tblCellMar>
            <w:top w:w="0" w:type="dxa"/>
            <w:left w:w="108" w:type="dxa"/>
            <w:bottom w:w="0" w:type="dxa"/>
            <w:right w:w="108" w:type="dxa"/>
          </w:tblCellMar>
        </w:tblPrEx>
        <w:trPr>
          <w:jc w:val="center"/>
        </w:trPr>
        <w:tc>
          <w:tcPr>
            <w:tcW w:w="454" w:type="dxa"/>
            <w:vMerge/>
            <w:tcBorders>
              <w:left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color w:val="auto"/>
                <w:kern w:val="0"/>
                <w:sz w:val="21"/>
                <w:szCs w:val="21"/>
                <w:highlight w:val="none"/>
              </w:rPr>
            </w:pPr>
          </w:p>
        </w:tc>
        <w:tc>
          <w:tcPr>
            <w:tcW w:w="1077" w:type="dxa"/>
            <w:vMerge/>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topLinePunct w:val="0"/>
              <w:bidi w:val="0"/>
              <w:snapToGrid/>
              <w:spacing w:line="380" w:lineRule="exact"/>
              <w:jc w:val="left"/>
              <w:rPr>
                <w:rFonts w:ascii="宋体" w:eastAsia="宋体" w:hAnsi="宋体" w:cs="宋体" w:hint="eastAsia"/>
                <w:color w:val="auto"/>
                <w:sz w:val="21"/>
                <w:szCs w:val="21"/>
                <w:highlight w:val="none"/>
                <w:lang w:val="zh-CN"/>
              </w:rPr>
            </w:pPr>
          </w:p>
        </w:tc>
        <w:tc>
          <w:tcPr>
            <w:tcW w:w="10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成功</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案例</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w:t>
            </w:r>
            <w:r>
              <w:rPr>
                <w:rFonts w:ascii="宋体" w:eastAsia="宋体" w:hAnsi="宋体" w:cs="宋体" w:hint="eastAsia"/>
                <w:color w:val="auto"/>
                <w:sz w:val="21"/>
                <w:szCs w:val="21"/>
                <w:highlight w:val="none"/>
                <w:lang w:val="zh-CN"/>
              </w:rPr>
              <w:t>10分</w:t>
            </w:r>
            <w:r>
              <w:rPr>
                <w:rFonts w:ascii="宋体" w:eastAsia="宋体" w:hAnsi="宋体" w:cs="宋体" w:hint="eastAsia"/>
                <w:color w:val="auto"/>
                <w:sz w:val="21"/>
                <w:szCs w:val="21"/>
                <w:highlight w:val="none"/>
                <w:lang w:val="en-US" w:eastAsia="zh-CN"/>
              </w:rPr>
              <w:t>)</w:t>
            </w:r>
          </w:p>
        </w:tc>
        <w:tc>
          <w:tcPr>
            <w:tcW w:w="564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snapToGrid/>
              <w:spacing w:line="380"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 xml:space="preserve">投标人 2021 年 </w:t>
            </w:r>
            <w:r>
              <w:rPr>
                <w:rFonts w:ascii="宋体" w:eastAsia="宋体" w:hAnsi="宋体" w:cs="宋体" w:hint="eastAsia"/>
                <w:color w:val="auto"/>
                <w:sz w:val="21"/>
                <w:szCs w:val="21"/>
                <w:highlight w:val="none"/>
              </w:rPr>
              <w:t>10</w:t>
            </w:r>
            <w:r>
              <w:rPr>
                <w:rFonts w:ascii="宋体" w:eastAsia="宋体" w:hAnsi="宋体" w:cs="宋体" w:hint="eastAsia"/>
                <w:color w:val="auto"/>
                <w:sz w:val="21"/>
                <w:szCs w:val="21"/>
                <w:highlight w:val="none"/>
                <w:lang w:val="zh-CN"/>
              </w:rPr>
              <w:t xml:space="preserve"> 月 1 日至投标文件提交截止时间止，具有类似项目业绩（投标文件提供合同复印件，复印件内容须体现为类似项目。同一个项目签订多份合同的只能计算一次，不重复计分）。每个有效业绩得2分，本项满分10分。</w:t>
            </w:r>
          </w:p>
          <w:p>
            <w:pPr>
              <w:keepNext w:val="0"/>
              <w:keepLines w:val="0"/>
              <w:pageBreakBefore w:val="0"/>
              <w:widowControl/>
              <w:kinsoku/>
              <w:wordWrap/>
              <w:overflowPunct w:val="0"/>
              <w:topLinePunct w:val="0"/>
              <w:autoSpaceDE w:val="0"/>
              <w:autoSpaceDN w:val="0"/>
              <w:bidi w:val="0"/>
              <w:snapToGrid/>
              <w:spacing w:line="380" w:lineRule="exact"/>
              <w:ind w:firstLine="420" w:firstLineChars="200"/>
              <w:jc w:val="left"/>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注：类似项目是指办公用房为主的综合性物业管理服务项目（合同服务内容仅有保安和保洁服务或仅有单项服务内容的项目均不得分）】。</w:t>
            </w:r>
          </w:p>
        </w:tc>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10分</w:t>
            </w:r>
          </w:p>
        </w:tc>
      </w:tr>
      <w:tr>
        <w:tblPrEx>
          <w:tblW w:w="9026" w:type="dxa"/>
          <w:jc w:val="center"/>
          <w:tblLayout w:type="fixed"/>
          <w:tblCellMar>
            <w:top w:w="0" w:type="dxa"/>
            <w:left w:w="108" w:type="dxa"/>
            <w:bottom w:w="0" w:type="dxa"/>
            <w:right w:w="108" w:type="dxa"/>
          </w:tblCellMar>
        </w:tblPrEx>
        <w:trPr>
          <w:jc w:val="center"/>
        </w:trPr>
        <w:tc>
          <w:tcPr>
            <w:tcW w:w="454" w:type="dxa"/>
            <w:vMerge/>
            <w:tcBorders>
              <w:left w:val="single" w:sz="4" w:space="0" w:color="auto"/>
              <w:right w:val="single" w:sz="4" w:space="0" w:color="auto"/>
            </w:tcBorders>
            <w:noWrap/>
            <w:vAlign w:val="center"/>
          </w:tcPr>
          <w:p>
            <w:pPr>
              <w:widowControl/>
              <w:overflowPunct w:val="0"/>
              <w:autoSpaceDE w:val="0"/>
              <w:autoSpaceDN w:val="0"/>
              <w:adjustRightInd w:val="0"/>
              <w:spacing w:line="380" w:lineRule="exact"/>
              <w:jc w:val="center"/>
              <w:textAlignment w:val="baseline"/>
              <w:rPr>
                <w:rFonts w:ascii="宋体" w:eastAsia="宋体" w:hAnsi="宋体" w:cs="宋体" w:hint="eastAsia"/>
                <w:color w:val="auto"/>
                <w:kern w:val="0"/>
                <w:sz w:val="21"/>
                <w:szCs w:val="21"/>
                <w:highlight w:val="none"/>
              </w:rPr>
            </w:pPr>
          </w:p>
        </w:tc>
        <w:tc>
          <w:tcPr>
            <w:tcW w:w="1077" w:type="dxa"/>
            <w:vMerge/>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topLinePunct w:val="0"/>
              <w:bidi w:val="0"/>
              <w:snapToGrid/>
              <w:spacing w:line="380" w:lineRule="exact"/>
              <w:jc w:val="left"/>
              <w:rPr>
                <w:rFonts w:ascii="宋体" w:eastAsia="宋体" w:hAnsi="宋体" w:cs="宋体" w:hint="eastAsia"/>
                <w:color w:val="auto"/>
                <w:sz w:val="21"/>
                <w:szCs w:val="21"/>
                <w:highlight w:val="none"/>
                <w:lang w:val="zh-CN"/>
              </w:rPr>
            </w:pPr>
          </w:p>
        </w:tc>
        <w:tc>
          <w:tcPr>
            <w:tcW w:w="10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技术</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力量</w:t>
            </w:r>
          </w:p>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w:t>
            </w:r>
            <w:r>
              <w:rPr>
                <w:rFonts w:ascii="宋体" w:eastAsia="宋体" w:hAnsi="宋体" w:cs="宋体" w:hint="eastAsia"/>
                <w:color w:val="auto"/>
                <w:sz w:val="21"/>
                <w:szCs w:val="21"/>
                <w:highlight w:val="none"/>
                <w:lang w:val="zh-CN"/>
              </w:rPr>
              <w:t>37分</w:t>
            </w:r>
            <w:r>
              <w:rPr>
                <w:rFonts w:ascii="宋体" w:eastAsia="宋体" w:hAnsi="宋体" w:cs="宋体" w:hint="eastAsia"/>
                <w:color w:val="auto"/>
                <w:sz w:val="21"/>
                <w:szCs w:val="21"/>
                <w:highlight w:val="none"/>
                <w:lang w:val="en-US" w:eastAsia="zh-CN"/>
              </w:rPr>
              <w:t>)</w:t>
            </w:r>
          </w:p>
        </w:tc>
        <w:tc>
          <w:tcPr>
            <w:tcW w:w="564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重点考核供应商的履约能力，投入本项目的人员数量、专业化程度、等级比例及稳定性承诺，人员的相关工作经验、相关资质证书等在满足本项目采购需求的基础上，对下列指标进行考核打分：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（1）项目经理（</w:t>
            </w:r>
            <w:r>
              <w:rPr>
                <w:rFonts w:ascii="宋体" w:eastAsia="宋体" w:hAnsi="宋体" w:cs="宋体" w:hint="eastAsia"/>
                <w:snapToGrid w:val="0"/>
                <w:color w:val="auto"/>
                <w:spacing w:val="5"/>
                <w:kern w:val="0"/>
                <w:sz w:val="21"/>
                <w:szCs w:val="21"/>
                <w:highlight w:val="none"/>
              </w:rPr>
              <w:t>柳州市税务局潭中东路26号办公区、柳州市潭中东路14号办公区、</w:t>
            </w:r>
            <w:r>
              <w:rPr>
                <w:rFonts w:ascii="宋体" w:eastAsia="宋体" w:hAnsi="宋体" w:cs="宋体" w:hint="eastAsia"/>
                <w:snapToGrid w:val="0"/>
                <w:color w:val="auto"/>
                <w:spacing w:val="11"/>
                <w:kern w:val="0"/>
                <w:sz w:val="21"/>
                <w:szCs w:val="21"/>
                <w:highlight w:val="none"/>
              </w:rPr>
              <w:t>柳州市税务局第三稽查局</w:t>
            </w:r>
            <w:r>
              <w:rPr>
                <w:rFonts w:ascii="宋体" w:eastAsia="宋体" w:hAnsi="宋体" w:cs="宋体" w:hint="eastAsia"/>
                <w:color w:val="auto"/>
                <w:sz w:val="21"/>
                <w:szCs w:val="21"/>
                <w:highlight w:val="none"/>
              </w:rPr>
              <w:t>，各1人，合计3人）（满分6分）：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具有</w:t>
            </w:r>
            <w:r>
              <w:rPr>
                <w:rFonts w:ascii="宋体" w:eastAsia="宋体" w:hAnsi="宋体" w:cs="宋体" w:hint="eastAsia"/>
                <w:color w:val="auto"/>
                <w:sz w:val="21"/>
                <w:szCs w:val="21"/>
                <w:highlight w:val="none"/>
                <w:lang w:eastAsia="zh-CN"/>
              </w:rPr>
              <w:t>三年</w:t>
            </w:r>
            <w:r>
              <w:rPr>
                <w:rFonts w:ascii="宋体" w:eastAsia="宋体" w:hAnsi="宋体" w:cs="宋体" w:hint="eastAsia"/>
                <w:color w:val="auto"/>
                <w:sz w:val="21"/>
                <w:szCs w:val="21"/>
                <w:highlight w:val="none"/>
              </w:rPr>
              <w:t>以上项目经理任职经验的，每有1人，得2分，满分6分。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（2）秩序维护人员（</w:t>
            </w:r>
            <w:r>
              <w:rPr>
                <w:rFonts w:ascii="宋体" w:eastAsia="宋体" w:hAnsi="宋体" w:cs="宋体" w:hint="eastAsia"/>
                <w:snapToGrid w:val="0"/>
                <w:color w:val="auto"/>
                <w:spacing w:val="5"/>
                <w:kern w:val="0"/>
                <w:sz w:val="21"/>
                <w:szCs w:val="21"/>
                <w:highlight w:val="none"/>
              </w:rPr>
              <w:t>柳州市税务局潭中东路26号办公区</w:t>
            </w:r>
            <w:r>
              <w:rPr>
                <w:rFonts w:ascii="宋体" w:eastAsia="宋体" w:hAnsi="宋体" w:cs="宋体" w:hint="eastAsia"/>
                <w:snapToGrid w:val="0"/>
                <w:color w:val="auto"/>
                <w:kern w:val="0"/>
                <w:sz w:val="21"/>
                <w:szCs w:val="21"/>
                <w:highlight w:val="none"/>
              </w:rPr>
              <w:t>12人、</w:t>
            </w:r>
            <w:r>
              <w:rPr>
                <w:rFonts w:ascii="宋体" w:eastAsia="宋体" w:hAnsi="宋体" w:cs="宋体" w:hint="eastAsia"/>
                <w:snapToGrid w:val="0"/>
                <w:color w:val="auto"/>
                <w:spacing w:val="5"/>
                <w:kern w:val="0"/>
                <w:sz w:val="21"/>
                <w:szCs w:val="21"/>
                <w:highlight w:val="none"/>
              </w:rPr>
              <w:t>柳州市潭中东路14号办公区</w:t>
            </w:r>
            <w:r>
              <w:rPr>
                <w:rFonts w:ascii="宋体" w:eastAsia="宋体" w:hAnsi="宋体" w:cs="宋体" w:hint="eastAsia"/>
                <w:snapToGrid w:val="0"/>
                <w:color w:val="auto"/>
                <w:spacing w:val="7"/>
                <w:kern w:val="0"/>
                <w:sz w:val="21"/>
                <w:szCs w:val="21"/>
                <w:highlight w:val="none"/>
              </w:rPr>
              <w:t>7人、</w:t>
            </w:r>
            <w:r>
              <w:rPr>
                <w:rFonts w:ascii="宋体" w:eastAsia="宋体" w:hAnsi="宋体" w:cs="宋体" w:hint="eastAsia"/>
                <w:snapToGrid w:val="0"/>
                <w:color w:val="auto"/>
                <w:spacing w:val="11"/>
                <w:kern w:val="0"/>
                <w:sz w:val="21"/>
                <w:szCs w:val="21"/>
                <w:highlight w:val="none"/>
              </w:rPr>
              <w:t>柳州市税务局第一稽查局</w:t>
            </w:r>
            <w:r>
              <w:rPr>
                <w:rFonts w:ascii="宋体" w:eastAsia="宋体" w:hAnsi="宋体" w:cs="宋体" w:hint="eastAsia"/>
                <w:snapToGrid w:val="0"/>
                <w:color w:val="auto"/>
                <w:spacing w:val="7"/>
                <w:kern w:val="0"/>
                <w:sz w:val="21"/>
                <w:szCs w:val="21"/>
                <w:highlight w:val="none"/>
              </w:rPr>
              <w:t>4人、</w:t>
            </w:r>
            <w:r>
              <w:rPr>
                <w:rFonts w:ascii="宋体" w:eastAsia="宋体" w:hAnsi="宋体" w:cs="宋体" w:hint="eastAsia"/>
                <w:snapToGrid w:val="0"/>
                <w:color w:val="auto"/>
                <w:spacing w:val="11"/>
                <w:kern w:val="0"/>
                <w:sz w:val="21"/>
                <w:szCs w:val="21"/>
                <w:highlight w:val="none"/>
              </w:rPr>
              <w:t>柳州市税务局第三稽查局</w:t>
            </w:r>
            <w:r>
              <w:rPr>
                <w:rFonts w:ascii="宋体" w:eastAsia="宋体" w:hAnsi="宋体" w:cs="宋体" w:hint="eastAsia"/>
                <w:snapToGrid w:val="0"/>
                <w:color w:val="auto"/>
                <w:spacing w:val="7"/>
                <w:kern w:val="0"/>
                <w:sz w:val="21"/>
                <w:szCs w:val="21"/>
                <w:highlight w:val="none"/>
              </w:rPr>
              <w:t>4人，</w:t>
            </w:r>
            <w:r>
              <w:rPr>
                <w:rFonts w:ascii="宋体" w:eastAsia="宋体" w:hAnsi="宋体" w:cs="宋体" w:hint="eastAsia"/>
                <w:color w:val="auto"/>
                <w:sz w:val="21"/>
                <w:szCs w:val="21"/>
                <w:highlight w:val="none"/>
              </w:rPr>
              <w:t>共27人，不包含秩序维护部长）资历（满分13分）：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具有保安员证的，每人得1分，此项满分13分；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（3）</w:t>
            </w:r>
            <w:r>
              <w:rPr>
                <w:rFonts w:ascii="宋体" w:eastAsia="宋体" w:hAnsi="宋体" w:cs="宋体" w:hint="eastAsia"/>
                <w:snapToGrid w:val="0"/>
                <w:color w:val="auto"/>
                <w:kern w:val="0"/>
                <w:sz w:val="21"/>
                <w:szCs w:val="21"/>
                <w:highlight w:val="none"/>
              </w:rPr>
              <w:t>工程主管</w:t>
            </w:r>
            <w:r>
              <w:rPr>
                <w:rFonts w:ascii="宋体" w:eastAsia="宋体" w:hAnsi="宋体" w:cs="宋体" w:hint="eastAsia"/>
                <w:color w:val="auto"/>
                <w:sz w:val="21"/>
                <w:szCs w:val="21"/>
                <w:highlight w:val="none"/>
              </w:rPr>
              <w:t>（</w:t>
            </w:r>
            <w:r>
              <w:rPr>
                <w:rFonts w:ascii="宋体" w:eastAsia="宋体" w:hAnsi="宋体" w:cs="宋体" w:hint="eastAsia"/>
                <w:snapToGrid w:val="0"/>
                <w:color w:val="auto"/>
                <w:spacing w:val="5"/>
                <w:kern w:val="0"/>
                <w:sz w:val="21"/>
                <w:szCs w:val="21"/>
                <w:highlight w:val="none"/>
              </w:rPr>
              <w:t>柳州市税务局潭中东路26号办公区、柳州市潭中东路14号办公区，各1人，合计</w:t>
            </w:r>
            <w:r>
              <w:rPr>
                <w:rFonts w:ascii="宋体" w:eastAsia="宋体" w:hAnsi="宋体" w:cs="宋体" w:hint="eastAsia"/>
                <w:color w:val="auto"/>
                <w:sz w:val="21"/>
                <w:szCs w:val="21"/>
                <w:highlight w:val="none"/>
              </w:rPr>
              <w:t>2人）（满分8分）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fldChar w:fldCharType="begin"/>
            </w:r>
            <w:r>
              <w:rPr>
                <w:rFonts w:ascii="宋体" w:eastAsia="宋体" w:hAnsi="宋体" w:cs="宋体" w:hint="eastAsia"/>
                <w:color w:val="auto"/>
                <w:sz w:val="21"/>
                <w:szCs w:val="21"/>
                <w:highlight w:val="none"/>
              </w:rPr>
              <w:instrText xml:space="preserve"> = 1 \* GB3 </w:instrText>
            </w:r>
            <w:r>
              <w:rPr>
                <w:rFonts w:ascii="宋体" w:eastAsia="宋体" w:hAnsi="宋体" w:cs="宋体" w:hint="eastAsia"/>
                <w:color w:val="auto"/>
                <w:sz w:val="21"/>
                <w:szCs w:val="21"/>
                <w:highlight w:val="none"/>
              </w:rPr>
              <w:fldChar w:fldCharType="separate"/>
            </w:r>
            <w:r>
              <w:rPr>
                <w:rFonts w:ascii="宋体" w:eastAsia="宋体" w:hAnsi="宋体" w:cs="宋体" w:hint="eastAsia"/>
                <w:color w:val="auto"/>
                <w:sz w:val="21"/>
                <w:szCs w:val="21"/>
                <w:highlight w:val="none"/>
              </w:rPr>
              <w:t>①</w:t>
            </w:r>
            <w:r>
              <w:rPr>
                <w:rFonts w:ascii="宋体" w:eastAsia="宋体" w:hAnsi="宋体" w:cs="宋体" w:hint="eastAsia"/>
                <w:color w:val="auto"/>
                <w:sz w:val="21"/>
                <w:szCs w:val="21"/>
                <w:highlight w:val="none"/>
              </w:rPr>
              <w:fldChar w:fldCharType="end"/>
            </w:r>
            <w:r>
              <w:rPr>
                <w:rFonts w:ascii="宋体" w:eastAsia="宋体" w:hAnsi="宋体" w:cs="宋体" w:hint="eastAsia"/>
                <w:color w:val="auto"/>
                <w:sz w:val="21"/>
                <w:szCs w:val="21"/>
                <w:highlight w:val="none"/>
              </w:rPr>
              <w:t>具有工程类（空调暖通或电气或机电专业或建筑工程或工业电气及其自动化专业）高级以上职称证书，每有1人，得2分，满分4分。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fldChar w:fldCharType="begin"/>
            </w:r>
            <w:r>
              <w:rPr>
                <w:rFonts w:ascii="宋体" w:eastAsia="宋体" w:hAnsi="宋体" w:cs="宋体" w:hint="eastAsia"/>
                <w:color w:val="auto"/>
                <w:sz w:val="21"/>
                <w:szCs w:val="21"/>
                <w:highlight w:val="none"/>
              </w:rPr>
              <w:instrText xml:space="preserve"> = 2 \* GB3 </w:instrText>
            </w:r>
            <w:r>
              <w:rPr>
                <w:rFonts w:ascii="宋体" w:eastAsia="宋体" w:hAnsi="宋体" w:cs="宋体" w:hint="eastAsia"/>
                <w:color w:val="auto"/>
                <w:sz w:val="21"/>
                <w:szCs w:val="21"/>
                <w:highlight w:val="none"/>
              </w:rPr>
              <w:fldChar w:fldCharType="separate"/>
            </w:r>
            <w:r>
              <w:rPr>
                <w:rFonts w:ascii="宋体" w:eastAsia="宋体" w:hAnsi="宋体" w:cs="宋体" w:hint="eastAsia"/>
                <w:color w:val="auto"/>
                <w:sz w:val="21"/>
                <w:szCs w:val="21"/>
                <w:highlight w:val="none"/>
              </w:rPr>
              <w:t>②</w:t>
            </w:r>
            <w:r>
              <w:rPr>
                <w:rFonts w:ascii="宋体" w:eastAsia="宋体" w:hAnsi="宋体" w:cs="宋体" w:hint="eastAsia"/>
                <w:color w:val="auto"/>
                <w:sz w:val="21"/>
                <w:szCs w:val="21"/>
                <w:highlight w:val="none"/>
              </w:rPr>
              <w:fldChar w:fldCharType="end"/>
            </w:r>
            <w:r>
              <w:rPr>
                <w:rFonts w:ascii="宋体" w:eastAsia="宋体" w:hAnsi="宋体" w:cs="宋体" w:hint="eastAsia"/>
                <w:color w:val="auto"/>
                <w:sz w:val="21"/>
                <w:szCs w:val="21"/>
                <w:highlight w:val="none"/>
              </w:rPr>
              <w:t>具有</w:t>
            </w:r>
            <w:r>
              <w:rPr>
                <w:rFonts w:ascii="宋体" w:eastAsia="宋体" w:hAnsi="宋体" w:cs="宋体" w:hint="eastAsia"/>
                <w:color w:val="auto"/>
                <w:sz w:val="21"/>
                <w:szCs w:val="21"/>
                <w:highlight w:val="none"/>
                <w:lang w:eastAsia="zh-CN"/>
              </w:rPr>
              <w:t>三年</w:t>
            </w:r>
            <w:r>
              <w:rPr>
                <w:rFonts w:ascii="宋体" w:eastAsia="宋体" w:hAnsi="宋体" w:cs="宋体" w:hint="eastAsia"/>
                <w:color w:val="auto"/>
                <w:sz w:val="21"/>
                <w:szCs w:val="21"/>
                <w:highlight w:val="none"/>
              </w:rPr>
              <w:t>以上同类经验的，每有1人，得2分，满分4分。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（4）保洁员资历（</w:t>
            </w:r>
            <w:r>
              <w:rPr>
                <w:rFonts w:ascii="宋体" w:eastAsia="宋体" w:hAnsi="宋体" w:cs="宋体" w:hint="eastAsia"/>
                <w:snapToGrid w:val="0"/>
                <w:color w:val="auto"/>
                <w:spacing w:val="5"/>
                <w:kern w:val="0"/>
                <w:sz w:val="21"/>
                <w:szCs w:val="21"/>
                <w:highlight w:val="none"/>
              </w:rPr>
              <w:t>柳州市税务局潭中东路26号办公区</w:t>
            </w:r>
            <w:r>
              <w:rPr>
                <w:rFonts w:ascii="宋体" w:eastAsia="宋体" w:hAnsi="宋体" w:cs="宋体" w:hint="eastAsia"/>
                <w:snapToGrid w:val="0"/>
                <w:color w:val="auto"/>
                <w:kern w:val="0"/>
                <w:sz w:val="21"/>
                <w:szCs w:val="21"/>
                <w:highlight w:val="none"/>
              </w:rPr>
              <w:t>10人、</w:t>
            </w:r>
            <w:r>
              <w:rPr>
                <w:rFonts w:ascii="宋体" w:eastAsia="宋体" w:hAnsi="宋体" w:cs="宋体" w:hint="eastAsia"/>
                <w:snapToGrid w:val="0"/>
                <w:color w:val="auto"/>
                <w:spacing w:val="5"/>
                <w:kern w:val="0"/>
                <w:sz w:val="21"/>
                <w:szCs w:val="21"/>
                <w:highlight w:val="none"/>
              </w:rPr>
              <w:t>柳州市潭中东路14号办公区</w:t>
            </w:r>
            <w:r>
              <w:rPr>
                <w:rFonts w:ascii="宋体" w:eastAsia="宋体" w:hAnsi="宋体" w:cs="宋体" w:hint="eastAsia"/>
                <w:snapToGrid w:val="0"/>
                <w:color w:val="auto"/>
                <w:spacing w:val="7"/>
                <w:kern w:val="0"/>
                <w:sz w:val="21"/>
                <w:szCs w:val="21"/>
                <w:highlight w:val="none"/>
              </w:rPr>
              <w:t>7人、</w:t>
            </w:r>
            <w:r>
              <w:rPr>
                <w:rFonts w:ascii="宋体" w:eastAsia="宋体" w:hAnsi="宋体" w:cs="宋体" w:hint="eastAsia"/>
                <w:snapToGrid w:val="0"/>
                <w:color w:val="auto"/>
                <w:spacing w:val="11"/>
                <w:kern w:val="0"/>
                <w:sz w:val="21"/>
                <w:szCs w:val="21"/>
                <w:highlight w:val="none"/>
              </w:rPr>
              <w:t>柳州市税务局第一稽查局</w:t>
            </w:r>
            <w:r>
              <w:rPr>
                <w:rFonts w:ascii="宋体" w:eastAsia="宋体" w:hAnsi="宋体" w:cs="宋体" w:hint="eastAsia"/>
                <w:snapToGrid w:val="0"/>
                <w:color w:val="auto"/>
                <w:spacing w:val="7"/>
                <w:kern w:val="0"/>
                <w:sz w:val="21"/>
                <w:szCs w:val="21"/>
                <w:highlight w:val="none"/>
              </w:rPr>
              <w:t>2人、</w:t>
            </w:r>
            <w:r>
              <w:rPr>
                <w:rFonts w:ascii="宋体" w:eastAsia="宋体" w:hAnsi="宋体" w:cs="宋体" w:hint="eastAsia"/>
                <w:snapToGrid w:val="0"/>
                <w:color w:val="auto"/>
                <w:spacing w:val="11"/>
                <w:kern w:val="0"/>
                <w:sz w:val="21"/>
                <w:szCs w:val="21"/>
                <w:highlight w:val="none"/>
              </w:rPr>
              <w:t>柳州市税务局第三稽查局</w:t>
            </w:r>
            <w:r>
              <w:rPr>
                <w:rFonts w:ascii="宋体" w:eastAsia="宋体" w:hAnsi="宋体" w:cs="宋体" w:hint="eastAsia"/>
                <w:snapToGrid w:val="0"/>
                <w:color w:val="auto"/>
                <w:spacing w:val="7"/>
                <w:kern w:val="0"/>
                <w:sz w:val="21"/>
                <w:szCs w:val="21"/>
                <w:highlight w:val="none"/>
              </w:rPr>
              <w:t>2人，</w:t>
            </w:r>
            <w:r>
              <w:rPr>
                <w:rFonts w:ascii="宋体" w:eastAsia="宋体" w:hAnsi="宋体" w:cs="宋体" w:hint="eastAsia"/>
                <w:color w:val="auto"/>
                <w:sz w:val="21"/>
                <w:szCs w:val="21"/>
                <w:highlight w:val="none"/>
              </w:rPr>
              <w:t>共21人）（满分10分）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具有</w:t>
            </w:r>
            <w:r>
              <w:rPr>
                <w:rFonts w:ascii="宋体" w:eastAsia="宋体" w:hAnsi="宋体" w:cs="宋体" w:hint="eastAsia"/>
                <w:color w:val="auto"/>
                <w:sz w:val="21"/>
                <w:szCs w:val="21"/>
                <w:highlight w:val="none"/>
                <w:lang w:eastAsia="zh-CN"/>
              </w:rPr>
              <w:t>一年</w:t>
            </w:r>
            <w:r>
              <w:rPr>
                <w:rFonts w:ascii="宋体" w:eastAsia="宋体" w:hAnsi="宋体" w:cs="宋体" w:hint="eastAsia"/>
                <w:color w:val="auto"/>
                <w:sz w:val="21"/>
                <w:szCs w:val="21"/>
                <w:highlight w:val="none"/>
              </w:rPr>
              <w:t>以上保洁工作经验的，每有1人，得1分，满分10分。</w:t>
            </w:r>
          </w:p>
          <w:p>
            <w:pPr>
              <w:keepNext w:val="0"/>
              <w:keepLines w:val="0"/>
              <w:pageBreakBefore w:val="0"/>
              <w:widowControl/>
              <w:kinsoku/>
              <w:wordWrap/>
              <w:topLinePunct w:val="0"/>
              <w:bidi w:val="0"/>
              <w:snapToGrid/>
              <w:spacing w:line="380" w:lineRule="exact"/>
              <w:ind w:firstLine="420" w:firstLineChars="200"/>
              <w:rPr>
                <w:rFonts w:ascii="宋体" w:eastAsia="宋体" w:hAnsi="宋体" w:cs="宋体" w:hint="eastAsia"/>
                <w:color w:val="auto"/>
                <w:sz w:val="21"/>
                <w:szCs w:val="21"/>
                <w:highlight w:val="none"/>
              </w:rPr>
            </w:pPr>
            <w:r>
              <w:rPr>
                <w:rFonts w:ascii="宋体" w:eastAsia="宋体" w:hAnsi="宋体" w:cs="宋体" w:hint="eastAsia"/>
                <w:b/>
                <w:color w:val="auto"/>
                <w:sz w:val="21"/>
                <w:szCs w:val="21"/>
                <w:highlight w:val="none"/>
              </w:rPr>
              <w:t>注：投标人需提供拟投入人员清单及投入人员的相关认证或资格（职称）证书或同类工作年限证明，以及技术人员与投标单位签署的劳动合同（截止本项目开标当天合同仍在有效期内）复印件。一人多证不重复计分，且以最高级别计分，多个人具有同一种证书可同时计分。</w:t>
            </w:r>
          </w:p>
        </w:tc>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37分</w:t>
            </w:r>
          </w:p>
        </w:tc>
      </w:tr>
      <w:tr>
        <w:tblPrEx>
          <w:tblW w:w="9026" w:type="dxa"/>
          <w:jc w:val="center"/>
          <w:tblLayout w:type="fixed"/>
          <w:tblCellMar>
            <w:top w:w="0" w:type="dxa"/>
            <w:left w:w="108" w:type="dxa"/>
            <w:bottom w:w="0" w:type="dxa"/>
            <w:right w:w="108" w:type="dxa"/>
          </w:tblCellMar>
        </w:tblPrEx>
        <w:trPr>
          <w:jc w:val="center"/>
        </w:trPr>
        <w:tc>
          <w:tcPr>
            <w:tcW w:w="1077"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center"/>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color w:val="auto"/>
                <w:kern w:val="0"/>
                <w:sz w:val="21"/>
                <w:szCs w:val="21"/>
                <w:highlight w:val="none"/>
              </w:rPr>
              <w:t>合     计</w:t>
            </w:r>
          </w:p>
        </w:tc>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380" w:lineRule="exact"/>
              <w:jc w:val="both"/>
              <w:textAlignment w:val="baseline"/>
              <w:rPr>
                <w:rFonts w:ascii="宋体" w:eastAsia="宋体" w:hAnsi="宋体" w:cs="宋体" w:hint="eastAsia"/>
                <w:b/>
                <w:bCs/>
                <w:color w:val="auto"/>
                <w:kern w:val="0"/>
                <w:sz w:val="21"/>
                <w:szCs w:val="21"/>
                <w:highlight w:val="none"/>
              </w:rPr>
            </w:pPr>
            <w:r>
              <w:rPr>
                <w:rFonts w:ascii="宋体" w:eastAsia="宋体" w:hAnsi="宋体" w:cs="宋体" w:hint="eastAsia"/>
                <w:b/>
                <w:bCs w:val="0"/>
                <w:color w:val="auto"/>
                <w:w w:val="88"/>
                <w:sz w:val="21"/>
                <w:szCs w:val="21"/>
                <w:highlight w:val="none"/>
              </w:rPr>
              <w:t>100</w:t>
            </w:r>
            <w:r>
              <w:rPr>
                <w:rFonts w:ascii="宋体" w:eastAsia="宋体" w:hAnsi="宋体" w:cs="宋体" w:hint="eastAsia"/>
                <w:b/>
                <w:bCs w:val="0"/>
                <w:color w:val="auto"/>
                <w:w w:val="88"/>
                <w:sz w:val="21"/>
                <w:szCs w:val="21"/>
                <w:highlight w:val="none"/>
                <w:lang w:eastAsia="zh-CN"/>
              </w:rPr>
              <w:t>分</w:t>
            </w:r>
          </w:p>
        </w:tc>
      </w:tr>
    </w:tbl>
    <w:p>
      <w:pPr>
        <w:rPr>
          <w:color w:val="auto"/>
          <w:highlight w:val="none"/>
        </w:rPr>
      </w:pPr>
    </w:p>
    <w:p>
      <w:pPr>
        <w:topLinePunct/>
        <w:autoSpaceDE w:val="0"/>
        <w:autoSpaceDN w:val="0"/>
        <w:spacing w:line="360" w:lineRule="auto"/>
        <w:ind w:firstLine="420" w:firstLineChars="200"/>
        <w:rPr>
          <w:rFonts w:ascii="Times New Roman" w:hAnsi="Times New Roman"/>
          <w:color w:val="auto"/>
          <w:sz w:val="24"/>
          <w:highlight w:val="none"/>
        </w:rPr>
      </w:pPr>
      <w:r>
        <w:rPr>
          <w:rFonts w:ascii="Times New Roman" w:hAnsi="Times New Roman"/>
          <w:color w:val="auto"/>
          <w:szCs w:val="21"/>
          <w:highlight w:val="none"/>
        </w:rPr>
        <w:t>2.3 落实政府采购政策进行价格调整的规则：</w:t>
      </w:r>
    </w:p>
    <w:tbl>
      <w:tblPr>
        <w:tblStyle w:val="TableNormal"/>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709"/>
        <w:gridCol w:w="3544"/>
        <w:gridCol w:w="3731"/>
      </w:tblGrid>
      <w:tr>
        <w:tblPrEx>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b/>
                <w:color w:val="auto"/>
                <w:kern w:val="2"/>
                <w:sz w:val="21"/>
                <w:szCs w:val="21"/>
                <w:highlight w:val="none"/>
              </w:rPr>
            </w:pPr>
            <w:r>
              <w:rPr>
                <w:rFonts w:asciiTheme="minorEastAsia" w:eastAsiaTheme="minorEastAsia" w:hAnsiTheme="minorEastAsia"/>
                <w:b/>
                <w:color w:val="auto"/>
                <w:kern w:val="2"/>
                <w:sz w:val="21"/>
                <w:szCs w:val="21"/>
                <w:highlight w:val="none"/>
              </w:rPr>
              <w:t>政府采购政策</w:t>
            </w:r>
          </w:p>
        </w:tc>
        <w:tc>
          <w:tcPr>
            <w:tcW w:w="3544" w:type="dxa"/>
            <w:vAlign w:val="center"/>
          </w:tcPr>
          <w:p>
            <w:pPr>
              <w:pStyle w:val="null3"/>
              <w:widowControl w:val="0"/>
              <w:spacing w:line="360" w:lineRule="auto"/>
              <w:jc w:val="center"/>
              <w:rPr>
                <w:rFonts w:asciiTheme="minorEastAsia" w:eastAsiaTheme="minorEastAsia" w:hAnsiTheme="minorEastAsia" w:hint="default"/>
                <w:b/>
                <w:color w:val="auto"/>
                <w:kern w:val="2"/>
                <w:sz w:val="21"/>
                <w:szCs w:val="21"/>
                <w:highlight w:val="none"/>
              </w:rPr>
            </w:pPr>
            <w:r>
              <w:rPr>
                <w:rFonts w:asciiTheme="minorEastAsia" w:eastAsiaTheme="minorEastAsia" w:hAnsiTheme="minorEastAsia"/>
                <w:b/>
                <w:color w:val="auto"/>
                <w:kern w:val="2"/>
                <w:sz w:val="21"/>
                <w:szCs w:val="21"/>
                <w:highlight w:val="none"/>
              </w:rPr>
              <w:t>价格扣除规则</w:t>
            </w:r>
          </w:p>
        </w:tc>
        <w:tc>
          <w:tcPr>
            <w:tcW w:w="3731" w:type="dxa"/>
            <w:vAlign w:val="center"/>
          </w:tcPr>
          <w:p>
            <w:pPr>
              <w:pStyle w:val="null3"/>
              <w:widowControl w:val="0"/>
              <w:spacing w:line="360" w:lineRule="auto"/>
              <w:jc w:val="center"/>
              <w:rPr>
                <w:rFonts w:asciiTheme="minorEastAsia" w:eastAsiaTheme="minorEastAsia" w:hAnsiTheme="minorEastAsia" w:hint="default"/>
                <w:b/>
                <w:color w:val="auto"/>
                <w:kern w:val="2"/>
                <w:sz w:val="21"/>
                <w:szCs w:val="21"/>
                <w:highlight w:val="none"/>
              </w:rPr>
            </w:pPr>
            <w:r>
              <w:rPr>
                <w:rFonts w:asciiTheme="minorEastAsia" w:eastAsiaTheme="minorEastAsia" w:hAnsiTheme="minorEastAsia"/>
                <w:b/>
                <w:color w:val="auto"/>
                <w:kern w:val="2"/>
                <w:sz w:val="21"/>
                <w:szCs w:val="21"/>
                <w:highlight w:val="none"/>
              </w:rPr>
              <w:t>享受价格扣除的条件</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节约能源政策</w:t>
            </w:r>
          </w:p>
        </w:tc>
        <w:tc>
          <w:tcPr>
            <w:tcW w:w="3544"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c>
          <w:tcPr>
            <w:tcW w:w="3731"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保护环境政策</w:t>
            </w:r>
          </w:p>
        </w:tc>
        <w:tc>
          <w:tcPr>
            <w:tcW w:w="3544"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c>
          <w:tcPr>
            <w:tcW w:w="3731"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无</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促进中小企业</w:t>
            </w:r>
          </w:p>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发展政策</w:t>
            </w:r>
          </w:p>
        </w:tc>
        <w:tc>
          <w:tcPr>
            <w:tcW w:w="3544"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hint="eastAsia"/>
                <w:color w:val="auto"/>
                <w:highlight w:val="none"/>
              </w:rPr>
              <w:t>本项目属于专门面向小微企业预留采购的项目，按照《政府采购促进中小企业发展管理办法》（财库〔2020〕46号）规定，小微企业、监狱企业、残疾人福利性单位不再执行价格评审优惠的扶持政策。</w:t>
            </w:r>
          </w:p>
        </w:tc>
        <w:tc>
          <w:tcPr>
            <w:tcW w:w="3731" w:type="dxa"/>
            <w:vAlign w:val="center"/>
          </w:tcPr>
          <w:p>
            <w:pPr>
              <w:pStyle w:val="null3"/>
              <w:widowControl w:val="0"/>
              <w:spacing w:line="360" w:lineRule="auto"/>
              <w:jc w:val="both"/>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hint="default"/>
                <w:color w:val="auto"/>
                <w:kern w:val="2"/>
                <w:sz w:val="21"/>
                <w:szCs w:val="21"/>
                <w:highlight w:val="none"/>
              </w:rPr>
              <w:t>（1）在货物采购项目中，货物由中小企业制造，即货物由中小企业生产且使用该中小企业商号或者注册商标，不对其中涉及的工程承建商和服务的承接商作出要求；</w:t>
            </w:r>
          </w:p>
          <w:p>
            <w:pPr>
              <w:pStyle w:val="null3"/>
              <w:widowControl w:val="0"/>
              <w:spacing w:line="360" w:lineRule="auto"/>
              <w:jc w:val="both"/>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hint="default"/>
                <w:color w:val="auto"/>
                <w:kern w:val="2"/>
                <w:sz w:val="21"/>
                <w:szCs w:val="21"/>
                <w:highlight w:val="none"/>
              </w:rPr>
              <w:t>（</w:t>
            </w:r>
            <w:r>
              <w:rPr>
                <w:rFonts w:asciiTheme="minorEastAsia" w:eastAsiaTheme="minorEastAsia" w:hAnsiTheme="minorEastAsia"/>
                <w:color w:val="auto"/>
                <w:kern w:val="2"/>
                <w:sz w:val="21"/>
                <w:szCs w:val="21"/>
                <w:highlight w:val="none"/>
              </w:rPr>
              <w:t>2</w:t>
            </w:r>
            <w:r>
              <w:rPr>
                <w:rFonts w:asciiTheme="minorEastAsia" w:eastAsiaTheme="minorEastAsia" w:hAnsiTheme="minorEastAsia" w:hint="default"/>
                <w:color w:val="auto"/>
                <w:kern w:val="2"/>
                <w:sz w:val="21"/>
                <w:szCs w:val="21"/>
                <w:highlight w:val="none"/>
              </w:rPr>
              <w:t>）在服务采购项目中，服务由中小企业承接，即提供服务的人员为中小企业依照《中华人民共和国劳动合同法》订立劳动合同的从业人员，不对其中涉及的货物的制造商和工程承建商作出要求。</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促进残疾人就业政策</w:t>
            </w:r>
          </w:p>
        </w:tc>
        <w:tc>
          <w:tcPr>
            <w:tcW w:w="3544"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hint="eastAsia"/>
                <w:color w:val="auto"/>
                <w:highlight w:val="none"/>
              </w:rPr>
              <w:t>本项目属于专门面向小微企业预留采购的项目，按照《政府采购促进中小企业发展管理办法》（财库〔2020〕46号）规定，小微企业、监狱企业、残疾人福利性单位不再执行价格评审优惠的扶持政策。</w:t>
            </w:r>
          </w:p>
        </w:tc>
        <w:tc>
          <w:tcPr>
            <w:tcW w:w="3731"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color w:val="auto"/>
                <w:highlight w:val="none"/>
              </w:rPr>
              <w:t>投标人在其投标文件中提供该通知规定的《残疾人福利性单位声明函》，并对声明的真实性负责。</w:t>
            </w:r>
            <w:r>
              <w:rPr>
                <w:rFonts w:asciiTheme="minorEastAsia" w:eastAsiaTheme="minorEastAsia" w:hAnsiTheme="minorEastAsia" w:hint="eastAsia"/>
                <w:color w:val="auto"/>
                <w:highlight w:val="none"/>
              </w:rPr>
              <w:t>（投标人如能够在线查询的材料，请提供查询网址链接，可以不用同时提供纸质材料，原件备查）</w:t>
            </w:r>
          </w:p>
        </w:tc>
      </w:tr>
      <w:tr>
        <w:tblPrEx>
          <w:tblW w:w="8984" w:type="dxa"/>
          <w:jc w:val="center"/>
          <w:tblCellMar>
            <w:top w:w="0" w:type="dxa"/>
            <w:left w:w="108" w:type="dxa"/>
            <w:bottom w:w="0" w:type="dxa"/>
            <w:right w:w="108" w:type="dxa"/>
          </w:tblCellMar>
        </w:tblPrEx>
        <w:trPr>
          <w:jc w:val="center"/>
        </w:trPr>
        <w:tc>
          <w:tcPr>
            <w:tcW w:w="1709" w:type="dxa"/>
            <w:vAlign w:val="center"/>
          </w:tcPr>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支持监狱企业</w:t>
            </w:r>
          </w:p>
          <w:p>
            <w:pPr>
              <w:pStyle w:val="null3"/>
              <w:widowControl w:val="0"/>
              <w:spacing w:line="360" w:lineRule="auto"/>
              <w:jc w:val="center"/>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olor w:val="auto"/>
                <w:kern w:val="2"/>
                <w:sz w:val="21"/>
                <w:szCs w:val="21"/>
                <w:highlight w:val="none"/>
              </w:rPr>
              <w:t>发展政策</w:t>
            </w:r>
          </w:p>
        </w:tc>
        <w:tc>
          <w:tcPr>
            <w:tcW w:w="3544" w:type="dxa"/>
            <w:vAlign w:val="center"/>
          </w:tcPr>
          <w:p>
            <w:pPr>
              <w:pStyle w:val="PlainText"/>
              <w:spacing w:line="360" w:lineRule="auto"/>
              <w:rPr>
                <w:rFonts w:asciiTheme="minorEastAsia" w:eastAsiaTheme="minorEastAsia" w:hAnsiTheme="minorEastAsia"/>
                <w:color w:val="auto"/>
                <w:highlight w:val="none"/>
              </w:rPr>
            </w:pPr>
            <w:r>
              <w:rPr>
                <w:rFonts w:asciiTheme="minorEastAsia" w:eastAsiaTheme="minorEastAsia" w:hAnsiTheme="minorEastAsia" w:hint="eastAsia"/>
                <w:color w:val="auto"/>
                <w:highlight w:val="none"/>
              </w:rPr>
              <w:t>本项目属于专门面向小微企业预留采购的项目，按照《政府采购促进中小企业发展管理办法》（财库〔2020〕46号）规定，小微企业、监狱企业、残疾人福利性单位不再执行价格评审优惠的扶持政策。</w:t>
            </w:r>
          </w:p>
        </w:tc>
        <w:tc>
          <w:tcPr>
            <w:tcW w:w="3731" w:type="dxa"/>
            <w:vAlign w:val="center"/>
          </w:tcPr>
          <w:p>
            <w:pPr>
              <w:pStyle w:val="null3"/>
              <w:widowControl w:val="0"/>
              <w:spacing w:line="360" w:lineRule="auto"/>
              <w:rPr>
                <w:rFonts w:asciiTheme="minorEastAsia" w:eastAsiaTheme="minorEastAsia" w:hAnsiTheme="minorEastAsia" w:hint="default"/>
                <w:color w:val="auto"/>
                <w:kern w:val="2"/>
                <w:sz w:val="21"/>
                <w:szCs w:val="21"/>
                <w:highlight w:val="none"/>
              </w:rPr>
            </w:pPr>
            <w:r>
              <w:rPr>
                <w:rFonts w:asciiTheme="minorEastAsia" w:eastAsiaTheme="minorEastAsia" w:hAnsiTheme="minorEastAsia" w:cs="Courier New" w:hint="default"/>
                <w:color w:val="auto"/>
                <w:kern w:val="2"/>
                <w:sz w:val="21"/>
                <w:szCs w:val="21"/>
                <w:highlight w:val="none"/>
              </w:rPr>
              <w:t>投标人在其投标文件中提供由省级以上监狱管理局、戒毒管理局（含新疆生产建设兵团）出具的属于监狱企业的证明文件</w:t>
            </w:r>
          </w:p>
        </w:tc>
      </w:tr>
    </w:tbl>
    <w:p>
      <w:pPr>
        <w:pStyle w:val="null3"/>
        <w:widowControl w:val="0"/>
        <w:spacing w:line="360" w:lineRule="auto"/>
        <w:ind w:firstLine="420" w:firstLineChars="200"/>
        <w:jc w:val="both"/>
        <w:rPr>
          <w:rFonts w:ascii="Times New Roman" w:hAnsi="Times New Roman" w:hint="default"/>
          <w:color w:val="auto"/>
          <w:sz w:val="21"/>
          <w:szCs w:val="21"/>
          <w:highlight w:val="none"/>
        </w:rPr>
      </w:pPr>
      <w:r>
        <w:rPr>
          <w:rFonts w:ascii="Times New Roman" w:hAnsi="Times New Roman" w:hint="default"/>
          <w:color w:val="auto"/>
          <w:sz w:val="21"/>
          <w:szCs w:val="21"/>
          <w:highlight w:val="none"/>
        </w:rPr>
        <w:t>2.4推荐中标候选人</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2.4.1按评审后得分由高到低顺序排列。得分相同的，按投标报价由低到高顺序排列。得分且投标报价相同的并列。</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2.4.2本采购包推荐中标候选人的数量：</w:t>
      </w:r>
      <w:r>
        <w:rPr>
          <w:rFonts w:ascii="Times New Roman" w:hAnsi="Times New Roman" w:hint="eastAsia"/>
          <w:color w:val="auto"/>
          <w:szCs w:val="21"/>
          <w:highlight w:val="none"/>
          <w:u w:val="single"/>
        </w:rPr>
        <w:t>3</w:t>
      </w:r>
      <w:r>
        <w:rPr>
          <w:rFonts w:ascii="Times New Roman" w:hAnsi="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2.4.3中标人数量：</w:t>
      </w:r>
      <w:r>
        <w:rPr>
          <w:rFonts w:ascii="Times New Roman" w:hAnsi="Times New Roman" w:hint="eastAsia"/>
          <w:color w:val="auto"/>
          <w:szCs w:val="21"/>
          <w:highlight w:val="none"/>
          <w:u w:val="single"/>
        </w:rPr>
        <w:t>1</w:t>
      </w:r>
      <w:r>
        <w:rPr>
          <w:rFonts w:ascii="Times New Roman" w:hAnsi="Times New Roman"/>
          <w:color w:val="auto"/>
          <w:szCs w:val="21"/>
          <w:highlight w:val="none"/>
        </w:rPr>
        <w:t>家。</w:t>
      </w:r>
    </w:p>
    <w:p>
      <w:pPr>
        <w:widowControl/>
        <w:topLinePunct/>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中标候选人并列的，</w:t>
      </w:r>
      <w:r>
        <w:rPr>
          <w:rFonts w:ascii="宋体" w:hAnsi="宋体" w:hint="eastAsia"/>
          <w:color w:val="auto"/>
          <w:szCs w:val="21"/>
          <w:highlight w:val="none"/>
        </w:rPr>
        <w:t>按照</w:t>
      </w:r>
      <w:r>
        <w:rPr>
          <w:rFonts w:ascii="宋体" w:hAnsi="宋体" w:hint="eastAsia"/>
          <w:color w:val="auto"/>
          <w:szCs w:val="21"/>
          <w:highlight w:val="none"/>
          <w:u w:val="single"/>
        </w:rPr>
        <w:t>投标报价由低到高顺序排列；得分相同且投标报价相同的，按技术指标优劣顺序排列</w:t>
      </w:r>
      <w:r>
        <w:rPr>
          <w:rFonts w:ascii="宋体" w:hAnsi="宋体"/>
          <w:color w:val="auto"/>
          <w:szCs w:val="21"/>
          <w:highlight w:val="none"/>
        </w:rPr>
        <w:t>的方式确定中标人。</w:t>
      </w:r>
    </w:p>
    <w:p>
      <w:pPr>
        <w:rPr>
          <w:color w:val="auto"/>
          <w:szCs w:val="21"/>
          <w:highlight w:val="none"/>
        </w:rPr>
        <w:sectPr>
          <w:pgSz w:w="11906" w:h="16838"/>
          <w:pgMar w:top="1418" w:right="1418" w:bottom="1418" w:left="1418" w:header="851" w:footer="992" w:gutter="0"/>
          <w:cols w:num="1" w:space="720"/>
          <w:titlePg/>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第四章  政府采购合同文本</w:t>
      </w:r>
    </w:p>
    <w:p>
      <w:pPr>
        <w:pStyle w:val="PlainText"/>
        <w:jc w:val="center"/>
        <w:rPr>
          <w:rFonts w:ascii="华文中宋" w:eastAsia="华文中宋" w:hAnsi="华文中宋" w:cs="华文中宋"/>
          <w:bCs/>
          <w:color w:val="auto"/>
          <w:sz w:val="32"/>
          <w:szCs w:val="32"/>
          <w:highlight w:val="none"/>
        </w:rPr>
      </w:pPr>
    </w:p>
    <w:p>
      <w:pPr>
        <w:pStyle w:val="PlainText"/>
        <w:jc w:val="center"/>
        <w:rPr>
          <w:rFonts w:ascii="华文中宋" w:eastAsia="华文中宋" w:hAnsi="华文中宋" w:cs="华文中宋"/>
          <w:bCs/>
          <w:color w:val="auto"/>
          <w:sz w:val="32"/>
          <w:szCs w:val="32"/>
          <w:highlight w:val="none"/>
        </w:rPr>
      </w:pPr>
    </w:p>
    <w:p>
      <w:pPr>
        <w:ind w:left="420"/>
        <w:jc w:val="right"/>
        <w:rPr>
          <w:rFonts w:ascii="宋体" w:hAnsi="宋体"/>
          <w:color w:val="auto"/>
          <w:sz w:val="30"/>
          <w:szCs w:val="30"/>
          <w:highlight w:val="none"/>
        </w:rPr>
      </w:pPr>
      <w:r>
        <w:rPr>
          <w:rFonts w:ascii="宋体" w:hAnsi="宋体" w:hint="eastAsia"/>
          <w:color w:val="auto"/>
          <w:sz w:val="30"/>
          <w:szCs w:val="30"/>
          <w:highlight w:val="none"/>
        </w:rPr>
        <w:t xml:space="preserve">              中小企业预留合同：</w:t>
      </w:r>
      <w:r>
        <w:rPr>
          <w:rFonts w:ascii="Wingdings 2" w:hAnsi="Wingdings 2"/>
          <w:color w:val="auto"/>
          <w:sz w:val="30"/>
          <w:szCs w:val="30"/>
          <w:highlight w:val="none"/>
        </w:rPr>
        <w:sym w:font="Wingdings 2" w:char="F052"/>
      </w:r>
      <w:r>
        <w:rPr>
          <w:rFonts w:ascii="宋体" w:hAnsi="宋体" w:hint="eastAsia"/>
          <w:color w:val="auto"/>
          <w:sz w:val="30"/>
          <w:szCs w:val="30"/>
          <w:highlight w:val="none"/>
        </w:rPr>
        <w:t>是 □ 否</w:t>
      </w:r>
    </w:p>
    <w:p>
      <w:pPr>
        <w:ind w:left="420"/>
        <w:jc w:val="right"/>
        <w:rPr>
          <w:rFonts w:ascii="宋体" w:hAnsi="宋体"/>
          <w:color w:val="auto"/>
          <w:sz w:val="30"/>
          <w:szCs w:val="30"/>
          <w:highlight w:val="none"/>
        </w:rPr>
      </w:pPr>
      <w:r>
        <w:rPr>
          <w:rFonts w:ascii="宋体" w:hAnsi="宋体" w:hint="eastAsia"/>
          <w:color w:val="auto"/>
          <w:sz w:val="30"/>
          <w:szCs w:val="30"/>
          <w:highlight w:val="none"/>
        </w:rPr>
        <w:t xml:space="preserve">                           合 同 类 别：非信息化服务类</w:t>
      </w:r>
    </w:p>
    <w:p>
      <w:pPr>
        <w:rPr>
          <w:color w:val="auto"/>
          <w:highlight w:val="none"/>
        </w:rPr>
      </w:pPr>
    </w:p>
    <w:p>
      <w:pPr>
        <w:ind w:left="420"/>
        <w:jc w:val="center"/>
        <w:rPr>
          <w:rFonts w:ascii="黑体" w:eastAsia="黑体" w:hAnsi="宋体"/>
          <w:b/>
          <w:color w:val="auto"/>
          <w:sz w:val="44"/>
          <w:szCs w:val="44"/>
          <w:highlight w:val="none"/>
        </w:rPr>
      </w:pPr>
    </w:p>
    <w:p>
      <w:pPr>
        <w:ind w:left="420"/>
        <w:jc w:val="center"/>
        <w:rPr>
          <w:rFonts w:ascii="黑体" w:eastAsia="黑体" w:hAnsi="宋体"/>
          <w:b/>
          <w:color w:val="auto"/>
          <w:sz w:val="44"/>
          <w:szCs w:val="44"/>
          <w:highlight w:val="none"/>
        </w:rPr>
      </w:pPr>
      <w:r>
        <w:rPr>
          <w:rFonts w:ascii="黑体" w:eastAsia="黑体" w:hAnsi="宋体" w:hint="eastAsia"/>
          <w:b/>
          <w:color w:val="auto"/>
          <w:sz w:val="44"/>
          <w:szCs w:val="44"/>
          <w:highlight w:val="none"/>
        </w:rPr>
        <w:t>政 府 采 购 合 同</w:t>
      </w:r>
    </w:p>
    <w:p>
      <w:pPr>
        <w:ind w:left="420"/>
        <w:jc w:val="center"/>
        <w:rPr>
          <w:rFonts w:ascii="宋体" w:hAnsi="宋体"/>
          <w:color w:val="auto"/>
          <w:sz w:val="28"/>
          <w:szCs w:val="28"/>
          <w:highlight w:val="none"/>
        </w:rPr>
      </w:pPr>
    </w:p>
    <w:p>
      <w:pPr>
        <w:ind w:left="420"/>
        <w:jc w:val="center"/>
        <w:rPr>
          <w:rFonts w:ascii="宋体" w:hAnsi="宋体"/>
          <w:color w:val="auto"/>
          <w:sz w:val="28"/>
          <w:szCs w:val="28"/>
          <w:highlight w:val="none"/>
        </w:rPr>
      </w:pPr>
      <w:r>
        <w:rPr>
          <w:rFonts w:ascii="宋体" w:hAnsi="宋体" w:hint="eastAsia"/>
          <w:color w:val="auto"/>
          <w:sz w:val="28"/>
          <w:szCs w:val="28"/>
          <w:highlight w:val="none"/>
        </w:rPr>
        <w:t>（年 度</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w:t>
      </w: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jc w:val="center"/>
        <w:rPr>
          <w:rFonts w:ascii="宋体" w:hAnsi="宋体" w:cs="宋体"/>
          <w:color w:val="auto"/>
          <w:sz w:val="32"/>
          <w:szCs w:val="32"/>
          <w:highlight w:val="none"/>
        </w:rPr>
      </w:pPr>
    </w:p>
    <w:p>
      <w:pPr>
        <w:tabs>
          <w:tab w:val="left" w:pos="540"/>
          <w:tab w:val="left" w:pos="1080"/>
          <w:tab w:val="left" w:pos="1440"/>
        </w:tabs>
        <w:snapToGrid w:val="0"/>
        <w:ind w:left="1680" w:leftChars="800"/>
        <w:jc w:val="center"/>
        <w:rPr>
          <w:rFonts w:ascii="宋体" w:hAnsi="宋体" w:cs="宋体"/>
          <w:color w:val="auto"/>
          <w:sz w:val="32"/>
          <w:szCs w:val="32"/>
          <w:highlight w:val="none"/>
        </w:rPr>
      </w:pPr>
    </w:p>
    <w:p>
      <w:pPr>
        <w:tabs>
          <w:tab w:val="left" w:pos="2160"/>
        </w:tabs>
        <w:topLinePunct/>
        <w:autoSpaceDE w:val="0"/>
        <w:autoSpaceDN w:val="0"/>
        <w:snapToGrid w:val="0"/>
        <w:spacing w:line="360" w:lineRule="auto"/>
        <w:ind w:left="2100" w:leftChars="1000"/>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项目名称：</w:t>
      </w:r>
      <w:r>
        <w:rPr>
          <w:rFonts w:ascii="方正小标宋简体" w:eastAsia="方正小标宋简体" w:hAnsi="方正小标宋简体" w:cs="方正小标宋简体" w:hint="eastAsia"/>
          <w:bCs/>
          <w:color w:val="auto"/>
          <w:sz w:val="24"/>
          <w:szCs w:val="24"/>
          <w:highlight w:val="none"/>
          <w:u w:val="single"/>
        </w:rPr>
        <w:t xml:space="preserve">                   </w:t>
      </w:r>
    </w:p>
    <w:p>
      <w:pPr>
        <w:tabs>
          <w:tab w:val="left" w:pos="2160"/>
        </w:tabs>
        <w:topLinePunct/>
        <w:autoSpaceDE w:val="0"/>
        <w:autoSpaceDN w:val="0"/>
        <w:snapToGrid w:val="0"/>
        <w:spacing w:line="360" w:lineRule="auto"/>
        <w:ind w:left="2100" w:leftChars="1000"/>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包    号：</w:t>
      </w:r>
      <w:r>
        <w:rPr>
          <w:rFonts w:ascii="方正小标宋简体" w:eastAsia="方正小标宋简体" w:hAnsi="方正小标宋简体" w:cs="方正小标宋简体" w:hint="eastAsia"/>
          <w:bCs/>
          <w:color w:val="auto"/>
          <w:sz w:val="24"/>
          <w:szCs w:val="24"/>
          <w:highlight w:val="none"/>
          <w:u w:val="single"/>
        </w:rPr>
        <w:t xml:space="preserve">                   </w:t>
      </w:r>
    </w:p>
    <w:p>
      <w:pPr>
        <w:tabs>
          <w:tab w:val="left" w:pos="540"/>
          <w:tab w:val="left" w:pos="1080"/>
          <w:tab w:val="left" w:pos="1440"/>
        </w:tabs>
        <w:snapToGrid w:val="0"/>
        <w:spacing w:line="360" w:lineRule="auto"/>
        <w:ind w:left="2100" w:leftChars="1000"/>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合同编号：</w:t>
      </w:r>
      <w:r>
        <w:rPr>
          <w:rFonts w:ascii="方正小标宋简体" w:eastAsia="方正小标宋简体" w:hAnsi="方正小标宋简体" w:cs="方正小标宋简体" w:hint="eastAsia"/>
          <w:bCs/>
          <w:color w:val="auto"/>
          <w:sz w:val="24"/>
          <w:szCs w:val="24"/>
          <w:highlight w:val="none"/>
          <w:u w:val="single"/>
        </w:rPr>
        <w:t xml:space="preserve">                   </w:t>
      </w:r>
      <w:r>
        <w:rPr>
          <w:rFonts w:ascii="方正小标宋简体" w:eastAsia="方正小标宋简体" w:hAnsi="方正小标宋简体" w:cs="方正小标宋简体" w:hint="eastAsia"/>
          <w:bCs/>
          <w:color w:val="auto"/>
          <w:sz w:val="24"/>
          <w:szCs w:val="24"/>
          <w:highlight w:val="none"/>
        </w:rPr>
        <w:t xml:space="preserve"> </w:t>
      </w:r>
    </w:p>
    <w:p>
      <w:pPr>
        <w:tabs>
          <w:tab w:val="left" w:pos="2160"/>
        </w:tabs>
        <w:topLinePunct/>
        <w:autoSpaceDE w:val="0"/>
        <w:autoSpaceDN w:val="0"/>
        <w:snapToGrid w:val="0"/>
        <w:spacing w:line="360" w:lineRule="auto"/>
        <w:ind w:left="2880" w:hanging="1200" w:leftChars="800" w:hangingChars="500"/>
        <w:rPr>
          <w:rFonts w:ascii="方正小标宋简体" w:eastAsia="方正小标宋简体" w:hAnsi="方正小标宋简体" w:cs="方正小标宋简体"/>
          <w:bCs/>
          <w:color w:val="auto"/>
          <w:sz w:val="24"/>
          <w:szCs w:val="24"/>
          <w:highlight w:val="none"/>
        </w:rPr>
      </w:pPr>
    </w:p>
    <w:p>
      <w:pPr>
        <w:spacing w:line="460" w:lineRule="exact"/>
        <w:jc w:val="center"/>
        <w:rPr>
          <w:rFonts w:ascii="方正小标宋简体" w:eastAsia="方正小标宋简体" w:hAnsi="方正小标宋简体" w:cs="方正小标宋简体"/>
          <w:bCs/>
          <w:color w:val="auto"/>
          <w:sz w:val="24"/>
          <w:szCs w:val="24"/>
          <w:highlight w:val="none"/>
        </w:rPr>
      </w:pPr>
    </w:p>
    <w:p>
      <w:pPr>
        <w:tabs>
          <w:tab w:val="left" w:pos="3045"/>
        </w:tabs>
        <w:spacing w:line="460" w:lineRule="exact"/>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ab/>
      </w:r>
    </w:p>
    <w:p>
      <w:pPr>
        <w:spacing w:line="460" w:lineRule="exact"/>
        <w:rPr>
          <w:rFonts w:ascii="方正小标宋简体" w:eastAsia="方正小标宋简体" w:hAnsi="方正小标宋简体" w:cs="方正小标宋简体"/>
          <w:bCs/>
          <w:color w:val="auto"/>
          <w:sz w:val="24"/>
          <w:szCs w:val="24"/>
          <w:highlight w:val="none"/>
        </w:rPr>
      </w:pPr>
    </w:p>
    <w:p>
      <w:pPr>
        <w:spacing w:line="460" w:lineRule="exact"/>
        <w:jc w:val="center"/>
        <w:rPr>
          <w:rFonts w:ascii="方正小标宋简体" w:eastAsia="方正小标宋简体" w:hAnsi="方正小标宋简体" w:cs="方正小标宋简体"/>
          <w:bCs/>
          <w:color w:val="auto"/>
          <w:sz w:val="24"/>
          <w:szCs w:val="24"/>
          <w:highlight w:val="none"/>
        </w:rPr>
      </w:pPr>
    </w:p>
    <w:p>
      <w:pPr>
        <w:spacing w:line="300" w:lineRule="auto"/>
        <w:ind w:left="840" w:firstLine="1298" w:leftChars="400" w:firstLineChars="541"/>
        <w:rPr>
          <w:rFonts w:ascii="方正小标宋简体" w:eastAsia="方正小标宋简体" w:hAnsi="方正小标宋简体" w:cs="方正小标宋简体"/>
          <w:bCs/>
          <w:color w:val="auto"/>
          <w:sz w:val="24"/>
          <w:szCs w:val="24"/>
          <w:highlight w:val="none"/>
        </w:rPr>
      </w:pPr>
      <w:r>
        <w:rPr>
          <w:rFonts w:ascii="方正小标宋简体" w:eastAsia="方正小标宋简体" w:hAnsi="方正小标宋简体" w:cs="方正小标宋简体" w:hint="eastAsia"/>
          <w:bCs/>
          <w:color w:val="auto"/>
          <w:sz w:val="24"/>
          <w:szCs w:val="24"/>
          <w:highlight w:val="none"/>
        </w:rPr>
        <w:t>甲    方：</w:t>
      </w:r>
      <w:r>
        <w:rPr>
          <w:rFonts w:ascii="方正小标宋简体" w:eastAsia="方正小标宋简体" w:hAnsi="方正小标宋简体" w:cs="方正小标宋简体" w:hint="eastAsia"/>
          <w:bCs/>
          <w:color w:val="auto"/>
          <w:sz w:val="24"/>
          <w:szCs w:val="24"/>
          <w:highlight w:val="none"/>
          <w:u w:val="single"/>
        </w:rPr>
        <w:t>国家税务总局柳州市税务局</w:t>
      </w:r>
    </w:p>
    <w:p>
      <w:pPr>
        <w:spacing w:line="300" w:lineRule="auto"/>
        <w:ind w:left="840" w:firstLine="1298" w:leftChars="400" w:firstLineChars="541"/>
        <w:rPr>
          <w:rFonts w:ascii="方正小标宋简体" w:eastAsia="方正小标宋简体" w:hAnsi="方正小标宋简体" w:cs="方正小标宋简体"/>
          <w:bCs/>
          <w:color w:val="auto"/>
          <w:sz w:val="24"/>
          <w:szCs w:val="24"/>
          <w:highlight w:val="none"/>
          <w:u w:val="single"/>
        </w:rPr>
      </w:pPr>
      <w:r>
        <w:rPr>
          <w:rFonts w:ascii="方正小标宋简体" w:eastAsia="方正小标宋简体" w:hAnsi="方正小标宋简体" w:cs="方正小标宋简体" w:hint="eastAsia"/>
          <w:bCs/>
          <w:color w:val="auto"/>
          <w:sz w:val="24"/>
          <w:szCs w:val="24"/>
          <w:highlight w:val="none"/>
        </w:rPr>
        <w:t xml:space="preserve">乙    方： </w:t>
      </w:r>
      <w:r>
        <w:rPr>
          <w:rFonts w:ascii="方正小标宋简体" w:eastAsia="方正小标宋简体" w:hAnsi="方正小标宋简体" w:cs="方正小标宋简体" w:hint="eastAsia"/>
          <w:bCs/>
          <w:color w:val="auto"/>
          <w:sz w:val="24"/>
          <w:szCs w:val="24"/>
          <w:highlight w:val="none"/>
          <w:u w:val="single"/>
        </w:rPr>
        <w:t xml:space="preserve">                     </w:t>
      </w:r>
    </w:p>
    <w:p>
      <w:pPr>
        <w:spacing w:line="300" w:lineRule="auto"/>
        <w:ind w:left="840" w:firstLine="1298" w:leftChars="400" w:firstLineChars="541"/>
        <w:rPr>
          <w:rFonts w:ascii="方正小标宋简体" w:eastAsia="方正小标宋简体" w:hAnsi="方正小标宋简体" w:cs="方正小标宋简体"/>
          <w:bCs/>
          <w:color w:val="auto"/>
          <w:sz w:val="24"/>
          <w:szCs w:val="24"/>
          <w:highlight w:val="none"/>
          <w:u w:val="single"/>
        </w:rPr>
      </w:pPr>
      <w:r>
        <w:rPr>
          <w:rFonts w:ascii="方正小标宋简体" w:eastAsia="方正小标宋简体" w:hAnsi="方正小标宋简体" w:cs="方正小标宋简体" w:hint="eastAsia"/>
          <w:bCs/>
          <w:color w:val="auto"/>
          <w:sz w:val="24"/>
          <w:szCs w:val="24"/>
          <w:highlight w:val="none"/>
        </w:rPr>
        <w:t xml:space="preserve">日    期： </w:t>
      </w:r>
      <w:r>
        <w:rPr>
          <w:rFonts w:ascii="方正小标宋简体" w:eastAsia="方正小标宋简体" w:hAnsi="方正小标宋简体" w:cs="方正小标宋简体" w:hint="eastAsia"/>
          <w:bCs/>
          <w:color w:val="auto"/>
          <w:sz w:val="24"/>
          <w:szCs w:val="24"/>
          <w:highlight w:val="none"/>
          <w:u w:val="single"/>
        </w:rPr>
        <w:t xml:space="preserve">        年    月   日</w:t>
      </w:r>
    </w:p>
    <w:p>
      <w:pPr>
        <w:spacing w:line="300" w:lineRule="auto"/>
        <w:jc w:val="center"/>
        <w:rPr>
          <w:rFonts w:ascii="宋体" w:hAnsi="宋体" w:cs="宋体"/>
          <w:b/>
          <w:color w:val="auto"/>
          <w:sz w:val="24"/>
          <w:szCs w:val="24"/>
          <w:highlight w:val="none"/>
        </w:rPr>
      </w:pPr>
      <w:r>
        <w:rPr>
          <w:rFonts w:ascii="方正小标宋简体" w:eastAsia="方正小标宋简体" w:hAnsi="方正小标宋简体" w:cs="方正小标宋简体" w:hint="eastAsia"/>
          <w:bCs/>
          <w:color w:val="auto"/>
          <w:sz w:val="24"/>
          <w:szCs w:val="24"/>
          <w:highlight w:val="none"/>
          <w:u w:val="single"/>
        </w:rPr>
        <w:br w:type="page"/>
      </w:r>
      <w:r>
        <w:rPr>
          <w:rFonts w:ascii="宋体" w:hAnsi="宋体" w:cs="宋体" w:hint="eastAsia"/>
          <w:b/>
          <w:color w:val="auto"/>
          <w:sz w:val="24"/>
          <w:szCs w:val="24"/>
          <w:highlight w:val="none"/>
        </w:rPr>
        <w:t>合同条款前附表</w:t>
      </w:r>
    </w:p>
    <w:tbl>
      <w:tblPr>
        <w:tblStyle w:val="TableNormal"/>
        <w:tblpPr w:leftFromText="180" w:rightFromText="180" w:vertAnchor="text" w:horzAnchor="page" w:tblpX="1487" w:tblpY="525"/>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5"/>
        <w:gridCol w:w="409"/>
        <w:gridCol w:w="1738"/>
        <w:gridCol w:w="627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655" w:type="dxa"/>
            <w:vAlign w:val="center"/>
          </w:tcPr>
          <w:p>
            <w:pPr>
              <w:tabs>
                <w:tab w:val="left" w:pos="700"/>
              </w:tabs>
              <w:spacing w:line="312" w:lineRule="auto"/>
              <w:jc w:val="center"/>
              <w:rPr>
                <w:rFonts w:asciiTheme="minorEastAsia" w:eastAsiaTheme="minorEastAsia" w:hAnsiTheme="minorEastAsia" w:cs="宋体"/>
                <w:b/>
                <w:color w:val="auto"/>
                <w:szCs w:val="21"/>
                <w:highlight w:val="none"/>
              </w:rPr>
            </w:pPr>
            <w:r>
              <w:rPr>
                <w:rFonts w:asciiTheme="minorEastAsia" w:eastAsiaTheme="minorEastAsia" w:hAnsiTheme="minorEastAsia" w:cs="宋体" w:hint="eastAsia"/>
                <w:b/>
                <w:color w:val="auto"/>
                <w:szCs w:val="21"/>
                <w:highlight w:val="none"/>
              </w:rPr>
              <w:t>序号</w:t>
            </w:r>
          </w:p>
        </w:tc>
        <w:tc>
          <w:tcPr>
            <w:tcW w:w="8418" w:type="dxa"/>
            <w:gridSpan w:val="3"/>
            <w:vAlign w:val="center"/>
          </w:tcPr>
          <w:p>
            <w:pPr>
              <w:tabs>
                <w:tab w:val="left" w:pos="700"/>
              </w:tabs>
              <w:spacing w:line="312" w:lineRule="auto"/>
              <w:jc w:val="center"/>
              <w:rPr>
                <w:rFonts w:asciiTheme="minorEastAsia" w:eastAsiaTheme="minorEastAsia" w:hAnsiTheme="minorEastAsia" w:cs="宋体"/>
                <w:b/>
                <w:color w:val="auto"/>
                <w:szCs w:val="21"/>
                <w:highlight w:val="none"/>
              </w:rPr>
            </w:pPr>
            <w:r>
              <w:rPr>
                <w:rFonts w:asciiTheme="minorEastAsia" w:eastAsiaTheme="minorEastAsia" w:hAnsiTheme="minorEastAsia" w:cs="宋体" w:hint="eastAsia"/>
                <w:b/>
                <w:color w:val="auto"/>
                <w:szCs w:val="21"/>
                <w:highlight w:val="none"/>
              </w:rPr>
              <w:t>内        容</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合同名称</w:t>
            </w:r>
          </w:p>
        </w:tc>
        <w:tc>
          <w:tcPr>
            <w:tcW w:w="6271" w:type="dxa"/>
            <w:vAlign w:val="center"/>
          </w:tcPr>
          <w:p>
            <w:pPr>
              <w:tabs>
                <w:tab w:val="left" w:pos="700"/>
              </w:tabs>
              <w:spacing w:line="312" w:lineRule="auto"/>
              <w:rPr>
                <w:rFonts w:asciiTheme="minorEastAsia" w:eastAsiaTheme="minorEastAsia" w:hAnsiTheme="minorEastAsia" w:cs="宋体"/>
                <w:bCs/>
                <w:color w:val="auto"/>
                <w:szCs w:val="21"/>
                <w:highlight w:val="none"/>
              </w:rPr>
            </w:pPr>
            <w:r>
              <w:rPr>
                <w:rFonts w:asciiTheme="minorEastAsia" w:eastAsiaTheme="minorEastAsia" w:hAnsiTheme="minorEastAsia" w:cs="宋体" w:hint="eastAsia"/>
                <w:bCs/>
                <w:color w:val="auto"/>
                <w:szCs w:val="21"/>
                <w:highlight w:val="none"/>
              </w:rPr>
              <w:t>国家税务总局柳州市税务局2025-2026年物业管理服务项目</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2</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合同编号</w:t>
            </w:r>
          </w:p>
        </w:tc>
        <w:tc>
          <w:tcPr>
            <w:tcW w:w="6271" w:type="dxa"/>
            <w:vAlign w:val="center"/>
          </w:tcPr>
          <w:p>
            <w:pPr>
              <w:tabs>
                <w:tab w:val="left" w:pos="2160"/>
              </w:tabs>
              <w:topLinePunct/>
              <w:autoSpaceDE w:val="0"/>
              <w:autoSpaceDN w:val="0"/>
              <w:spacing w:line="312" w:lineRule="auto"/>
              <w:rPr>
                <w:rFonts w:asciiTheme="minorEastAsia" w:eastAsiaTheme="minorEastAsia" w:hAnsiTheme="minorEastAsia" w:cs="宋体"/>
                <w:bCs/>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3</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合同类型</w:t>
            </w:r>
          </w:p>
        </w:tc>
        <w:tc>
          <w:tcPr>
            <w:tcW w:w="6271" w:type="dxa"/>
            <w:vAlign w:val="center"/>
          </w:tcPr>
          <w:p>
            <w:pPr>
              <w:tabs>
                <w:tab w:val="left" w:pos="2160"/>
              </w:tabs>
              <w:topLinePunct/>
              <w:autoSpaceDE w:val="0"/>
              <w:autoSpaceDN w:val="0"/>
              <w:spacing w:line="312" w:lineRule="auto"/>
              <w:jc w:val="left"/>
              <w:rPr>
                <w:rFonts w:asciiTheme="minorEastAsia" w:eastAsiaTheme="minorEastAsia" w:hAnsiTheme="minorEastAsia" w:cs="宋体"/>
                <w:b/>
                <w:bCs/>
                <w:color w:val="auto"/>
                <w:szCs w:val="21"/>
                <w:highlight w:val="none"/>
              </w:rPr>
            </w:pPr>
            <w:r>
              <w:rPr>
                <w:rFonts w:asciiTheme="minorEastAsia" w:eastAsiaTheme="minorEastAsia" w:hAnsiTheme="minorEastAsia" w:cs="宋体" w:hint="eastAsia"/>
                <w:color w:val="auto"/>
                <w:szCs w:val="21"/>
                <w:highlight w:val="none"/>
              </w:rPr>
              <w:t>服务类</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4</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定价方式</w:t>
            </w:r>
          </w:p>
        </w:tc>
        <w:tc>
          <w:tcPr>
            <w:tcW w:w="6271" w:type="dxa"/>
            <w:vAlign w:val="center"/>
          </w:tcPr>
          <w:p>
            <w:pPr>
              <w:tabs>
                <w:tab w:val="left" w:pos="2160"/>
              </w:tabs>
              <w:topLinePunct/>
              <w:autoSpaceDE w:val="0"/>
              <w:autoSpaceDN w:val="0"/>
              <w:spacing w:line="312" w:lineRule="auto"/>
              <w:rPr>
                <w:rFonts w:asciiTheme="minorEastAsia" w:eastAsiaTheme="minorEastAsia" w:hAnsiTheme="minorEastAsia" w:cs="宋体"/>
                <w:b/>
                <w:bCs/>
                <w:color w:val="auto"/>
                <w:szCs w:val="21"/>
                <w:highlight w:val="none"/>
              </w:rPr>
            </w:pPr>
            <w:r>
              <w:rPr>
                <w:rFonts w:asciiTheme="minorEastAsia" w:eastAsiaTheme="minorEastAsia" w:hAnsiTheme="minorEastAsia" w:cs="宋体" w:hint="eastAsia"/>
                <w:color w:val="auto"/>
                <w:szCs w:val="21"/>
                <w:highlight w:val="none"/>
              </w:rPr>
              <w:t>固定总价</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restart"/>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5</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甲方名称</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国家税务总局柳州市税务局</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甲方地址</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广西柳州市城中区潭中东路26号</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restart"/>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甲方相关部门</w:t>
            </w:r>
          </w:p>
        </w:tc>
        <w:tc>
          <w:tcPr>
            <w:tcW w:w="1738"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甲方采购部门</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1738"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联系人</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1738"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联系电话</w:t>
            </w:r>
          </w:p>
        </w:tc>
        <w:tc>
          <w:tcPr>
            <w:tcW w:w="6271" w:type="dxa"/>
            <w:vAlign w:val="center"/>
          </w:tcPr>
          <w:p>
            <w:pPr>
              <w:pStyle w:val="PlainText"/>
              <w:spacing w:line="312" w:lineRule="auto"/>
              <w:jc w:val="left"/>
              <w:rPr>
                <w:rFonts w:asciiTheme="minorEastAsia" w:eastAsiaTheme="minorEastAsia" w:hAnsiTheme="minorEastAsia" w:cs="宋体"/>
                <w:color w:val="auto"/>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1738"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甲方需求部门</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1738"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联系人</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409" w:type="dxa"/>
            <w:vMerge/>
            <w:vAlign w:val="center"/>
          </w:tcPr>
          <w:p>
            <w:pPr>
              <w:tabs>
                <w:tab w:val="left" w:pos="700"/>
              </w:tabs>
              <w:spacing w:line="312" w:lineRule="auto"/>
              <w:jc w:val="center"/>
              <w:rPr>
                <w:rFonts w:asciiTheme="minorEastAsia" w:eastAsiaTheme="minorEastAsia" w:hAnsiTheme="minorEastAsia" w:cs="宋体"/>
                <w:color w:val="auto"/>
                <w:szCs w:val="21"/>
                <w:highlight w:val="none"/>
              </w:rPr>
            </w:pPr>
          </w:p>
        </w:tc>
        <w:tc>
          <w:tcPr>
            <w:tcW w:w="1738"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联系电话</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restart"/>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6</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乙方名称</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hRule="exact" w:val="789"/>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乙方企业性质</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大型企业 </w:t>
            </w:r>
            <w:r>
              <w:rPr>
                <w:rFonts w:asciiTheme="minorEastAsia" w:eastAsiaTheme="minorEastAsia" w:hAnsiTheme="minorEastAsia" w:cs="宋体"/>
                <w:color w:val="auto"/>
                <w:szCs w:val="21"/>
                <w:highlight w:val="none"/>
              </w:rPr>
              <w:t xml:space="preserve">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中型企业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小型企业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微型企业    </w:t>
            </w:r>
          </w:p>
          <w:p>
            <w:pPr>
              <w:tabs>
                <w:tab w:val="left" w:pos="700"/>
              </w:tabs>
              <w:spacing w:line="312" w:lineRule="auto"/>
              <w:rPr>
                <w:rFonts w:asciiTheme="minorEastAsia" w:eastAsiaTheme="minorEastAsia" w:hAnsiTheme="minorEastAsia" w:cs="宋体"/>
                <w:color w:val="auto"/>
                <w:szCs w:val="21"/>
                <w:highlight w:val="none"/>
              </w:rPr>
            </w:pP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监狱企业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残疾人福利性单位    </w:t>
            </w:r>
            <w:r>
              <w:rPr>
                <w:rFonts w:ascii="Wingdings 2" w:hAnsi="Wingdings 2" w:eastAsiaTheme="minorEastAsia" w:cs="宋体"/>
                <w:color w:val="auto"/>
                <w:szCs w:val="21"/>
                <w:highlight w:val="none"/>
              </w:rPr>
              <w:sym w:font="Wingdings 2" w:char="F0A3"/>
            </w:r>
            <w:r>
              <w:rPr>
                <w:rFonts w:asciiTheme="minorEastAsia" w:eastAsiaTheme="minorEastAsia" w:hAnsiTheme="minorEastAsia" w:cs="宋体" w:hint="eastAsia"/>
                <w:color w:val="auto"/>
                <w:szCs w:val="21"/>
                <w:highlight w:val="none"/>
              </w:rPr>
              <w:t xml:space="preserve"> 其他</w:t>
            </w: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乙方地址</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乙方联系人</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联系电话</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Merge/>
            <w:vAlign w:val="center"/>
          </w:tcPr>
          <w:p>
            <w:pPr>
              <w:widowControl/>
              <w:spacing w:line="312" w:lineRule="auto"/>
              <w:rPr>
                <w:rFonts w:asciiTheme="minorEastAsia" w:eastAsiaTheme="minorEastAsia" w:hAnsiTheme="minorEastAsia" w:cs="宋体"/>
                <w:color w:val="auto"/>
                <w:szCs w:val="21"/>
                <w:highlight w:val="none"/>
              </w:rPr>
            </w:pP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传真</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7</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合同金额</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人民币</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元整（¥</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w:t>
            </w:r>
          </w:p>
        </w:tc>
      </w:tr>
      <w:tr>
        <w:tblPrEx>
          <w:tblW w:w="0" w:type="auto"/>
          <w:tblInd w:w="0" w:type="dxa"/>
          <w:tblLayout w:type="fixed"/>
          <w:tblCellMar>
            <w:top w:w="0" w:type="dxa"/>
            <w:left w:w="108" w:type="dxa"/>
            <w:bottom w:w="0" w:type="dxa"/>
            <w:right w:w="108" w:type="dxa"/>
          </w:tblCellMar>
        </w:tblPrEx>
        <w:trPr>
          <w:trHeight w:val="1736"/>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8</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服务内容</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本项目为国家税务总局柳州市税务局各办公区提供物业管理服务，包括综合服务、供电设备监控维护、房屋的日常养护、公共设施设备的日常清洁养护及管理（含给排水系统管理维护、空调系统维护、消防系统管理维护、电梯运行维护）、保洁服务、绿化服务、秩序维护服务、会议服务、应急管理等各项工作。具体要求详见本项目招标文件。</w:t>
            </w:r>
          </w:p>
        </w:tc>
      </w:tr>
      <w:tr>
        <w:tblPrEx>
          <w:tblW w:w="0" w:type="auto"/>
          <w:tblInd w:w="0" w:type="dxa"/>
          <w:tblLayout w:type="fixed"/>
          <w:tblCellMar>
            <w:top w:w="0" w:type="dxa"/>
            <w:left w:w="108" w:type="dxa"/>
            <w:bottom w:w="0" w:type="dxa"/>
            <w:right w:w="108" w:type="dxa"/>
          </w:tblCellMar>
        </w:tblPrEx>
        <w:trPr>
          <w:trHeight w:val="2681"/>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9</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合同付款</w:t>
            </w:r>
          </w:p>
        </w:tc>
        <w:tc>
          <w:tcPr>
            <w:tcW w:w="6271" w:type="dxa"/>
            <w:vAlign w:val="center"/>
          </w:tcPr>
          <w:p>
            <w:pPr>
              <w:widowControl/>
              <w:spacing w:line="380" w:lineRule="exact"/>
              <w:ind w:firstLine="420" w:firstLineChars="200"/>
              <w:jc w:val="left"/>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合同以人民币结算，付款方式：</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（1）甲方采取每月定期（详见采购需求附件一：物业服务月度考核评分表）及不定期（详见采购需求附件二：物业服务日常工作考核评分表）方式对乙方进行考核。</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2）甲方于每月末最后一个工作日对本月物业服务进行定期考核，考核结论分“优”、“良”、“中”、“差”四档。其中：“优”为总分达95分以上，“良”为总分在90分以上不足95分，“中”为总分在85分以上不足90分，“差”为总分不足85分。</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考核结论为“优”的，不扣所属月份的物业服务费用；考核结论为“良”的，扣所属月份应付物业服务费的1%（取整到元）；考核结论为“中”的，扣所属月份应付物业服务费的2%（取整到元）；考核结论为“差”的，扣所属月份应付物业服务费的5%（取整到元）；累计三次考核结论为“差”，或由于乙方责任，在合同履行期间发生安全责任事故造成人员或财产损失的，甲方有权单方面解除合同，并不退还履约保证金。</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3）甲方对乙方的服务质量不定期抽查，检查记录经双方签字确认后保存在甲方处。甲方有权根据检查结果，按物业服务日常工作考核评分表（详见采购需求附件二）对乙方实施扣款，并下达书面整改通知责令乙方限期整改。乙方应派人参加每月考核，甲方发现问题则当场告知。乙方应根据考核发现问题，自甲方当场告知后5个工作日内提出整改意见，及时落实整改。</w:t>
            </w:r>
          </w:p>
          <w:p>
            <w:pPr>
              <w:tabs>
                <w:tab w:val="left" w:pos="700"/>
              </w:tabs>
              <w:topLinePunct/>
              <w:autoSpaceDE w:val="0"/>
              <w:autoSpaceDN w:val="0"/>
              <w:spacing w:line="312" w:lineRule="auto"/>
              <w:ind w:firstLine="420" w:firstLineChars="200"/>
              <w:rPr>
                <w:rFonts w:asciiTheme="minorEastAsia" w:eastAsiaTheme="minorEastAsia" w:hAnsiTheme="minorEastAsia" w:cs="宋体"/>
                <w:color w:val="auto"/>
                <w:szCs w:val="21"/>
                <w:highlight w:val="none"/>
              </w:rPr>
            </w:pPr>
            <w:r>
              <w:rPr>
                <w:rFonts w:ascii="宋体" w:hAnsi="宋体" w:cs="Calibri" w:hint="eastAsia"/>
                <w:color w:val="auto"/>
                <w:szCs w:val="21"/>
                <w:highlight w:val="none"/>
              </w:rPr>
              <w:t>（4）物业管理服务费按月支付，考核结果经甲方、乙方双方确认后的10个工作日内，乙方根据考核结果将请款函以及同等金额、合法有效的增值税普通发票开具给甲方，甲方在收齐以上请款材料的10个工作日内支付上月物业服务费。当月实际支付物业服务费=应付上月物业服务费-上月定期考核扣款-未支付的不定期考核扣款。</w:t>
            </w:r>
          </w:p>
        </w:tc>
      </w:tr>
      <w:tr>
        <w:tblPrEx>
          <w:tblW w:w="0" w:type="auto"/>
          <w:tblInd w:w="0" w:type="dxa"/>
          <w:tblLayout w:type="fixed"/>
          <w:tblCellMar>
            <w:top w:w="0" w:type="dxa"/>
            <w:left w:w="108" w:type="dxa"/>
            <w:bottom w:w="0" w:type="dxa"/>
            <w:right w:w="108" w:type="dxa"/>
          </w:tblCellMar>
        </w:tblPrEx>
        <w:trPr>
          <w:trHeight w:val="416"/>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10</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履约保证金及返还</w:t>
            </w:r>
          </w:p>
        </w:tc>
        <w:tc>
          <w:tcPr>
            <w:tcW w:w="6271" w:type="dxa"/>
            <w:vAlign w:val="center"/>
          </w:tcPr>
          <w:p>
            <w:pPr>
              <w:tabs>
                <w:tab w:val="left" w:pos="700"/>
              </w:tabs>
              <w:spacing w:line="312" w:lineRule="auto"/>
              <w:rPr>
                <w:rFonts w:ascii="宋体" w:hAnsi="宋体" w:cs="宋体"/>
                <w:color w:val="auto"/>
                <w:szCs w:val="21"/>
                <w:highlight w:val="none"/>
              </w:rPr>
            </w:pPr>
            <w:r>
              <w:rPr>
                <w:rFonts w:ascii="宋体" w:hAnsi="宋体" w:cs="宋体" w:hint="eastAsia"/>
                <w:color w:val="auto"/>
                <w:szCs w:val="21"/>
                <w:highlight w:val="none"/>
              </w:rPr>
              <w:t>□本项目不要求提供履约保证金。</w:t>
            </w:r>
          </w:p>
          <w:p>
            <w:pPr>
              <w:tabs>
                <w:tab w:val="left" w:pos="700"/>
              </w:tabs>
              <w:spacing w:line="312" w:lineRule="auto"/>
              <w:rPr>
                <w:rFonts w:ascii="宋体" w:hAnsi="宋体" w:cs="宋体"/>
                <w:color w:val="auto"/>
                <w:szCs w:val="21"/>
                <w:highlight w:val="none"/>
              </w:rPr>
            </w:pPr>
            <w:r>
              <w:rPr>
                <w:rFonts w:ascii="宋体" w:hAnsi="宋体" w:cs="宋体" w:hint="eastAsia"/>
                <w:color w:val="auto"/>
                <w:szCs w:val="21"/>
                <w:highlight w:val="none"/>
              </w:rPr>
              <w:t>☑本项目要求提供履约保证金。履约保证金为合同总金额的</w:t>
            </w:r>
            <w:r>
              <w:rPr>
                <w:rFonts w:ascii="宋体" w:hAnsi="宋体" w:cs="宋体" w:hint="eastAsia"/>
                <w:color w:val="auto"/>
                <w:szCs w:val="21"/>
                <w:highlight w:val="none"/>
                <w:u w:val="single"/>
              </w:rPr>
              <w:t>3</w:t>
            </w:r>
            <w:r>
              <w:rPr>
                <w:rFonts w:ascii="宋体" w:hAnsi="宋体" w:cs="宋体" w:hint="eastAsia"/>
                <w:color w:val="auto"/>
                <w:szCs w:val="21"/>
                <w:highlight w:val="none"/>
              </w:rPr>
              <w:t>%（取整到元），即人民币</w:t>
            </w:r>
            <w:r>
              <w:rPr>
                <w:rFonts w:ascii="宋体" w:hAnsi="宋体" w:cs="宋体" w:hint="eastAsia"/>
                <w:color w:val="auto"/>
                <w:szCs w:val="21"/>
                <w:highlight w:val="none"/>
                <w:u w:val="single"/>
                <w:lang w:val="en"/>
              </w:rPr>
              <w:t xml:space="preserve">    </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u w:val="single"/>
                <w:lang w:val="en"/>
              </w:rPr>
              <w:t xml:space="preserve"> </w:t>
            </w:r>
            <w:r>
              <w:rPr>
                <w:rFonts w:ascii="宋体" w:hAnsi="宋体" w:cs="宋体" w:hint="eastAsia"/>
                <w:color w:val="auto"/>
                <w:szCs w:val="21"/>
                <w:highlight w:val="none"/>
                <w:lang w:val="en"/>
              </w:rPr>
              <w:t>元</w:t>
            </w:r>
            <w:r>
              <w:rPr>
                <w:rFonts w:ascii="宋体" w:hAnsi="宋体" w:cs="宋体" w:hint="eastAsia"/>
                <w:color w:val="auto"/>
                <w:szCs w:val="21"/>
                <w:highlight w:val="none"/>
              </w:rPr>
              <w:t>整（¥</w:t>
            </w:r>
            <w:r>
              <w:rPr>
                <w:rFonts w:ascii="宋体" w:hAnsi="宋体" w:cs="宋体" w:hint="eastAsia"/>
                <w:color w:val="auto"/>
                <w:szCs w:val="21"/>
                <w:highlight w:val="none"/>
                <w:u w:val="single"/>
                <w:lang w:val="en"/>
              </w:rPr>
              <w:t xml:space="preserve">     </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u w:val="single"/>
                <w:lang w:val="en"/>
              </w:rPr>
              <w:t xml:space="preserve"> </w:t>
            </w:r>
            <w:r>
              <w:rPr>
                <w:rFonts w:ascii="宋体" w:hAnsi="宋体" w:cs="宋体" w:hint="eastAsia"/>
                <w:color w:val="auto"/>
                <w:szCs w:val="21"/>
                <w:highlight w:val="none"/>
              </w:rPr>
              <w:t>），乙方在签订合同前应提交履约保证金，否则，不予签订合同。提交方式为支票、汇票、本票或者金融机构、担保机构出具的保函等非现金形式。采用转账、电汇方式的，由乙方在签订合同前按规定的金额从乙方银行账户直接缴入甲方账户。</w:t>
            </w:r>
          </w:p>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合同期满，乙方应提供履约保证金返还申请（格式另附）、合同或合同关键页复印件、合同约定的其他资料，涉及验收的，应同时提交甲方需求部门出具的项目终验意见或质量保证期（服务期）满验收意见。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满足履约保证金返还条件且双方对核实结果无异议的，自完成核实之日起30日内，甲方根据项目验收意见扣除应扣除的款项（如有）后，原路无息返还履约保证金。</w:t>
            </w:r>
          </w:p>
        </w:tc>
      </w:tr>
      <w:tr>
        <w:tblPrEx>
          <w:tblW w:w="0" w:type="auto"/>
          <w:tblInd w:w="0" w:type="dxa"/>
          <w:tblLayout w:type="fixed"/>
          <w:tblCellMar>
            <w:top w:w="0" w:type="dxa"/>
            <w:left w:w="108" w:type="dxa"/>
            <w:bottom w:w="0" w:type="dxa"/>
            <w:right w:w="108" w:type="dxa"/>
          </w:tblCellMar>
        </w:tblPrEx>
        <w:trPr>
          <w:trHeight w:val="416"/>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11</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imes New Roman" w:hAnsi="Times New Roman"/>
                <w:color w:val="auto"/>
                <w:szCs w:val="21"/>
                <w:highlight w:val="none"/>
              </w:rPr>
              <w:t>合同履行期限</w:t>
            </w:r>
          </w:p>
        </w:tc>
        <w:tc>
          <w:tcPr>
            <w:tcW w:w="6271" w:type="dxa"/>
            <w:vAlign w:val="center"/>
          </w:tcPr>
          <w:p>
            <w:pPr>
              <w:tabs>
                <w:tab w:val="left" w:pos="700"/>
              </w:tabs>
              <w:spacing w:line="312" w:lineRule="auto"/>
              <w:rPr>
                <w:rFonts w:ascii="宋体" w:hAnsi="宋体" w:cs="宋体"/>
                <w:color w:val="auto"/>
                <w:szCs w:val="21"/>
                <w:highlight w:val="none"/>
              </w:rPr>
            </w:pPr>
            <w:r>
              <w:rPr>
                <w:rFonts w:ascii="Times New Roman" w:hAnsi="Times New Roman" w:hint="eastAsia"/>
                <w:color w:val="auto"/>
                <w:szCs w:val="21"/>
                <w:highlight w:val="none"/>
              </w:rPr>
              <w:t>服务期2年，具体时间从2025年1月1日起至2026年12月31日止。</w:t>
            </w:r>
          </w:p>
        </w:tc>
      </w:tr>
      <w:tr>
        <w:tblPrEx>
          <w:tblW w:w="0" w:type="auto"/>
          <w:tblInd w:w="0" w:type="dxa"/>
          <w:tblLayout w:type="fixed"/>
          <w:tblCellMar>
            <w:top w:w="0" w:type="dxa"/>
            <w:left w:w="108" w:type="dxa"/>
            <w:bottom w:w="0" w:type="dxa"/>
            <w:right w:w="108" w:type="dxa"/>
          </w:tblCellMar>
        </w:tblPrEx>
        <w:trPr>
          <w:trHeight w:val="567"/>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w:t>
            </w:r>
            <w:r>
              <w:rPr>
                <w:rFonts w:asciiTheme="minorEastAsia" w:eastAsiaTheme="minorEastAsia" w:hAnsiTheme="minorEastAsia" w:cs="宋体"/>
                <w:color w:val="auto"/>
                <w:szCs w:val="21"/>
                <w:highlight w:val="none"/>
              </w:rPr>
              <w:t>2</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合同履约地点</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国家税务总局柳州市税务局（潭中东路26号、潭中东路14号、第一稽查局、第三稽查局办公区）</w:t>
            </w:r>
          </w:p>
        </w:tc>
      </w:tr>
      <w:tr>
        <w:tblPrEx>
          <w:tblW w:w="0" w:type="auto"/>
          <w:tblInd w:w="0" w:type="dxa"/>
          <w:tblLayout w:type="fixed"/>
          <w:tblCellMar>
            <w:top w:w="0" w:type="dxa"/>
            <w:left w:w="108" w:type="dxa"/>
            <w:bottom w:w="0" w:type="dxa"/>
            <w:right w:w="108" w:type="dxa"/>
          </w:tblCellMar>
        </w:tblPrEx>
        <w:trPr>
          <w:trHeight w:val="450"/>
        </w:trPr>
        <w:tc>
          <w:tcPr>
            <w:tcW w:w="655" w:type="dxa"/>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1</w:t>
            </w:r>
            <w:r>
              <w:rPr>
                <w:rFonts w:asciiTheme="minorEastAsia" w:eastAsiaTheme="minorEastAsia" w:hAnsiTheme="minorEastAsia" w:cs="宋体"/>
                <w:color w:val="auto"/>
                <w:szCs w:val="21"/>
                <w:highlight w:val="none"/>
              </w:rPr>
              <w:t>3</w:t>
            </w:r>
          </w:p>
        </w:tc>
        <w:tc>
          <w:tcPr>
            <w:tcW w:w="2147" w:type="dxa"/>
            <w:gridSpan w:val="2"/>
            <w:vAlign w:val="center"/>
          </w:tcPr>
          <w:p>
            <w:pPr>
              <w:tabs>
                <w:tab w:val="left" w:pos="700"/>
              </w:tabs>
              <w:spacing w:line="312" w:lineRule="auto"/>
              <w:jc w:val="center"/>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合同纠纷解决方式</w:t>
            </w:r>
          </w:p>
        </w:tc>
        <w:tc>
          <w:tcPr>
            <w:tcW w:w="6271" w:type="dxa"/>
            <w:vAlign w:val="center"/>
          </w:tcPr>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甲乙双方应首先通过友好协商解决在执行本合同中所发生的或与本合同有关的一切争端。如从协商开始</w:t>
            </w:r>
            <w:r>
              <w:rPr>
                <w:rFonts w:asciiTheme="minorEastAsia" w:eastAsiaTheme="minorEastAsia" w:hAnsiTheme="minorEastAsia" w:cs="宋体" w:hint="eastAsia"/>
                <w:color w:val="auto"/>
                <w:szCs w:val="21"/>
                <w:highlight w:val="none"/>
                <w:u w:val="single"/>
              </w:rPr>
              <w:t>30</w:t>
            </w:r>
            <w:r>
              <w:rPr>
                <w:rFonts w:asciiTheme="minorEastAsia" w:eastAsiaTheme="minorEastAsia" w:hAnsiTheme="minorEastAsia" w:cs="宋体" w:hint="eastAsia"/>
                <w:color w:val="auto"/>
                <w:szCs w:val="21"/>
                <w:highlight w:val="none"/>
              </w:rPr>
              <w:t>天内仍不能解决，可以选择以下途径之一解决纠纷：</w:t>
            </w:r>
          </w:p>
          <w:p>
            <w:pPr>
              <w:tabs>
                <w:tab w:val="left" w:pos="700"/>
              </w:tabs>
              <w:spacing w:line="312" w:lineRule="auto"/>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□向甲方所在地仲裁委员会或</w:t>
            </w:r>
            <w:r>
              <w:rPr>
                <w:rFonts w:asciiTheme="minorEastAsia" w:eastAsiaTheme="minorEastAsia" w:hAnsiTheme="minorEastAsia" w:cs="宋体" w:hint="eastAsia"/>
                <w:color w:val="auto"/>
                <w:szCs w:val="21"/>
                <w:highlight w:val="none"/>
                <w:u w:val="single"/>
              </w:rPr>
              <w:t xml:space="preserve">        </w:t>
            </w:r>
            <w:r>
              <w:rPr>
                <w:rFonts w:asciiTheme="minorEastAsia" w:eastAsiaTheme="minorEastAsia" w:hAnsiTheme="minorEastAsia" w:cs="宋体" w:hint="eastAsia"/>
                <w:color w:val="auto"/>
                <w:szCs w:val="21"/>
                <w:highlight w:val="none"/>
              </w:rPr>
              <w:t>仲裁委员会申请仲裁</w:t>
            </w:r>
          </w:p>
          <w:p>
            <w:pPr>
              <w:tabs>
                <w:tab w:val="left" w:pos="700"/>
              </w:tabs>
              <w:spacing w:line="312" w:lineRule="auto"/>
              <w:rPr>
                <w:rFonts w:asciiTheme="minorEastAsia" w:eastAsiaTheme="minorEastAsia" w:hAnsiTheme="minorEastAsia" w:cs="宋体"/>
                <w:color w:val="auto"/>
                <w:szCs w:val="21"/>
                <w:highlight w:val="none"/>
              </w:rPr>
            </w:pPr>
            <w:r>
              <w:rPr>
                <w:rFonts w:ascii="MS Mincho" w:eastAsia="MS Mincho" w:hAnsi="MS Mincho" w:cs="MS Mincho" w:hint="eastAsia"/>
                <w:color w:val="auto"/>
                <w:szCs w:val="21"/>
                <w:highlight w:val="none"/>
              </w:rPr>
              <w:t>☑</w:t>
            </w:r>
            <w:r>
              <w:rPr>
                <w:rFonts w:ascii="宋体" w:hAnsi="宋体" w:cs="宋体" w:hint="eastAsia"/>
                <w:color w:val="auto"/>
                <w:szCs w:val="21"/>
                <w:highlight w:val="none"/>
              </w:rPr>
              <w:t>向甲方所在地人民法院或</w:t>
            </w:r>
            <w:r>
              <w:rPr>
                <w:rFonts w:asciiTheme="minorEastAsia" w:eastAsiaTheme="minorEastAsia" w:hAnsiTheme="minorEastAsia" w:cs="宋体" w:hint="eastAsia"/>
                <w:color w:val="auto"/>
                <w:szCs w:val="21"/>
                <w:highlight w:val="none"/>
                <w:u w:val="single"/>
              </w:rPr>
              <w:t>项目所在地有管辖权的</w:t>
            </w:r>
            <w:r>
              <w:rPr>
                <w:rFonts w:asciiTheme="minorEastAsia" w:eastAsiaTheme="minorEastAsia" w:hAnsiTheme="minorEastAsia" w:cs="宋体" w:hint="eastAsia"/>
                <w:color w:val="auto"/>
                <w:szCs w:val="21"/>
                <w:highlight w:val="none"/>
              </w:rPr>
              <w:t>人民法院提起诉讼</w:t>
            </w:r>
          </w:p>
        </w:tc>
      </w:tr>
    </w:tbl>
    <w:p>
      <w:pPr>
        <w:tabs>
          <w:tab w:val="left" w:pos="700"/>
        </w:tabs>
        <w:topLinePunct/>
        <w:autoSpaceDE w:val="0"/>
        <w:autoSpaceDN w:val="0"/>
        <w:spacing w:line="460" w:lineRule="exact"/>
        <w:rPr>
          <w:rFonts w:ascii="宋体" w:hAnsi="宋体" w:cs="宋体"/>
          <w:b/>
          <w:color w:val="auto"/>
          <w:sz w:val="24"/>
          <w:highlight w:val="none"/>
        </w:rPr>
      </w:pPr>
      <w:r>
        <w:rPr>
          <w:rFonts w:ascii="宋体" w:hAnsi="宋体" w:cs="宋体" w:hint="eastAsia"/>
          <w:b/>
          <w:color w:val="auto"/>
          <w:sz w:val="28"/>
          <w:highlight w:val="none"/>
        </w:rPr>
        <w:br w:type="page"/>
      </w:r>
    </w:p>
    <w:p>
      <w:pPr>
        <w:tabs>
          <w:tab w:val="left" w:pos="0"/>
        </w:tabs>
        <w:topLinePunct/>
        <w:autoSpaceDE w:val="0"/>
        <w:autoSpaceDN w:val="0"/>
        <w:spacing w:line="360" w:lineRule="auto"/>
        <w:jc w:val="center"/>
        <w:rPr>
          <w:rFonts w:ascii="宋体" w:hAnsi="宋体" w:cs="宋体"/>
          <w:b/>
          <w:color w:val="auto"/>
          <w:sz w:val="24"/>
          <w:highlight w:val="none"/>
        </w:rPr>
      </w:pPr>
      <w:r>
        <w:rPr>
          <w:rFonts w:ascii="宋体" w:hAnsi="宋体" w:cs="宋体" w:hint="eastAsia"/>
          <w:b/>
          <w:color w:val="auto"/>
          <w:sz w:val="24"/>
          <w:highlight w:val="none"/>
        </w:rPr>
        <w:t>一   合  同</w:t>
      </w:r>
    </w:p>
    <w:p>
      <w:pPr>
        <w:tabs>
          <w:tab w:val="left" w:pos="540"/>
        </w:tabs>
        <w:topLinePunct/>
        <w:autoSpaceDE w:val="0"/>
        <w:autoSpaceDN w:val="0"/>
        <w:spacing w:line="460" w:lineRule="exact"/>
        <w:rPr>
          <w:rFonts w:ascii="宋体" w:hAnsi="宋体" w:cs="宋体"/>
          <w:b/>
          <w:color w:val="auto"/>
          <w:sz w:val="24"/>
          <w:highlight w:val="none"/>
        </w:rPr>
      </w:pP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u w:val="single"/>
          <w:lang w:bidi="ar"/>
        </w:rPr>
        <w:t>国家税务总局柳州市税务局</w:t>
      </w:r>
      <w:r>
        <w:rPr>
          <w:rFonts w:asciiTheme="minorEastAsia" w:eastAsiaTheme="minorEastAsia" w:hAnsiTheme="minorEastAsia"/>
          <w:color w:val="auto"/>
          <w:szCs w:val="21"/>
          <w:highlight w:val="none"/>
        </w:rPr>
        <w:t>（以下简称“甲方”）通过</w:t>
      </w:r>
      <w:r>
        <w:rPr>
          <w:rFonts w:asciiTheme="minorEastAsia" w:eastAsiaTheme="minorEastAsia" w:hAnsiTheme="minorEastAsia" w:hint="eastAsia"/>
          <w:color w:val="auto"/>
          <w:szCs w:val="21"/>
          <w:highlight w:val="none"/>
          <w:u w:val="single"/>
        </w:rPr>
        <w:t>公开招标</w:t>
      </w:r>
      <w:r>
        <w:rPr>
          <w:rFonts w:asciiTheme="minorEastAsia" w:eastAsiaTheme="minorEastAsia" w:hAnsiTheme="minorEastAsia" w:hint="eastAsia"/>
          <w:color w:val="auto"/>
          <w:szCs w:val="21"/>
          <w:highlight w:val="none"/>
        </w:rPr>
        <w:t>方</w:t>
      </w:r>
      <w:r>
        <w:rPr>
          <w:rFonts w:asciiTheme="minorEastAsia" w:eastAsiaTheme="minorEastAsia" w:hAnsiTheme="minorEastAsia"/>
          <w:color w:val="auto"/>
          <w:szCs w:val="21"/>
          <w:highlight w:val="none"/>
        </w:rPr>
        <w:t>式采购，确定_____公司（以下简称“乙方”）为《</w:t>
      </w:r>
      <w:r>
        <w:rPr>
          <w:rFonts w:ascii="宋体" w:hAnsi="宋体" w:hint="eastAsia"/>
          <w:color w:val="auto"/>
          <w:szCs w:val="21"/>
          <w:highlight w:val="none"/>
        </w:rPr>
        <w:t>国家税务总局柳州市税务局2025-2026年物业管理服务项目</w:t>
      </w:r>
      <w:r>
        <w:rPr>
          <w:rFonts w:asciiTheme="minorEastAsia" w:eastAsiaTheme="minorEastAsia" w:hAnsiTheme="minorEastAsia"/>
          <w:color w:val="auto"/>
          <w:szCs w:val="21"/>
          <w:highlight w:val="none"/>
        </w:rPr>
        <w:t>》中标（成交）供应商。甲乙双方同意按照该项目招标（采购）文件约定的内容，签署《</w:t>
      </w:r>
      <w:r>
        <w:rPr>
          <w:rFonts w:ascii="宋体" w:hAnsi="宋体" w:hint="eastAsia"/>
          <w:color w:val="auto"/>
          <w:szCs w:val="21"/>
          <w:highlight w:val="none"/>
        </w:rPr>
        <w:t>国家税务总局柳州市税务局2025-2026年物业管理服务项目</w:t>
      </w:r>
      <w:r>
        <w:rPr>
          <w:rFonts w:asciiTheme="minorEastAsia" w:eastAsiaTheme="minorEastAsia" w:hAnsiTheme="minorEastAsia"/>
          <w:color w:val="auto"/>
          <w:szCs w:val="21"/>
          <w:highlight w:val="none"/>
        </w:rPr>
        <w:t>合同书》（合同编号：</w:t>
      </w:r>
      <w:r>
        <w:rPr>
          <w:rFonts w:asciiTheme="minorEastAsia" w:eastAsiaTheme="minorEastAsia" w:hAnsiTheme="minorEastAsia" w:hint="eastAsia"/>
          <w:color w:val="auto"/>
          <w:szCs w:val="21"/>
          <w:highlight w:val="none"/>
        </w:rPr>
        <w:t xml:space="preserve">       </w:t>
      </w:r>
      <w:r>
        <w:rPr>
          <w:rFonts w:asciiTheme="minorEastAsia" w:eastAsiaTheme="minorEastAsia" w:hAnsiTheme="minorEastAsia"/>
          <w:color w:val="auto"/>
          <w:szCs w:val="21"/>
          <w:highlight w:val="none"/>
        </w:rPr>
        <w:t>，以下简称“合同”</w:t>
      </w:r>
      <w:r>
        <w:rPr>
          <w:rFonts w:asciiTheme="minorEastAsia" w:eastAsiaTheme="minorEastAsia" w:hAnsiTheme="minorEastAsia" w:hint="eastAsia"/>
          <w:color w:val="auto"/>
          <w:szCs w:val="21"/>
          <w:highlight w:val="none"/>
        </w:rPr>
        <w:t>）</w:t>
      </w:r>
      <w:r>
        <w:rPr>
          <w:rFonts w:asciiTheme="minorEastAsia" w:eastAsiaTheme="minorEastAsia" w:hAnsiTheme="minorEastAsia"/>
          <w:color w:val="auto"/>
          <w:szCs w:val="21"/>
          <w:highlight w:val="none"/>
        </w:rPr>
        <w:t>。</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rPr>
        <w:t>1.合同文件</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本合同所附下列文件是构成本合同不可分割的部分：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（1）采购（项目）需求、招标（采购）文件规定的合同条款；</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（2）报价表（总报价表和分项报价表）；</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（3）投标文件技术部分和商务部分；</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（4）投标文件技术力量一览表</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（5）招标（采购）文件（另附）；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（6）投标（响应）文件（另附）；</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（7）甲、乙双方商定确认后的补充协议；</w:t>
      </w:r>
    </w:p>
    <w:p>
      <w:pPr>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hint="eastAsia"/>
          <w:color w:val="auto"/>
          <w:szCs w:val="21"/>
          <w:highlight w:val="none"/>
        </w:rPr>
        <w:t>（8）其他(根据实际情况需要增加的内容)。</w:t>
      </w:r>
    </w:p>
    <w:p>
      <w:pPr>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rPr>
        <w:t>2.合同范围和条件</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本合同的范围和条件应与上述合同文件的规定相一致。</w:t>
      </w:r>
    </w:p>
    <w:p>
      <w:pPr>
        <w:tabs>
          <w:tab w:val="left" w:pos="700"/>
        </w:tabs>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rPr>
        <w:t>3.合同金额</w:t>
      </w:r>
    </w:p>
    <w:p>
      <w:pPr>
        <w:tabs>
          <w:tab w:val="left" w:pos="700"/>
        </w:tabs>
        <w:topLinePunct/>
        <w:autoSpaceDE w:val="0"/>
        <w:autoSpaceDN w:val="0"/>
        <w:spacing w:line="360" w:lineRule="auto"/>
        <w:ind w:firstLine="420" w:firstLineChars="200"/>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本合同金额为人民币</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color w:val="auto"/>
          <w:szCs w:val="21"/>
          <w:highlight w:val="none"/>
        </w:rPr>
        <w:t>元整（¥</w:t>
      </w:r>
      <w:r>
        <w:rPr>
          <w:rFonts w:asciiTheme="minorEastAsia" w:eastAsiaTheme="minorEastAsia" w:hAnsiTheme="minorEastAsia"/>
          <w:color w:val="auto"/>
          <w:szCs w:val="21"/>
          <w:highlight w:val="none"/>
          <w:u w:val="single"/>
        </w:rPr>
        <w:t xml:space="preserve">          </w:t>
      </w:r>
      <w:r>
        <w:rPr>
          <w:rFonts w:asciiTheme="minorEastAsia" w:eastAsiaTheme="minorEastAsia" w:hAnsiTheme="minorEastAsia"/>
          <w:color w:val="auto"/>
          <w:szCs w:val="21"/>
          <w:highlight w:val="none"/>
        </w:rPr>
        <w:t>）。</w:t>
      </w:r>
    </w:p>
    <w:p>
      <w:pPr>
        <w:tabs>
          <w:tab w:val="left" w:pos="700"/>
        </w:tabs>
        <w:topLinePunct/>
        <w:autoSpaceDE w:val="0"/>
        <w:autoSpaceDN w:val="0"/>
        <w:spacing w:line="360" w:lineRule="auto"/>
        <w:ind w:firstLine="420" w:firstLineChars="200"/>
        <w:rPr>
          <w:rFonts w:asciiTheme="minorEastAsia" w:eastAsiaTheme="minorEastAsia" w:hAnsiTheme="minorEastAsia"/>
          <w:b/>
          <w:color w:val="auto"/>
          <w:szCs w:val="21"/>
          <w:highlight w:val="none"/>
        </w:rPr>
      </w:pPr>
      <w:r>
        <w:rPr>
          <w:rFonts w:asciiTheme="minorEastAsia" w:eastAsiaTheme="minorEastAsia" w:hAnsiTheme="minorEastAsia"/>
          <w:b/>
          <w:color w:val="auto"/>
          <w:szCs w:val="21"/>
          <w:highlight w:val="none"/>
          <w:lang w:val="en"/>
        </w:rPr>
        <w:t>4.</w:t>
      </w:r>
      <w:r>
        <w:rPr>
          <w:rFonts w:asciiTheme="minorEastAsia" w:eastAsiaTheme="minorEastAsia" w:hAnsiTheme="minorEastAsia"/>
          <w:b/>
          <w:color w:val="auto"/>
          <w:szCs w:val="21"/>
          <w:highlight w:val="none"/>
        </w:rPr>
        <w:t>付款条件</w:t>
      </w:r>
    </w:p>
    <w:p>
      <w:pPr>
        <w:widowControl/>
        <w:spacing w:line="380" w:lineRule="exact"/>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olor w:val="auto"/>
          <w:szCs w:val="21"/>
          <w:highlight w:val="none"/>
        </w:rPr>
        <w:t>合同以人民币结算，付款方式：</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（1）甲方采取每月定期（详见采购需求附件一：物业服务月度考核评分表）及不定期（详见采购需求附件二：物业服务日常工作考核评分表）方式对乙方进行考核。</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2）甲方于每月末最后一个工作日对本月物业服务进行定期考核，考核结论分“优”、“良”、“中”、“差”四档。其中：“优”为总分达95分以上，“良”为总分在90分以上不足95分，“中”为总分在85分以上不足90分，“差”为总分不足85分。</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考核结论为“优”的，不扣所属月份的物业服务费用；考核结论为“良”的，扣所属月份应付物业服务费的1%（取整到元）；考核结论为“中”的，扣所属月份应付物业服务费的2%（取整到元）；考核结论为“差”的，扣所属月份应付物业服务费的5%（取整到元）；累计三次考核结论为“差”，或由于乙方责任，在合同履行期间发生安全责任事故造成人员或财产损失的，甲方有权单方面解除合同，并不退还履约保证金。</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3）甲方对乙方的服务质量不定期抽查，检查记录经双方签字确认后保存在甲方处。甲方有权根据检查结果，按物业服务日常工作考核评分表（详见采购需求附件二）对乙方实施扣款，并下达书面整改通知责令乙方限期整改。乙方应派人参加每月考核，甲方发现问题则当场告知。乙方应根据考核发现问题，自甲方当场告知后5个工作日内提出整改意见，及时落实整改。</w:t>
      </w:r>
    </w:p>
    <w:p>
      <w:pPr>
        <w:spacing w:line="360" w:lineRule="auto"/>
        <w:ind w:firstLine="420" w:firstLineChars="200"/>
        <w:rPr>
          <w:rFonts w:asciiTheme="minorEastAsia" w:eastAsiaTheme="minorEastAsia" w:hAnsiTheme="minorEastAsia"/>
          <w:color w:val="auto"/>
          <w:szCs w:val="21"/>
          <w:highlight w:val="none"/>
        </w:rPr>
      </w:pPr>
      <w:r>
        <w:rPr>
          <w:rFonts w:ascii="宋体" w:hAnsi="宋体" w:cs="Calibri" w:hint="eastAsia"/>
          <w:color w:val="auto"/>
          <w:szCs w:val="21"/>
          <w:highlight w:val="none"/>
        </w:rPr>
        <w:t>（4）物业管理服务费按月支付，考核结果经甲方、乙方双方确认后的10个工作日内，乙方根据考核结果将请款函以及同等金额、合法有效的增值税普通发票开具给甲方，甲方在收齐以上请款材料的10个工作日内支付上月物业服务费。当月实际支付物业服务费=应付上月物业服务费-上月定期考核扣款-未支付的不定期考核扣款。</w:t>
      </w:r>
    </w:p>
    <w:p>
      <w:pPr>
        <w:pStyle w:val="1"/>
        <w:tabs>
          <w:tab w:val="left" w:pos="840"/>
        </w:tabs>
        <w:spacing w:line="360" w:lineRule="auto"/>
        <w:ind w:firstLine="420" w:firstLineChars="200"/>
        <w:jc w:val="both"/>
        <w:textAlignment w:val="baseline"/>
        <w:rPr>
          <w:rFonts w:asciiTheme="minorEastAsia" w:eastAsiaTheme="minorEastAsia" w:hAnsiTheme="minorEastAsia" w:cs="宋体"/>
          <w:b/>
          <w:bCs/>
          <w:color w:val="auto"/>
          <w:sz w:val="21"/>
          <w:szCs w:val="21"/>
          <w:highlight w:val="none"/>
        </w:rPr>
      </w:pPr>
      <w:r>
        <w:rPr>
          <w:rFonts w:asciiTheme="minorEastAsia" w:eastAsiaTheme="minorEastAsia" w:hAnsiTheme="minorEastAsia" w:cs="宋体"/>
          <w:b/>
          <w:bCs/>
          <w:color w:val="auto"/>
          <w:sz w:val="21"/>
          <w:szCs w:val="21"/>
          <w:highlight w:val="none"/>
        </w:rPr>
        <w:t>5.合同签订及生效</w:t>
      </w:r>
    </w:p>
    <w:p>
      <w:pPr>
        <w:pStyle w:val="1"/>
        <w:tabs>
          <w:tab w:val="left" w:pos="840"/>
        </w:tabs>
        <w:spacing w:line="360" w:lineRule="auto"/>
        <w:ind w:firstLine="420" w:firstLineChars="200"/>
        <w:jc w:val="both"/>
        <w:textAlignment w:val="baseline"/>
        <w:rPr>
          <w:rFonts w:asciiTheme="minorEastAsia" w:eastAsiaTheme="minorEastAsia" w:hAnsiTheme="minorEastAsia" w:cs="宋体"/>
          <w:color w:val="auto"/>
          <w:sz w:val="21"/>
          <w:szCs w:val="21"/>
          <w:highlight w:val="none"/>
        </w:rPr>
      </w:pPr>
      <w:r>
        <w:rPr>
          <w:rFonts w:asciiTheme="minorEastAsia" w:eastAsiaTheme="minorEastAsia" w:hAnsiTheme="minorEastAsia" w:cs="宋体"/>
          <w:color w:val="auto"/>
          <w:sz w:val="21"/>
          <w:szCs w:val="21"/>
          <w:highlight w:val="none"/>
        </w:rPr>
        <w:t>本合同一式</w:t>
      </w:r>
      <w:r>
        <w:rPr>
          <w:rFonts w:asciiTheme="minorEastAsia" w:eastAsiaTheme="minorEastAsia" w:hAnsiTheme="minorEastAsia" w:cs="宋体" w:hint="eastAsia"/>
          <w:color w:val="auto"/>
          <w:sz w:val="21"/>
          <w:szCs w:val="21"/>
          <w:highlight w:val="none"/>
          <w:u w:val="single"/>
          <w:lang w:val="en"/>
        </w:rPr>
        <w:t>七</w:t>
      </w:r>
      <w:r>
        <w:rPr>
          <w:rFonts w:asciiTheme="minorEastAsia" w:eastAsiaTheme="minorEastAsia" w:hAnsiTheme="minorEastAsia" w:cs="宋体"/>
          <w:color w:val="auto"/>
          <w:sz w:val="21"/>
          <w:szCs w:val="21"/>
          <w:highlight w:val="none"/>
        </w:rPr>
        <w:t>份，由甲乙双方法定代表人或被授权人签字并盖章后生效。</w:t>
      </w:r>
    </w:p>
    <w:p>
      <w:pPr>
        <w:pStyle w:val="1"/>
        <w:tabs>
          <w:tab w:val="left" w:pos="840"/>
        </w:tabs>
        <w:spacing w:line="360" w:lineRule="auto"/>
        <w:ind w:firstLine="420" w:firstLineChars="200"/>
        <w:jc w:val="both"/>
        <w:textAlignment w:val="baseline"/>
        <w:rPr>
          <w:rFonts w:ascii="宋体" w:eastAsia="宋体" w:hAnsi="宋体" w:cs="宋体"/>
          <w:color w:val="auto"/>
          <w:sz w:val="21"/>
          <w:szCs w:val="21"/>
          <w:highlight w:val="none"/>
        </w:rPr>
      </w:pPr>
      <w:r>
        <w:rPr>
          <w:rFonts w:asciiTheme="minorEastAsia" w:eastAsiaTheme="minorEastAsia" w:hAnsiTheme="minorEastAsia" w:cs="宋体"/>
          <w:color w:val="auto"/>
          <w:sz w:val="21"/>
          <w:szCs w:val="21"/>
          <w:highlight w:val="none"/>
        </w:rPr>
        <w:t>乙方由法定代表人签订合同的，应提供法定代表人身份证复印件；乙方由被授权人签订合同的，应提供授权委托书和法定代表人及被授权人身份证复印件。</w:t>
      </w:r>
    </w:p>
    <w:p>
      <w:pPr>
        <w:pStyle w:val="1"/>
        <w:tabs>
          <w:tab w:val="left" w:pos="840"/>
        </w:tabs>
        <w:snapToGrid w:val="0"/>
        <w:spacing w:after="156" w:line="360" w:lineRule="auto"/>
        <w:ind w:firstLine="420" w:firstLineChars="200"/>
        <w:rPr>
          <w:rFonts w:ascii="Times New Roman" w:hAnsi="Times New Roman"/>
          <w:color w:val="auto"/>
          <w:sz w:val="21"/>
          <w:szCs w:val="21"/>
          <w:highlight w:val="none"/>
        </w:rPr>
      </w:pPr>
    </w:p>
    <w:p>
      <w:pPr>
        <w:rPr>
          <w:rFonts w:ascii="Times New Roman" w:hAnsi="Times New Roman"/>
          <w:color w:val="auto"/>
          <w:szCs w:val="21"/>
          <w:highlight w:val="none"/>
        </w:rPr>
      </w:pPr>
      <w:r>
        <w:rPr>
          <w:rFonts w:ascii="Times New Roman" w:hAnsi="Times New Roman"/>
          <w:color w:val="auto"/>
          <w:szCs w:val="21"/>
          <w:highlight w:val="none"/>
        </w:rPr>
        <w:br w:type="page"/>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甲方：</w:t>
      </w:r>
      <w:r>
        <w:rPr>
          <w:rFonts w:ascii="Times New Roman" w:hAnsi="Times New Roman" w:hint="eastAsia"/>
          <w:color w:val="auto"/>
          <w:szCs w:val="21"/>
          <w:highlight w:val="none"/>
        </w:rPr>
        <w:t>国家税务总局柳州市税务局</w:t>
      </w:r>
      <w:r>
        <w:rPr>
          <w:rFonts w:ascii="Times New Roman" w:hAnsi="Times New Roman"/>
          <w:color w:val="auto"/>
          <w:szCs w:val="21"/>
          <w:highlight w:val="none"/>
        </w:rPr>
        <w:t xml:space="preserve">             乙方：</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签字：                                 </w:t>
      </w:r>
      <w:r>
        <w:rPr>
          <w:rFonts w:ascii="Times New Roman" w:hAnsi="Times New Roman" w:hint="eastAsia"/>
          <w:color w:val="auto"/>
          <w:szCs w:val="21"/>
          <w:highlight w:val="none"/>
        </w:rPr>
        <w:t xml:space="preserve">    </w:t>
      </w:r>
      <w:r>
        <w:rPr>
          <w:rFonts w:ascii="Times New Roman" w:hAnsi="Times New Roman"/>
          <w:color w:val="auto"/>
          <w:szCs w:val="21"/>
          <w:highlight w:val="none"/>
        </w:rPr>
        <w:t>签字：</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盖章：                                </w:t>
      </w:r>
      <w:r>
        <w:rPr>
          <w:rFonts w:ascii="Times New Roman" w:hAnsi="Times New Roman" w:hint="eastAsia"/>
          <w:color w:val="auto"/>
          <w:szCs w:val="21"/>
          <w:highlight w:val="none"/>
        </w:rPr>
        <w:t xml:space="preserve">    </w:t>
      </w:r>
      <w:r>
        <w:rPr>
          <w:rFonts w:ascii="Times New Roman" w:hAnsi="Times New Roman"/>
          <w:color w:val="auto"/>
          <w:szCs w:val="21"/>
          <w:highlight w:val="none"/>
        </w:rPr>
        <w:t xml:space="preserve"> 盖章： </w:t>
      </w:r>
    </w:p>
    <w:p>
      <w:pPr>
        <w:tabs>
          <w:tab w:val="left" w:pos="700"/>
        </w:tabs>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日期：    年    月    日              </w:t>
      </w:r>
      <w:r>
        <w:rPr>
          <w:rFonts w:ascii="Times New Roman" w:hAnsi="Times New Roman" w:hint="eastAsia"/>
          <w:color w:val="auto"/>
          <w:szCs w:val="21"/>
          <w:highlight w:val="none"/>
        </w:rPr>
        <w:t xml:space="preserve">     </w:t>
      </w:r>
      <w:r>
        <w:rPr>
          <w:rFonts w:ascii="Times New Roman" w:hAnsi="Times New Roman"/>
          <w:color w:val="auto"/>
          <w:szCs w:val="21"/>
          <w:highlight w:val="none"/>
        </w:rPr>
        <w:t>日期：     年   月   日</w:t>
      </w:r>
    </w:p>
    <w:p>
      <w:pPr>
        <w:topLinePunct/>
        <w:autoSpaceDE w:val="0"/>
        <w:autoSpaceDN w:val="0"/>
        <w:spacing w:line="360" w:lineRule="auto"/>
        <w:rPr>
          <w:rFonts w:ascii="Times New Roman" w:hAnsi="Times New Roman"/>
          <w:b/>
          <w:color w:val="auto"/>
          <w:szCs w:val="21"/>
          <w:highlight w:val="none"/>
        </w:rPr>
      </w:pPr>
    </w:p>
    <w:p>
      <w:pPr>
        <w:topLinePunct/>
        <w:autoSpaceDE w:val="0"/>
        <w:autoSpaceDN w:val="0"/>
        <w:spacing w:line="360" w:lineRule="auto"/>
        <w:jc w:val="center"/>
        <w:rPr>
          <w:rFonts w:ascii="宋体" w:hAnsi="宋体" w:cs="宋体"/>
          <w:b/>
          <w:color w:val="auto"/>
          <w:sz w:val="24"/>
          <w:highlight w:val="none"/>
        </w:rPr>
      </w:pPr>
    </w:p>
    <w:p>
      <w:pPr>
        <w:topLinePunct/>
        <w:autoSpaceDE w:val="0"/>
        <w:autoSpaceDN w:val="0"/>
        <w:spacing w:line="360" w:lineRule="auto"/>
        <w:jc w:val="center"/>
        <w:rPr>
          <w:rFonts w:ascii="宋体" w:hAnsi="宋体" w:cs="宋体"/>
          <w:b/>
          <w:color w:val="auto"/>
          <w:sz w:val="24"/>
          <w:highlight w:val="none"/>
        </w:rPr>
      </w:pPr>
    </w:p>
    <w:p>
      <w:pPr>
        <w:topLinePunct/>
        <w:autoSpaceDE w:val="0"/>
        <w:autoSpaceDN w:val="0"/>
        <w:spacing w:line="360" w:lineRule="auto"/>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hint="eastAsia"/>
          <w:b/>
          <w:color w:val="auto"/>
          <w:sz w:val="24"/>
          <w:highlight w:val="none"/>
        </w:rPr>
        <w:t>二   合 同 通 用 条 款</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 定义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本合同下列术语应解释为：</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1.1“甲方”是指</w:t>
      </w:r>
      <w:r>
        <w:rPr>
          <w:rFonts w:ascii="Times New Roman" w:hAnsi="Times New Roman" w:hint="eastAsia"/>
          <w:color w:val="auto"/>
          <w:szCs w:val="21"/>
          <w:highlight w:val="none"/>
        </w:rPr>
        <w:t>国家税务总局柳州市税务局</w:t>
      </w:r>
      <w:r>
        <w:rPr>
          <w:rFonts w:ascii="Times New Roman" w:hAnsi="Times New Roman"/>
          <w:color w:val="auto"/>
          <w:szCs w:val="21"/>
          <w:highlight w:val="none"/>
        </w:rPr>
        <w:t>。</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1.1.1“甲方采购部门”见“合同条款前附表”第5项“甲方采购部门”。</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1.1.2“甲方需求部门”见“合同条款前附表”第5项“甲方需求部门”。</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1.2“乙方”见“合同条款前附表”第6项“乙方名称”。</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1.4　“服务”是指乙方按照招标(采购)、投标(响应)文件要求，向采购人提供的服务。</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1.5　“项目现场”是指甲方指定的最终服务地点。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1.6 “天”除非特别指出，“天”均为自然天。</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2. 标准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w:t>
      </w:r>
      <w:r>
        <w:rPr>
          <w:rFonts w:ascii="Times New Roman" w:hAnsi="Times New Roman" w:hint="eastAsia"/>
          <w:color w:val="auto"/>
          <w:szCs w:val="21"/>
          <w:highlight w:val="none"/>
        </w:rPr>
        <w:t>服务标准：</w:t>
      </w:r>
      <w:r>
        <w:rPr>
          <w:rFonts w:ascii="Times New Roman" w:hAnsi="Times New Roman"/>
          <w:color w:val="auto"/>
          <w:szCs w:val="21"/>
          <w:highlight w:val="none"/>
        </w:rPr>
        <w:t>乙方为甲方交付或提供的服务应符合招标（采购）文件所述的标准，如果没有提及适用标准，则应符合相应的国家标准。这些标准必须是有关机构发布的最新版本的标准。</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2.2 除非技术要求中另有规定，计量单位均采用中华人民共和国法定计量单位。</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3. 服务</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Cs/>
          <w:color w:val="auto"/>
          <w:szCs w:val="21"/>
          <w:highlight w:val="none"/>
        </w:rPr>
        <w:t>3.1 本项目的“服务</w:t>
      </w:r>
      <w:r>
        <w:rPr>
          <w:rFonts w:ascii="Times New Roman" w:hAnsi="Times New Roman" w:hint="eastAsia"/>
          <w:bCs/>
          <w:color w:val="auto"/>
          <w:szCs w:val="21"/>
          <w:highlight w:val="none"/>
        </w:rPr>
        <w:t>内容</w:t>
      </w:r>
      <w:r>
        <w:rPr>
          <w:rFonts w:ascii="Times New Roman" w:hAnsi="Times New Roman"/>
          <w:bCs/>
          <w:color w:val="auto"/>
          <w:szCs w:val="21"/>
          <w:highlight w:val="none"/>
        </w:rPr>
        <w:t>”见“合同条款前附表”第8项“服务内容”。</w:t>
      </w:r>
    </w:p>
    <w:p>
      <w:pPr>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3.2  拟投入本项目的人员已进驻其他项目致使无法参与本项目实施的，乙方应当征得甲方同意后，派遣等于或优于拟投入人员水平和资质的其他人员参与本项目。</w:t>
      </w:r>
    </w:p>
    <w:p>
      <w:pPr>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3.3乙方应保证所提供的服务符合合同规定的要求。如不符时，乙方应负全责并尽快处理解决，由此造成的损失和相关费用由乙方负责，甲方保留终止合同及索赔的权利。</w:t>
      </w:r>
    </w:p>
    <w:p>
      <w:pPr>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3.4乙方应保证通过执行合同中全部方案后，可以取得本合同约定的结果，达到本合同约定的预期目标。对任何情况下出现的问题，应尽快提出解决方案。</w:t>
      </w:r>
    </w:p>
    <w:p>
      <w:pPr>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3.5如果乙方提供的服务和解决方案不符合甲方要求，或在规定的时间内没有弥补缺陷，甲方有权采取一切必要的补救措施，由此产生的费用全部由乙方负责。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3.6除合同条款另行规定外，伴随服务的费用应含在合同价中，不单独进行支付。</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4. 知识产权</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4.1 乙方应保证所提供的服务免受第三方提出侵犯其知识产权（专利权、商标权、软件著作权、版权等）的起诉。</w:t>
      </w:r>
      <w:r>
        <w:rPr>
          <w:rFonts w:ascii="Times New Roman" w:hAnsi="Times New Roman" w:hint="eastAsia"/>
          <w:color w:val="auto"/>
          <w:szCs w:val="21"/>
          <w:highlight w:val="none"/>
        </w:rPr>
        <w:t>因侵害他人知识产权而产生的法律责任，全部由乙方承担。</w:t>
      </w:r>
    </w:p>
    <w:p>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5. 保密条款</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 应以审慎态度避免泄漏、公开或传播甲方的信息；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 在开发过程中对数据的处理方式应事先得到甲方的许可；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 未经甲方书面许可，不得对有关信息进行修改、补充、复制；</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 未经甲方书面许可，不得将信息以任何方式（如E-mail）携带出甲方场所；</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 未经甲方书面许可，不得将信息透露给任何其他人； </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 严禁在提交的软件产品中设置远程维护接口和后门程序；</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 不得进行系统软硬件设备的远程维护；</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 甲方以书面形式提出的其他保密措施。</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5.4 甲乙双方如出现泄密行为，泄密方应承担相关的法律责任，包括但是不限于对由此给对方造成的经济损失进行赔偿。</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6. 履约验收要求</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6.2具体履约验收要求详见招标（采购）文件。</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7. 履约保证金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7.1 需提交履约保证金的项目，乙方应按照“合同条款前附表”第 10 项“履约保证金及返还”提交履约保证金。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7.2 履约保证金的金额可用于补偿甲方因乙方不能完成其合同义务而蒙受的损失。</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7.4 乙方不履行合同、或者履行合同义务不符合约定使得合同目的不能实现，履约保证金不予退还，并应按合同约定支付违约金、赔偿金等。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8．履约延误</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8.1 乙方应按照本合同的规定提供服务。</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9. 违约责任</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9.1　服务缺陷的补救措施和索赔</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9.1.1  如果乙方提供的服务不符合本合同约定以及招标文件、投标文件关于服务的要求和承诺，乙方应按照甲方同意的下列一种或几种方式结合起来解决索赔事宜：</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9.1.1.1  乙方同意将服务款项目退还给甲方，由此发生的一切费用和损失由乙方承担。如甲方以适当的条件和方法购买与未履约标的相类似的服务，乙方应负担新购买类似服务所超出的费用。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9.1.1.2  根据服务的质量状况以及甲方所遭受的损失，经过甲乙双方商定降低服务的价格。</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9.2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9.3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9.4除应支付甲方违约金等外，甲方有权根据合同或有关部门出具的检验证书向乙方提出索赔。</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9.5如果乙方对差异负有责任而甲方提出索赔，乙方同意按照下列方式解决索赔事宜：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如果在甲方发出索赔通知后10日内，乙方未作书面答复，上述索赔应视为已被乙方接受。如乙方未能在甲方发出索赔通知后10日内或甲方同意的延长期限内着手解决索赔事宜，甲方有权从乙方的合同款项中扣除索赔金额。</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9.6对于本协议未约定的、招标（采购）文件（技术部分）中约定的违约处理条款，按招标（采购）文件（技术部分）相关约定执行；对本协议与招标（采购）文件（技术部分）约定不同的违约处理条款，以本协议约定为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9.7</w:t>
      </w:r>
      <w:r>
        <w:rPr>
          <w:rFonts w:ascii="Times New Roman" w:hAnsi="Times New Roman" w:hint="eastAsia"/>
          <w:color w:val="auto"/>
          <w:szCs w:val="21"/>
          <w:highlight w:val="none"/>
        </w:rPr>
        <w:t>　乙方迟延履约或逾期履行其他合同义务的违约责任</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9.7.1</w:t>
      </w:r>
      <w:r>
        <w:rPr>
          <w:rFonts w:ascii="Times New Roman" w:hAnsi="Times New Roman" w:hint="eastAsia"/>
          <w:color w:val="auto"/>
          <w:szCs w:val="21"/>
          <w:highlight w:val="none"/>
        </w:rPr>
        <w:t>乙方应按照本合同规定的时间、地点提供服务。</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9.7.2</w:t>
      </w:r>
      <w:r>
        <w:rPr>
          <w:rFonts w:ascii="Times New Roman" w:hAnsi="Times New Roman" w:hint="eastAsia"/>
          <w:color w:val="auto"/>
          <w:szCs w:val="21"/>
          <w:highlight w:val="none"/>
        </w:rPr>
        <w:t>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9.7.3</w:t>
      </w:r>
      <w:r>
        <w:rPr>
          <w:rFonts w:ascii="Times New Roman" w:hAnsi="Times New Roman" w:hint="eastAsia"/>
          <w:color w:val="auto"/>
          <w:szCs w:val="21"/>
          <w:highlight w:val="none"/>
        </w:rPr>
        <w:t>除甲乙双方另有约定外，如果乙方没有按照合同规定的时间提供服务，且没有在甲方同意的延长的期限内进行补救时，甲方有权从服务款、履约保证金中扣除或要求乙方另行支付误期违约金而不影响合同项下的其他补救方法。违约金按每日合同金额的0.5%计收，直至提供服务为止。</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9.7.4</w:t>
      </w:r>
      <w:r>
        <w:rPr>
          <w:rFonts w:ascii="Times New Roman" w:hAnsi="Times New Roman" w:hint="eastAsia"/>
          <w:color w:val="auto"/>
          <w:szCs w:val="21"/>
          <w:highlight w:val="none"/>
        </w:rPr>
        <w:t>如果乙方延迟履约或逾期履行其他合同义务超过5日，甲方有权解除全部或部分合同，要求乙方支付合同金额的20%作为解约违约金并依其认为适当的条件和方法购买与未履约类似的服务，乙方应负担购买类似服务所超出的费用。但是，乙方应继续执行合同中未解除的部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9.8</w:t>
      </w:r>
      <w:r>
        <w:rPr>
          <w:rFonts w:ascii="Times New Roman" w:hAnsi="Times New Roman" w:hint="eastAsia"/>
          <w:color w:val="auto"/>
          <w:szCs w:val="21"/>
          <w:highlight w:val="none"/>
        </w:rPr>
        <w:t>未履行合同义务的违约责任</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9.8.1</w:t>
      </w:r>
      <w:r>
        <w:rPr>
          <w:rFonts w:ascii="Times New Roman" w:hAnsi="Times New Roman" w:hint="eastAsia"/>
          <w:color w:val="auto"/>
          <w:szCs w:val="21"/>
          <w:highlight w:val="none"/>
        </w:rPr>
        <w:t>守约方有权解除全部或部分合同。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9.8.2</w:t>
      </w:r>
      <w:r>
        <w:rPr>
          <w:rFonts w:ascii="Times New Roman" w:hAnsi="Times New Roman" w:hint="eastAsia"/>
          <w:color w:val="auto"/>
          <w:szCs w:val="21"/>
          <w:highlight w:val="none"/>
        </w:rPr>
        <w:t>不予退还全额履约保证金。</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9.8.3</w:t>
      </w:r>
      <w:r>
        <w:rPr>
          <w:rFonts w:ascii="Times New Roman" w:hAnsi="Times New Roman" w:hint="eastAsia"/>
          <w:color w:val="auto"/>
          <w:szCs w:val="21"/>
          <w:highlight w:val="none"/>
        </w:rPr>
        <w:t>由违约一方支付违约金，违约金标准见合同条款前附表。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9.8.4</w:t>
      </w:r>
      <w:r>
        <w:rPr>
          <w:rFonts w:ascii="Times New Roman" w:hAnsi="Times New Roman" w:hint="eastAsia"/>
          <w:color w:val="auto"/>
          <w:szCs w:val="21"/>
          <w:highlight w:val="none"/>
        </w:rPr>
        <w:t>违约金不足以弥补守约方实际损失、可预见或者应当预见的损失，由违约方全额予以赔偿。</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9.9</w:t>
      </w:r>
      <w:r>
        <w:rPr>
          <w:rFonts w:ascii="Times New Roman" w:hAnsi="Times New Roman" w:hint="eastAsia"/>
          <w:color w:val="auto"/>
          <w:szCs w:val="21"/>
          <w:highlight w:val="none"/>
        </w:rPr>
        <w:t>任一方违约，守约方因此支付的争议处理费用，包括但不限于诉讼费、律师费、鉴定费、调查费、公证费、诉讼财产保全责任保险费等均由违约方承担。</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10. 不可抗力</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10.2</w:t>
      </w:r>
      <w:r>
        <w:rPr>
          <w:rFonts w:ascii="Times New Roman" w:hAnsi="Times New Roman" w:hint="eastAsia"/>
          <w:color w:val="auto"/>
          <w:szCs w:val="21"/>
          <w:highlight w:val="none"/>
        </w:rPr>
        <w:t>如果合同双方因不可抗力而导致合同实施延误或合同无法实施，</w:t>
      </w:r>
      <w:r>
        <w:rPr>
          <w:rFonts w:ascii="Times New Roman" w:hAnsi="Times New Roman"/>
          <w:color w:val="auto"/>
          <w:szCs w:val="21"/>
          <w:highlight w:val="none"/>
        </w:rPr>
        <w:t>不应承担误期赔偿或终止合同的责任。</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11. 争端的解决</w:t>
      </w:r>
    </w:p>
    <w:p>
      <w:pPr>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13.1 甲乙双方应首先通过友好协商解决在执行本合同中所发生的或与本合同有关的一切争端。如协商开始30天内仍不能解决，可以按《合同前附表》规定的方式提起仲裁或诉讼。</w:t>
      </w:r>
    </w:p>
    <w:p>
      <w:pPr>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13.2.1诉讼应向甲方所在地人民法院提起诉讼。</w:t>
      </w:r>
    </w:p>
    <w:p>
      <w:pPr>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13.2.2诉讼费除人民法院另有判决外，应由败诉方负担。</w:t>
      </w:r>
    </w:p>
    <w:p>
      <w:pPr>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13.2.3在诉讼期间，除正在进行诉讼部分外，本合同的其它部分应继续执行。</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12. 违约终止合同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12.1 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12.2.1 乙方不履行合同义务或者履行合同义务不符合合同约定累计达两次的；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12.2.2 如果乙方未能在合同规定的期限或甲方同意延长的期限内提供服务，迟延累计达20日的；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12.2.4 乙方对重大紧急故障没有及时响应，或不能在规定时间内解决处理故障、恢复正常运行的；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12.2.5 乙方不能满足本项目技术需求的管理要求和规范，且经两次整改无明显改进的；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12.2.7 乙方在本项目实施过程中发生违反网络安全规定行为造成不良后果的。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12.2.8 乙方提供的服务侵犯甲方、第三方知识产权等合法权益的；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12.2.9 乙方或乙方人员造成甲方或第三方经济损失而拒不赔偿的；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12.2.10 乙方转让其应履行的合同义务，或未经甲方同意采取分包方式履行合同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12.2.11 乙方有其他严重违约行为的。</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12.3如果甲方根据上述第12.2条的规定，解除了全部或部分合同，甲方可以适当的条件和方法购买乙方未能提供的服务，乙方应对甲方购买类似服务所超出的费用负责。同时，乙方应继续执行合同中未解除的部分。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13. 破产终止合同</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13.1 如果乙方破产或无清偿能力，甲方可在任何时候以书面形式通知乙方终止合同而不给乙方补偿。</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13.2该终止合同将不损害或影响甲方已经采取或将要采取的任何行动或补救措施的权利。</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14. 其他情况的终止合同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14.1　若合同继续履行将给甲方造成重大损失的，甲方可以终止合同而不给予乙方任何补偿。</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14.2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14.3 在服务期内，由于甲方工作计划调整，推广使用新应用系统导致本项目相关服务停止的，甲方可以提出终止合同而不给予乙方任何补偿。</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14.4　甲方因重大变故取消或部分取消原来的采购任务，导致合同全部或部分内容无须继续履行的，可以终止合同而不给予乙方任何补偿。</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15. 合同修改或变更</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15.1如无合同约定或法定事由，甲乙双方不得擅自变更合同。</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15.2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15.3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15.4 由于甲方项目统一规划等原因导致本项目停止部分服务的，甲方将启动合同变更程序，与乙方协商变更相关合同条款。</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15.5 在不改变合同其他条款的前提下，甲方有权在合同价款10%的范围内追加与合同标的相同的货物或服务，并就此与乙方签订补充合同，乙方不得拒绝。</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16. 转让和分包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16.1 除甲方事先书面同意外，乙方不得部分转让或全部转让其应履行的合同义务。</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17. 合同语言</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17.1 本合同语言为中文。</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17.2 双方交换的与合同有关的信件和其他文件应用合同语言书写。</w:t>
      </w:r>
    </w:p>
    <w:p>
      <w:pPr>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18. 适用法律</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18.1</w:t>
      </w:r>
      <w:r>
        <w:rPr>
          <w:rFonts w:ascii="Times New Roman" w:hAnsi="Times New Roman" w:hint="eastAsia"/>
          <w:color w:val="auto"/>
          <w:szCs w:val="21"/>
          <w:highlight w:val="none"/>
        </w:rPr>
        <w:t>本合同适用中华人民共和国现行法律、行政法规和规章，如合同条款与法律、行政法规和规章不一致的，按照法律、行政法规和规章修改本合同。</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18.2 本合同的履行、违约责任和解决争议的方法等适用《中华人民共和国民法典（合同编）》。</w:t>
      </w:r>
    </w:p>
    <w:p>
      <w:pPr>
        <w:topLinePunct/>
        <w:autoSpaceDE w:val="0"/>
        <w:autoSpaceDN w:val="0"/>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19. 税费</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19.1 乙方应依法缴纳的合同服务相关税费，均已包含于合同总金额中，甲方不再另行支付。</w:t>
      </w:r>
    </w:p>
    <w:p>
      <w:pPr>
        <w:spacing w:line="440" w:lineRule="exact"/>
        <w:ind w:firstLine="420" w:firstLineChars="200"/>
        <w:rPr>
          <w:rFonts w:ascii="Times New Roman" w:hAnsi="Times New Roman" w:cs="Courier New"/>
          <w:color w:val="auto"/>
          <w:szCs w:val="21"/>
          <w:highlight w:val="none"/>
        </w:rPr>
      </w:pPr>
      <w:r>
        <w:rPr>
          <w:rFonts w:ascii="Times New Roman" w:hAnsi="Times New Roman" w:cs="Courier New"/>
          <w:color w:val="auto"/>
          <w:szCs w:val="21"/>
          <w:highlight w:val="none"/>
        </w:rPr>
        <w:t>20.</w:t>
      </w:r>
      <w:r>
        <w:rPr>
          <w:rFonts w:ascii="Times New Roman" w:hAnsi="Times New Roman" w:cs="Courier New" w:hint="eastAsia"/>
          <w:color w:val="auto"/>
          <w:szCs w:val="21"/>
          <w:highlight w:val="none"/>
        </w:rPr>
        <w:t>合同效力</w:t>
      </w:r>
    </w:p>
    <w:p>
      <w:pPr>
        <w:spacing w:line="440" w:lineRule="exact"/>
        <w:ind w:firstLine="420" w:firstLineChars="200"/>
        <w:rPr>
          <w:rFonts w:ascii="Times New Roman" w:hAnsi="Times New Roman" w:cs="Courier New"/>
          <w:color w:val="auto"/>
          <w:szCs w:val="21"/>
          <w:highlight w:val="none"/>
        </w:rPr>
      </w:pPr>
      <w:r>
        <w:rPr>
          <w:rFonts w:ascii="Times New Roman" w:hAnsi="Times New Roman" w:cs="Courier New"/>
          <w:color w:val="auto"/>
          <w:szCs w:val="21"/>
          <w:highlight w:val="none"/>
        </w:rPr>
        <w:t>20.1</w:t>
      </w:r>
      <w:r>
        <w:rPr>
          <w:rFonts w:ascii="Times New Roman" w:hAnsi="Times New Roman" w:cs="Courier New" w:hint="eastAsia"/>
          <w:color w:val="auto"/>
          <w:szCs w:val="21"/>
          <w:highlight w:val="none"/>
        </w:rPr>
        <w:t>　除本合同和甲乙双方书面签署的补充协议外，其他任何形式的双方约定和往来函件均不具有合同效力，对本项目无约束。</w:t>
      </w:r>
    </w:p>
    <w:p>
      <w:pPr>
        <w:spacing w:line="440" w:lineRule="exact"/>
        <w:ind w:firstLine="420" w:firstLineChars="200"/>
        <w:rPr>
          <w:rFonts w:ascii="Times New Roman" w:hAnsi="Times New Roman" w:cs="Courier New"/>
          <w:color w:val="auto"/>
          <w:szCs w:val="21"/>
          <w:highlight w:val="none"/>
        </w:rPr>
      </w:pPr>
      <w:r>
        <w:rPr>
          <w:rFonts w:ascii="Times New Roman" w:hAnsi="Times New Roman" w:cs="Courier New"/>
          <w:color w:val="auto"/>
          <w:szCs w:val="21"/>
          <w:highlight w:val="none"/>
        </w:rPr>
        <w:t>21.</w:t>
      </w:r>
      <w:r>
        <w:rPr>
          <w:rFonts w:ascii="Times New Roman" w:hAnsi="Times New Roman" w:cs="Courier New" w:hint="eastAsia"/>
          <w:color w:val="auto"/>
          <w:szCs w:val="21"/>
          <w:highlight w:val="none"/>
        </w:rPr>
        <w:t>检查和审计</w:t>
      </w:r>
    </w:p>
    <w:p>
      <w:pPr>
        <w:spacing w:line="440" w:lineRule="exact"/>
        <w:ind w:firstLine="420" w:firstLineChars="200"/>
        <w:rPr>
          <w:rFonts w:ascii="Times New Roman" w:hAnsi="Times New Roman" w:cs="Courier New"/>
          <w:color w:val="auto"/>
          <w:szCs w:val="21"/>
          <w:highlight w:val="none"/>
        </w:rPr>
      </w:pPr>
      <w:r>
        <w:rPr>
          <w:rFonts w:ascii="Times New Roman" w:hAnsi="Times New Roman" w:cs="Courier New"/>
          <w:color w:val="auto"/>
          <w:szCs w:val="21"/>
          <w:highlight w:val="none"/>
        </w:rPr>
        <w:t>21.1</w:t>
      </w:r>
      <w:r>
        <w:rPr>
          <w:rFonts w:ascii="Times New Roman" w:hAnsi="Times New Roman" w:cs="Courier New" w:hint="eastAsia"/>
          <w:color w:val="auto"/>
          <w:szCs w:val="21"/>
          <w:highlight w:val="none"/>
        </w:rPr>
        <w:t>在本合同的履行过程中，甲方有权对乙方的合同履约情况进行阶段性检查，并对乙方投标时提供的相关资料进行复核。</w:t>
      </w:r>
    </w:p>
    <w:p>
      <w:pPr>
        <w:spacing w:line="440" w:lineRule="exact"/>
        <w:ind w:firstLine="420" w:firstLineChars="200"/>
        <w:rPr>
          <w:rFonts w:ascii="Times New Roman" w:hAnsi="Times New Roman" w:cs="Courier New"/>
          <w:color w:val="auto"/>
          <w:szCs w:val="21"/>
          <w:highlight w:val="none"/>
        </w:rPr>
      </w:pPr>
      <w:r>
        <w:rPr>
          <w:rFonts w:ascii="Times New Roman" w:hAnsi="Times New Roman" w:cs="Courier New"/>
          <w:color w:val="auto"/>
          <w:szCs w:val="21"/>
          <w:highlight w:val="none"/>
        </w:rPr>
        <w:t>21.2</w:t>
      </w:r>
      <w:r>
        <w:rPr>
          <w:rFonts w:ascii="Times New Roman" w:hAnsi="Times New Roman" w:cs="Courier New" w:hint="eastAsia"/>
          <w:color w:val="auto"/>
          <w:szCs w:val="21"/>
          <w:highlight w:val="none"/>
        </w:rPr>
        <w:t>　在本合同的履行过程中，如果甲乙双方发生争议或者乙方没有按照合同约定履行义务，乙方应允许甲方检查乙方与实施本合同有关的账户和记录，并由甲方指定的审计人员对其进行审计。</w:t>
      </w:r>
    </w:p>
    <w:p>
      <w:pPr>
        <w:tabs>
          <w:tab w:val="left" w:pos="700"/>
        </w:tabs>
        <w:spacing w:line="360" w:lineRule="auto"/>
        <w:ind w:firstLine="420" w:firstLineChars="200"/>
        <w:rPr>
          <w:rFonts w:ascii="Times New Roman" w:hAnsi="Times New Roman"/>
          <w:b/>
          <w:color w:val="auto"/>
          <w:szCs w:val="21"/>
          <w:highlight w:val="none"/>
        </w:rPr>
      </w:pPr>
      <w:r>
        <w:rPr>
          <w:rFonts w:ascii="Times New Roman" w:hAnsi="Times New Roman"/>
          <w:b/>
          <w:color w:val="auto"/>
          <w:szCs w:val="21"/>
          <w:highlight w:val="none"/>
        </w:rPr>
        <w:t xml:space="preserve">22. </w:t>
      </w:r>
      <w:r>
        <w:rPr>
          <w:rFonts w:ascii="Times New Roman" w:hAnsi="Times New Roman" w:hint="eastAsia"/>
          <w:b/>
          <w:color w:val="auto"/>
          <w:szCs w:val="21"/>
          <w:highlight w:val="none"/>
        </w:rPr>
        <w:t>合同生效</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22.1 </w:t>
      </w:r>
      <w:r>
        <w:rPr>
          <w:rFonts w:ascii="Times New Roman" w:hAnsi="Times New Roman" w:hint="eastAsia"/>
          <w:color w:val="auto"/>
          <w:szCs w:val="21"/>
          <w:highlight w:val="none"/>
        </w:rPr>
        <w:t>本合同一式七份，</w:t>
      </w:r>
      <w:r>
        <w:rPr>
          <w:rFonts w:ascii="Times New Roman" w:hAnsi="Times New Roman" w:hint="eastAsia"/>
          <w:color w:val="auto"/>
          <w:highlight w:val="none"/>
        </w:rPr>
        <w:t>应在甲方收到乙方提供的履约保证金，</w:t>
      </w:r>
      <w:r>
        <w:rPr>
          <w:rFonts w:ascii="Times New Roman" w:hAnsi="Times New Roman" w:hint="eastAsia"/>
          <w:color w:val="auto"/>
          <w:szCs w:val="21"/>
          <w:highlight w:val="none"/>
        </w:rPr>
        <w:t>由甲乙双方法定代表人或被授权人签字并盖章后生效。</w:t>
      </w:r>
    </w:p>
    <w:p>
      <w:pPr>
        <w:spacing w:line="360" w:lineRule="auto"/>
        <w:ind w:firstLine="420" w:firstLineChars="200"/>
        <w:rPr>
          <w:rFonts w:ascii="Times New Roman" w:hAnsi="Times New Roman"/>
          <w:color w:val="auto"/>
          <w:szCs w:val="21"/>
          <w:highlight w:val="none"/>
        </w:rPr>
      </w:pPr>
    </w:p>
    <w:p>
      <w:pPr>
        <w:spacing w:line="360" w:lineRule="auto"/>
        <w:ind w:firstLine="420" w:firstLineChars="200"/>
        <w:rPr>
          <w:rFonts w:ascii="Times New Roman" w:hAnsi="Times New Roman"/>
          <w:color w:val="auto"/>
          <w:szCs w:val="21"/>
          <w:highlight w:val="none"/>
        </w:rPr>
      </w:pPr>
    </w:p>
    <w:p>
      <w:pPr>
        <w:spacing w:line="360" w:lineRule="auto"/>
        <w:ind w:firstLine="420" w:firstLineChars="200"/>
        <w:rPr>
          <w:rFonts w:ascii="Times New Roman" w:hAnsi="Times New Roman"/>
          <w:color w:val="auto"/>
          <w:szCs w:val="21"/>
          <w:highlight w:val="none"/>
        </w:rPr>
      </w:pPr>
    </w:p>
    <w:p>
      <w:pPr>
        <w:spacing w:line="360" w:lineRule="auto"/>
        <w:ind w:firstLine="420" w:firstLineChars="200"/>
        <w:rPr>
          <w:rFonts w:ascii="Times New Roman" w:hAnsi="Times New Roman"/>
          <w:color w:val="auto"/>
          <w:szCs w:val="21"/>
          <w:highlight w:val="none"/>
        </w:rPr>
      </w:pPr>
    </w:p>
    <w:p>
      <w:pPr>
        <w:rPr>
          <w:rFonts w:ascii="宋体" w:hAnsi="宋体" w:cs="宋体"/>
          <w:color w:val="auto"/>
          <w:sz w:val="24"/>
          <w:highlight w:val="none"/>
        </w:rPr>
      </w:pPr>
      <w:r>
        <w:rPr>
          <w:rFonts w:ascii="宋体" w:hAnsi="宋体" w:cs="宋体" w:hint="eastAsia"/>
          <w:color w:val="auto"/>
          <w:sz w:val="24"/>
          <w:highlight w:val="none"/>
        </w:rPr>
        <w:br w:type="page"/>
      </w:r>
    </w:p>
    <w:p>
      <w:pPr>
        <w:ind w:firstLine="480" w:firstLineChars="200"/>
        <w:rPr>
          <w:rFonts w:ascii="宋体" w:hAnsi="宋体" w:cs="宋体"/>
          <w:color w:val="auto"/>
          <w:sz w:val="24"/>
          <w:highlight w:val="none"/>
        </w:rPr>
      </w:pPr>
    </w:p>
    <w:p>
      <w:pPr>
        <w:topLinePunct/>
        <w:autoSpaceDE w:val="0"/>
        <w:autoSpaceDN w:val="0"/>
        <w:spacing w:line="360" w:lineRule="auto"/>
        <w:ind w:firstLine="960" w:firstLineChars="400"/>
        <w:rPr>
          <w:rFonts w:ascii="宋体" w:hAnsi="宋体" w:cs="宋体"/>
          <w:b/>
          <w:color w:val="auto"/>
          <w:sz w:val="24"/>
          <w:highlight w:val="none"/>
        </w:rPr>
      </w:pPr>
      <w:r>
        <w:rPr>
          <w:rFonts w:ascii="宋体" w:hAnsi="宋体" w:cs="宋体" w:hint="eastAsia"/>
          <w:b/>
          <w:color w:val="auto"/>
          <w:sz w:val="24"/>
          <w:highlight w:val="none"/>
        </w:rPr>
        <w:t>三、合同附件（与正件装订成册）</w:t>
      </w:r>
    </w:p>
    <w:p>
      <w:pPr>
        <w:topLinePunct/>
        <w:autoSpaceDE w:val="0"/>
        <w:autoSpaceDN w:val="0"/>
        <w:spacing w:line="360" w:lineRule="auto"/>
        <w:ind w:firstLine="960" w:firstLineChars="400"/>
        <w:rPr>
          <w:rFonts w:ascii="宋体" w:hAnsi="宋体" w:cs="宋体"/>
          <w:b/>
          <w:color w:val="auto"/>
          <w:sz w:val="24"/>
          <w:highlight w:val="none"/>
        </w:rPr>
      </w:pPr>
      <w:r>
        <w:rPr>
          <w:rFonts w:ascii="宋体" w:hAnsi="宋体" w:cs="宋体" w:hint="eastAsia"/>
          <w:b/>
          <w:color w:val="auto"/>
          <w:sz w:val="24"/>
          <w:highlight w:val="none"/>
        </w:rPr>
        <w:t>（一）服务内容一览表（乙方填制）；</w:t>
      </w:r>
    </w:p>
    <w:p>
      <w:pPr>
        <w:topLinePunct/>
        <w:autoSpaceDE w:val="0"/>
        <w:autoSpaceDN w:val="0"/>
        <w:spacing w:line="360" w:lineRule="auto"/>
        <w:ind w:firstLine="960" w:firstLineChars="400"/>
        <w:rPr>
          <w:rFonts w:ascii="宋体" w:hAnsi="宋体" w:cs="宋体"/>
          <w:b/>
          <w:color w:val="auto"/>
          <w:sz w:val="24"/>
          <w:highlight w:val="none"/>
        </w:rPr>
      </w:pPr>
      <w:r>
        <w:rPr>
          <w:rFonts w:ascii="宋体" w:hAnsi="宋体" w:cs="宋体" w:hint="eastAsia"/>
          <w:b/>
          <w:color w:val="auto"/>
          <w:sz w:val="24"/>
          <w:highlight w:val="none"/>
        </w:rPr>
        <w:t>（二）投标（响应）文件报价表部分（乙方提供）；</w:t>
      </w:r>
    </w:p>
    <w:p>
      <w:pPr>
        <w:topLinePunct/>
        <w:autoSpaceDE w:val="0"/>
        <w:autoSpaceDN w:val="0"/>
        <w:spacing w:line="360" w:lineRule="auto"/>
        <w:ind w:firstLine="960" w:firstLineChars="400"/>
        <w:rPr>
          <w:rFonts w:ascii="宋体" w:hAnsi="宋体" w:cs="宋体"/>
          <w:b/>
          <w:color w:val="auto"/>
          <w:sz w:val="24"/>
          <w:highlight w:val="none"/>
        </w:rPr>
      </w:pPr>
      <w:r>
        <w:rPr>
          <w:rFonts w:ascii="宋体" w:hAnsi="宋体" w:cs="宋体" w:hint="eastAsia"/>
          <w:b/>
          <w:color w:val="auto"/>
          <w:sz w:val="24"/>
          <w:highlight w:val="none"/>
        </w:rPr>
        <w:t>（三）投标（响应）文件技术部分和商务部分（乙方提供）；</w:t>
      </w:r>
    </w:p>
    <w:p>
      <w:pPr>
        <w:topLinePunct/>
        <w:autoSpaceDE w:val="0"/>
        <w:autoSpaceDN w:val="0"/>
        <w:spacing w:line="360" w:lineRule="auto"/>
        <w:ind w:firstLine="960" w:firstLineChars="400"/>
        <w:rPr>
          <w:rFonts w:ascii="宋体" w:hAnsi="宋体" w:cs="宋体"/>
          <w:b/>
          <w:color w:val="auto"/>
          <w:sz w:val="24"/>
          <w:highlight w:val="none"/>
        </w:rPr>
      </w:pPr>
      <w:r>
        <w:rPr>
          <w:rFonts w:ascii="宋体" w:hAnsi="宋体" w:cs="宋体" w:hint="eastAsia"/>
          <w:b/>
          <w:color w:val="auto"/>
          <w:sz w:val="24"/>
          <w:highlight w:val="none"/>
        </w:rPr>
        <w:t>（四）采购需求（与采购文件一致）；</w:t>
      </w:r>
    </w:p>
    <w:p>
      <w:pPr>
        <w:topLinePunct/>
        <w:autoSpaceDE w:val="0"/>
        <w:autoSpaceDN w:val="0"/>
        <w:spacing w:line="360" w:lineRule="auto"/>
        <w:ind w:firstLine="960" w:firstLineChars="400"/>
        <w:rPr>
          <w:rFonts w:ascii="宋体" w:hAnsi="宋体" w:cs="宋体"/>
          <w:b/>
          <w:color w:val="auto"/>
          <w:sz w:val="24"/>
          <w:highlight w:val="none"/>
        </w:rPr>
      </w:pPr>
      <w:r>
        <w:rPr>
          <w:rFonts w:ascii="宋体" w:hAnsi="宋体" w:cs="宋体" w:hint="eastAsia"/>
          <w:b/>
          <w:color w:val="auto"/>
          <w:sz w:val="24"/>
          <w:highlight w:val="none"/>
        </w:rPr>
        <w:t>（五）技术力量一览表（乙方提供）；</w:t>
      </w:r>
    </w:p>
    <w:p>
      <w:pPr>
        <w:topLinePunct/>
        <w:autoSpaceDE w:val="0"/>
        <w:autoSpaceDN w:val="0"/>
        <w:spacing w:line="360" w:lineRule="auto"/>
        <w:ind w:firstLine="960" w:firstLineChars="400"/>
        <w:rPr>
          <w:rFonts w:ascii="宋体" w:hAnsi="宋体" w:cs="宋体"/>
          <w:b/>
          <w:color w:val="auto"/>
          <w:sz w:val="24"/>
          <w:highlight w:val="none"/>
        </w:rPr>
      </w:pPr>
      <w:r>
        <w:rPr>
          <w:rFonts w:ascii="宋体" w:hAnsi="宋体" w:cs="宋体" w:hint="eastAsia"/>
          <w:b/>
          <w:color w:val="auto"/>
          <w:sz w:val="24"/>
          <w:highlight w:val="none"/>
        </w:rPr>
        <w:t>（六）合同验收书格式（验收时填制，供参考）；</w:t>
      </w:r>
    </w:p>
    <w:p>
      <w:pPr>
        <w:topLinePunct/>
        <w:autoSpaceDE w:val="0"/>
        <w:autoSpaceDN w:val="0"/>
        <w:spacing w:line="360" w:lineRule="auto"/>
        <w:ind w:firstLine="960" w:firstLineChars="400"/>
        <w:rPr>
          <w:rFonts w:ascii="宋体" w:hAnsi="宋体" w:cs="宋体"/>
          <w:b/>
          <w:color w:val="auto"/>
          <w:sz w:val="24"/>
          <w:highlight w:val="none"/>
        </w:rPr>
      </w:pPr>
      <w:r>
        <w:rPr>
          <w:rFonts w:ascii="宋体" w:hAnsi="宋体" w:cs="宋体" w:hint="eastAsia"/>
          <w:b/>
          <w:color w:val="auto"/>
          <w:sz w:val="24"/>
          <w:highlight w:val="none"/>
        </w:rPr>
        <w:t>（七）政府采购项目履约保证金退付意见书（供参考）。</w:t>
      </w:r>
    </w:p>
    <w:p>
      <w:pPr>
        <w:widowControl/>
        <w:jc w:val="left"/>
        <w:rPr>
          <w:rFonts w:asciiTheme="minorHAnsi" w:eastAsiaTheme="minorEastAsia" w:hAnsiTheme="minorHAnsi" w:cstheme="minorBidi"/>
          <w:color w:val="auto"/>
          <w:highlight w:val="none"/>
        </w:rPr>
      </w:pPr>
      <w:r>
        <w:rPr>
          <w:rFonts w:asciiTheme="minorHAnsi" w:eastAsiaTheme="minorEastAsia" w:hAnsiTheme="minorHAnsi" w:cstheme="minorBidi"/>
          <w:color w:val="auto"/>
          <w:highlight w:val="none"/>
        </w:rPr>
        <w:br w:type="page"/>
      </w:r>
    </w:p>
    <w:p>
      <w:pPr>
        <w:spacing w:line="460" w:lineRule="exact"/>
        <w:rPr>
          <w:rFonts w:ascii="黑体" w:eastAsia="黑体" w:hAnsi="Times New Roman"/>
          <w:color w:val="auto"/>
          <w:sz w:val="32"/>
          <w:szCs w:val="32"/>
          <w:highlight w:val="none"/>
        </w:rPr>
      </w:pPr>
      <w:r>
        <w:rPr>
          <w:rFonts w:ascii="黑体" w:eastAsia="黑体" w:hAnsi="Times New Roman" w:hint="eastAsia"/>
          <w:color w:val="auto"/>
          <w:sz w:val="32"/>
          <w:szCs w:val="32"/>
          <w:highlight w:val="none"/>
        </w:rPr>
        <w:t>(一)服务内容一览表（乙方填制）</w:t>
      </w:r>
    </w:p>
    <w:p>
      <w:pPr>
        <w:ind w:firstLine="420" w:firstLineChars="200"/>
        <w:rPr>
          <w:rFonts w:ascii="Times New Roman" w:hAnsi="Times New Roman"/>
          <w:color w:val="auto"/>
          <w:szCs w:val="21"/>
          <w:highlight w:val="none"/>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93"/>
        <w:gridCol w:w="750"/>
        <w:gridCol w:w="810"/>
        <w:gridCol w:w="1260"/>
        <w:gridCol w:w="4703"/>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93" w:type="dxa"/>
            <w:vAlign w:val="center"/>
          </w:tcPr>
          <w:p>
            <w:pPr>
              <w:jc w:val="center"/>
              <w:rPr>
                <w:rFonts w:ascii="Times New Roman" w:hAnsi="Times New Roman"/>
                <w:color w:val="auto"/>
                <w:szCs w:val="21"/>
                <w:highlight w:val="none"/>
              </w:rPr>
            </w:pPr>
            <w:r>
              <w:rPr>
                <w:rFonts w:ascii="Times New Roman" w:hAnsi="Times New Roman" w:cs="宋体" w:hint="eastAsia"/>
                <w:color w:val="auto"/>
                <w:szCs w:val="21"/>
                <w:highlight w:val="none"/>
              </w:rPr>
              <w:t>服务名称</w:t>
            </w:r>
          </w:p>
        </w:tc>
        <w:tc>
          <w:tcPr>
            <w:tcW w:w="750" w:type="dxa"/>
            <w:vAlign w:val="center"/>
          </w:tcPr>
          <w:p>
            <w:pPr>
              <w:jc w:val="center"/>
              <w:rPr>
                <w:rFonts w:ascii="宋体" w:hAnsi="Courier New" w:cs="宋体"/>
                <w:color w:val="auto"/>
                <w:szCs w:val="21"/>
                <w:highlight w:val="none"/>
              </w:rPr>
            </w:pPr>
            <w:r>
              <w:rPr>
                <w:rFonts w:ascii="Times New Roman" w:hAnsi="Times New Roman" w:cs="宋体" w:hint="eastAsia"/>
                <w:color w:val="auto"/>
                <w:szCs w:val="21"/>
                <w:highlight w:val="none"/>
              </w:rPr>
              <w:t>单位</w:t>
            </w:r>
          </w:p>
        </w:tc>
        <w:tc>
          <w:tcPr>
            <w:tcW w:w="810" w:type="dxa"/>
            <w:vAlign w:val="center"/>
          </w:tcPr>
          <w:p>
            <w:pPr>
              <w:jc w:val="center"/>
              <w:rPr>
                <w:rFonts w:ascii="Times New Roman" w:hAnsi="Times New Roman"/>
                <w:color w:val="auto"/>
                <w:szCs w:val="21"/>
                <w:highlight w:val="none"/>
              </w:rPr>
            </w:pPr>
            <w:r>
              <w:rPr>
                <w:rFonts w:ascii="Times New Roman" w:hAnsi="Times New Roman" w:cs="宋体" w:hint="eastAsia"/>
                <w:color w:val="auto"/>
                <w:szCs w:val="21"/>
                <w:highlight w:val="none"/>
              </w:rPr>
              <w:t>数量</w:t>
            </w:r>
          </w:p>
        </w:tc>
        <w:tc>
          <w:tcPr>
            <w:tcW w:w="1260" w:type="dxa"/>
            <w:vAlign w:val="center"/>
          </w:tcPr>
          <w:p>
            <w:pPr>
              <w:snapToGrid w:val="0"/>
              <w:jc w:val="center"/>
              <w:rPr>
                <w:rFonts w:ascii="宋体"/>
                <w:color w:val="auto"/>
                <w:sz w:val="22"/>
                <w:szCs w:val="24"/>
                <w:highlight w:val="none"/>
              </w:rPr>
            </w:pPr>
            <w:r>
              <w:rPr>
                <w:rFonts w:ascii="宋体" w:hint="eastAsia"/>
                <w:color w:val="auto"/>
                <w:szCs w:val="24"/>
                <w:highlight w:val="none"/>
              </w:rPr>
              <w:t>金额</w:t>
            </w:r>
            <w:r>
              <w:rPr>
                <w:rFonts w:hint="eastAsia"/>
                <w:color w:val="auto"/>
                <w:szCs w:val="24"/>
                <w:highlight w:val="none"/>
              </w:rPr>
              <w:t>（元）</w:t>
            </w:r>
          </w:p>
        </w:tc>
        <w:tc>
          <w:tcPr>
            <w:tcW w:w="4703" w:type="dxa"/>
            <w:vAlign w:val="center"/>
          </w:tcPr>
          <w:p>
            <w:pPr>
              <w:jc w:val="center"/>
              <w:rPr>
                <w:rFonts w:ascii="Times New Roman" w:eastAsia="MingLiU_HKSCS" w:hAnsi="Times New Roman"/>
                <w:color w:val="auto"/>
                <w:szCs w:val="21"/>
                <w:highlight w:val="none"/>
              </w:rPr>
            </w:pPr>
            <w:r>
              <w:rPr>
                <w:rFonts w:ascii="Times New Roman" w:hAnsi="Times New Roman" w:cs="宋体" w:hint="eastAsia"/>
                <w:color w:val="auto"/>
                <w:szCs w:val="21"/>
                <w:highlight w:val="none"/>
              </w:rPr>
              <w:t>具体服务承诺</w:t>
            </w:r>
            <w:r>
              <w:rPr>
                <w:rFonts w:ascii="Times New Roman" w:hAnsi="Times New Roman"/>
                <w:color w:val="auto"/>
                <w:szCs w:val="21"/>
                <w:highlight w:val="none"/>
              </w:rPr>
              <w:t>(</w:t>
            </w:r>
            <w:r>
              <w:rPr>
                <w:rFonts w:ascii="Times New Roman" w:hAnsi="Times New Roman" w:cs="宋体" w:hint="eastAsia"/>
                <w:color w:val="auto"/>
                <w:szCs w:val="21"/>
                <w:highlight w:val="none"/>
              </w:rPr>
              <w:t>包含但不限于服务内容、范围和基本要求</w:t>
            </w:r>
            <w:r>
              <w:rPr>
                <w:rFonts w:ascii="Times New Roman" w:hAnsi="Times New Roman"/>
                <w:color w:val="auto"/>
                <w:szCs w:val="21"/>
                <w:highlight w:val="none"/>
              </w:rPr>
              <w:t>)</w:t>
            </w:r>
          </w:p>
        </w:tc>
      </w:tr>
      <w:tr>
        <w:tblPrEx>
          <w:tblW w:w="0" w:type="auto"/>
          <w:jc w:val="center"/>
          <w:tblLayout w:type="fixed"/>
          <w:tblCellMar>
            <w:top w:w="0" w:type="dxa"/>
            <w:left w:w="108" w:type="dxa"/>
            <w:bottom w:w="0" w:type="dxa"/>
            <w:right w:w="108" w:type="dxa"/>
          </w:tblCellMar>
        </w:tblPrEx>
        <w:trPr>
          <w:jc w:val="center"/>
        </w:trPr>
        <w:tc>
          <w:tcPr>
            <w:tcW w:w="1093" w:type="dxa"/>
            <w:vAlign w:val="center"/>
          </w:tcPr>
          <w:p>
            <w:pPr>
              <w:jc w:val="center"/>
              <w:rPr>
                <w:rFonts w:ascii="Times New Roman" w:hAnsi="Times New Roman"/>
                <w:color w:val="auto"/>
                <w:szCs w:val="21"/>
                <w:highlight w:val="none"/>
              </w:rPr>
            </w:pPr>
          </w:p>
        </w:tc>
        <w:tc>
          <w:tcPr>
            <w:tcW w:w="750" w:type="dxa"/>
            <w:vAlign w:val="center"/>
          </w:tcPr>
          <w:p>
            <w:pPr>
              <w:jc w:val="center"/>
              <w:rPr>
                <w:rFonts w:ascii="宋体" w:hAnsi="Courier New" w:cs="宋体"/>
                <w:color w:val="auto"/>
                <w:szCs w:val="21"/>
                <w:highlight w:val="none"/>
              </w:rPr>
            </w:pPr>
          </w:p>
        </w:tc>
        <w:tc>
          <w:tcPr>
            <w:tcW w:w="810" w:type="dxa"/>
            <w:vAlign w:val="center"/>
          </w:tcPr>
          <w:p>
            <w:pPr>
              <w:jc w:val="center"/>
              <w:rPr>
                <w:rFonts w:ascii="Times New Roman" w:hAnsi="Times New Roman"/>
                <w:color w:val="auto"/>
                <w:szCs w:val="21"/>
                <w:highlight w:val="none"/>
              </w:rPr>
            </w:pPr>
          </w:p>
        </w:tc>
        <w:tc>
          <w:tcPr>
            <w:tcW w:w="1260" w:type="dxa"/>
            <w:vAlign w:val="center"/>
          </w:tcPr>
          <w:p>
            <w:pPr>
              <w:jc w:val="center"/>
              <w:rPr>
                <w:rFonts w:ascii="Times New Roman" w:hAnsi="Times New Roman"/>
                <w:color w:val="auto"/>
                <w:szCs w:val="21"/>
                <w:highlight w:val="none"/>
              </w:rPr>
            </w:pPr>
          </w:p>
        </w:tc>
        <w:tc>
          <w:tcPr>
            <w:tcW w:w="4703" w:type="dxa"/>
            <w:vAlign w:val="center"/>
          </w:tcPr>
          <w:p>
            <w:pPr>
              <w:jc w:val="center"/>
              <w:rPr>
                <w:rFonts w:ascii="Times New Roman" w:eastAsia="MingLiU_HKSCS" w:hAnsi="Times New Roman"/>
                <w:color w:val="auto"/>
                <w:szCs w:val="21"/>
                <w:highlight w:val="none"/>
              </w:rPr>
            </w:pPr>
          </w:p>
        </w:tc>
      </w:tr>
      <w:tr>
        <w:tblPrEx>
          <w:tblW w:w="0" w:type="auto"/>
          <w:jc w:val="center"/>
          <w:tblLayout w:type="fixed"/>
          <w:tblCellMar>
            <w:top w:w="0" w:type="dxa"/>
            <w:left w:w="108" w:type="dxa"/>
            <w:bottom w:w="0" w:type="dxa"/>
            <w:right w:w="108" w:type="dxa"/>
          </w:tblCellMar>
        </w:tblPrEx>
        <w:trPr>
          <w:jc w:val="center"/>
        </w:trPr>
        <w:tc>
          <w:tcPr>
            <w:tcW w:w="1093" w:type="dxa"/>
            <w:vAlign w:val="center"/>
          </w:tcPr>
          <w:p>
            <w:pPr>
              <w:jc w:val="center"/>
              <w:rPr>
                <w:rFonts w:ascii="Times New Roman" w:eastAsia="MingLiU_HKSCS" w:hAnsi="Times New Roman"/>
                <w:color w:val="auto"/>
                <w:szCs w:val="21"/>
                <w:highlight w:val="none"/>
              </w:rPr>
            </w:pPr>
            <w:r>
              <w:rPr>
                <w:rFonts w:ascii="宋体" w:hAnsi="宋体" w:cs="宋体" w:hint="eastAsia"/>
                <w:color w:val="auto"/>
                <w:szCs w:val="21"/>
                <w:highlight w:val="none"/>
              </w:rPr>
              <w:t>…</w:t>
            </w:r>
          </w:p>
        </w:tc>
        <w:tc>
          <w:tcPr>
            <w:tcW w:w="750" w:type="dxa"/>
            <w:vAlign w:val="center"/>
          </w:tcPr>
          <w:p>
            <w:pPr>
              <w:jc w:val="center"/>
              <w:rPr>
                <w:rFonts w:ascii="宋体" w:hAnsi="Courier New" w:cs="宋体"/>
                <w:color w:val="auto"/>
                <w:szCs w:val="21"/>
                <w:highlight w:val="none"/>
              </w:rPr>
            </w:pPr>
          </w:p>
        </w:tc>
        <w:tc>
          <w:tcPr>
            <w:tcW w:w="810" w:type="dxa"/>
            <w:vAlign w:val="center"/>
          </w:tcPr>
          <w:p>
            <w:pPr>
              <w:jc w:val="center"/>
              <w:rPr>
                <w:rFonts w:ascii="Times New Roman" w:eastAsia="MingLiU_HKSCS" w:hAnsi="Times New Roman"/>
                <w:color w:val="auto"/>
                <w:szCs w:val="21"/>
                <w:highlight w:val="none"/>
              </w:rPr>
            </w:pPr>
          </w:p>
        </w:tc>
        <w:tc>
          <w:tcPr>
            <w:tcW w:w="1260" w:type="dxa"/>
            <w:vAlign w:val="center"/>
          </w:tcPr>
          <w:p>
            <w:pPr>
              <w:jc w:val="center"/>
              <w:rPr>
                <w:rFonts w:ascii="Times New Roman" w:eastAsia="MingLiU_HKSCS" w:hAnsi="Times New Roman"/>
                <w:color w:val="auto"/>
                <w:szCs w:val="21"/>
                <w:highlight w:val="none"/>
              </w:rPr>
            </w:pPr>
          </w:p>
        </w:tc>
        <w:tc>
          <w:tcPr>
            <w:tcW w:w="4703" w:type="dxa"/>
            <w:vAlign w:val="center"/>
          </w:tcPr>
          <w:p>
            <w:pPr>
              <w:jc w:val="center"/>
              <w:rPr>
                <w:rFonts w:ascii="Times New Roman" w:eastAsia="MingLiU_HKSCS" w:hAnsi="Times New Roman"/>
                <w:color w:val="auto"/>
                <w:szCs w:val="21"/>
                <w:highlight w:val="none"/>
              </w:rPr>
            </w:pPr>
          </w:p>
        </w:tc>
      </w:tr>
    </w:tbl>
    <w:p>
      <w:pPr>
        <w:spacing w:line="460" w:lineRule="exact"/>
        <w:rPr>
          <w:rFonts w:ascii="Times New Roman" w:hAnsi="Times New Roman"/>
          <w:color w:val="auto"/>
          <w:szCs w:val="21"/>
          <w:highlight w:val="none"/>
        </w:rPr>
      </w:pPr>
    </w:p>
    <w:p>
      <w:pPr>
        <w:spacing w:line="460" w:lineRule="exact"/>
        <w:rPr>
          <w:rFonts w:ascii="Times New Roman" w:hAnsi="Times New Roman"/>
          <w:color w:val="auto"/>
          <w:szCs w:val="21"/>
          <w:highlight w:val="none"/>
        </w:rPr>
      </w:pPr>
    </w:p>
    <w:p>
      <w:pPr>
        <w:spacing w:line="460" w:lineRule="exact"/>
        <w:rPr>
          <w:rFonts w:ascii="黑体" w:eastAsia="黑体" w:hAnsi="Times New Roman"/>
          <w:color w:val="auto"/>
          <w:sz w:val="32"/>
          <w:szCs w:val="32"/>
          <w:highlight w:val="none"/>
        </w:rPr>
      </w:pPr>
      <w:r>
        <w:rPr>
          <w:rFonts w:ascii="黑体" w:eastAsia="黑体" w:hAnsi="Times New Roman" w:hint="eastAsia"/>
          <w:color w:val="auto"/>
          <w:sz w:val="32"/>
          <w:szCs w:val="32"/>
          <w:highlight w:val="none"/>
        </w:rPr>
        <w:t>(二)投标（响应）文件报价表部分（乙方提供）</w:t>
      </w:r>
    </w:p>
    <w:p>
      <w:pPr>
        <w:spacing w:line="460" w:lineRule="exact"/>
        <w:rPr>
          <w:rFonts w:ascii="Times New Roman" w:hAnsi="Times New Roman"/>
          <w:color w:val="auto"/>
          <w:szCs w:val="21"/>
          <w:highlight w:val="none"/>
        </w:rPr>
      </w:pPr>
      <w:r>
        <w:rPr>
          <w:rFonts w:ascii="Times New Roman" w:hAnsi="Times New Roman" w:hint="eastAsia"/>
          <w:color w:val="auto"/>
          <w:szCs w:val="21"/>
          <w:highlight w:val="none"/>
        </w:rPr>
        <w:t>由乙方按照投标（响应）文件提供，并保持与投标（响应）文件一致。</w:t>
      </w: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r>
        <w:rPr>
          <w:rFonts w:ascii="黑体" w:eastAsia="黑体" w:hAnsi="Times New Roman" w:hint="eastAsia"/>
          <w:color w:val="auto"/>
          <w:sz w:val="32"/>
          <w:szCs w:val="32"/>
          <w:highlight w:val="none"/>
        </w:rPr>
        <w:t>(三)投标（响应）文件技术部分和商务部分（乙方提供）</w:t>
      </w:r>
    </w:p>
    <w:p>
      <w:pPr>
        <w:spacing w:line="460" w:lineRule="exact"/>
        <w:rPr>
          <w:rFonts w:ascii="Times New Roman" w:hAnsi="Times New Roman"/>
          <w:color w:val="auto"/>
          <w:szCs w:val="21"/>
          <w:highlight w:val="none"/>
        </w:rPr>
      </w:pPr>
      <w:r>
        <w:rPr>
          <w:rFonts w:ascii="Times New Roman" w:hAnsi="Times New Roman" w:hint="eastAsia"/>
          <w:color w:val="auto"/>
          <w:szCs w:val="21"/>
          <w:highlight w:val="none"/>
        </w:rPr>
        <w:t>由乙方按照投标文件提供，并保持与投标文件一致。</w:t>
      </w:r>
    </w:p>
    <w:p>
      <w:pPr>
        <w:spacing w:line="460" w:lineRule="exact"/>
        <w:rPr>
          <w:rFonts w:ascii="Times New Roman" w:hAnsi="Times New Roman"/>
          <w:color w:val="auto"/>
          <w:szCs w:val="21"/>
          <w:highlight w:val="none"/>
        </w:rPr>
      </w:pPr>
    </w:p>
    <w:p>
      <w:pPr>
        <w:rPr>
          <w:color w:val="auto"/>
          <w:szCs w:val="24"/>
          <w:highlight w:val="none"/>
        </w:rPr>
      </w:pPr>
    </w:p>
    <w:p>
      <w:pPr>
        <w:spacing w:line="460" w:lineRule="exact"/>
        <w:rPr>
          <w:rFonts w:ascii="黑体" w:eastAsia="黑体" w:hAnsi="Times New Roman"/>
          <w:color w:val="auto"/>
          <w:sz w:val="32"/>
          <w:szCs w:val="32"/>
          <w:highlight w:val="none"/>
        </w:rPr>
      </w:pPr>
      <w:r>
        <w:rPr>
          <w:rFonts w:ascii="黑体" w:eastAsia="黑体" w:hAnsi="Times New Roman" w:hint="eastAsia"/>
          <w:color w:val="auto"/>
          <w:sz w:val="32"/>
          <w:szCs w:val="32"/>
          <w:highlight w:val="none"/>
        </w:rPr>
        <w:t>(四)采购需求（与采购文件一致）</w:t>
      </w:r>
    </w:p>
    <w:p>
      <w:pPr>
        <w:rPr>
          <w:rFonts w:ascii="宋体" w:hAnsi="宋体"/>
          <w:b/>
          <w:color w:val="auto"/>
          <w:sz w:val="30"/>
          <w:szCs w:val="30"/>
          <w:highlight w:val="none"/>
        </w:rPr>
      </w:pPr>
    </w:p>
    <w:p>
      <w:pPr>
        <w:spacing w:line="460" w:lineRule="exact"/>
        <w:rPr>
          <w:rFonts w:ascii="黑体" w:eastAsia="黑体" w:hAnsi="Times New Roman"/>
          <w:color w:val="auto"/>
          <w:sz w:val="32"/>
          <w:szCs w:val="32"/>
          <w:highlight w:val="none"/>
        </w:rPr>
      </w:pPr>
      <w:r>
        <w:rPr>
          <w:rFonts w:ascii="黑体" w:eastAsia="黑体" w:hAnsi="Times New Roman" w:hint="eastAsia"/>
          <w:color w:val="auto"/>
          <w:sz w:val="32"/>
          <w:szCs w:val="32"/>
          <w:highlight w:val="none"/>
        </w:rPr>
        <w:t>(五)技术力量一览表（乙方提供）</w:t>
      </w:r>
    </w:p>
    <w:p>
      <w:pPr>
        <w:spacing w:line="460" w:lineRule="exact"/>
        <w:rPr>
          <w:rFonts w:ascii="Times New Roman" w:hAnsi="Times New Roman"/>
          <w:color w:val="auto"/>
          <w:szCs w:val="21"/>
          <w:highlight w:val="none"/>
        </w:rPr>
      </w:pPr>
      <w:r>
        <w:rPr>
          <w:rFonts w:ascii="Times New Roman" w:hAnsi="Times New Roman" w:hint="eastAsia"/>
          <w:color w:val="auto"/>
          <w:szCs w:val="21"/>
          <w:highlight w:val="none"/>
        </w:rPr>
        <w:t>由乙方按照投标文件提供，并保持与投标文件一致。</w:t>
      </w: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p>
    <w:p>
      <w:pPr>
        <w:spacing w:line="460" w:lineRule="exact"/>
        <w:rPr>
          <w:rFonts w:ascii="黑体" w:eastAsia="黑体" w:hAnsi="Times New Roman"/>
          <w:color w:val="auto"/>
          <w:sz w:val="32"/>
          <w:szCs w:val="32"/>
          <w:highlight w:val="none"/>
        </w:rPr>
      </w:pPr>
      <w:r>
        <w:rPr>
          <w:rFonts w:ascii="黑体" w:eastAsia="黑体" w:hAnsi="Times New Roman" w:hint="eastAsia"/>
          <w:color w:val="auto"/>
          <w:sz w:val="32"/>
          <w:szCs w:val="32"/>
          <w:highlight w:val="none"/>
        </w:rPr>
        <w:t>(六)</w:t>
      </w:r>
      <w:r>
        <w:rPr>
          <w:rFonts w:ascii="宋体" w:hAnsi="宋体" w:hint="eastAsia"/>
          <w:b/>
          <w:color w:val="auto"/>
          <w:sz w:val="30"/>
          <w:szCs w:val="30"/>
          <w:highlight w:val="none"/>
        </w:rPr>
        <w:t>合同验收书格式</w:t>
      </w:r>
      <w:r>
        <w:rPr>
          <w:rFonts w:ascii="宋体" w:hAnsi="宋体" w:hint="eastAsia"/>
          <w:color w:val="auto"/>
          <w:sz w:val="30"/>
          <w:szCs w:val="30"/>
          <w:highlight w:val="none"/>
        </w:rPr>
        <w:t>（验收时填制，供参考）</w:t>
      </w:r>
    </w:p>
    <w:p>
      <w:pPr>
        <w:rPr>
          <w:color w:val="auto"/>
          <w:highlight w:val="none"/>
        </w:rPr>
      </w:pPr>
    </w:p>
    <w:p>
      <w:pPr>
        <w:adjustRightInd w:val="0"/>
        <w:spacing w:line="560" w:lineRule="exact"/>
        <w:ind w:firstLine="420"/>
        <w:jc w:val="center"/>
        <w:rPr>
          <w:rFonts w:ascii="方正小标宋简体" w:eastAsia="方正小标宋简体" w:hAnsi="方正小标宋简体" w:cs="方正小标宋简体"/>
          <w:bCs/>
          <w:color w:val="auto"/>
          <w:sz w:val="36"/>
          <w:szCs w:val="36"/>
          <w:highlight w:val="none"/>
        </w:rPr>
      </w:pPr>
      <w:r>
        <w:rPr>
          <w:rFonts w:ascii="方正小标宋简体" w:eastAsia="方正小标宋简体" w:hAnsi="方正小标宋简体" w:cs="方正小标宋简体" w:hint="eastAsia"/>
          <w:bCs/>
          <w:color w:val="auto"/>
          <w:sz w:val="36"/>
          <w:szCs w:val="36"/>
          <w:highlight w:val="none"/>
        </w:rPr>
        <w:t>项目验收书（付款时提供）</w:t>
      </w:r>
    </w:p>
    <w:p>
      <w:pPr>
        <w:adjustRightInd w:val="0"/>
        <w:spacing w:line="560" w:lineRule="exact"/>
        <w:ind w:firstLine="420"/>
        <w:jc w:val="center"/>
        <w:rPr>
          <w:rFonts w:ascii="仿宋_GB2312" w:eastAsia="仿宋_GB2312" w:hAnsi="仿宋_GB2312" w:cs="仿宋_GB2312"/>
          <w:b/>
          <w:color w:val="auto"/>
          <w:sz w:val="28"/>
          <w:szCs w:val="28"/>
          <w:highlight w:val="none"/>
        </w:rPr>
      </w:pPr>
    </w:p>
    <w:p>
      <w:pPr>
        <w:spacing w:line="560" w:lineRule="exact"/>
        <w:rPr>
          <w:rFonts w:ascii="黑体" w:eastAsia="黑体" w:hAnsi="黑体" w:cs="黑体"/>
          <w:color w:val="auto"/>
          <w:sz w:val="32"/>
          <w:szCs w:val="32"/>
          <w:highlight w:val="none"/>
        </w:rPr>
      </w:pPr>
      <w:r>
        <w:rPr>
          <w:rFonts w:ascii="黑体" w:eastAsia="黑体" w:hAnsi="黑体" w:cs="黑体" w:hint="eastAsia"/>
          <w:color w:val="auto"/>
          <w:sz w:val="32"/>
          <w:szCs w:val="32"/>
          <w:highlight w:val="none"/>
        </w:rPr>
        <w:t>　　一、项目基本情况</w:t>
      </w:r>
    </w:p>
    <w:p>
      <w:pPr>
        <w:spacing w:line="560" w:lineRule="exact"/>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　　（一）项目名称及编号</w:t>
      </w:r>
    </w:p>
    <w:p>
      <w:pPr>
        <w:spacing w:line="560" w:lineRule="exact"/>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　　（二）合同名称及编号</w:t>
      </w:r>
    </w:p>
    <w:p>
      <w:pPr>
        <w:spacing w:line="560" w:lineRule="exact"/>
        <w:rPr>
          <w:rFonts w:ascii="仿宋_GB2312" w:eastAsia="仿宋_GB2312" w:hAnsi="仿宋_GB2312" w:cs="仿宋_GB2312"/>
          <w:color w:val="auto"/>
          <w:sz w:val="32"/>
          <w:szCs w:val="32"/>
          <w:highlight w:val="none"/>
        </w:rPr>
      </w:pPr>
      <w:r>
        <w:rPr>
          <w:rFonts w:ascii="黑体" w:eastAsia="黑体" w:hAnsi="黑体" w:cs="黑体" w:hint="eastAsia"/>
          <w:color w:val="auto"/>
          <w:sz w:val="32"/>
          <w:szCs w:val="32"/>
          <w:highlight w:val="none"/>
        </w:rPr>
        <w:t>　　</w:t>
      </w:r>
      <w:r>
        <w:rPr>
          <w:rFonts w:ascii="仿宋_GB2312" w:eastAsia="仿宋_GB2312" w:hAnsi="仿宋_GB2312" w:cs="仿宋_GB2312" w:hint="eastAsia"/>
          <w:color w:val="auto"/>
          <w:sz w:val="32"/>
          <w:szCs w:val="32"/>
          <w:highlight w:val="none"/>
        </w:rPr>
        <w:t>（三）乙方名称、乙方联系人及联系方式</w:t>
      </w:r>
    </w:p>
    <w:p>
      <w:pPr>
        <w:spacing w:line="560" w:lineRule="exact"/>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　　（四）合同金额</w:t>
      </w:r>
    </w:p>
    <w:p>
      <w:pPr>
        <w:spacing w:line="560" w:lineRule="exact"/>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　　（五）历次验收及已付款情况等</w:t>
      </w:r>
    </w:p>
    <w:p>
      <w:pPr>
        <w:spacing w:line="560" w:lineRule="exact"/>
        <w:rPr>
          <w:rFonts w:ascii="黑体" w:eastAsia="黑体" w:hAnsi="黑体" w:cs="黑体"/>
          <w:color w:val="auto"/>
          <w:sz w:val="32"/>
          <w:szCs w:val="32"/>
          <w:highlight w:val="none"/>
        </w:rPr>
      </w:pPr>
      <w:r>
        <w:rPr>
          <w:rFonts w:ascii="黑体" w:eastAsia="黑体" w:hAnsi="黑体" w:cs="黑体" w:hint="eastAsia"/>
          <w:color w:val="auto"/>
          <w:sz w:val="32"/>
          <w:szCs w:val="32"/>
          <w:highlight w:val="none"/>
        </w:rPr>
        <w:t>　　二、项目基本内容</w:t>
      </w:r>
    </w:p>
    <w:p>
      <w:pPr>
        <w:spacing w:line="560" w:lineRule="exact"/>
        <w:rPr>
          <w:rFonts w:ascii="仿宋_GB2312" w:eastAsia="仿宋_GB2312" w:hAnsi="仿宋_GB2312" w:cs="仿宋_GB2312"/>
          <w:color w:val="auto"/>
          <w:sz w:val="32"/>
          <w:szCs w:val="32"/>
          <w:highlight w:val="none"/>
        </w:rPr>
      </w:pPr>
      <w:r>
        <w:rPr>
          <w:rFonts w:ascii="黑体" w:eastAsia="黑体" w:hAnsi="黑体" w:cs="黑体" w:hint="eastAsia"/>
          <w:color w:val="auto"/>
          <w:sz w:val="32"/>
          <w:szCs w:val="32"/>
          <w:highlight w:val="none"/>
        </w:rPr>
        <w:t>　　</w:t>
      </w:r>
      <w:r>
        <w:rPr>
          <w:rFonts w:ascii="仿宋_GB2312" w:eastAsia="仿宋_GB2312" w:hAnsi="仿宋_GB2312" w:cs="仿宋_GB2312" w:hint="eastAsia"/>
          <w:color w:val="auto"/>
          <w:sz w:val="32"/>
          <w:szCs w:val="32"/>
          <w:highlight w:val="none"/>
        </w:rPr>
        <w:t>（一）合同约定的主要内容</w:t>
      </w:r>
    </w:p>
    <w:p>
      <w:pPr>
        <w:spacing w:line="560" w:lineRule="exact"/>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　　（二）本次付款对应的合同内容和所属阶段</w:t>
      </w:r>
    </w:p>
    <w:p>
      <w:pPr>
        <w:spacing w:line="560" w:lineRule="exact"/>
        <w:rPr>
          <w:rFonts w:ascii="黑体" w:eastAsia="黑体" w:hAnsi="黑体" w:cs="黑体"/>
          <w:color w:val="auto"/>
          <w:sz w:val="32"/>
          <w:szCs w:val="32"/>
          <w:highlight w:val="none"/>
        </w:rPr>
      </w:pPr>
      <w:r>
        <w:rPr>
          <w:rFonts w:ascii="黑体" w:eastAsia="黑体" w:hAnsi="黑体" w:cs="黑体" w:hint="eastAsia"/>
          <w:color w:val="auto"/>
          <w:sz w:val="32"/>
          <w:szCs w:val="32"/>
          <w:highlight w:val="none"/>
        </w:rPr>
        <w:t>　　三、组织验收情况</w:t>
      </w:r>
    </w:p>
    <w:p>
      <w:pPr>
        <w:spacing w:line="560" w:lineRule="exact"/>
        <w:rPr>
          <w:rFonts w:ascii="仿宋_GB2312" w:eastAsia="仿宋_GB2312" w:hAnsi="仿宋_GB2312" w:cs="仿宋_GB2312"/>
          <w:color w:val="auto"/>
          <w:sz w:val="32"/>
          <w:szCs w:val="32"/>
          <w:highlight w:val="none"/>
        </w:rPr>
      </w:pPr>
      <w:r>
        <w:rPr>
          <w:rFonts w:ascii="黑体" w:eastAsia="黑体" w:hAnsi="黑体" w:cs="黑体" w:hint="eastAsia"/>
          <w:color w:val="auto"/>
          <w:sz w:val="32"/>
          <w:szCs w:val="32"/>
          <w:highlight w:val="none"/>
        </w:rPr>
        <w:t>　　</w:t>
      </w:r>
      <w:r>
        <w:rPr>
          <w:rFonts w:ascii="仿宋_GB2312" w:eastAsia="仿宋_GB2312" w:hAnsi="仿宋_GB2312" w:cs="仿宋_GB2312" w:hint="eastAsia"/>
          <w:color w:val="auto"/>
          <w:sz w:val="32"/>
          <w:szCs w:val="32"/>
          <w:highlight w:val="none"/>
        </w:rPr>
        <w:t>（一）验收情况，包括验收内容、验收期限等</w:t>
      </w:r>
    </w:p>
    <w:p>
      <w:pPr>
        <w:spacing w:line="560" w:lineRule="exact"/>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　　（二）验收评价及结论，包括项目执行情况、是否通过验收等</w:t>
      </w:r>
    </w:p>
    <w:p>
      <w:pPr>
        <w:spacing w:line="560" w:lineRule="exact"/>
        <w:rPr>
          <w:rFonts w:ascii="黑体" w:eastAsia="黑体" w:hAnsi="黑体" w:cs="黑体"/>
          <w:color w:val="auto"/>
          <w:sz w:val="32"/>
          <w:szCs w:val="32"/>
          <w:highlight w:val="none"/>
        </w:rPr>
      </w:pPr>
      <w:r>
        <w:rPr>
          <w:rFonts w:ascii="黑体" w:eastAsia="黑体" w:hAnsi="黑体" w:cs="黑体" w:hint="eastAsia"/>
          <w:color w:val="auto"/>
          <w:sz w:val="32"/>
          <w:szCs w:val="32"/>
          <w:highlight w:val="none"/>
        </w:rPr>
        <w:t>　　四、其他需要说明的情况</w:t>
      </w:r>
    </w:p>
    <w:p>
      <w:pPr>
        <w:spacing w:line="560" w:lineRule="exact"/>
        <w:rPr>
          <w:rFonts w:ascii="黑体" w:eastAsia="黑体" w:hAnsi="黑体" w:cs="黑体"/>
          <w:color w:val="auto"/>
          <w:sz w:val="32"/>
          <w:szCs w:val="32"/>
          <w:highlight w:val="none"/>
        </w:rPr>
      </w:pPr>
      <w:r>
        <w:rPr>
          <w:rFonts w:ascii="黑体" w:eastAsia="黑体" w:hAnsi="黑体" w:cs="黑体" w:hint="eastAsia"/>
          <w:color w:val="auto"/>
          <w:sz w:val="32"/>
          <w:szCs w:val="32"/>
          <w:highlight w:val="none"/>
        </w:rPr>
        <w:t>　　五、应支付合同款情况</w:t>
      </w:r>
    </w:p>
    <w:p>
      <w:pPr>
        <w:spacing w:line="560" w:lineRule="exact"/>
        <w:rPr>
          <w:rFonts w:ascii="仿宋_GB2312" w:eastAsia="仿宋_GB2312" w:hAnsi="仿宋_GB2312" w:cs="仿宋_GB2312"/>
          <w:color w:val="auto"/>
          <w:sz w:val="32"/>
          <w:szCs w:val="32"/>
          <w:highlight w:val="none"/>
        </w:rPr>
      </w:pPr>
      <w:r>
        <w:rPr>
          <w:rFonts w:ascii="黑体" w:eastAsia="黑体" w:hAnsi="黑体" w:cs="黑体" w:hint="eastAsia"/>
          <w:color w:val="auto"/>
          <w:sz w:val="32"/>
          <w:szCs w:val="32"/>
          <w:highlight w:val="none"/>
        </w:rPr>
        <w:t>　　</w:t>
      </w:r>
      <w:r>
        <w:rPr>
          <w:rFonts w:ascii="仿宋_GB2312" w:eastAsia="仿宋_GB2312" w:hAnsi="仿宋_GB2312" w:cs="仿宋_GB2312" w:hint="eastAsia"/>
          <w:color w:val="auto"/>
          <w:sz w:val="32"/>
          <w:szCs w:val="32"/>
          <w:highlight w:val="none"/>
        </w:rPr>
        <w:t>依据验收结论，本次验收后应支付合同第几次付款及付款金额等</w:t>
      </w:r>
    </w:p>
    <w:p>
      <w:pPr>
        <w:spacing w:line="560" w:lineRule="exact"/>
        <w:rPr>
          <w:rFonts w:ascii="黑体" w:eastAsia="黑体" w:hAnsi="黑体" w:cs="黑体"/>
          <w:color w:val="auto"/>
          <w:sz w:val="32"/>
          <w:szCs w:val="32"/>
          <w:highlight w:val="none"/>
        </w:rPr>
      </w:pPr>
      <w:r>
        <w:rPr>
          <w:rFonts w:ascii="黑体" w:eastAsia="黑体" w:hAnsi="黑体" w:cs="黑体" w:hint="eastAsia"/>
          <w:color w:val="auto"/>
          <w:sz w:val="32"/>
          <w:szCs w:val="32"/>
          <w:highlight w:val="none"/>
        </w:rPr>
        <w:t xml:space="preserve">   </w:t>
      </w:r>
    </w:p>
    <w:p>
      <w:pPr>
        <w:spacing w:line="560" w:lineRule="exact"/>
        <w:rPr>
          <w:rFonts w:ascii="仿宋_GB2312" w:eastAsia="仿宋_GB2312" w:hAnsi="仿宋_GB2312" w:cs="仿宋_GB2312"/>
          <w:color w:val="auto"/>
          <w:sz w:val="32"/>
          <w:szCs w:val="32"/>
          <w:highlight w:val="none"/>
        </w:rPr>
      </w:pPr>
      <w:r>
        <w:rPr>
          <w:rFonts w:ascii="黑体" w:eastAsia="黑体" w:hAnsi="黑体" w:cs="黑体" w:hint="eastAsia"/>
          <w:color w:val="auto"/>
          <w:sz w:val="32"/>
          <w:szCs w:val="32"/>
          <w:highlight w:val="none"/>
        </w:rPr>
        <w:t>　　</w:t>
      </w:r>
      <w:r>
        <w:rPr>
          <w:rFonts w:ascii="仿宋_GB2312" w:eastAsia="仿宋_GB2312" w:hAnsi="仿宋_GB2312" w:cs="仿宋_GB2312" w:hint="eastAsia"/>
          <w:color w:val="auto"/>
          <w:sz w:val="32"/>
          <w:szCs w:val="32"/>
          <w:highlight w:val="none"/>
        </w:rPr>
        <w:t>项目负责人签字：</w:t>
      </w:r>
    </w:p>
    <w:p>
      <w:pPr>
        <w:spacing w:line="560" w:lineRule="exact"/>
        <w:rPr>
          <w:rFonts w:ascii="仿宋_GB2312" w:eastAsia="仿宋_GB2312" w:hAnsi="仿宋_GB2312" w:cs="仿宋_GB2312"/>
          <w:bCs/>
          <w:color w:val="auto"/>
          <w:sz w:val="32"/>
          <w:szCs w:val="32"/>
          <w:highlight w:val="none"/>
        </w:rPr>
      </w:pPr>
      <w:r>
        <w:rPr>
          <w:rFonts w:ascii="仿宋_GB2312" w:eastAsia="仿宋_GB2312" w:hAnsi="仿宋_GB2312" w:cs="仿宋_GB2312" w:hint="eastAsia"/>
          <w:color w:val="auto"/>
          <w:kern w:val="0"/>
          <w:sz w:val="32"/>
          <w:szCs w:val="32"/>
          <w:highlight w:val="none"/>
          <w:lang w:bidi="ar"/>
        </w:rPr>
        <w:t>　　验收牵头部门</w:t>
      </w:r>
      <w:r>
        <w:rPr>
          <w:rFonts w:ascii="仿宋_GB2312" w:eastAsia="仿宋_GB2312" w:hAnsi="仿宋_GB2312" w:cs="仿宋_GB2312" w:hint="eastAsia"/>
          <w:color w:val="auto"/>
          <w:sz w:val="32"/>
          <w:szCs w:val="32"/>
          <w:highlight w:val="none"/>
        </w:rPr>
        <w:t>领导签字：</w:t>
      </w:r>
      <w:r>
        <w:rPr>
          <w:rFonts w:ascii="仿宋_GB2312" w:eastAsia="仿宋_GB2312" w:hAnsi="仿宋_GB2312" w:cs="仿宋_GB2312" w:hint="eastAsia"/>
          <w:bCs/>
          <w:color w:val="auto"/>
          <w:sz w:val="32"/>
          <w:szCs w:val="32"/>
          <w:highlight w:val="none"/>
        </w:rPr>
        <w:t xml:space="preserve">                                       </w:t>
      </w:r>
    </w:p>
    <w:p>
      <w:pPr>
        <w:spacing w:line="560" w:lineRule="exact"/>
        <w:ind w:left="3839" w:firstLine="1600" w:leftChars="1828" w:firstLineChars="500"/>
        <w:rPr>
          <w:rFonts w:ascii="仿宋_GB2312" w:eastAsia="仿宋_GB2312" w:hAnsi="仿宋_GB2312" w:cs="仿宋_GB2312"/>
          <w:bCs/>
          <w:color w:val="auto"/>
          <w:sz w:val="32"/>
          <w:szCs w:val="32"/>
          <w:highlight w:val="none"/>
        </w:rPr>
      </w:pPr>
      <w:r>
        <w:rPr>
          <w:rFonts w:ascii="仿宋_GB2312" w:eastAsia="仿宋_GB2312" w:hAnsi="仿宋_GB2312" w:cs="仿宋_GB2312" w:hint="eastAsia"/>
          <w:bCs/>
          <w:color w:val="auto"/>
          <w:sz w:val="32"/>
          <w:szCs w:val="32"/>
          <w:highlight w:val="none"/>
        </w:rPr>
        <w:t xml:space="preserve">验收部门 (章) </w:t>
      </w:r>
    </w:p>
    <w:p>
      <w:pPr>
        <w:spacing w:line="360" w:lineRule="auto"/>
        <w:ind w:firstLine="4160" w:firstLineChars="1300"/>
        <w:jc w:val="center"/>
        <w:rPr>
          <w:rFonts w:ascii="仿宋_GB2312" w:eastAsia="仿宋_GB2312" w:hAnsi="仿宋_GB2312" w:cs="仿宋_GB2312"/>
          <w:bCs/>
          <w:color w:val="auto"/>
          <w:sz w:val="32"/>
          <w:szCs w:val="32"/>
          <w:highlight w:val="none"/>
        </w:rPr>
        <w:sectPr>
          <w:footerReference w:type="default" r:id="rId7"/>
          <w:pgSz w:w="11906" w:h="16838"/>
          <w:pgMar w:top="1270" w:right="1474" w:bottom="1157" w:left="1587" w:header="851" w:footer="992" w:gutter="0"/>
          <w:cols w:num="1" w:space="720"/>
          <w:docGrid w:type="lines" w:linePitch="312" w:charSpace="0"/>
        </w:sectPr>
      </w:pPr>
      <w:r>
        <w:rPr>
          <w:rFonts w:ascii="仿宋_GB2312" w:eastAsia="仿宋_GB2312" w:hAnsi="仿宋_GB2312" w:cs="仿宋_GB2312" w:hint="eastAsia"/>
          <w:bCs/>
          <w:color w:val="auto"/>
          <w:sz w:val="32"/>
          <w:szCs w:val="32"/>
          <w:highlight w:val="none"/>
        </w:rPr>
        <w:t>年   月   日</w:t>
      </w:r>
    </w:p>
    <w:p>
      <w:pPr>
        <w:rPr>
          <w:rFonts w:ascii="黑体" w:eastAsia="黑体" w:hAnsi="黑体"/>
          <w:color w:val="auto"/>
          <w:sz w:val="32"/>
          <w:szCs w:val="32"/>
          <w:highlight w:val="none"/>
        </w:rPr>
      </w:pPr>
      <w:r>
        <w:rPr>
          <w:rFonts w:ascii="宋体" w:hAnsi="宋体" w:hint="eastAsia"/>
          <w:b/>
          <w:color w:val="auto"/>
          <w:sz w:val="30"/>
          <w:szCs w:val="30"/>
          <w:highlight w:val="none"/>
        </w:rPr>
        <w:t>(七)</w:t>
      </w:r>
      <w:r>
        <w:rPr>
          <w:rFonts w:ascii="黑体" w:eastAsia="黑体" w:hAnsi="黑体" w:hint="eastAsia"/>
          <w:color w:val="auto"/>
          <w:sz w:val="32"/>
          <w:szCs w:val="32"/>
          <w:highlight w:val="none"/>
        </w:rPr>
        <w:t>政府采购项目履约保证金退付意见书（供参考）</w:t>
      </w:r>
    </w:p>
    <w:p>
      <w:pPr>
        <w:rPr>
          <w:rFonts w:ascii="黑体" w:eastAsia="黑体" w:hAnsi="黑体"/>
          <w:color w:val="auto"/>
          <w:sz w:val="32"/>
          <w:szCs w:val="32"/>
          <w:highlight w:val="none"/>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8"/>
        <w:gridCol w:w="820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15"/>
          <w:jc w:val="center"/>
        </w:trPr>
        <w:tc>
          <w:tcPr>
            <w:tcW w:w="1008" w:type="dxa"/>
            <w:vMerge w:val="restart"/>
            <w:vAlign w:val="center"/>
          </w:tcPr>
          <w:p>
            <w:pPr>
              <w:jc w:val="center"/>
              <w:rPr>
                <w:color w:val="auto"/>
                <w:sz w:val="24"/>
                <w:szCs w:val="24"/>
                <w:highlight w:val="none"/>
              </w:rPr>
            </w:pPr>
            <w:r>
              <w:rPr>
                <w:rFonts w:hint="eastAsia"/>
                <w:color w:val="auto"/>
                <w:sz w:val="24"/>
                <w:szCs w:val="24"/>
                <w:highlight w:val="none"/>
              </w:rPr>
              <w:t>供</w:t>
            </w:r>
          </w:p>
          <w:p>
            <w:pPr>
              <w:jc w:val="center"/>
              <w:rPr>
                <w:color w:val="auto"/>
                <w:sz w:val="24"/>
                <w:szCs w:val="24"/>
                <w:highlight w:val="none"/>
              </w:rPr>
            </w:pPr>
            <w:r>
              <w:rPr>
                <w:rFonts w:hint="eastAsia"/>
                <w:color w:val="auto"/>
                <w:sz w:val="24"/>
                <w:szCs w:val="24"/>
                <w:highlight w:val="none"/>
              </w:rPr>
              <w:t>应</w:t>
            </w:r>
          </w:p>
          <w:p>
            <w:pPr>
              <w:jc w:val="center"/>
              <w:rPr>
                <w:color w:val="auto"/>
                <w:sz w:val="24"/>
                <w:szCs w:val="24"/>
                <w:highlight w:val="none"/>
              </w:rPr>
            </w:pPr>
            <w:r>
              <w:rPr>
                <w:rFonts w:hint="eastAsia"/>
                <w:color w:val="auto"/>
                <w:sz w:val="24"/>
                <w:szCs w:val="24"/>
                <w:highlight w:val="none"/>
              </w:rPr>
              <w:t>商</w:t>
            </w:r>
          </w:p>
          <w:p>
            <w:pPr>
              <w:jc w:val="center"/>
              <w:rPr>
                <w:color w:val="auto"/>
                <w:sz w:val="24"/>
                <w:szCs w:val="24"/>
                <w:highlight w:val="none"/>
              </w:rPr>
            </w:pPr>
            <w:r>
              <w:rPr>
                <w:rFonts w:hint="eastAsia"/>
                <w:color w:val="auto"/>
                <w:sz w:val="24"/>
                <w:szCs w:val="24"/>
                <w:highlight w:val="none"/>
              </w:rPr>
              <w:t>申</w:t>
            </w:r>
          </w:p>
          <w:p>
            <w:pPr>
              <w:jc w:val="center"/>
              <w:rPr>
                <w:color w:val="auto"/>
                <w:sz w:val="24"/>
                <w:szCs w:val="24"/>
                <w:highlight w:val="none"/>
              </w:rPr>
            </w:pPr>
            <w:r>
              <w:rPr>
                <w:rFonts w:hint="eastAsia"/>
                <w:color w:val="auto"/>
                <w:sz w:val="24"/>
                <w:szCs w:val="24"/>
                <w:highlight w:val="none"/>
              </w:rPr>
              <w:t>请</w:t>
            </w:r>
          </w:p>
        </w:tc>
        <w:tc>
          <w:tcPr>
            <w:tcW w:w="8206" w:type="dxa"/>
            <w:vAlign w:val="center"/>
          </w:tcPr>
          <w:p>
            <w:pPr>
              <w:rPr>
                <w:color w:val="auto"/>
                <w:sz w:val="24"/>
                <w:szCs w:val="24"/>
                <w:highlight w:val="none"/>
              </w:rPr>
            </w:pPr>
            <w:r>
              <w:rPr>
                <w:rFonts w:hint="eastAsia"/>
                <w:color w:val="auto"/>
                <w:sz w:val="24"/>
                <w:szCs w:val="24"/>
                <w:highlight w:val="none"/>
              </w:rPr>
              <w:t>项目编号：</w:t>
            </w:r>
          </w:p>
        </w:tc>
      </w:tr>
      <w:tr>
        <w:tblPrEx>
          <w:tblW w:w="0" w:type="auto"/>
          <w:jc w:val="center"/>
          <w:tblLayout w:type="fixed"/>
          <w:tblCellMar>
            <w:top w:w="0" w:type="dxa"/>
            <w:left w:w="108" w:type="dxa"/>
            <w:bottom w:w="0" w:type="dxa"/>
            <w:right w:w="108" w:type="dxa"/>
          </w:tblCellMar>
        </w:tblPrEx>
        <w:trPr>
          <w:cantSplit/>
          <w:trHeight w:val="608"/>
          <w:jc w:val="center"/>
        </w:trPr>
        <w:tc>
          <w:tcPr>
            <w:tcW w:w="1008" w:type="dxa"/>
            <w:vMerge/>
            <w:vAlign w:val="center"/>
          </w:tcPr>
          <w:p>
            <w:pPr>
              <w:rPr>
                <w:color w:val="auto"/>
                <w:sz w:val="24"/>
                <w:szCs w:val="24"/>
                <w:highlight w:val="none"/>
              </w:rPr>
            </w:pPr>
          </w:p>
        </w:tc>
        <w:tc>
          <w:tcPr>
            <w:tcW w:w="8206" w:type="dxa"/>
            <w:vAlign w:val="center"/>
          </w:tcPr>
          <w:p>
            <w:pPr>
              <w:rPr>
                <w:color w:val="auto"/>
                <w:sz w:val="24"/>
                <w:szCs w:val="24"/>
                <w:highlight w:val="none"/>
              </w:rPr>
            </w:pPr>
            <w:r>
              <w:rPr>
                <w:rFonts w:hint="eastAsia"/>
                <w:color w:val="auto"/>
                <w:sz w:val="24"/>
                <w:szCs w:val="24"/>
                <w:highlight w:val="none"/>
              </w:rPr>
              <w:t>项目名称：</w:t>
            </w:r>
          </w:p>
        </w:tc>
      </w:tr>
      <w:tr>
        <w:tblPrEx>
          <w:tblW w:w="0" w:type="auto"/>
          <w:jc w:val="center"/>
          <w:tblLayout w:type="fixed"/>
          <w:tblCellMar>
            <w:top w:w="0" w:type="dxa"/>
            <w:left w:w="108" w:type="dxa"/>
            <w:bottom w:w="0" w:type="dxa"/>
            <w:right w:w="108" w:type="dxa"/>
          </w:tblCellMar>
        </w:tblPrEx>
        <w:trPr>
          <w:cantSplit/>
          <w:jc w:val="center"/>
        </w:trPr>
        <w:tc>
          <w:tcPr>
            <w:tcW w:w="1008" w:type="dxa"/>
            <w:vMerge/>
          </w:tcPr>
          <w:p>
            <w:pPr>
              <w:rPr>
                <w:color w:val="auto"/>
                <w:sz w:val="24"/>
                <w:szCs w:val="24"/>
                <w:highlight w:val="none"/>
              </w:rPr>
            </w:pPr>
          </w:p>
        </w:tc>
        <w:tc>
          <w:tcPr>
            <w:tcW w:w="8206" w:type="dxa"/>
          </w:tcPr>
          <w:p>
            <w:pPr>
              <w:rPr>
                <w:color w:val="auto"/>
                <w:sz w:val="24"/>
                <w:szCs w:val="24"/>
                <w:highlight w:val="none"/>
              </w:rPr>
            </w:pPr>
            <w:r>
              <w:rPr>
                <w:rFonts w:hint="eastAsia"/>
                <w:color w:val="auto"/>
                <w:sz w:val="24"/>
                <w:szCs w:val="24"/>
                <w:highlight w:val="none"/>
              </w:rPr>
              <w:t xml:space="preserve">  </w:t>
            </w:r>
          </w:p>
          <w:p>
            <w:pPr>
              <w:spacing w:line="400" w:lineRule="exact"/>
              <w:ind w:firstLine="480" w:firstLineChars="200"/>
              <w:rPr>
                <w:color w:val="auto"/>
                <w:sz w:val="24"/>
                <w:szCs w:val="24"/>
                <w:highlight w:val="none"/>
              </w:rPr>
            </w:pPr>
            <w:r>
              <w:rPr>
                <w:rFonts w:hint="eastAsia"/>
                <w:color w:val="auto"/>
                <w:sz w:val="24"/>
                <w:szCs w:val="24"/>
                <w:highlight w:val="none"/>
              </w:rPr>
              <w:t>该项目已于</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日验收并交付使用。根据合同规定，该项目的履约保证金，期限于</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日已满，请将履约保证金人民币（大写）</w:t>
            </w:r>
            <w:r>
              <w:rPr>
                <w:rFonts w:hint="eastAsia"/>
                <w:color w:val="auto"/>
                <w:sz w:val="24"/>
                <w:szCs w:val="24"/>
                <w:highlight w:val="none"/>
                <w:u w:val="single"/>
              </w:rPr>
              <w:t xml:space="preserve">       </w:t>
            </w:r>
            <w:r>
              <w:rPr>
                <w:rFonts w:hint="eastAsia"/>
                <w:color w:val="auto"/>
                <w:sz w:val="24"/>
                <w:szCs w:val="24"/>
                <w:highlight w:val="none"/>
              </w:rPr>
              <w:t>（</w:t>
            </w:r>
            <w:r>
              <w:rPr>
                <w:rFonts w:ascii="Arial" w:hAnsi="Arial" w:cs="Arial"/>
                <w:color w:val="auto"/>
                <w:szCs w:val="24"/>
                <w:highlight w:val="none"/>
              </w:rPr>
              <w:t>¥</w:t>
            </w:r>
            <w:r>
              <w:rPr>
                <w:rFonts w:hint="eastAsia"/>
                <w:color w:val="auto"/>
                <w:sz w:val="24"/>
                <w:szCs w:val="24"/>
                <w:highlight w:val="none"/>
                <w:u w:val="single"/>
              </w:rPr>
              <w:t xml:space="preserve">        ）</w:t>
            </w:r>
            <w:r>
              <w:rPr>
                <w:rFonts w:hint="eastAsia"/>
                <w:color w:val="auto"/>
                <w:sz w:val="24"/>
                <w:szCs w:val="24"/>
                <w:highlight w:val="none"/>
              </w:rPr>
              <w:t>退付到达以下帐户。</w:t>
            </w:r>
          </w:p>
          <w:p>
            <w:pPr>
              <w:spacing w:line="400" w:lineRule="exact"/>
              <w:ind w:firstLine="705"/>
              <w:rPr>
                <w:color w:val="auto"/>
                <w:sz w:val="24"/>
                <w:szCs w:val="24"/>
                <w:highlight w:val="none"/>
              </w:rPr>
            </w:pPr>
            <w:r>
              <w:rPr>
                <w:rFonts w:hint="eastAsia"/>
                <w:color w:val="auto"/>
                <w:sz w:val="24"/>
                <w:szCs w:val="24"/>
                <w:highlight w:val="none"/>
              </w:rPr>
              <w:t>单位名称：</w:t>
            </w:r>
          </w:p>
          <w:p>
            <w:pPr>
              <w:spacing w:line="400" w:lineRule="exact"/>
              <w:ind w:firstLine="705"/>
              <w:rPr>
                <w:color w:val="auto"/>
                <w:sz w:val="24"/>
                <w:szCs w:val="24"/>
                <w:highlight w:val="none"/>
              </w:rPr>
            </w:pPr>
            <w:r>
              <w:rPr>
                <w:rFonts w:hint="eastAsia"/>
                <w:color w:val="auto"/>
                <w:sz w:val="24"/>
                <w:szCs w:val="24"/>
                <w:highlight w:val="none"/>
              </w:rPr>
              <w:t>开户银行：</w:t>
            </w:r>
          </w:p>
          <w:p>
            <w:pPr>
              <w:spacing w:line="400" w:lineRule="exact"/>
              <w:ind w:firstLine="705"/>
              <w:rPr>
                <w:color w:val="auto"/>
                <w:sz w:val="24"/>
                <w:szCs w:val="24"/>
                <w:highlight w:val="none"/>
              </w:rPr>
            </w:pPr>
            <w:r>
              <w:rPr>
                <w:rFonts w:hint="eastAsia"/>
                <w:color w:val="auto"/>
                <w:sz w:val="24"/>
                <w:szCs w:val="24"/>
                <w:highlight w:val="none"/>
              </w:rPr>
              <w:t>帐   号：</w:t>
            </w:r>
          </w:p>
          <w:p>
            <w:pPr>
              <w:spacing w:line="400" w:lineRule="exact"/>
              <w:rPr>
                <w:color w:val="auto"/>
                <w:sz w:val="24"/>
                <w:szCs w:val="24"/>
                <w:highlight w:val="none"/>
              </w:rPr>
            </w:pPr>
            <w:r>
              <w:rPr>
                <w:rFonts w:hint="eastAsia"/>
                <w:color w:val="auto"/>
                <w:sz w:val="24"/>
                <w:szCs w:val="24"/>
                <w:highlight w:val="none"/>
              </w:rPr>
              <w:t>联系人及电话：</w:t>
            </w:r>
          </w:p>
          <w:p>
            <w:pPr>
              <w:spacing w:line="400" w:lineRule="exact"/>
              <w:rPr>
                <w:color w:val="auto"/>
                <w:sz w:val="24"/>
                <w:szCs w:val="24"/>
                <w:highlight w:val="none"/>
              </w:rPr>
            </w:pPr>
          </w:p>
          <w:p>
            <w:pPr>
              <w:spacing w:line="520" w:lineRule="exact"/>
              <w:jc w:val="center"/>
              <w:rPr>
                <w:color w:val="auto"/>
                <w:sz w:val="24"/>
                <w:szCs w:val="24"/>
                <w:highlight w:val="none"/>
              </w:rPr>
            </w:pPr>
            <w:r>
              <w:rPr>
                <w:rFonts w:hint="eastAsia"/>
                <w:color w:val="auto"/>
                <w:sz w:val="24"/>
                <w:szCs w:val="24"/>
                <w:highlight w:val="none"/>
              </w:rPr>
              <w:t xml:space="preserve">         供应商签章：</w:t>
            </w:r>
          </w:p>
          <w:p>
            <w:pPr>
              <w:spacing w:line="520" w:lineRule="exact"/>
              <w:jc w:val="center"/>
              <w:rPr>
                <w:color w:val="auto"/>
                <w:sz w:val="24"/>
                <w:szCs w:val="24"/>
                <w:highlight w:val="none"/>
              </w:rPr>
            </w:pPr>
            <w:r>
              <w:rPr>
                <w:rFonts w:hint="eastAsia"/>
                <w:color w:val="auto"/>
                <w:sz w:val="24"/>
                <w:szCs w:val="24"/>
                <w:highlight w:val="none"/>
              </w:rPr>
              <w:t xml:space="preserve">                           年    月     日</w:t>
            </w:r>
          </w:p>
        </w:tc>
      </w:tr>
      <w:tr>
        <w:tblPrEx>
          <w:tblW w:w="0" w:type="auto"/>
          <w:jc w:val="center"/>
          <w:tblLayout w:type="fixed"/>
          <w:tblCellMar>
            <w:top w:w="0" w:type="dxa"/>
            <w:left w:w="108" w:type="dxa"/>
            <w:bottom w:w="0" w:type="dxa"/>
            <w:right w:w="108" w:type="dxa"/>
          </w:tblCellMar>
        </w:tblPrEx>
        <w:trPr>
          <w:trHeight w:val="3426"/>
          <w:jc w:val="center"/>
        </w:trPr>
        <w:tc>
          <w:tcPr>
            <w:tcW w:w="1008" w:type="dxa"/>
            <w:vAlign w:val="center"/>
          </w:tcPr>
          <w:p>
            <w:pPr>
              <w:jc w:val="center"/>
              <w:rPr>
                <w:color w:val="auto"/>
                <w:sz w:val="24"/>
                <w:szCs w:val="24"/>
                <w:highlight w:val="none"/>
              </w:rPr>
            </w:pPr>
            <w:r>
              <w:rPr>
                <w:rFonts w:hint="eastAsia"/>
                <w:color w:val="auto"/>
                <w:sz w:val="24"/>
                <w:szCs w:val="24"/>
                <w:highlight w:val="none"/>
              </w:rPr>
              <w:t>采</w:t>
            </w:r>
          </w:p>
          <w:p>
            <w:pPr>
              <w:jc w:val="center"/>
              <w:rPr>
                <w:color w:val="auto"/>
                <w:sz w:val="24"/>
                <w:szCs w:val="24"/>
                <w:highlight w:val="none"/>
              </w:rPr>
            </w:pPr>
            <w:r>
              <w:rPr>
                <w:rFonts w:hint="eastAsia"/>
                <w:color w:val="auto"/>
                <w:sz w:val="24"/>
                <w:szCs w:val="24"/>
                <w:highlight w:val="none"/>
              </w:rPr>
              <w:t>购</w:t>
            </w:r>
          </w:p>
          <w:p>
            <w:pPr>
              <w:jc w:val="center"/>
              <w:rPr>
                <w:color w:val="auto"/>
                <w:sz w:val="24"/>
                <w:szCs w:val="24"/>
                <w:highlight w:val="none"/>
              </w:rPr>
            </w:pPr>
            <w:r>
              <w:rPr>
                <w:rFonts w:hint="eastAsia"/>
                <w:color w:val="auto"/>
                <w:sz w:val="24"/>
                <w:szCs w:val="24"/>
                <w:highlight w:val="none"/>
              </w:rPr>
              <w:t>人</w:t>
            </w:r>
          </w:p>
          <w:p>
            <w:pPr>
              <w:jc w:val="center"/>
              <w:rPr>
                <w:color w:val="auto"/>
                <w:sz w:val="24"/>
                <w:szCs w:val="24"/>
                <w:highlight w:val="none"/>
              </w:rPr>
            </w:pPr>
            <w:r>
              <w:rPr>
                <w:rFonts w:hint="eastAsia"/>
                <w:color w:val="auto"/>
                <w:sz w:val="24"/>
                <w:szCs w:val="24"/>
                <w:highlight w:val="none"/>
              </w:rPr>
              <w:t>意</w:t>
            </w:r>
          </w:p>
          <w:p>
            <w:pPr>
              <w:jc w:val="center"/>
              <w:rPr>
                <w:color w:val="auto"/>
                <w:sz w:val="24"/>
                <w:szCs w:val="24"/>
                <w:highlight w:val="none"/>
              </w:rPr>
            </w:pPr>
            <w:r>
              <w:rPr>
                <w:rFonts w:hint="eastAsia"/>
                <w:color w:val="auto"/>
                <w:sz w:val="24"/>
                <w:szCs w:val="24"/>
                <w:highlight w:val="none"/>
              </w:rPr>
              <w:t>见</w:t>
            </w:r>
          </w:p>
        </w:tc>
        <w:tc>
          <w:tcPr>
            <w:tcW w:w="8206" w:type="dxa"/>
          </w:tcPr>
          <w:p>
            <w:pPr>
              <w:rPr>
                <w:color w:val="auto"/>
                <w:sz w:val="24"/>
                <w:szCs w:val="24"/>
                <w:highlight w:val="none"/>
              </w:rPr>
            </w:pPr>
          </w:p>
          <w:p>
            <w:pPr>
              <w:rPr>
                <w:color w:val="auto"/>
                <w:sz w:val="24"/>
                <w:szCs w:val="24"/>
                <w:highlight w:val="none"/>
              </w:rPr>
            </w:pPr>
            <w:r>
              <w:rPr>
                <w:rFonts w:hint="eastAsia"/>
                <w:color w:val="auto"/>
                <w:sz w:val="24"/>
                <w:szCs w:val="24"/>
                <w:highlight w:val="none"/>
              </w:rPr>
              <w:t>退付意见：（是否同意退付履约保证金及退付金额）</w:t>
            </w: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spacing w:line="520" w:lineRule="exact"/>
              <w:rPr>
                <w:color w:val="auto"/>
                <w:sz w:val="24"/>
                <w:szCs w:val="24"/>
                <w:highlight w:val="none"/>
              </w:rPr>
            </w:pPr>
            <w:r>
              <w:rPr>
                <w:rFonts w:hint="eastAsia"/>
                <w:color w:val="auto"/>
                <w:sz w:val="24"/>
                <w:szCs w:val="24"/>
                <w:highlight w:val="none"/>
              </w:rPr>
              <w:t>联系人及电话：                         采购人签章</w:t>
            </w:r>
          </w:p>
          <w:p>
            <w:pPr>
              <w:spacing w:line="520" w:lineRule="exact"/>
              <w:jc w:val="center"/>
              <w:rPr>
                <w:color w:val="auto"/>
                <w:sz w:val="24"/>
                <w:szCs w:val="24"/>
                <w:highlight w:val="none"/>
              </w:rPr>
            </w:pPr>
            <w:r>
              <w:rPr>
                <w:rFonts w:hint="eastAsia"/>
                <w:color w:val="auto"/>
                <w:sz w:val="24"/>
                <w:szCs w:val="24"/>
                <w:highlight w:val="none"/>
              </w:rPr>
              <w:t xml:space="preserve">                                        年    月     日</w:t>
            </w:r>
          </w:p>
          <w:p>
            <w:pPr>
              <w:spacing w:line="520" w:lineRule="exact"/>
              <w:jc w:val="center"/>
              <w:rPr>
                <w:color w:val="auto"/>
                <w:sz w:val="24"/>
                <w:szCs w:val="24"/>
                <w:highlight w:val="none"/>
              </w:rPr>
            </w:pPr>
          </w:p>
        </w:tc>
      </w:tr>
    </w:tbl>
    <w:p>
      <w:pPr>
        <w:rPr>
          <w:rFonts w:asciiTheme="minorHAnsi" w:eastAsiaTheme="minorEastAsia" w:hAnsiTheme="minorHAnsi" w:cstheme="minorBidi"/>
          <w:color w:val="auto"/>
          <w:highlight w:val="none"/>
        </w:rPr>
      </w:pPr>
    </w:p>
    <w:p>
      <w:pPr>
        <w:rPr>
          <w:rFonts w:asciiTheme="minorHAnsi" w:eastAsiaTheme="minorEastAsia" w:hAnsiTheme="minorHAnsi" w:cstheme="minorBidi"/>
          <w:color w:val="auto"/>
          <w:highlight w:val="none"/>
        </w:rPr>
      </w:pPr>
    </w:p>
    <w:p>
      <w:pPr>
        <w:rPr>
          <w:rFonts w:asciiTheme="minorHAnsi" w:eastAsiaTheme="minorEastAsia" w:hAnsiTheme="minorHAnsi" w:cstheme="minorBidi"/>
          <w:color w:val="auto"/>
          <w:highlight w:val="none"/>
        </w:rPr>
      </w:pPr>
    </w:p>
    <w:p>
      <w:pPr>
        <w:rPr>
          <w:rFonts w:asciiTheme="minorHAnsi" w:eastAsiaTheme="minorEastAsia" w:hAnsiTheme="minorHAnsi" w:cstheme="minorBidi"/>
          <w:color w:val="auto"/>
          <w:highlight w:val="none"/>
        </w:rPr>
      </w:pPr>
    </w:p>
    <w:p>
      <w:pPr>
        <w:spacing w:line="360" w:lineRule="auto"/>
        <w:jc w:val="center"/>
        <w:rPr>
          <w:rFonts w:ascii="宋体" w:hAnsi="宋体" w:cs="宋体"/>
          <w:color w:val="auto"/>
          <w:highlight w:val="none"/>
        </w:rPr>
      </w:pPr>
    </w:p>
    <w:p>
      <w:pPr>
        <w:spacing w:line="360" w:lineRule="auto"/>
        <w:jc w:val="center"/>
        <w:rPr>
          <w:rFonts w:ascii="宋体" w:hAnsi="宋体" w:cs="宋体"/>
          <w:color w:val="auto"/>
          <w:highlight w:val="none"/>
        </w:rPr>
      </w:pPr>
    </w:p>
    <w:p>
      <w:pPr>
        <w:rPr>
          <w:color w:val="auto"/>
          <w:highlight w:val="none"/>
        </w:rPr>
      </w:pPr>
    </w:p>
    <w:p>
      <w:pPr>
        <w:rPr>
          <w:color w:val="auto"/>
          <w:highlight w:val="none"/>
        </w:rPr>
        <w:sectPr>
          <w:pgSz w:w="11906" w:h="16838"/>
          <w:pgMar w:top="1418" w:right="1418" w:bottom="1418" w:left="1418" w:header="851" w:footer="992" w:gutter="0"/>
          <w:cols w:num="1" w:space="720"/>
          <w:titlePg/>
          <w:docGrid w:type="linesAndChars" w:linePitch="312" w:charSpace="0"/>
        </w:sectPr>
      </w:pPr>
    </w:p>
    <w:p>
      <w:pPr>
        <w:pStyle w:val="PlainText"/>
        <w:jc w:val="center"/>
        <w:outlineLvl w:val="0"/>
        <w:rPr>
          <w:rFonts w:cs="宋体"/>
          <w:b/>
          <w:bCs/>
          <w:color w:val="auto"/>
          <w:sz w:val="28"/>
          <w:szCs w:val="28"/>
          <w:highlight w:val="none"/>
        </w:rPr>
      </w:pPr>
      <w:r>
        <w:rPr>
          <w:rFonts w:cs="宋体" w:hint="eastAsia"/>
          <w:b/>
          <w:bCs/>
          <w:color w:val="auto"/>
          <w:sz w:val="28"/>
          <w:szCs w:val="28"/>
          <w:highlight w:val="none"/>
        </w:rPr>
        <w:t>第五章　投标文件格式</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2.所附表格中要求回答的全部问题和信息都必须正面回答。</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5.全部文件应按投标人须知中规定的语言提交。</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62" w:beforeLines="20" w:after="4" w:line="360" w:lineRule="auto"/>
        <w:ind w:firstLine="420" w:firstLineChars="200"/>
        <w:jc w:val="center"/>
        <w:rPr>
          <w:b/>
          <w:bCs/>
          <w:color w:val="auto"/>
          <w:highlight w:val="none"/>
        </w:rPr>
      </w:pPr>
    </w:p>
    <w:p>
      <w:pPr>
        <w:ind w:firstLine="420" w:firstLineChars="200"/>
        <w:jc w:val="center"/>
        <w:rPr>
          <w:b/>
          <w:bCs/>
          <w:color w:val="auto"/>
          <w:highlight w:val="none"/>
        </w:rPr>
      </w:pPr>
    </w:p>
    <w:p>
      <w:pPr>
        <w:rPr>
          <w:color w:val="auto"/>
          <w:highlight w:val="none"/>
        </w:rPr>
      </w:pPr>
    </w:p>
    <w:p>
      <w:pPr>
        <w:rPr>
          <w:b/>
          <w:bCs/>
          <w:color w:val="auto"/>
          <w:highlight w:val="none"/>
        </w:rPr>
      </w:pPr>
    </w:p>
    <w:p>
      <w:pPr>
        <w:adjustRightInd w:val="0"/>
        <w:snapToGrid w:val="0"/>
        <w:spacing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ascii="华文中宋" w:eastAsia="华文中宋" w:hAnsi="华文中宋" w:cs="华文中宋"/>
          <w:bCs/>
          <w:color w:val="auto"/>
          <w:kern w:val="0"/>
          <w:sz w:val="32"/>
          <w:szCs w:val="32"/>
          <w:highlight w:val="none"/>
        </w:rPr>
      </w:pP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投  标  文  件</w:t>
      </w: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商务部分</w:t>
      </w:r>
    </w:p>
    <w:p>
      <w:pPr>
        <w:spacing w:line="360" w:lineRule="auto"/>
        <w:jc w:val="center"/>
        <w:rPr>
          <w:rFonts w:ascii="宋体" w:hAnsi="宋体"/>
          <w:color w:val="auto"/>
          <w:kern w:val="0"/>
          <w:sz w:val="32"/>
          <w:szCs w:val="32"/>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项目名称：</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项目编号：</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所投采购包：</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jc w:val="center"/>
        <w:rPr>
          <w:rFonts w:asciiTheme="minorEastAsia" w:eastAsiaTheme="minorEastAsia" w:hAnsiTheme="minorEastAsia"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投标人：</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日  期：</w:t>
      </w:r>
      <w:r>
        <w:rPr>
          <w:rFonts w:asciiTheme="minorEastAsia" w:eastAsiaTheme="minorEastAsia" w:hAnsiTheme="minorEastAsia" w:cs="方正小标宋简体" w:hint="eastAsia"/>
          <w:bCs/>
          <w:color w:val="auto"/>
          <w:kern w:val="0"/>
          <w:sz w:val="24"/>
          <w:szCs w:val="24"/>
          <w:highlight w:val="none"/>
          <w:u w:val="single"/>
        </w:rPr>
        <w:t xml:space="preserve">                     </w:t>
      </w:r>
    </w:p>
    <w:p>
      <w:pPr>
        <w:widowControl/>
        <w:jc w:val="left"/>
        <w:rPr>
          <w:rFonts w:ascii="宋体" w:hAnsi="宋体" w:cs="宋体"/>
          <w:b/>
          <w:bCs/>
          <w:color w:val="auto"/>
          <w:sz w:val="36"/>
          <w:szCs w:val="36"/>
          <w:highlight w:val="none"/>
        </w:rPr>
      </w:pPr>
      <w:r>
        <w:rPr>
          <w:rFonts w:ascii="宋体" w:hAnsi="宋体" w:cs="宋体" w:hint="eastAsia"/>
          <w:b/>
          <w:bCs/>
          <w:color w:val="auto"/>
          <w:sz w:val="36"/>
          <w:szCs w:val="36"/>
          <w:highlight w:val="none"/>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格式1  </w:t>
      </w:r>
      <w:r>
        <w:rPr>
          <w:rFonts w:ascii="Times New Roman" w:hAnsi="Times New Roman" w:cs="宋体" w:hint="eastAsia"/>
          <w:b/>
          <w:bCs/>
          <w:color w:val="auto"/>
          <w:sz w:val="28"/>
          <w:szCs w:val="28"/>
          <w:highlight w:val="none"/>
          <w:lang w:bidi="ar"/>
        </w:rPr>
        <w:t>投标人基本情况</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47"/>
        <w:gridCol w:w="607"/>
        <w:gridCol w:w="1675"/>
        <w:gridCol w:w="1831"/>
        <w:gridCol w:w="2926"/>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供应商名称</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法定代表人</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统一社会信用代码</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邮政编码</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授权代表</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联系电话</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电子邮箱</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传真</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上年营业收入</w:t>
            </w:r>
          </w:p>
        </w:tc>
        <w:tc>
          <w:tcPr>
            <w:tcW w:w="1229" w:type="pct"/>
            <w:gridSpan w:val="2"/>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员工总人数</w:t>
            </w: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基本账户开户行及账号</w:t>
            </w:r>
          </w:p>
        </w:tc>
        <w:tc>
          <w:tcPr>
            <w:tcW w:w="3462" w:type="pct"/>
            <w:gridSpan w:val="3"/>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税务登记机关</w:t>
            </w:r>
          </w:p>
        </w:tc>
        <w:tc>
          <w:tcPr>
            <w:tcW w:w="3462" w:type="pct"/>
            <w:gridSpan w:val="3"/>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资质名称</w:t>
            </w:r>
          </w:p>
        </w:tc>
        <w:tc>
          <w:tcPr>
            <w:tcW w:w="902"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等级</w:t>
            </w:r>
          </w:p>
        </w:tc>
        <w:tc>
          <w:tcPr>
            <w:tcW w:w="986"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发证机关</w:t>
            </w:r>
          </w:p>
        </w:tc>
        <w:tc>
          <w:tcPr>
            <w:tcW w:w="1574"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有效期</w:t>
            </w: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986" w:type="pct"/>
            <w:vAlign w:val="center"/>
          </w:tcPr>
          <w:p>
            <w:pPr>
              <w:spacing w:line="360" w:lineRule="auto"/>
              <w:jc w:val="center"/>
              <w:rPr>
                <w:rFonts w:ascii="Times New Roman" w:hAnsi="Times New Roman" w:cs="Courier New"/>
                <w:color w:val="auto"/>
                <w:szCs w:val="21"/>
                <w:highlight w:val="none"/>
              </w:rPr>
            </w:pPr>
          </w:p>
        </w:tc>
        <w:tc>
          <w:tcPr>
            <w:tcW w:w="1574" w:type="pct"/>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cs="Courier New"/>
                <w:color w:val="auto"/>
                <w:szCs w:val="21"/>
                <w:highlight w:val="none"/>
              </w:rPr>
            </w:pPr>
            <w:r>
              <w:rPr>
                <w:rFonts w:ascii="宋体" w:hAnsi="宋体" w:cs="Courier New" w:hint="eastAsia"/>
                <w:color w:val="auto"/>
                <w:szCs w:val="21"/>
                <w:highlight w:val="none"/>
              </w:rPr>
              <w:t>供应商直接控股股东信息</w:t>
            </w: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直接控股股东名称</w:t>
            </w:r>
          </w:p>
        </w:tc>
        <w:tc>
          <w:tcPr>
            <w:tcW w:w="902" w:type="pct"/>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出资比例</w:t>
            </w:r>
          </w:p>
        </w:tc>
        <w:tc>
          <w:tcPr>
            <w:tcW w:w="2560" w:type="pct"/>
            <w:gridSpan w:val="2"/>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身份证号码或者统一社会信用代码</w:t>
            </w: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vAlign w:val="center"/>
          </w:tcPr>
          <w:p>
            <w:pPr>
              <w:spacing w:line="360" w:lineRule="auto"/>
              <w:jc w:val="center"/>
              <w:rPr>
                <w:rFonts w:ascii="Times New Roman" w:hAnsi="Times New Roman" w:cs="Courier New"/>
                <w:color w:val="auto"/>
                <w:szCs w:val="21"/>
                <w:highlight w:val="none"/>
              </w:rPr>
            </w:pPr>
          </w:p>
        </w:tc>
        <w:tc>
          <w:tcPr>
            <w:tcW w:w="902" w:type="pct"/>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vAlign w:val="center"/>
          </w:tcPr>
          <w:p>
            <w:pPr>
              <w:spacing w:line="360" w:lineRule="auto"/>
              <w:jc w:val="center"/>
              <w:rPr>
                <w:rFonts w:ascii="Times New Roman" w:hAnsi="Times New Roman" w:cs="Courier New"/>
                <w:color w:val="auto"/>
                <w:szCs w:val="21"/>
                <w:highlight w:val="none"/>
              </w:rPr>
            </w:pPr>
            <w:r>
              <w:rPr>
                <w:rFonts w:ascii="宋体" w:hAnsi="宋体" w:cs="Courier New" w:hint="eastAsia"/>
                <w:color w:val="auto"/>
                <w:szCs w:val="21"/>
                <w:highlight w:val="none"/>
              </w:rPr>
              <w:t>供应商直接管理关系信息表</w:t>
            </w:r>
          </w:p>
        </w:tc>
      </w:tr>
      <w:tr>
        <w:tblPrEx>
          <w:tblW w:w="5000" w:type="pct"/>
          <w:jc w:val="center"/>
          <w:tblCellMar>
            <w:top w:w="0" w:type="dxa"/>
            <w:left w:w="108" w:type="dxa"/>
            <w:bottom w:w="0" w:type="dxa"/>
            <w:right w:w="108" w:type="dxa"/>
          </w:tblCellMar>
        </w:tblPrEx>
        <w:trPr>
          <w:jc w:val="center"/>
        </w:trPr>
        <w:tc>
          <w:tcPr>
            <w:tcW w:w="2439" w:type="pct"/>
            <w:gridSpan w:val="3"/>
            <w:vAlign w:val="center"/>
          </w:tcPr>
          <w:p>
            <w:pPr>
              <w:widowControl/>
              <w:spacing w:line="360" w:lineRule="auto"/>
              <w:contextualSpacing/>
              <w:jc w:val="center"/>
              <w:rPr>
                <w:rFonts w:ascii="Times New Roman" w:hAnsi="Times New Roman"/>
                <w:color w:val="auto"/>
                <w:szCs w:val="21"/>
                <w:highlight w:val="none"/>
              </w:rPr>
            </w:pPr>
            <w:r>
              <w:rPr>
                <w:rFonts w:ascii="宋体" w:hAnsi="宋体" w:cs="宋体" w:hint="eastAsia"/>
                <w:bCs/>
                <w:color w:val="auto"/>
                <w:kern w:val="0"/>
                <w:szCs w:val="21"/>
                <w:highlight w:val="none"/>
              </w:rPr>
              <w:t>直接管理关系单位名称</w:t>
            </w:r>
          </w:p>
        </w:tc>
        <w:tc>
          <w:tcPr>
            <w:tcW w:w="2560" w:type="pct"/>
            <w:gridSpan w:val="2"/>
            <w:vAlign w:val="center"/>
          </w:tcPr>
          <w:p>
            <w:pPr>
              <w:jc w:val="center"/>
              <w:rPr>
                <w:rFonts w:ascii="Times New Roman" w:hAnsi="Times New Roman" w:cs="Courier New"/>
                <w:color w:val="auto"/>
                <w:szCs w:val="21"/>
                <w:highlight w:val="none"/>
              </w:rPr>
            </w:pPr>
            <w:r>
              <w:rPr>
                <w:rFonts w:ascii="宋体" w:hAnsi="宋体" w:cs="Courier New" w:hint="eastAsia"/>
                <w:bCs/>
                <w:color w:val="auto"/>
                <w:szCs w:val="21"/>
                <w:highlight w:val="none"/>
              </w:rPr>
              <w:t>统一社会信用代码</w:t>
            </w:r>
          </w:p>
        </w:tc>
      </w:tr>
      <w:tr>
        <w:tblPrEx>
          <w:tblW w:w="5000" w:type="pct"/>
          <w:jc w:val="center"/>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2439" w:type="pct"/>
            <w:gridSpan w:val="3"/>
            <w:vAlign w:val="center"/>
          </w:tcPr>
          <w:p>
            <w:pPr>
              <w:spacing w:line="360" w:lineRule="auto"/>
              <w:jc w:val="center"/>
              <w:rPr>
                <w:rFonts w:ascii="Times New Roman" w:hAnsi="Times New Roman" w:cs="Courier New"/>
                <w:color w:val="auto"/>
                <w:szCs w:val="21"/>
                <w:highlight w:val="none"/>
              </w:rPr>
            </w:pPr>
          </w:p>
        </w:tc>
        <w:tc>
          <w:tcPr>
            <w:tcW w:w="2560" w:type="pct"/>
            <w:gridSpan w:val="2"/>
            <w:vAlign w:val="center"/>
          </w:tcPr>
          <w:p>
            <w:pPr>
              <w:spacing w:line="360" w:lineRule="auto"/>
              <w:jc w:val="center"/>
              <w:rPr>
                <w:rFonts w:ascii="Times New Roman" w:hAnsi="Times New Roman" w:cs="Courier New"/>
                <w:color w:val="auto"/>
                <w:szCs w:val="21"/>
                <w:highlight w:val="none"/>
              </w:rPr>
            </w:pPr>
          </w:p>
        </w:tc>
      </w:tr>
      <w:tr>
        <w:tblPrEx>
          <w:tblW w:w="5000" w:type="pct"/>
          <w:jc w:val="center"/>
          <w:tblCellMar>
            <w:top w:w="0" w:type="dxa"/>
            <w:left w:w="108" w:type="dxa"/>
            <w:bottom w:w="0" w:type="dxa"/>
            <w:right w:w="108" w:type="dxa"/>
          </w:tblCellMar>
        </w:tblPrEx>
        <w:trPr>
          <w:jc w:val="center"/>
        </w:trPr>
        <w:tc>
          <w:tcPr>
            <w:tcW w:w="1210" w:type="pct"/>
            <w:vAlign w:val="center"/>
          </w:tcPr>
          <w:p>
            <w:pPr>
              <w:spacing w:line="360" w:lineRule="auto"/>
              <w:jc w:val="center"/>
              <w:rPr>
                <w:rFonts w:ascii="Times New Roman" w:hAnsi="Times New Roman" w:cs="Courier New"/>
                <w:color w:val="auto"/>
                <w:szCs w:val="21"/>
                <w:highlight w:val="none"/>
              </w:rPr>
            </w:pPr>
            <w:r>
              <w:rPr>
                <w:rFonts w:ascii="Times New Roman" w:hAnsi="Times New Roman" w:cs="Courier New" w:hint="eastAsia"/>
                <w:color w:val="auto"/>
                <w:szCs w:val="21"/>
                <w:highlight w:val="none"/>
              </w:rPr>
              <w:t>备注</w:t>
            </w:r>
          </w:p>
        </w:tc>
        <w:tc>
          <w:tcPr>
            <w:tcW w:w="3789" w:type="pct"/>
            <w:gridSpan w:val="4"/>
            <w:vAlign w:val="center"/>
          </w:tcPr>
          <w:p>
            <w:pPr>
              <w:spacing w:line="360" w:lineRule="auto"/>
              <w:jc w:val="center"/>
              <w:rPr>
                <w:rFonts w:ascii="Times New Roman" w:hAnsi="Times New Roman" w:cs="Courier New"/>
                <w:color w:val="auto"/>
                <w:szCs w:val="21"/>
                <w:highlight w:val="none"/>
              </w:rPr>
            </w:pPr>
          </w:p>
        </w:tc>
      </w:tr>
    </w:tbl>
    <w:p>
      <w:pPr>
        <w:topLinePunct/>
        <w:autoSpaceDE w:val="0"/>
        <w:autoSpaceDN w:val="0"/>
        <w:spacing w:line="500" w:lineRule="exact"/>
        <w:ind w:firstLine="210" w:firstLineChars="100"/>
        <w:rPr>
          <w:rFonts w:hAnsi="宋体"/>
          <w:b/>
          <w:bCs/>
          <w:color w:val="auto"/>
          <w:sz w:val="24"/>
          <w:highlight w:val="none"/>
        </w:rPr>
      </w:pPr>
      <w:r>
        <w:rPr>
          <w:rFonts w:ascii="Times New Roman" w:hAnsi="Times New Roman" w:hint="eastAsia"/>
          <w:b/>
          <w:bCs/>
          <w:color w:val="auto"/>
          <w:szCs w:val="21"/>
          <w:highlight w:val="none"/>
        </w:rPr>
        <w:t>（需上传</w:t>
      </w:r>
      <w:r>
        <w:rPr>
          <w:rFonts w:ascii="Times New Roman" w:hAnsi="Times New Roman"/>
          <w:b/>
          <w:bCs/>
          <w:color w:val="auto"/>
          <w:szCs w:val="21"/>
          <w:highlight w:val="none"/>
        </w:rPr>
        <w:t>法人或者其他组织的营业执照等证明文件</w:t>
      </w:r>
      <w:r>
        <w:rPr>
          <w:rFonts w:ascii="Times New Roman" w:hAnsi="Times New Roman" w:hint="eastAsia"/>
          <w:b/>
          <w:bCs/>
          <w:color w:val="auto"/>
          <w:szCs w:val="21"/>
          <w:highlight w:val="none"/>
        </w:rPr>
        <w:t>扫描</w:t>
      </w:r>
      <w:r>
        <w:rPr>
          <w:rFonts w:ascii="Times New Roman" w:hAnsi="Times New Roman"/>
          <w:b/>
          <w:bCs/>
          <w:color w:val="auto"/>
          <w:szCs w:val="21"/>
          <w:highlight w:val="none"/>
        </w:rPr>
        <w:t>件</w:t>
      </w:r>
      <w:r>
        <w:rPr>
          <w:rFonts w:ascii="Times New Roman" w:hAnsi="Times New Roman" w:hint="eastAsia"/>
          <w:b/>
          <w:bCs/>
          <w:color w:val="auto"/>
          <w:szCs w:val="21"/>
          <w:highlight w:val="none"/>
        </w:rPr>
        <w:t>；投标人如为</w:t>
      </w:r>
      <w:r>
        <w:rPr>
          <w:rFonts w:ascii="Times New Roman" w:hAnsi="Times New Roman"/>
          <w:b/>
          <w:bCs/>
          <w:color w:val="auto"/>
          <w:szCs w:val="21"/>
          <w:highlight w:val="none"/>
        </w:rPr>
        <w:t>自然人</w:t>
      </w:r>
      <w:r>
        <w:rPr>
          <w:rFonts w:ascii="Times New Roman" w:hAnsi="Times New Roman" w:hint="eastAsia"/>
          <w:b/>
          <w:bCs/>
          <w:color w:val="auto"/>
          <w:szCs w:val="21"/>
          <w:highlight w:val="none"/>
        </w:rPr>
        <w:t>，上传自然人</w:t>
      </w:r>
      <w:r>
        <w:rPr>
          <w:rFonts w:ascii="Times New Roman" w:hAnsi="Times New Roman"/>
          <w:b/>
          <w:bCs/>
          <w:color w:val="auto"/>
          <w:szCs w:val="21"/>
          <w:highlight w:val="none"/>
        </w:rPr>
        <w:t>的身份证</w:t>
      </w:r>
      <w:r>
        <w:rPr>
          <w:rFonts w:ascii="Times New Roman" w:hAnsi="Times New Roman" w:hint="eastAsia"/>
          <w:b/>
          <w:bCs/>
          <w:color w:val="auto"/>
          <w:szCs w:val="21"/>
          <w:highlight w:val="none"/>
        </w:rPr>
        <w:t>扫描</w:t>
      </w:r>
      <w:r>
        <w:rPr>
          <w:rFonts w:ascii="Times New Roman" w:hAnsi="Times New Roman"/>
          <w:b/>
          <w:bCs/>
          <w:color w:val="auto"/>
          <w:szCs w:val="21"/>
          <w:highlight w:val="none"/>
        </w:rPr>
        <w:t>件</w:t>
      </w:r>
      <w:r>
        <w:rPr>
          <w:rFonts w:ascii="Times New Roman" w:hAnsi="Times New Roman" w:hint="eastAsia"/>
          <w:b/>
          <w:bCs/>
          <w:color w:val="auto"/>
          <w:szCs w:val="21"/>
          <w:highlight w:val="none"/>
        </w:rPr>
        <w:t>）</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lang w:bidi="ar"/>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投标人</w:t>
      </w:r>
      <w:r>
        <w:rPr>
          <w:rFonts w:ascii="宋体" w:hAnsi="宋体" w:cs="宋体" w:hint="eastAsia"/>
          <w:color w:val="auto"/>
          <w:kern w:val="0"/>
          <w:szCs w:val="21"/>
          <w:highlight w:val="none"/>
          <w:lang w:bidi="ar"/>
        </w:rPr>
        <w:t>（全称并加盖电子签章</w:t>
      </w:r>
      <w:r>
        <w:rPr>
          <w:rFonts w:ascii="宋体" w:hAnsi="宋体" w:cs="宋体" w:hint="eastAsia"/>
          <w:color w:val="auto"/>
          <w:szCs w:val="21"/>
          <w:highlight w:val="none"/>
          <w:lang w:bidi="ar"/>
        </w:rPr>
        <w:t>）：</w:t>
      </w:r>
      <w:r>
        <w:rPr>
          <w:rFonts w:ascii="宋体" w:hAnsi="宋体" w:cs="宋体" w:hint="eastAsia"/>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u w:val="single"/>
        </w:rPr>
      </w:pPr>
      <w:r>
        <w:rPr>
          <w:rFonts w:ascii="宋体" w:hAnsi="宋体" w:cs="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u w:val="single"/>
          <w:lang w:bidi="ar"/>
        </w:rPr>
      </w:pPr>
      <w:r>
        <w:rPr>
          <w:rFonts w:ascii="宋体" w:hAnsi="宋体" w:cs="宋体" w:hint="eastAsia"/>
          <w:color w:val="auto"/>
          <w:szCs w:val="21"/>
          <w:highlight w:val="none"/>
          <w:lang w:bidi="ar"/>
        </w:rPr>
        <w:t>日期：</w:t>
      </w:r>
      <w:r>
        <w:rPr>
          <w:rFonts w:ascii="宋体" w:hAnsi="宋体" w:cs="宋体" w:hint="eastAsia"/>
          <w:color w:val="auto"/>
          <w:szCs w:val="21"/>
          <w:highlight w:val="none"/>
          <w:u w:val="single"/>
          <w:lang w:bidi="ar"/>
        </w:rPr>
        <w:t xml:space="preserve">                                    </w:t>
      </w:r>
    </w:p>
    <w:p>
      <w:pPr>
        <w:rPr>
          <w:color w:val="auto"/>
          <w:highlight w:val="none"/>
          <w:lang w:bidi="ar"/>
        </w:rPr>
      </w:pPr>
      <w:r>
        <w:rPr>
          <w:color w:val="auto"/>
          <w:highlight w:val="none"/>
          <w:lang w:bidi="ar"/>
        </w:rPr>
        <w:br w:type="page"/>
      </w:r>
    </w:p>
    <w:p>
      <w:pPr>
        <w:tabs>
          <w:tab w:val="left" w:pos="1230"/>
        </w:tabs>
        <w:topLinePunct/>
        <w:autoSpaceDE w:val="0"/>
        <w:autoSpaceDN w:val="0"/>
        <w:adjustRightInd w:val="0"/>
        <w:snapToGrid w:val="0"/>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 xml:space="preserve">格式2  </w:t>
      </w:r>
      <w:r>
        <w:rPr>
          <w:rFonts w:ascii="Times New Roman" w:hAnsi="Times New Roman" w:hint="eastAsia"/>
          <w:b/>
          <w:bCs/>
          <w:color w:val="auto"/>
          <w:sz w:val="28"/>
          <w:szCs w:val="28"/>
          <w:highlight w:val="none"/>
          <w:lang w:bidi="ar"/>
        </w:rPr>
        <w:t>投标人具备投标资格证明文件</w:t>
      </w:r>
    </w:p>
    <w:p>
      <w:pPr>
        <w:widowControl/>
        <w:jc w:val="center"/>
        <w:rPr>
          <w:rFonts w:ascii="Times New Roman" w:hAnsi="Times New Roman"/>
          <w:b/>
          <w:bCs/>
          <w:color w:val="auto"/>
          <w:sz w:val="28"/>
          <w:szCs w:val="28"/>
          <w:highlight w:val="none"/>
        </w:rPr>
      </w:pPr>
      <w:r>
        <w:rPr>
          <w:rFonts w:ascii="宋体" w:hAnsi="宋体" w:cs="宋体" w:hint="eastAsia"/>
          <w:b/>
          <w:bCs/>
          <w:color w:val="auto"/>
          <w:sz w:val="28"/>
          <w:szCs w:val="28"/>
          <w:highlight w:val="none"/>
          <w:lang w:bidi="ar"/>
        </w:rPr>
        <w:t>2-1</w:t>
      </w:r>
      <w:r>
        <w:rPr>
          <w:rFonts w:ascii="Times New Roman" w:hAnsi="Times New Roman" w:cs="宋体" w:hint="eastAsia"/>
          <w:b/>
          <w:bCs/>
          <w:color w:val="auto"/>
          <w:sz w:val="28"/>
          <w:szCs w:val="28"/>
          <w:highlight w:val="none"/>
          <w:lang w:bidi="ar"/>
        </w:rPr>
        <w:t>财务状况报告</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2-2</w:t>
      </w:r>
      <w:r>
        <w:rPr>
          <w:rFonts w:ascii="Times New Roman" w:hAnsi="Times New Roman" w:cs="宋体" w:hint="eastAsia"/>
          <w:b/>
          <w:bCs/>
          <w:color w:val="auto"/>
          <w:sz w:val="28"/>
          <w:szCs w:val="28"/>
          <w:highlight w:val="none"/>
          <w:lang w:bidi="ar"/>
        </w:rPr>
        <w:t>依法缴纳税收的相关材料</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2-3</w:t>
      </w:r>
      <w:r>
        <w:rPr>
          <w:rFonts w:ascii="Times New Roman" w:hAnsi="Times New Roman" w:cs="宋体" w:hint="eastAsia"/>
          <w:b/>
          <w:bCs/>
          <w:color w:val="auto"/>
          <w:sz w:val="28"/>
          <w:szCs w:val="28"/>
          <w:highlight w:val="none"/>
          <w:lang w:bidi="ar"/>
        </w:rPr>
        <w:t>依法缴纳社会保障资金的相关材料</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s="宋体" w:hint="eastAsia"/>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2-4</w:t>
      </w:r>
      <w:r>
        <w:rPr>
          <w:rFonts w:ascii="Times New Roman" w:hAnsi="Times New Roman" w:cs="宋体" w:hint="eastAsia"/>
          <w:b/>
          <w:bCs/>
          <w:color w:val="auto"/>
          <w:sz w:val="28"/>
          <w:szCs w:val="28"/>
          <w:highlight w:val="none"/>
          <w:lang w:bidi="ar"/>
        </w:rPr>
        <w:t>具备履行合同所必需的设备和专业技术能力的证明材料</w:t>
      </w:r>
    </w:p>
    <w:p>
      <w:pPr>
        <w:spacing w:line="360" w:lineRule="auto"/>
        <w:ind w:firstLine="420" w:firstLineChars="200"/>
        <w:jc w:val="left"/>
        <w:rPr>
          <w:rFonts w:ascii="Times New Roman" w:hAnsi="Times New Roman" w:cs="宋体"/>
          <w:color w:val="auto"/>
          <w:kern w:val="0"/>
          <w:szCs w:val="21"/>
          <w:highlight w:val="none"/>
          <w:lang w:bidi="ar"/>
        </w:rPr>
      </w:pPr>
      <w:r>
        <w:rPr>
          <w:rFonts w:ascii="Times New Roman" w:hAnsi="Times New Roman" w:cs="宋体" w:hint="eastAsia"/>
          <w:color w:val="auto"/>
          <w:kern w:val="0"/>
          <w:szCs w:val="21"/>
          <w:highlight w:val="none"/>
          <w:lang w:bidi="ar"/>
        </w:rPr>
        <w:t>根据资格条件要求提供相应材料。</w:t>
      </w:r>
      <w:r>
        <w:rPr>
          <w:rFonts w:ascii="Times New Roman" w:hAnsi="Times New Roman" w:cs="宋体" w:hint="eastAsia"/>
          <w:color w:val="auto"/>
          <w:kern w:val="0"/>
          <w:szCs w:val="21"/>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格式3  </w:t>
      </w:r>
      <w:r>
        <w:rPr>
          <w:rFonts w:ascii="Times New Roman" w:hAnsi="Times New Roman" w:cs="宋体" w:hint="eastAsia"/>
          <w:b/>
          <w:bCs/>
          <w:color w:val="auto"/>
          <w:sz w:val="28"/>
          <w:szCs w:val="28"/>
          <w:highlight w:val="none"/>
          <w:lang w:bidi="ar"/>
        </w:rPr>
        <w:t>参加本次政府采购活动前三年内在经营活动中</w:t>
      </w:r>
    </w:p>
    <w:p>
      <w:pPr>
        <w:snapToGrid w:val="0"/>
        <w:spacing w:line="360" w:lineRule="auto"/>
        <w:jc w:val="center"/>
        <w:rPr>
          <w:rFonts w:ascii="Times New Roman" w:hAnsi="Times New Roman"/>
          <w:b/>
          <w:bCs/>
          <w:color w:val="auto"/>
          <w:sz w:val="28"/>
          <w:szCs w:val="28"/>
          <w:highlight w:val="none"/>
        </w:rPr>
      </w:pPr>
      <w:r>
        <w:rPr>
          <w:rFonts w:ascii="Times New Roman" w:hAnsi="Times New Roman" w:cs="宋体" w:hint="eastAsia"/>
          <w:b/>
          <w:bCs/>
          <w:color w:val="auto"/>
          <w:sz w:val="28"/>
          <w:szCs w:val="28"/>
          <w:highlight w:val="none"/>
          <w:lang w:bidi="ar"/>
        </w:rPr>
        <w:t>没有重大违法记录的书面声明</w:t>
      </w:r>
    </w:p>
    <w:p>
      <w:pPr>
        <w:spacing w:line="360" w:lineRule="auto"/>
        <w:ind w:firstLine="420" w:firstLineChars="200"/>
        <w:rPr>
          <w:color w:val="auto"/>
          <w:highlight w:val="none"/>
        </w:rPr>
      </w:pPr>
    </w:p>
    <w:p>
      <w:pPr>
        <w:spacing w:line="360" w:lineRule="auto"/>
        <w:rPr>
          <w:color w:val="auto"/>
          <w:highlight w:val="none"/>
        </w:rPr>
      </w:pPr>
      <w:r>
        <w:rPr>
          <w:rFonts w:cs="宋体" w:hint="eastAsia"/>
          <w:color w:val="auto"/>
          <w:highlight w:val="none"/>
          <w:lang w:bidi="ar"/>
        </w:rPr>
        <w:t>致</w:t>
      </w:r>
      <w:r>
        <w:rPr>
          <w:color w:val="auto"/>
          <w:highlight w:val="none"/>
          <w:lang w:bidi="ar"/>
        </w:rPr>
        <w:t>________</w:t>
      </w:r>
      <w:r>
        <w:rPr>
          <w:rFonts w:cs="宋体" w:hint="eastAsia"/>
          <w:color w:val="auto"/>
          <w:highlight w:val="none"/>
          <w:lang w:bidi="ar"/>
        </w:rPr>
        <w:t>（采购人）：</w:t>
      </w:r>
    </w:p>
    <w:p>
      <w:pPr>
        <w:spacing w:line="360" w:lineRule="auto"/>
        <w:ind w:firstLine="420" w:firstLineChars="200"/>
        <w:rPr>
          <w:color w:val="auto"/>
          <w:highlight w:val="none"/>
        </w:rPr>
      </w:pPr>
      <w:r>
        <w:rPr>
          <w:rFonts w:cs="宋体" w:hint="eastAsia"/>
          <w:color w:val="auto"/>
          <w:highlight w:val="none"/>
          <w:lang w:bidi="ar"/>
        </w:rPr>
        <w:t>我单位在参加本次采购活动前三年内在经营活动中没有《政府采购法》第二十二条第一款第（五）项所称重大违法记录，包括：</w:t>
      </w:r>
    </w:p>
    <w:p>
      <w:pPr>
        <w:spacing w:line="360" w:lineRule="auto"/>
        <w:ind w:firstLine="420" w:firstLineChars="200"/>
        <w:rPr>
          <w:color w:val="auto"/>
          <w:highlight w:val="none"/>
        </w:rPr>
      </w:pPr>
      <w:r>
        <w:rPr>
          <w:rFonts w:cs="宋体" w:hint="eastAsia"/>
          <w:color w:val="auto"/>
          <w:highlight w:val="none"/>
          <w:lang w:bidi="ar"/>
        </w:rPr>
        <w:t>我单位未因经营活动中的违法行为受到刑事处罚或者责令停产停业、吊销许可证或者执照、较大数额罚款等行政处罚。</w:t>
      </w:r>
    </w:p>
    <w:p>
      <w:pPr>
        <w:spacing w:line="360" w:lineRule="auto"/>
        <w:ind w:firstLine="420" w:firstLineChars="200"/>
        <w:rPr>
          <w:color w:val="auto"/>
          <w:highlight w:val="none"/>
        </w:rPr>
      </w:pPr>
      <w:r>
        <w:rPr>
          <w:rFonts w:cs="宋体" w:hint="eastAsia"/>
          <w:color w:val="auto"/>
          <w:highlight w:val="none"/>
          <w:lang w:bidi="ar"/>
        </w:rPr>
        <w:t>特此声明！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（请投标人根据实际情况如实声明，否则视为提供虚假材料。）</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投标人（全称并加盖电子签章）：</w:t>
      </w:r>
      <w:r>
        <w:rPr>
          <w:color w:val="auto"/>
          <w:highlight w:val="none"/>
          <w:u w:val="single"/>
          <w:lang w:bidi="ar"/>
        </w:rPr>
        <w:t xml:space="preserve">    </w:t>
      </w:r>
      <w:r>
        <w:rPr>
          <w:rFonts w:hint="eastAsia"/>
          <w:color w:val="auto"/>
          <w:highlight w:val="none"/>
          <w:u w:val="single"/>
          <w:lang w:bidi="ar"/>
        </w:rPr>
        <w:t xml:space="preserve">          </w:t>
      </w:r>
      <w:r>
        <w:rPr>
          <w:color w:val="auto"/>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color w:val="auto"/>
          <w:highlight w:val="none"/>
        </w:rPr>
      </w:pPr>
      <w:r>
        <w:rPr>
          <w:rFonts w:ascii="宋体" w:hAnsi="宋体" w:cs="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widowControl/>
        <w:ind w:firstLine="420" w:firstLineChars="200"/>
        <w:jc w:val="left"/>
        <w:rPr>
          <w:color w:val="auto"/>
          <w:highlight w:val="none"/>
          <w:lang w:bidi="ar"/>
        </w:rPr>
      </w:pPr>
      <w:r>
        <w:rPr>
          <w:rFonts w:cs="宋体" w:hint="eastAsia"/>
          <w:color w:val="auto"/>
          <w:highlight w:val="none"/>
          <w:lang w:bidi="ar"/>
        </w:rPr>
        <w:t>日期：</w:t>
      </w:r>
      <w:r>
        <w:rPr>
          <w:color w:val="auto"/>
          <w:highlight w:val="none"/>
          <w:u w:val="single"/>
          <w:lang w:bidi="ar"/>
        </w:rPr>
        <w:t xml:space="preserve">         </w:t>
      </w:r>
      <w:r>
        <w:rPr>
          <w:rFonts w:hint="eastAsia"/>
          <w:color w:val="auto"/>
          <w:highlight w:val="none"/>
          <w:u w:val="single"/>
          <w:lang w:bidi="ar"/>
        </w:rPr>
        <w:t xml:space="preserve">                             </w:t>
      </w:r>
      <w:r>
        <w:rPr>
          <w:color w:val="auto"/>
          <w:highlight w:val="none"/>
          <w:u w:val="single"/>
          <w:lang w:bidi="ar"/>
        </w:rPr>
        <w:t xml:space="preserve">   </w:t>
      </w:r>
    </w:p>
    <w:p>
      <w:pPr>
        <w:widowControl/>
        <w:ind w:firstLine="420" w:firstLineChars="200"/>
        <w:jc w:val="left"/>
        <w:rPr>
          <w:rFonts w:ascii="Times New Roman" w:hAnsi="Times New Roman"/>
          <w:b/>
          <w:bCs/>
          <w:color w:val="auto"/>
          <w:sz w:val="28"/>
          <w:szCs w:val="28"/>
          <w:highlight w:val="none"/>
        </w:rPr>
      </w:pPr>
      <w:r>
        <w:rPr>
          <w:color w:val="auto"/>
          <w:highlight w:val="none"/>
          <w:lang w:bidi="ar"/>
        </w:rPr>
        <w:t xml:space="preserve"> </w:t>
      </w:r>
      <w:r>
        <w:rPr>
          <w:rFonts w:ascii="Times New Roman" w:hAnsi="Times New Roman"/>
          <w:b/>
          <w:bCs/>
          <w:color w:val="auto"/>
          <w:sz w:val="28"/>
          <w:szCs w:val="28"/>
          <w:highlight w:val="none"/>
        </w:rPr>
        <w:br w:type="page"/>
      </w:r>
    </w:p>
    <w:p>
      <w:pPr>
        <w:widowControl/>
        <w:jc w:val="center"/>
        <w:rPr>
          <w:rFonts w:ascii="宋体" w:hAnsi="宋体" w:cs="宋体"/>
          <w:b/>
          <w:bCs/>
          <w:color w:val="auto"/>
          <w:sz w:val="28"/>
          <w:szCs w:val="28"/>
          <w:highlight w:val="none"/>
        </w:rPr>
      </w:pPr>
      <w:r>
        <w:rPr>
          <w:rFonts w:ascii="Times New Roman" w:hAnsi="Times New Roman" w:hint="eastAsia"/>
          <w:b/>
          <w:bCs/>
          <w:color w:val="auto"/>
          <w:sz w:val="28"/>
          <w:szCs w:val="28"/>
          <w:highlight w:val="none"/>
        </w:rPr>
        <w:t xml:space="preserve">格式4  </w:t>
      </w:r>
      <w:r>
        <w:rPr>
          <w:rFonts w:ascii="Times New Roman" w:hAnsi="Times New Roman" w:cs="宋体" w:hint="eastAsia"/>
          <w:b/>
          <w:bCs/>
          <w:color w:val="auto"/>
          <w:sz w:val="28"/>
          <w:szCs w:val="28"/>
          <w:highlight w:val="none"/>
          <w:lang w:bidi="ar"/>
        </w:rPr>
        <w:t>具备法律、行政法规规定的其他条件的证明材料</w:t>
      </w:r>
    </w:p>
    <w:p>
      <w:pPr>
        <w:spacing w:line="360" w:lineRule="auto"/>
        <w:ind w:firstLine="420" w:firstLineChars="200"/>
        <w:jc w:val="left"/>
        <w:rPr>
          <w:rFonts w:ascii="Times New Roman" w:hAnsi="Times New Roman" w:cs="宋体"/>
          <w:color w:val="auto"/>
          <w:kern w:val="0"/>
          <w:szCs w:val="21"/>
          <w:highlight w:val="none"/>
          <w:lang w:bidi="ar"/>
        </w:rPr>
      </w:pPr>
      <w:r>
        <w:rPr>
          <w:rFonts w:ascii="Times New Roman" w:hAnsi="Times New Roman" w:cs="宋体" w:hint="eastAsia"/>
          <w:color w:val="auto"/>
          <w:kern w:val="0"/>
          <w:szCs w:val="21"/>
          <w:highlight w:val="none"/>
          <w:lang w:bidi="ar"/>
        </w:rPr>
        <w:t>根据资格条件要求提供相应材料。</w:t>
      </w:r>
    </w:p>
    <w:p>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widowControl/>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rPr>
        <w:t xml:space="preserve">格式5  </w:t>
      </w:r>
      <w:r>
        <w:rPr>
          <w:rFonts w:ascii="Times New Roman" w:hAnsi="Times New Roman" w:cs="宋体" w:hint="eastAsia"/>
          <w:b/>
          <w:bCs/>
          <w:color w:val="auto"/>
          <w:sz w:val="28"/>
          <w:szCs w:val="28"/>
          <w:highlight w:val="none"/>
          <w:lang w:bidi="ar"/>
        </w:rPr>
        <w:t>联合体协议（若有）</w:t>
      </w:r>
    </w:p>
    <w:p>
      <w:pPr>
        <w:topLinePunct/>
        <w:autoSpaceDE w:val="0"/>
        <w:autoSpaceDN w:val="0"/>
        <w:snapToGrid w:val="0"/>
        <w:spacing w:line="360" w:lineRule="auto"/>
        <w:jc w:val="center"/>
        <w:rPr>
          <w:rFonts w:ascii="宋体" w:hAnsi="宋体" w:cs="宋体"/>
          <w:b/>
          <w:color w:val="auto"/>
          <w:w w:val="150"/>
          <w:kern w:val="0"/>
          <w:sz w:val="24"/>
          <w:szCs w:val="21"/>
          <w:highlight w:val="none"/>
        </w:rPr>
      </w:pPr>
    </w:p>
    <w:p>
      <w:pPr>
        <w:spacing w:line="360" w:lineRule="auto"/>
        <w:rPr>
          <w:rFonts w:ascii="Times New Roman" w:hAnsi="Times New Roman"/>
          <w:color w:val="auto"/>
          <w:highlight w:val="none"/>
        </w:rPr>
      </w:pPr>
      <w:r>
        <w:rPr>
          <w:rFonts w:ascii="Times New Roman" w:hAnsi="Times New Roman" w:cs="宋体" w:hint="eastAsia"/>
          <w:color w:val="auto"/>
          <w:highlight w:val="none"/>
          <w:lang w:bidi="ar"/>
        </w:rPr>
        <w:t>致</w:t>
      </w:r>
      <w:r>
        <w:rPr>
          <w:rFonts w:ascii="Times New Roman" w:hAnsi="Times New Roman"/>
          <w:color w:val="auto"/>
          <w:highlight w:val="none"/>
          <w:lang w:bidi="ar"/>
        </w:rPr>
        <w:t>________</w:t>
      </w:r>
      <w:r>
        <w:rPr>
          <w:rFonts w:ascii="Times New Roman" w:hAnsi="Times New Roman" w:cs="宋体" w:hint="eastAsia"/>
          <w:color w:val="auto"/>
          <w:highlight w:val="none"/>
          <w:lang w:bidi="ar"/>
        </w:rPr>
        <w:t>（采购人）：</w:t>
      </w:r>
    </w:p>
    <w:p>
      <w:pPr>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经研究，我方决定自愿组成联合体共同参加</w:t>
      </w:r>
      <w:r>
        <w:rPr>
          <w:rFonts w:ascii="Times New Roman" w:hAnsi="Times New Roman"/>
          <w:color w:val="auto"/>
          <w:szCs w:val="21"/>
          <w:highlight w:val="none"/>
          <w:lang w:bidi="ar"/>
        </w:rPr>
        <w:t>____________(</w:t>
      </w:r>
      <w:r>
        <w:rPr>
          <w:rFonts w:ascii="Times New Roman" w:hAnsi="Times New Roman" w:cs="宋体" w:hint="eastAsia"/>
          <w:color w:val="auto"/>
          <w:szCs w:val="21"/>
          <w:highlight w:val="none"/>
          <w:lang w:bidi="ar"/>
        </w:rPr>
        <w:t>项目名称、项目编号</w:t>
      </w:r>
      <w:r>
        <w:rPr>
          <w:rFonts w:ascii="Times New Roman" w:hAnsi="Times New Roman"/>
          <w:color w:val="auto"/>
          <w:szCs w:val="21"/>
          <w:highlight w:val="none"/>
          <w:lang w:bidi="ar"/>
        </w:rPr>
        <w:t>)</w:t>
      </w:r>
      <w:r>
        <w:rPr>
          <w:rFonts w:ascii="Times New Roman" w:hAnsi="Times New Roman" w:cs="宋体" w:hint="eastAsia"/>
          <w:color w:val="auto"/>
          <w:szCs w:val="21"/>
          <w:highlight w:val="none"/>
          <w:lang w:bidi="ar"/>
        </w:rPr>
        <w:t>项目的投标。现就联合体投标事宜订立如下协议：</w:t>
      </w:r>
    </w:p>
    <w:p>
      <w:pPr>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一、联合体成员：</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1.____________________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2.____________________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3.____________________</w:t>
      </w:r>
    </w:p>
    <w:p>
      <w:pPr>
        <w:spacing w:line="360" w:lineRule="auto"/>
        <w:ind w:firstLine="420" w:firstLineChars="200"/>
        <w:rPr>
          <w:rFonts w:ascii="宋体" w:hAnsi="宋体" w:cs="宋体"/>
          <w:color w:val="auto"/>
          <w:szCs w:val="21"/>
          <w:highlight w:val="none"/>
        </w:rPr>
      </w:pPr>
      <w:r>
        <w:rPr>
          <w:rFonts w:ascii="Times New Roman" w:hAnsi="Times New Roman" w:cs="宋体" w:hint="eastAsia"/>
          <w:color w:val="auto"/>
          <w:szCs w:val="21"/>
          <w:highlight w:val="none"/>
          <w:lang w:bidi="ar"/>
        </w:rPr>
        <w:t>二、</w:t>
      </w:r>
      <w:r>
        <w:rPr>
          <w:rFonts w:ascii="Times New Roman" w:hAnsi="Times New Roman"/>
          <w:color w:val="auto"/>
          <w:szCs w:val="21"/>
          <w:highlight w:val="none"/>
          <w:lang w:bidi="ar"/>
        </w:rPr>
        <w:t>____________(</w:t>
      </w:r>
      <w:r>
        <w:rPr>
          <w:rFonts w:ascii="Times New Roman" w:hAnsi="Times New Roman" w:cs="宋体" w:hint="eastAsia"/>
          <w:color w:val="auto"/>
          <w:szCs w:val="21"/>
          <w:highlight w:val="none"/>
          <w:lang w:bidi="ar"/>
        </w:rPr>
        <w:t>某成员单位名称</w:t>
      </w:r>
      <w:r>
        <w:rPr>
          <w:rFonts w:ascii="Times New Roman" w:hAnsi="Times New Roman"/>
          <w:color w:val="auto"/>
          <w:szCs w:val="21"/>
          <w:highlight w:val="none"/>
          <w:lang w:bidi="ar"/>
        </w:rPr>
        <w:t>)</w:t>
      </w:r>
      <w:r>
        <w:rPr>
          <w:rFonts w:ascii="Times New Roman" w:hAnsi="Times New Roman" w:cs="宋体" w:hint="eastAsia"/>
          <w:color w:val="auto"/>
          <w:szCs w:val="21"/>
          <w:highlight w:val="none"/>
          <w:lang w:bidi="ar"/>
        </w:rPr>
        <w:t>为</w:t>
      </w:r>
      <w:r>
        <w:rPr>
          <w:rFonts w:ascii="Times New Roman" w:hAnsi="Times New Roman"/>
          <w:color w:val="auto"/>
          <w:szCs w:val="21"/>
          <w:highlight w:val="none"/>
          <w:lang w:bidi="ar"/>
        </w:rPr>
        <w:t>____________(</w:t>
      </w:r>
      <w:r>
        <w:rPr>
          <w:rFonts w:ascii="Times New Roman" w:hAnsi="Times New Roman" w:cs="宋体" w:hint="eastAsia"/>
          <w:color w:val="auto"/>
          <w:szCs w:val="21"/>
          <w:highlight w:val="none"/>
          <w:lang w:bidi="ar"/>
        </w:rPr>
        <w:t>联合</w:t>
      </w:r>
      <w:r>
        <w:rPr>
          <w:rFonts w:ascii="宋体" w:hAnsi="宋体" w:cs="宋体" w:hint="eastAsia"/>
          <w:color w:val="auto"/>
          <w:szCs w:val="21"/>
          <w:highlight w:val="none"/>
          <w:lang w:bidi="ar"/>
        </w:rPr>
        <w:t>体名称)牵头人。</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四、联合体将严格按照招标文件的各项要求，递交投标文件，参加投标，履行中标义务和中标后的合同，并向采购人承担连带责任。</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六、本协议书自签署之日起生效，合同履行完毕后自动失效。</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七、本协议书一式______份，联合体成员和采购人各执一份。</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牵头人名称(电子签章)：____________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成员名称(电子签章)：____________</w:t>
      </w:r>
    </w:p>
    <w:p>
      <w:pPr>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ascii="宋体" w:hAnsi="宋体" w:cs="宋体" w:hint="eastAsia"/>
          <w:color w:val="auto"/>
          <w:szCs w:val="21"/>
          <w:highlight w:val="none"/>
          <w:lang w:bidi="ar"/>
        </w:rPr>
        <w:t>______年____月____日</w:t>
      </w:r>
    </w:p>
    <w:p>
      <w:pPr>
        <w:spacing w:line="360" w:lineRule="auto"/>
        <w:ind w:firstLine="420" w:firstLineChars="200"/>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lang w:bidi="ar"/>
        </w:rPr>
      </w:pPr>
      <w:r>
        <w:rPr>
          <w:rFonts w:ascii="宋体" w:hAnsi="宋体" w:cs="宋体" w:hint="eastAsia"/>
          <w:color w:val="auto"/>
          <w:szCs w:val="21"/>
          <w:highlight w:val="none"/>
          <w:lang w:bidi="ar"/>
        </w:rPr>
        <w:t>备注：本协议书由授权代表签字的，应附法定代表人签字的授权委托书。</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rPr>
        <w:t xml:space="preserve">格式6  </w:t>
      </w:r>
      <w:r>
        <w:rPr>
          <w:rFonts w:ascii="Times New Roman" w:hAnsi="Times New Roman" w:cs="宋体" w:hint="eastAsia"/>
          <w:b/>
          <w:bCs/>
          <w:color w:val="auto"/>
          <w:sz w:val="28"/>
          <w:szCs w:val="28"/>
          <w:highlight w:val="none"/>
          <w:lang w:bidi="ar"/>
        </w:rPr>
        <w:t>其他资格证明文件（若有）</w:t>
      </w:r>
    </w:p>
    <w:p>
      <w:pPr>
        <w:rPr>
          <w:color w:val="auto"/>
          <w:highlight w:val="none"/>
        </w:rPr>
      </w:pPr>
    </w:p>
    <w:p>
      <w:pPr>
        <w:spacing w:line="360" w:lineRule="auto"/>
        <w:ind w:firstLine="420" w:firstLineChars="200"/>
        <w:jc w:val="left"/>
        <w:rPr>
          <w:rFonts w:ascii="宋体" w:hAnsi="宋体" w:cs="宋体"/>
          <w:color w:val="auto"/>
          <w:kern w:val="0"/>
          <w:szCs w:val="21"/>
          <w:highlight w:val="none"/>
        </w:rPr>
      </w:pPr>
      <w:r>
        <w:rPr>
          <w:rFonts w:ascii="宋体" w:hAnsi="宋体" w:cs="宋体" w:hint="eastAsia"/>
          <w:color w:val="auto"/>
          <w:kern w:val="0"/>
          <w:szCs w:val="21"/>
          <w:highlight w:val="none"/>
          <w:lang w:bidi="ar"/>
        </w:rPr>
        <w:t>根据资格条件要求提供相应材料。</w:t>
      </w:r>
    </w:p>
    <w:p>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rPr>
        <w:t xml:space="preserve">格式7  </w:t>
      </w:r>
      <w:r>
        <w:rPr>
          <w:rFonts w:ascii="Times New Roman" w:hAnsi="Times New Roman"/>
          <w:b/>
          <w:bCs/>
          <w:color w:val="auto"/>
          <w:sz w:val="28"/>
          <w:szCs w:val="28"/>
          <w:highlight w:val="none"/>
        </w:rPr>
        <w:t>投标报价表</w:t>
      </w:r>
    </w:p>
    <w:p>
      <w:pPr>
        <w:topLinePunct/>
        <w:autoSpaceDE w:val="0"/>
        <w:autoSpaceDN w:val="0"/>
        <w:adjustRightInd w:val="0"/>
        <w:snapToGrid w:val="0"/>
        <w:spacing w:line="360" w:lineRule="auto"/>
        <w:ind w:left="2"/>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1.开标一览表（总报价表）</w:t>
      </w:r>
    </w:p>
    <w:p>
      <w:pPr>
        <w:topLinePunct/>
        <w:autoSpaceDE w:val="0"/>
        <w:autoSpaceDN w:val="0"/>
        <w:adjustRightInd w:val="0"/>
        <w:snapToGrid w:val="0"/>
        <w:spacing w:line="360" w:lineRule="auto"/>
        <w:ind w:left="2"/>
        <w:jc w:val="center"/>
        <w:rPr>
          <w:rFonts w:ascii="宋体" w:hAnsi="宋体" w:cs="宋体"/>
          <w:color w:val="auto"/>
          <w:szCs w:val="21"/>
          <w:highlight w:val="none"/>
        </w:rPr>
      </w:pPr>
      <w:r>
        <w:rPr>
          <w:rFonts w:ascii="宋体" w:hAnsi="宋体" w:cs="宋体"/>
          <w:color w:val="auto"/>
          <w:szCs w:val="21"/>
          <w:highlight w:val="none"/>
        </w:rPr>
        <w:t>(</w:t>
      </w:r>
      <w:r>
        <w:rPr>
          <w:rFonts w:hAnsi="宋体" w:cs="宋体" w:hint="eastAsia"/>
          <w:color w:val="auto"/>
          <w:highlight w:val="none"/>
        </w:rPr>
        <w:t>服务类项目适用</w:t>
      </w:r>
      <w:r>
        <w:rPr>
          <w:rFonts w:ascii="宋体" w:hAnsi="宋体" w:cs="宋体"/>
          <w:color w:val="auto"/>
          <w:szCs w:val="21"/>
          <w:highlight w:val="none"/>
        </w:rPr>
        <w:t>)</w:t>
      </w:r>
    </w:p>
    <w:p>
      <w:pPr>
        <w:topLinePunct/>
        <w:autoSpaceDE w:val="0"/>
        <w:autoSpaceDN w:val="0"/>
        <w:adjustRightInd w:val="0"/>
        <w:snapToGrid w:val="0"/>
        <w:spacing w:line="360" w:lineRule="auto"/>
        <w:jc w:val="left"/>
        <w:rPr>
          <w:rFonts w:ascii="宋体" w:hAnsi="宋体" w:cs="宋体"/>
          <w:color w:val="auto"/>
          <w:highlight w:val="none"/>
        </w:rPr>
      </w:pPr>
      <w:r>
        <w:rPr>
          <w:rFonts w:ascii="宋体" w:hAnsi="宋体" w:cs="宋体" w:hint="eastAsia"/>
          <w:color w:val="auto"/>
          <w:highlight w:val="none"/>
        </w:rPr>
        <w:t>项目名称：</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 xml:space="preserve">   项目编号：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p>
    <w:p>
      <w:pPr>
        <w:adjustRightInd w:val="0"/>
        <w:snapToGrid w:val="0"/>
        <w:spacing w:line="360" w:lineRule="auto"/>
        <w:ind w:right="840"/>
        <w:rPr>
          <w:rFonts w:ascii="宋体" w:hAnsi="宋体" w:cs="宋体"/>
          <w:color w:val="auto"/>
          <w:highlight w:val="none"/>
        </w:rPr>
      </w:pPr>
      <w:r>
        <w:rPr>
          <w:rFonts w:ascii="宋体" w:hAnsi="宋体" w:cs="宋体" w:hint="eastAsia"/>
          <w:color w:val="auto"/>
          <w:highlight w:val="none"/>
        </w:rPr>
        <w:t>采购包号：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价格单位：人民币：元</w:t>
      </w:r>
    </w:p>
    <w:tbl>
      <w:tblPr>
        <w:tblStyle w:val="TableNormal"/>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61"/>
        <w:gridCol w:w="3373"/>
        <w:gridCol w:w="4098"/>
      </w:tblGrid>
      <w:tr>
        <w:tblPrEx>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3373"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4098"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b/>
                <w:color w:val="auto"/>
                <w:szCs w:val="21"/>
                <w:highlight w:val="none"/>
              </w:rPr>
              <w:t>价格小计</w:t>
            </w: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r>
              <w:rPr>
                <w:rFonts w:ascii="Times New Roman" w:hAnsi="Times New Roman"/>
                <w:color w:val="auto"/>
                <w:szCs w:val="21"/>
                <w:highlight w:val="none"/>
              </w:rPr>
              <w:t>1</w:t>
            </w:r>
          </w:p>
        </w:tc>
        <w:tc>
          <w:tcPr>
            <w:tcW w:w="3373" w:type="dxa"/>
            <w:noWrap/>
            <w:vAlign w:val="center"/>
          </w:tcPr>
          <w:p>
            <w:pPr>
              <w:adjustRightInd w:val="0"/>
              <w:snapToGrid w:val="0"/>
              <w:spacing w:line="360" w:lineRule="auto"/>
              <w:jc w:val="center"/>
              <w:rPr>
                <w:rFonts w:ascii="Times New Roman" w:hAnsi="Times New Roman"/>
                <w:color w:val="auto"/>
                <w:szCs w:val="21"/>
                <w:highlight w:val="none"/>
              </w:rPr>
            </w:pPr>
            <w:r>
              <w:rPr>
                <w:rFonts w:ascii="宋体" w:hAnsi="宋体" w:hint="eastAsia"/>
                <w:color w:val="auto"/>
                <w:szCs w:val="21"/>
                <w:highlight w:val="none"/>
              </w:rPr>
              <w:t>国家税务总局柳州市税务局2025-2026年物业管理服务项目</w:t>
            </w:r>
          </w:p>
        </w:tc>
        <w:tc>
          <w:tcPr>
            <w:tcW w:w="4098" w:type="dxa"/>
            <w:noWrap/>
            <w:vAlign w:val="center"/>
          </w:tcPr>
          <w:p>
            <w:pPr>
              <w:adjustRightInd w:val="0"/>
              <w:snapToGrid w:val="0"/>
              <w:spacing w:before="62" w:beforeLines="20" w:after="62" w:afterLines="20"/>
              <w:jc w:val="center"/>
              <w:rPr>
                <w:rFonts w:ascii="Times New Roman" w:hAnsi="Times New Roman"/>
                <w:b/>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3373" w:type="dxa"/>
            <w:noWrap/>
            <w:vAlign w:val="center"/>
          </w:tcPr>
          <w:p>
            <w:pPr>
              <w:spacing w:line="460" w:lineRule="exact"/>
              <w:jc w:val="left"/>
              <w:rPr>
                <w:rFonts w:ascii="Times New Roman" w:hAnsi="Times New Roman"/>
                <w:color w:val="auto"/>
                <w:szCs w:val="21"/>
                <w:highlight w:val="none"/>
              </w:rPr>
            </w:pPr>
            <w:r>
              <w:rPr>
                <w:rFonts w:ascii="Times New Roman" w:hAnsi="Times New Roman" w:hint="eastAsia"/>
                <w:color w:val="auto"/>
                <w:szCs w:val="21"/>
                <w:highlight w:val="none"/>
              </w:rPr>
              <w:t>/</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hint="eastAsia"/>
                <w:color w:val="auto"/>
                <w:szCs w:val="21"/>
                <w:highlight w:val="none"/>
              </w:rPr>
              <w:t>/</w:t>
            </w:r>
          </w:p>
        </w:tc>
      </w:tr>
      <w:tr>
        <w:tblPrEx>
          <w:tblW w:w="9332" w:type="dxa"/>
          <w:jc w:val="center"/>
          <w:tblLayout w:type="fixed"/>
          <w:tblCellMar>
            <w:top w:w="0" w:type="dxa"/>
            <w:left w:w="108" w:type="dxa"/>
            <w:bottom w:w="0" w:type="dxa"/>
            <w:right w:w="108" w:type="dxa"/>
          </w:tblCellMar>
        </w:tblPrEx>
        <w:trPr>
          <w:trHeight w:val="499"/>
          <w:jc w:val="center"/>
        </w:trPr>
        <w:tc>
          <w:tcPr>
            <w:tcW w:w="1861"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3373" w:type="dxa"/>
            <w:noWrap/>
            <w:vAlign w:val="center"/>
          </w:tcPr>
          <w:p>
            <w:pPr>
              <w:spacing w:line="460" w:lineRule="exact"/>
              <w:jc w:val="left"/>
              <w:rPr>
                <w:rFonts w:ascii="Times New Roman" w:hAnsi="Times New Roman"/>
                <w:color w:val="auto"/>
                <w:szCs w:val="21"/>
                <w:highlight w:val="none"/>
              </w:rPr>
            </w:pPr>
            <w:r>
              <w:rPr>
                <w:rFonts w:ascii="Times New Roman" w:hAnsi="Times New Roman" w:hint="eastAsia"/>
                <w:color w:val="auto"/>
                <w:szCs w:val="21"/>
                <w:highlight w:val="none"/>
              </w:rPr>
              <w:t>/</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hint="eastAsia"/>
                <w:color w:val="auto"/>
                <w:szCs w:val="21"/>
                <w:highlight w:val="none"/>
              </w:rPr>
              <w:t>/</w:t>
            </w:r>
          </w:p>
        </w:tc>
      </w:tr>
      <w:tr>
        <w:tblPrEx>
          <w:tblW w:w="9332" w:type="dxa"/>
          <w:jc w:val="center"/>
          <w:tblLayout w:type="fixed"/>
          <w:tblCellMar>
            <w:top w:w="0" w:type="dxa"/>
            <w:left w:w="108" w:type="dxa"/>
            <w:bottom w:w="0" w:type="dxa"/>
            <w:right w:w="108" w:type="dxa"/>
          </w:tblCellMar>
        </w:tblPrEx>
        <w:trPr>
          <w:trHeight w:val="499"/>
          <w:jc w:val="center"/>
        </w:trPr>
        <w:tc>
          <w:tcPr>
            <w:tcW w:w="5234"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报价合计（小写）</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5234" w:type="dxa"/>
            <w:gridSpan w:val="2"/>
            <w:noWrap/>
            <w:vAlign w:val="center"/>
          </w:tcPr>
          <w:p>
            <w:pPr>
              <w:adjustRightInd w:val="0"/>
              <w:snapToGrid w:val="0"/>
              <w:spacing w:before="62" w:beforeLines="20" w:after="62" w:afterLines="20"/>
              <w:jc w:val="center"/>
              <w:rPr>
                <w:rFonts w:ascii="Times New Roman" w:hAnsi="Times New Roman"/>
                <w:b/>
                <w:bCs/>
                <w:color w:val="auto"/>
                <w:szCs w:val="21"/>
                <w:highlight w:val="none"/>
              </w:rPr>
            </w:pPr>
            <w:r>
              <w:rPr>
                <w:rFonts w:ascii="Times New Roman" w:hAnsi="Times New Roman"/>
                <w:color w:val="auto"/>
                <w:szCs w:val="21"/>
                <w:highlight w:val="none"/>
              </w:rPr>
              <w:t>报价合计（大写）</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r>
        <w:tblPrEx>
          <w:tblW w:w="9332" w:type="dxa"/>
          <w:jc w:val="center"/>
          <w:tblLayout w:type="fixed"/>
          <w:tblCellMar>
            <w:top w:w="0" w:type="dxa"/>
            <w:left w:w="108" w:type="dxa"/>
            <w:bottom w:w="0" w:type="dxa"/>
            <w:right w:w="108" w:type="dxa"/>
          </w:tblCellMar>
        </w:tblPrEx>
        <w:trPr>
          <w:trHeight w:val="499"/>
          <w:jc w:val="center"/>
        </w:trPr>
        <w:tc>
          <w:tcPr>
            <w:tcW w:w="5234"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hint="eastAsia"/>
                <w:color w:val="auto"/>
                <w:szCs w:val="21"/>
                <w:highlight w:val="none"/>
              </w:rPr>
              <w:t>合同履行期限</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hint="eastAsia"/>
                <w:color w:val="auto"/>
                <w:szCs w:val="21"/>
                <w:highlight w:val="none"/>
              </w:rPr>
              <w:t>2年。</w:t>
            </w:r>
          </w:p>
        </w:tc>
      </w:tr>
      <w:tr>
        <w:tblPrEx>
          <w:tblW w:w="9332" w:type="dxa"/>
          <w:jc w:val="center"/>
          <w:tblLayout w:type="fixed"/>
          <w:tblCellMar>
            <w:top w:w="0" w:type="dxa"/>
            <w:left w:w="108" w:type="dxa"/>
            <w:bottom w:w="0" w:type="dxa"/>
            <w:right w:w="108" w:type="dxa"/>
          </w:tblCellMar>
        </w:tblPrEx>
        <w:trPr>
          <w:trHeight w:val="499"/>
          <w:jc w:val="center"/>
        </w:trPr>
        <w:tc>
          <w:tcPr>
            <w:tcW w:w="5234" w:type="dxa"/>
            <w:gridSpan w:val="2"/>
            <w:noWrap/>
            <w:vAlign w:val="center"/>
          </w:tcPr>
          <w:p>
            <w:pPr>
              <w:adjustRightInd w:val="0"/>
              <w:snapToGrid w:val="0"/>
              <w:spacing w:before="62" w:beforeLines="20" w:after="62" w:afterLines="20"/>
              <w:jc w:val="center"/>
              <w:rPr>
                <w:rFonts w:ascii="Times New Roman" w:hAnsi="Times New Roman"/>
                <w:color w:val="auto"/>
                <w:szCs w:val="21"/>
                <w:highlight w:val="none"/>
              </w:rPr>
            </w:pPr>
            <w:r>
              <w:rPr>
                <w:rFonts w:ascii="Times New Roman" w:hAnsi="Times New Roman"/>
                <w:color w:val="auto"/>
                <w:szCs w:val="21"/>
                <w:highlight w:val="none"/>
              </w:rPr>
              <w:t>…</w:t>
            </w:r>
          </w:p>
        </w:tc>
        <w:tc>
          <w:tcPr>
            <w:tcW w:w="4098" w:type="dxa"/>
            <w:noWrap/>
            <w:vAlign w:val="center"/>
          </w:tcPr>
          <w:p>
            <w:pPr>
              <w:adjustRightInd w:val="0"/>
              <w:snapToGrid w:val="0"/>
              <w:spacing w:before="62" w:beforeLines="20" w:after="62" w:afterLines="2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2.本项目执行中所发生的所有费用均计入投标报价中，采购人不再另行支付其他任何费用。</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3.投标人应根据《招标文件-技术部分》相关要求填报。</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ascii="Times New Roman" w:hAnsi="Times New Roman"/>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ascii="Times New Roman" w:hAnsi="Times New Roman" w:hint="eastAsia"/>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投标人代表（签字）</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widowControl/>
        <w:jc w:val="left"/>
        <w:rPr>
          <w:rFonts w:ascii="Times New Roman" w:hAnsi="Times New Roman"/>
          <w:b/>
          <w:color w:val="auto"/>
          <w:sz w:val="28"/>
          <w:highlight w:val="none"/>
        </w:rPr>
      </w:pPr>
      <w:r>
        <w:rPr>
          <w:rFonts w:ascii="Times New Roman" w:hAnsi="Times New Roman"/>
          <w:b/>
          <w:color w:val="auto"/>
          <w:sz w:val="28"/>
          <w:highlight w:val="none"/>
        </w:rPr>
        <w:br w:type="page"/>
      </w:r>
    </w:p>
    <w:p>
      <w:pPr>
        <w:widowControl/>
        <w:jc w:val="center"/>
        <w:rPr>
          <w:rFonts w:ascii="Times New Roman" w:hAnsi="Times New Roman"/>
          <w:b/>
          <w:color w:val="auto"/>
          <w:sz w:val="28"/>
          <w:highlight w:val="none"/>
        </w:rPr>
      </w:pPr>
      <w:r>
        <w:rPr>
          <w:rFonts w:ascii="Times New Roman" w:hAnsi="Times New Roman"/>
          <w:b/>
          <w:color w:val="auto"/>
          <w:sz w:val="28"/>
          <w:highlight w:val="none"/>
        </w:rPr>
        <w:t>2.分项报价表</w:t>
      </w:r>
    </w:p>
    <w:p>
      <w:pPr>
        <w:spacing w:line="360" w:lineRule="auto"/>
        <w:jc w:val="center"/>
        <w:rPr>
          <w:rFonts w:ascii="Times New Roman" w:hAnsi="Times New Roman"/>
          <w:b/>
          <w:color w:val="auto"/>
          <w:sz w:val="28"/>
          <w:highlight w:val="none"/>
        </w:rPr>
      </w:pPr>
      <w:r>
        <w:rPr>
          <w:rFonts w:ascii="Times New Roman" w:hAnsi="Times New Roman"/>
          <w:b/>
          <w:color w:val="auto"/>
          <w:sz w:val="28"/>
          <w:highlight w:val="none"/>
        </w:rPr>
        <w:t>2.1 分项报价表</w:t>
      </w:r>
    </w:p>
    <w:p>
      <w:pPr>
        <w:topLinePunct/>
        <w:autoSpaceDE w:val="0"/>
        <w:autoSpaceDN w:val="0"/>
        <w:adjustRightInd w:val="0"/>
        <w:snapToGrid w:val="0"/>
        <w:spacing w:line="360" w:lineRule="auto"/>
        <w:ind w:left="2"/>
        <w:jc w:val="center"/>
        <w:rPr>
          <w:rFonts w:ascii="宋体" w:hAnsi="宋体" w:cs="宋体"/>
          <w:color w:val="auto"/>
          <w:szCs w:val="21"/>
          <w:highlight w:val="none"/>
        </w:rPr>
      </w:pPr>
      <w:r>
        <w:rPr>
          <w:rFonts w:ascii="宋体" w:hAnsi="宋体" w:cs="宋体" w:hint="eastAsia"/>
          <w:color w:val="auto"/>
          <w:szCs w:val="21"/>
          <w:highlight w:val="none"/>
        </w:rPr>
        <w:t>(服务类项目适用)</w:t>
      </w:r>
    </w:p>
    <w:p>
      <w:pPr>
        <w:topLinePunct/>
        <w:autoSpaceDE w:val="0"/>
        <w:autoSpaceDN w:val="0"/>
        <w:adjustRightInd w:val="0"/>
        <w:snapToGrid w:val="0"/>
        <w:spacing w:line="360" w:lineRule="auto"/>
        <w:jc w:val="left"/>
        <w:rPr>
          <w:rFonts w:ascii="宋体" w:hAnsi="宋体" w:cs="宋体"/>
          <w:color w:val="auto"/>
          <w:highlight w:val="none"/>
        </w:rPr>
      </w:pPr>
      <w:r>
        <w:rPr>
          <w:rFonts w:ascii="宋体" w:hAnsi="宋体" w:cs="宋体" w:hint="eastAsia"/>
          <w:color w:val="auto"/>
          <w:highlight w:val="none"/>
        </w:rPr>
        <w:t>项目名称：</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ab/>
      </w:r>
      <w:r>
        <w:rPr>
          <w:rFonts w:ascii="宋体" w:hAnsi="宋体" w:cs="宋体" w:hint="eastAsia"/>
          <w:color w:val="auto"/>
          <w:highlight w:val="none"/>
        </w:rPr>
        <w:t>项目编号：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w:t>
      </w:r>
    </w:p>
    <w:p>
      <w:pPr>
        <w:adjustRightInd w:val="0"/>
        <w:snapToGrid w:val="0"/>
        <w:spacing w:line="360" w:lineRule="auto"/>
        <w:ind w:right="840"/>
        <w:rPr>
          <w:rFonts w:ascii="宋体" w:hAnsi="宋体" w:cs="宋体"/>
          <w:bCs/>
          <w:color w:val="auto"/>
          <w:w w:val="150"/>
          <w:szCs w:val="21"/>
          <w:highlight w:val="none"/>
        </w:rPr>
      </w:pPr>
      <w:r>
        <w:rPr>
          <w:rFonts w:ascii="宋体" w:hAnsi="宋体" w:cs="宋体" w:hint="eastAsia"/>
          <w:color w:val="auto"/>
          <w:highlight w:val="none"/>
        </w:rPr>
        <w:t>采购包号：</w:t>
      </w:r>
      <w:r>
        <w:rPr>
          <w:rFonts w:ascii="宋体" w:hAnsi="宋体" w:cs="宋体" w:hint="eastAsia"/>
          <w:color w:val="auto"/>
          <w:highlight w:val="none"/>
          <w:u w:val="single"/>
        </w:rPr>
        <w:t xml:space="preserve">         </w:t>
      </w:r>
      <w:r>
        <w:rPr>
          <w:rFonts w:ascii="宋体" w:hAnsi="宋体" w:cs="宋体" w:hint="eastAsia"/>
          <w:color w:val="auto"/>
          <w:highlight w:val="none"/>
        </w:rPr>
        <w:t xml:space="preserve">                                 价格单位：人民币：元</w:t>
      </w:r>
    </w:p>
    <w:tbl>
      <w:tblPr>
        <w:tblStyle w:val="TableNormal"/>
        <w:tblW w:w="9181" w:type="dxa"/>
        <w:jc w:val="center"/>
        <w:tblLayout w:type="fixed"/>
        <w:tblCellMar>
          <w:top w:w="0" w:type="dxa"/>
          <w:left w:w="108" w:type="dxa"/>
          <w:bottom w:w="0" w:type="dxa"/>
          <w:right w:w="108" w:type="dxa"/>
        </w:tblCellMar>
      </w:tblPr>
      <w:tblGrid>
        <w:gridCol w:w="644"/>
        <w:gridCol w:w="1964"/>
        <w:gridCol w:w="2058"/>
        <w:gridCol w:w="1271"/>
        <w:gridCol w:w="1259"/>
        <w:gridCol w:w="1342"/>
        <w:gridCol w:w="643"/>
      </w:tblGrid>
      <w:tr>
        <w:tblPrEx>
          <w:tblW w:w="9181" w:type="dxa"/>
          <w:jc w:val="center"/>
          <w:tblLayout w:type="fixed"/>
          <w:tblCellMar>
            <w:top w:w="0" w:type="dxa"/>
            <w:left w:w="108" w:type="dxa"/>
            <w:bottom w:w="0" w:type="dxa"/>
            <w:right w:w="108" w:type="dxa"/>
          </w:tblCellMar>
        </w:tblPrEx>
        <w:trPr>
          <w:trHeight w:val="409"/>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964" w:type="dxa"/>
            <w:tcBorders>
              <w:top w:val="single" w:sz="4" w:space="0" w:color="auto"/>
              <w:left w:val="nil"/>
              <w:bottom w:val="single" w:sz="4" w:space="0" w:color="auto"/>
              <w:right w:val="single" w:sz="4" w:space="0" w:color="auto"/>
            </w:tcBorders>
            <w:vAlign w:val="center"/>
          </w:tcPr>
          <w:p>
            <w:pPr>
              <w:widowControl/>
              <w:ind w:left="-84" w:firstLine="82" w:leftChars="-40" w:firstLineChars="39"/>
              <w:jc w:val="center"/>
              <w:rPr>
                <w:rFonts w:ascii="Times New Roman" w:hAnsi="Times New Roman"/>
                <w:b/>
                <w:color w:val="auto"/>
                <w:szCs w:val="21"/>
                <w:highlight w:val="none"/>
              </w:rPr>
            </w:pPr>
            <w:r>
              <w:rPr>
                <w:rFonts w:ascii="Times New Roman" w:hAnsi="Times New Roman"/>
                <w:b/>
                <w:color w:val="auto"/>
                <w:szCs w:val="21"/>
                <w:highlight w:val="none"/>
              </w:rPr>
              <w:t>项目名称</w:t>
            </w:r>
          </w:p>
        </w:tc>
        <w:tc>
          <w:tcPr>
            <w:tcW w:w="2058" w:type="dxa"/>
            <w:tcBorders>
              <w:top w:val="single" w:sz="4" w:space="0" w:color="auto"/>
              <w:left w:val="nil"/>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内容描述</w:t>
            </w:r>
          </w:p>
        </w:tc>
        <w:tc>
          <w:tcPr>
            <w:tcW w:w="127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hint="eastAsia"/>
                <w:b/>
                <w:color w:val="auto"/>
                <w:szCs w:val="21"/>
                <w:highlight w:val="none"/>
              </w:rPr>
              <w:t>数量</w:t>
            </w:r>
          </w:p>
        </w:tc>
        <w:tc>
          <w:tcPr>
            <w:tcW w:w="1259"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hint="eastAsia"/>
                <w:b/>
                <w:color w:val="auto"/>
                <w:szCs w:val="21"/>
                <w:highlight w:val="none"/>
              </w:rPr>
              <w:t>单价</w:t>
            </w:r>
          </w:p>
        </w:tc>
        <w:tc>
          <w:tcPr>
            <w:tcW w:w="134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hAnsi="Times New Roman"/>
                <w:b/>
                <w:color w:val="auto"/>
                <w:szCs w:val="21"/>
                <w:highlight w:val="none"/>
              </w:rPr>
            </w:pPr>
            <w:r>
              <w:rPr>
                <w:rFonts w:ascii="Times New Roman" w:hAnsi="Times New Roman"/>
                <w:b/>
                <w:color w:val="auto"/>
                <w:szCs w:val="21"/>
                <w:highlight w:val="none"/>
              </w:rPr>
              <w:t>小计</w:t>
            </w:r>
          </w:p>
          <w:p>
            <w:pPr>
              <w:widowControl/>
              <w:jc w:val="center"/>
              <w:rPr>
                <w:rFonts w:ascii="Times New Roman" w:hAnsi="Times New Roman"/>
                <w:b/>
                <w:color w:val="auto"/>
                <w:szCs w:val="21"/>
                <w:highlight w:val="none"/>
              </w:rPr>
            </w:pPr>
            <w:r>
              <w:rPr>
                <w:rFonts w:ascii="Times New Roman" w:hAnsi="Times New Roman"/>
                <w:b/>
                <w:color w:val="auto"/>
                <w:szCs w:val="21"/>
                <w:highlight w:val="none"/>
              </w:rPr>
              <w:t>（元）</w:t>
            </w:r>
          </w:p>
        </w:tc>
        <w:tc>
          <w:tcPr>
            <w:tcW w:w="643" w:type="dxa"/>
            <w:tcBorders>
              <w:top w:val="single" w:sz="4" w:space="0" w:color="auto"/>
              <w:left w:val="nil"/>
              <w:bottom w:val="single" w:sz="4" w:space="0" w:color="auto"/>
              <w:right w:val="single" w:sz="4" w:space="0" w:color="auto"/>
            </w:tcBorders>
            <w:vAlign w:val="center"/>
          </w:tcPr>
          <w:p>
            <w:pPr>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hint="eastAsia"/>
                <w:color w:val="auto"/>
                <w:szCs w:val="21"/>
                <w:highlight w:val="none"/>
              </w:rPr>
              <w:t>1</w:t>
            </w:r>
          </w:p>
        </w:tc>
        <w:tc>
          <w:tcPr>
            <w:tcW w:w="1964" w:type="dxa"/>
            <w:tcBorders>
              <w:top w:val="single" w:sz="4" w:space="0" w:color="auto"/>
              <w:left w:val="nil"/>
              <w:bottom w:val="single" w:sz="4" w:space="0" w:color="auto"/>
              <w:right w:val="single" w:sz="4" w:space="0" w:color="auto"/>
            </w:tcBorders>
            <w:vAlign w:val="center"/>
          </w:tcPr>
          <w:p>
            <w:pPr>
              <w:jc w:val="center"/>
              <w:rPr>
                <w:rFonts w:ascii="Times New Roman" w:hAnsi="Times New Roman"/>
                <w:color w:val="auto"/>
                <w:szCs w:val="21"/>
                <w:highlight w:val="none"/>
              </w:rPr>
            </w:pPr>
            <w:r>
              <w:rPr>
                <w:rFonts w:ascii="宋体" w:hAnsi="宋体" w:hint="eastAsia"/>
                <w:color w:val="auto"/>
                <w:szCs w:val="21"/>
                <w:highlight w:val="none"/>
              </w:rPr>
              <w:t>国家税务总局柳州市税务局2025-2026年物业管理服务项目</w:t>
            </w:r>
          </w:p>
        </w:tc>
        <w:tc>
          <w:tcPr>
            <w:tcW w:w="2058"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hint="eastAsia"/>
                <w:color w:val="auto"/>
                <w:szCs w:val="21"/>
                <w:highlight w:val="none"/>
              </w:rPr>
              <w:t>1</w:t>
            </w: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hint="eastAsia"/>
                <w:color w:val="auto"/>
                <w:szCs w:val="21"/>
                <w:highlight w:val="none"/>
              </w:rPr>
              <w:t>2</w:t>
            </w:r>
          </w:p>
        </w:tc>
        <w:tc>
          <w:tcPr>
            <w:tcW w:w="1964" w:type="dxa"/>
            <w:tcBorders>
              <w:top w:val="single" w:sz="4" w:space="0" w:color="auto"/>
              <w:left w:val="nil"/>
              <w:bottom w:val="single" w:sz="4" w:space="0" w:color="auto"/>
              <w:right w:val="single" w:sz="4" w:space="0" w:color="auto"/>
            </w:tcBorders>
            <w:vAlign w:val="center"/>
          </w:tcPr>
          <w:p>
            <w:pPr>
              <w:jc w:val="center"/>
              <w:rPr>
                <w:rFonts w:ascii="Times New Roman" w:hAnsi="Times New Roman"/>
                <w:color w:val="auto"/>
                <w:szCs w:val="21"/>
                <w:highlight w:val="none"/>
              </w:rPr>
            </w:pPr>
            <w:r>
              <w:rPr>
                <w:rFonts w:ascii="Times New Roman" w:hAnsi="Times New Roman" w:hint="eastAsia"/>
                <w:color w:val="auto"/>
                <w:szCs w:val="21"/>
                <w:highlight w:val="none"/>
              </w:rPr>
              <w:t>电梯运维费用（均为10层及以上电梯）</w:t>
            </w:r>
          </w:p>
        </w:tc>
        <w:tc>
          <w:tcPr>
            <w:tcW w:w="2058"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hint="eastAsia"/>
                <w:color w:val="auto"/>
                <w:szCs w:val="21"/>
                <w:highlight w:val="none"/>
              </w:rPr>
              <w:t>7</w:t>
            </w: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r>
        <w:tblPrEx>
          <w:tblW w:w="9181" w:type="dxa"/>
          <w:jc w:val="center"/>
          <w:tblLayout w:type="fixed"/>
          <w:tblCellMar>
            <w:top w:w="0" w:type="dxa"/>
            <w:left w:w="108" w:type="dxa"/>
            <w:bottom w:w="0" w:type="dxa"/>
            <w:right w:w="108" w:type="dxa"/>
          </w:tblCellMar>
        </w:tblPrEx>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964" w:type="dxa"/>
            <w:tcBorders>
              <w:top w:val="single" w:sz="4" w:space="0" w:color="auto"/>
              <w:left w:val="nil"/>
              <w:bottom w:val="single" w:sz="4" w:space="0" w:color="auto"/>
              <w:right w:val="single" w:sz="4" w:space="0" w:color="auto"/>
            </w:tcBorders>
            <w:vAlign w:val="center"/>
          </w:tcPr>
          <w:p>
            <w:pPr>
              <w:jc w:val="center"/>
              <w:rPr>
                <w:rFonts w:ascii="Times New Roman" w:hAnsi="Times New Roman"/>
                <w:color w:val="auto"/>
                <w:szCs w:val="21"/>
                <w:highlight w:val="none"/>
              </w:rPr>
            </w:pPr>
          </w:p>
        </w:tc>
        <w:tc>
          <w:tcPr>
            <w:tcW w:w="2058"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0"/>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964"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2058" w:type="dxa"/>
            <w:tcBorders>
              <w:top w:val="single" w:sz="4" w:space="0" w:color="auto"/>
              <w:left w:val="nil"/>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r>
        <w:tblPrEx>
          <w:tblW w:w="9181" w:type="dxa"/>
          <w:jc w:val="center"/>
          <w:tblLayout w:type="fixed"/>
          <w:tblCellMar>
            <w:top w:w="0" w:type="dxa"/>
            <w:left w:w="108" w:type="dxa"/>
            <w:bottom w:w="0" w:type="dxa"/>
            <w:right w:w="108" w:type="dxa"/>
          </w:tblCellMar>
        </w:tblPrEx>
        <w:trPr>
          <w:trHeight w:val="610"/>
          <w:tblHeader/>
          <w:jc w:val="center"/>
        </w:trPr>
        <w:tc>
          <w:tcPr>
            <w:tcW w:w="4666" w:type="dxa"/>
            <w:gridSpan w:val="3"/>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b/>
                <w:color w:val="auto"/>
                <w:szCs w:val="21"/>
                <w:highlight w:val="none"/>
              </w:rPr>
            </w:pPr>
            <w:r>
              <w:rPr>
                <w:rFonts w:ascii="Times New Roman" w:hAnsi="Times New Roman"/>
                <w:b/>
                <w:color w:val="auto"/>
                <w:szCs w:val="21"/>
                <w:highlight w:val="none"/>
              </w:rPr>
              <w:t>合   计</w:t>
            </w:r>
          </w:p>
        </w:tc>
        <w:tc>
          <w:tcPr>
            <w:tcW w:w="1271"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259"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1342"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c>
          <w:tcPr>
            <w:tcW w:w="643" w:type="dxa"/>
            <w:tcBorders>
              <w:top w:val="single" w:sz="4" w:space="0" w:color="auto"/>
              <w:left w:val="single" w:sz="4" w:space="0" w:color="auto"/>
              <w:bottom w:val="single" w:sz="4" w:space="0" w:color="auto"/>
              <w:right w:val="single" w:sz="4" w:space="0" w:color="auto"/>
            </w:tcBorders>
            <w:vAlign w:val="center"/>
          </w:tcPr>
          <w:p>
            <w:pPr>
              <w:tabs>
                <w:tab w:val="left" w:pos="425"/>
              </w:tabs>
              <w:snapToGri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p>
    <w:p>
      <w:pPr>
        <w:topLinePunct/>
        <w:autoSpaceDE w:val="0"/>
        <w:autoSpaceDN w:val="0"/>
        <w:spacing w:line="360" w:lineRule="auto"/>
        <w:rPr>
          <w:rFonts w:ascii="宋体" w:hAnsi="宋体" w:cs="宋体"/>
          <w:color w:val="auto"/>
          <w:szCs w:val="21"/>
          <w:highlight w:val="none"/>
        </w:rPr>
      </w:pPr>
      <w:r>
        <w:rPr>
          <w:rFonts w:ascii="宋体" w:hAnsi="宋体" w:cs="宋体" w:hint="eastAsia"/>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2.如报价不一致，按照投标人须知“19.核价原则”进行修正。</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3.本表中小计=数量×单价。</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4</w:t>
      </w:r>
      <w:r>
        <w:rPr>
          <w:rFonts w:ascii="Times New Roman" w:hAnsi="Times New Roman"/>
          <w:color w:val="auto"/>
          <w:szCs w:val="21"/>
          <w:highlight w:val="none"/>
        </w:rPr>
        <w:t>.本表仅供参考，可扩展。</w:t>
      </w:r>
    </w:p>
    <w:p>
      <w:pPr>
        <w:ind w:firstLine="420" w:firstLineChars="200"/>
        <w:rPr>
          <w:rFonts w:ascii="Times New Roman" w:hAnsi="Times New Roman" w:cs="Courier New"/>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ascii="Times New Roman" w:hAnsi="Times New Roman" w:hint="eastAsia"/>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投标人代表（签字）</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adjustRightInd w:val="0"/>
        <w:snapToGrid w:val="0"/>
        <w:spacing w:line="360" w:lineRule="auto"/>
        <w:ind w:firstLine="420" w:firstLineChars="200"/>
        <w:jc w:val="left"/>
        <w:rPr>
          <w:rFonts w:ascii="宋体" w:hAnsi="宋体" w:cs="宋体"/>
          <w:color w:val="auto"/>
          <w:szCs w:val="21"/>
          <w:highlight w:val="none"/>
          <w:u w:val="singl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r>
        <w:rPr>
          <w:rFonts w:ascii="Times New Roman" w:hAnsi="Times New Roman" w:hint="eastAsia"/>
          <w:color w:val="auto"/>
          <w:szCs w:val="21"/>
          <w:highlight w:val="none"/>
          <w:u w:val="single"/>
        </w:rPr>
        <w:t xml:space="preserve">    </w:t>
      </w:r>
      <w:r>
        <w:rPr>
          <w:rFonts w:ascii="Times New Roman" w:hAnsi="Times New Roman"/>
          <w:color w:val="auto"/>
          <w:szCs w:val="21"/>
          <w:highlight w:val="none"/>
          <w:u w:val="single"/>
        </w:rPr>
        <w:t xml:space="preserve">         </w:t>
      </w:r>
    </w:p>
    <w:p>
      <w:pPr>
        <w:widowControl/>
        <w:jc w:val="left"/>
        <w:rPr>
          <w:rFonts w:ascii="宋体" w:hAnsi="宋体" w:cs="宋体"/>
          <w:b/>
          <w:bCs/>
          <w:color w:val="auto"/>
          <w:sz w:val="28"/>
          <w:szCs w:val="28"/>
          <w:highlight w:val="none"/>
        </w:rPr>
      </w:pPr>
      <w:r>
        <w:rPr>
          <w:rFonts w:ascii="宋体" w:hAnsi="宋体" w:cs="宋体"/>
          <w:b/>
          <w:bCs/>
          <w:color w:val="auto"/>
          <w:sz w:val="28"/>
          <w:szCs w:val="28"/>
          <w:highlight w:val="none"/>
        </w:rPr>
        <w:br w:type="page"/>
      </w:r>
    </w:p>
    <w:p>
      <w:pPr>
        <w:adjustRightInd w:val="0"/>
        <w:snapToGrid w:val="0"/>
        <w:spacing w:line="360" w:lineRule="auto"/>
        <w:jc w:val="center"/>
        <w:rPr>
          <w:rFonts w:ascii="Times New Roman" w:hAnsi="Times New Roman"/>
          <w:b/>
          <w:bCs/>
          <w:color w:val="auto"/>
          <w:sz w:val="28"/>
          <w:szCs w:val="28"/>
          <w:highlight w:val="none"/>
        </w:rPr>
      </w:pPr>
      <w:r>
        <w:rPr>
          <w:rFonts w:ascii="宋体" w:hAnsi="宋体" w:cs="宋体" w:hint="eastAsia"/>
          <w:b/>
          <w:bCs/>
          <w:color w:val="auto"/>
          <w:sz w:val="28"/>
          <w:szCs w:val="28"/>
          <w:highlight w:val="none"/>
        </w:rPr>
        <w:t xml:space="preserve">格式8  </w:t>
      </w:r>
      <w:r>
        <w:rPr>
          <w:rFonts w:ascii="Times New Roman" w:hAnsi="Times New Roman" w:cs="宋体" w:hint="eastAsia"/>
          <w:b/>
          <w:bCs/>
          <w:color w:val="auto"/>
          <w:sz w:val="28"/>
          <w:szCs w:val="28"/>
          <w:highlight w:val="none"/>
          <w:lang w:bidi="ar"/>
        </w:rPr>
        <w:t>授权委托书</w:t>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lang w:bidi="ar"/>
        </w:rPr>
        <w:t>8</w:t>
      </w:r>
      <w:r>
        <w:rPr>
          <w:rFonts w:ascii="Times New Roman" w:hAnsi="Times New Roman"/>
          <w:b/>
          <w:bCs/>
          <w:color w:val="auto"/>
          <w:sz w:val="28"/>
          <w:szCs w:val="28"/>
          <w:highlight w:val="none"/>
          <w:lang w:bidi="ar"/>
        </w:rPr>
        <w:t>-1</w:t>
      </w:r>
      <w:r>
        <w:rPr>
          <w:rFonts w:ascii="Times New Roman" w:hAnsi="Times New Roman" w:cs="宋体" w:hint="eastAsia"/>
          <w:b/>
          <w:bCs/>
          <w:color w:val="auto"/>
          <w:sz w:val="28"/>
          <w:szCs w:val="28"/>
          <w:highlight w:val="none"/>
          <w:lang w:bidi="ar"/>
        </w:rPr>
        <w:t>法定代表人授权委托书</w:t>
      </w:r>
    </w:p>
    <w:p>
      <w:pPr>
        <w:adjustRightInd w:val="0"/>
        <w:snapToGrid w:val="0"/>
        <w:spacing w:line="360" w:lineRule="auto"/>
        <w:jc w:val="center"/>
        <w:rPr>
          <w:rFonts w:ascii="宋体" w:hAnsi="宋体" w:cs="宋体"/>
          <w:b/>
          <w:bCs/>
          <w:color w:val="auto"/>
          <w:sz w:val="24"/>
          <w:highlight w:val="none"/>
        </w:rPr>
      </w:pPr>
      <w:r>
        <w:rPr>
          <w:rFonts w:ascii="宋体" w:hAnsi="宋体" w:cs="宋体" w:hint="eastAsia"/>
          <w:color w:val="auto"/>
          <w:szCs w:val="21"/>
          <w:highlight w:val="none"/>
          <w:lang w:bidi="ar"/>
        </w:rPr>
        <w:t>(适用于授权代表参加投标)</w:t>
      </w:r>
    </w:p>
    <w:p>
      <w:pPr>
        <w:rPr>
          <w:rFonts w:ascii="Times New Roman" w:eastAsia="仿宋_GB2312" w:hAnsi="Times New Roman" w:cs="Courier New"/>
          <w:color w:val="auto"/>
          <w:kern w:val="0"/>
          <w:sz w:val="24"/>
          <w:szCs w:val="24"/>
          <w:highlight w:val="none"/>
        </w:rPr>
      </w:pPr>
    </w:p>
    <w:p>
      <w:pPr>
        <w:spacing w:line="360" w:lineRule="auto"/>
        <w:rPr>
          <w:color w:val="auto"/>
          <w:highlight w:val="none"/>
        </w:rPr>
      </w:pPr>
      <w:r>
        <w:rPr>
          <w:rFonts w:cs="宋体" w:hint="eastAsia"/>
          <w:color w:val="auto"/>
          <w:highlight w:val="none"/>
          <w:lang w:bidi="ar"/>
        </w:rPr>
        <w:t>致</w:t>
      </w:r>
      <w:r>
        <w:rPr>
          <w:color w:val="auto"/>
          <w:highlight w:val="none"/>
          <w:lang w:bidi="ar"/>
        </w:rPr>
        <w:t>____________(</w:t>
      </w:r>
      <w:r>
        <w:rPr>
          <w:rFonts w:cs="宋体" w:hint="eastAsia"/>
          <w:color w:val="auto"/>
          <w:highlight w:val="none"/>
          <w:lang w:bidi="ar"/>
        </w:rPr>
        <w:t>采购人</w:t>
      </w:r>
      <w:r>
        <w:rPr>
          <w:color w:val="auto"/>
          <w:highlight w:val="none"/>
          <w:lang w:bidi="ar"/>
        </w:rPr>
        <w:t>)</w:t>
      </w:r>
      <w:r>
        <w:rPr>
          <w:rFonts w:cs="宋体" w:hint="eastAsia"/>
          <w:color w:val="auto"/>
          <w:highlight w:val="none"/>
          <w:lang w:bidi="ar"/>
        </w:rPr>
        <w:t>：</w:t>
      </w:r>
    </w:p>
    <w:p>
      <w:pPr>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本授权书声明：注册于___________（投标人住址）的___________（投标人名称）法定代表人_______（姓名、职务）代表本公司授权_______（被授权投标代表姓名、职务）为本公司的合法投标代表，就贵方组织的《</w:t>
      </w:r>
      <w:r>
        <w:rPr>
          <w:rFonts w:ascii="宋体" w:hAnsi="宋体" w:cs="宋体" w:hint="eastAsia"/>
          <w:color w:val="auto"/>
          <w:szCs w:val="21"/>
          <w:highlight w:val="none"/>
          <w:u w:val="single"/>
          <w:lang w:bidi="ar"/>
        </w:rPr>
        <w:t xml:space="preserve">          项目</w:t>
      </w:r>
      <w:r>
        <w:rPr>
          <w:rFonts w:ascii="宋体" w:hAnsi="宋体" w:cs="宋体" w:hint="eastAsia"/>
          <w:color w:val="auto"/>
          <w:szCs w:val="21"/>
          <w:highlight w:val="none"/>
          <w:lang w:bidi="ar"/>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lang w:bidi="ar"/>
        </w:rPr>
        <w:t>本授权书于______年______月_____日生效，特此声明。</w:t>
      </w:r>
    </w:p>
    <w:p>
      <w:pPr>
        <w:adjustRightInd w:val="0"/>
        <w:snapToGrid w:val="0"/>
        <w:spacing w:line="360" w:lineRule="auto"/>
        <w:ind w:firstLine="420" w:firstLineChars="200"/>
        <w:rPr>
          <w:rFonts w:ascii="宋体" w:hAnsi="宋体" w:cs="宋体"/>
          <w:color w:val="auto"/>
          <w:kern w:val="0"/>
          <w:sz w:val="24"/>
          <w:szCs w:val="24"/>
          <w:highlight w:val="none"/>
        </w:rPr>
      </w:pPr>
      <w:r>
        <w:rPr>
          <w:rFonts w:ascii="宋体" w:hAnsi="宋体" w:cs="宋体" w:hint="eastAsia"/>
          <w:color w:val="auto"/>
          <w:szCs w:val="21"/>
          <w:highlight w:val="none"/>
          <w:lang w:bidi="ar"/>
        </w:rPr>
        <w:t>被授权投标代表无转委托权。</w:t>
      </w:r>
    </w:p>
    <w:p>
      <w:pPr>
        <w:adjustRightInd w:val="0"/>
        <w:snapToGrid w:val="0"/>
        <w:spacing w:line="360" w:lineRule="auto"/>
        <w:rPr>
          <w:rFonts w:ascii="宋体" w:hAnsi="宋体" w:cs="宋体"/>
          <w:color w:val="auto"/>
          <w:kern w:val="0"/>
          <w:sz w:val="24"/>
          <w:szCs w:val="24"/>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r>
              <w:rPr>
                <w:rFonts w:ascii="宋体" w:hAnsi="宋体" w:cs="宋体" w:hint="eastAsia"/>
                <w:b/>
                <w:color w:val="auto"/>
                <w:szCs w:val="21"/>
                <w:highlight w:val="none"/>
                <w:lang w:bidi="ar"/>
              </w:rPr>
              <w:t>被授权投标代表</w:t>
            </w:r>
            <w:r>
              <w:rPr>
                <w:rFonts w:ascii="宋体" w:hAnsi="宋体" w:cs="宋体" w:hint="eastAsia"/>
                <w:color w:val="auto"/>
                <w:szCs w:val="21"/>
                <w:highlight w:val="none"/>
                <w:lang w:bidi="ar"/>
              </w:rPr>
              <w:t>身份证复印件</w:t>
            </w: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tc>
      </w:tr>
    </w:tbl>
    <w:p>
      <w:pPr>
        <w:adjustRightInd w:val="0"/>
        <w:snapToGrid w:val="0"/>
        <w:spacing w:line="360" w:lineRule="auto"/>
        <w:jc w:val="left"/>
        <w:rPr>
          <w:rFonts w:ascii="宋体" w:hAnsi="宋体" w:cs="宋体"/>
          <w:color w:val="auto"/>
          <w:kern w:val="0"/>
          <w:sz w:val="24"/>
          <w:szCs w:val="24"/>
          <w:highlight w:val="none"/>
        </w:rPr>
      </w:pP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投标人名称（电子签章）：________________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rPr>
        <w:t>法定代表人（签字）：______</w:t>
      </w:r>
      <w:r>
        <w:rPr>
          <w:rFonts w:ascii="宋体" w:hAnsi="宋体" w:cs="宋体" w:hint="eastAsia"/>
          <w:color w:val="auto"/>
          <w:szCs w:val="21"/>
          <w:highlight w:val="none"/>
          <w:lang w:bidi="ar"/>
        </w:rPr>
        <w:t>____</w:t>
      </w:r>
      <w:r>
        <w:rPr>
          <w:rFonts w:ascii="宋体" w:hAnsi="宋体" w:cs="宋体" w:hint="eastAsia"/>
          <w:color w:val="auto"/>
          <w:szCs w:val="21"/>
          <w:highlight w:val="none"/>
        </w:rPr>
        <w:t>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被授权投标代表（签字）：________________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被授权投标代表联系电话：_______________</w:t>
      </w:r>
    </w:p>
    <w:p>
      <w:pPr>
        <w:tabs>
          <w:tab w:val="left" w:pos="1230"/>
        </w:tabs>
        <w:topLinePunct/>
        <w:autoSpaceDE w:val="0"/>
        <w:autoSpaceDN w:val="0"/>
        <w:adjustRightInd w:val="0"/>
        <w:snapToGrid w:val="0"/>
        <w:spacing w:line="360" w:lineRule="auto"/>
        <w:ind w:left="363"/>
        <w:rPr>
          <w:rFonts w:ascii="宋体" w:hAnsi="宋体" w:cs="宋体"/>
          <w:color w:val="auto"/>
          <w:szCs w:val="21"/>
          <w:highlight w:val="none"/>
        </w:rPr>
      </w:pPr>
      <w:r>
        <w:rPr>
          <w:rFonts w:ascii="宋体" w:hAnsi="宋体" w:cs="宋体" w:hint="eastAsia"/>
          <w:color w:val="auto"/>
          <w:szCs w:val="21"/>
          <w:highlight w:val="none"/>
          <w:lang w:bidi="ar"/>
        </w:rPr>
        <w:t>日期：________________________________</w:t>
      </w:r>
    </w:p>
    <w:p>
      <w:pPr>
        <w:topLinePunct/>
        <w:autoSpaceDE w:val="0"/>
        <w:autoSpaceDN w:val="0"/>
        <w:adjustRightInd w:val="0"/>
        <w:snapToGrid w:val="0"/>
        <w:spacing w:line="360" w:lineRule="auto"/>
        <w:jc w:val="left"/>
        <w:rPr>
          <w:rFonts w:ascii="Times New Roman" w:hAnsi="Times New Roman"/>
          <w:color w:val="auto"/>
          <w:highlight w:val="none"/>
        </w:rPr>
      </w:pPr>
    </w:p>
    <w:p>
      <w:pPr>
        <w:topLinePunct/>
        <w:autoSpaceDE w:val="0"/>
        <w:autoSpaceDN w:val="0"/>
        <w:adjustRightInd w:val="0"/>
        <w:snapToGrid w:val="0"/>
        <w:spacing w:line="360" w:lineRule="auto"/>
        <w:jc w:val="left"/>
        <w:rPr>
          <w:rFonts w:ascii="Times New Roman" w:hAnsi="Times New Roman"/>
          <w:i/>
          <w:iCs/>
          <w:color w:val="auto"/>
          <w:highlight w:val="none"/>
        </w:rPr>
      </w:pPr>
      <w:r>
        <w:rPr>
          <w:rFonts w:ascii="Times New Roman" w:hAnsi="Times New Roman"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highlight w:val="none"/>
        </w:rPr>
      </w:pPr>
      <w:r>
        <w:rPr>
          <w:rFonts w:ascii="Times New Roman" w:hAnsi="Times New Roman"/>
          <w:color w:val="auto"/>
          <w:highlight w:val="none"/>
          <w:lang w:bidi="ar"/>
        </w:rPr>
        <w:t>1.</w:t>
      </w:r>
      <w:r>
        <w:rPr>
          <w:rFonts w:ascii="Times New Roman" w:hAnsi="Times New Roman" w:cs="宋体" w:hint="eastAsia"/>
          <w:color w:val="auto"/>
          <w:highlight w:val="none"/>
          <w:lang w:bidi="ar"/>
        </w:rPr>
        <w:t>投标人如由被授权投标代表参与投标活动的，须同时提供《法定代表人授权委托书》和被授权投标代表身份证复印件</w:t>
      </w:r>
      <w:r>
        <w:rPr>
          <w:rFonts w:ascii="Times New Roman" w:hAnsi="Times New Roman" w:cs="宋体" w:hint="eastAsia"/>
          <w:bCs/>
          <w:color w:val="auto"/>
          <w:szCs w:val="21"/>
          <w:highlight w:val="none"/>
          <w:lang w:bidi="ar"/>
        </w:rPr>
        <w:t>（线上采购项目提供扫描件，下同）</w:t>
      </w:r>
      <w:r>
        <w:rPr>
          <w:rFonts w:ascii="Times New Roman" w:hAnsi="Times New Roman" w:cs="宋体" w:hint="eastAsia"/>
          <w:color w:val="auto"/>
          <w:highlight w:val="none"/>
          <w:lang w:bidi="ar"/>
        </w:rPr>
        <w:t>。《法定代表人授权委托书》应当按本格式要求加盖与投标人名称全称一致的标准公章，并签署法定代表人或被授权投标代表的全名</w:t>
      </w:r>
      <w:r>
        <w:rPr>
          <w:rFonts w:ascii="Times New Roman" w:hAnsi="Times New Roman" w:cs="宋体" w:hint="eastAsia"/>
          <w:color w:val="auto"/>
          <w:szCs w:val="21"/>
          <w:highlight w:val="none"/>
          <w:lang w:bidi="ar"/>
        </w:rPr>
        <w:t>。</w:t>
      </w:r>
      <w:r>
        <w:rPr>
          <w:rFonts w:ascii="Times New Roman" w:hAnsi="Times New Roman"/>
          <w:color w:val="auto"/>
          <w:szCs w:val="21"/>
          <w:highlight w:val="none"/>
          <w:lang w:bidi="ar"/>
        </w:rPr>
        <w:t>(</w:t>
      </w:r>
      <w:r>
        <w:rPr>
          <w:rFonts w:ascii="Times New Roman" w:hAnsi="Times New Roman" w:cs="宋体" w:hint="eastAsia"/>
          <w:color w:val="auto"/>
          <w:szCs w:val="21"/>
          <w:highlight w:val="none"/>
          <w:lang w:bidi="ar"/>
        </w:rPr>
        <w:t>线上采购项目应上传扫描件</w:t>
      </w:r>
      <w:r>
        <w:rPr>
          <w:rFonts w:ascii="Times New Roman" w:hAnsi="Times New Roman"/>
          <w:color w:val="auto"/>
          <w:szCs w:val="21"/>
          <w:highlight w:val="none"/>
          <w:lang w:bidi="ar"/>
        </w:rPr>
        <w:t>)</w:t>
      </w:r>
      <w:r>
        <w:rPr>
          <w:rFonts w:ascii="Times New Roman" w:hAnsi="Times New Roman" w:cs="宋体" w:hint="eastAsia"/>
          <w:color w:val="auto"/>
          <w:highlight w:val="none"/>
          <w:lang w:bidi="ar"/>
        </w:rPr>
        <w:t>。</w:t>
      </w:r>
    </w:p>
    <w:p>
      <w:pPr>
        <w:adjustRightInd w:val="0"/>
        <w:snapToGrid w:val="0"/>
        <w:spacing w:line="360" w:lineRule="auto"/>
        <w:jc w:val="center"/>
        <w:rPr>
          <w:rFonts w:ascii="Times New Roman" w:hAnsi="Times New Roman"/>
          <w:b/>
          <w:bCs/>
          <w:color w:val="auto"/>
          <w:sz w:val="28"/>
          <w:szCs w:val="28"/>
          <w:highlight w:val="none"/>
        </w:rPr>
      </w:pPr>
      <w:r>
        <w:rPr>
          <w:rFonts w:ascii="宋体" w:hAnsi="宋体" w:cs="宋体" w:hint="eastAsia"/>
          <w:b/>
          <w:bCs/>
          <w:color w:val="auto"/>
          <w:sz w:val="36"/>
          <w:szCs w:val="36"/>
          <w:highlight w:val="none"/>
          <w:lang w:bidi="ar"/>
        </w:rPr>
        <w:br w:type="page"/>
      </w:r>
      <w:r>
        <w:rPr>
          <w:rFonts w:ascii="Times New Roman" w:hAnsi="Times New Roman" w:hint="eastAsia"/>
          <w:b/>
          <w:bCs/>
          <w:color w:val="auto"/>
          <w:sz w:val="28"/>
          <w:szCs w:val="28"/>
          <w:highlight w:val="none"/>
          <w:lang w:bidi="ar"/>
        </w:rPr>
        <w:t>8</w:t>
      </w:r>
      <w:r>
        <w:rPr>
          <w:rFonts w:ascii="Times New Roman" w:hAnsi="Times New Roman"/>
          <w:b/>
          <w:bCs/>
          <w:color w:val="auto"/>
          <w:sz w:val="28"/>
          <w:szCs w:val="28"/>
          <w:highlight w:val="none"/>
          <w:lang w:bidi="ar"/>
        </w:rPr>
        <w:t>-2</w:t>
      </w:r>
      <w:r>
        <w:rPr>
          <w:rFonts w:ascii="Times New Roman" w:hAnsi="Times New Roman" w:cs="宋体" w:hint="eastAsia"/>
          <w:b/>
          <w:bCs/>
          <w:color w:val="auto"/>
          <w:sz w:val="28"/>
          <w:szCs w:val="28"/>
          <w:highlight w:val="none"/>
          <w:lang w:bidi="ar"/>
        </w:rPr>
        <w:t>法定代表人身份证明复印件</w:t>
      </w:r>
    </w:p>
    <w:p>
      <w:pPr>
        <w:adjustRightInd w:val="0"/>
        <w:snapToGrid w:val="0"/>
        <w:spacing w:line="360" w:lineRule="auto"/>
        <w:jc w:val="center"/>
        <w:rPr>
          <w:rFonts w:ascii="宋体" w:hAnsi="宋体" w:cs="宋体"/>
          <w:color w:val="auto"/>
          <w:szCs w:val="21"/>
          <w:highlight w:val="none"/>
        </w:rPr>
      </w:pPr>
      <w:r>
        <w:rPr>
          <w:rFonts w:ascii="宋体" w:hAnsi="宋体" w:cs="宋体" w:hint="eastAsia"/>
          <w:color w:val="auto"/>
          <w:szCs w:val="21"/>
          <w:highlight w:val="none"/>
          <w:lang w:bidi="ar"/>
        </w:rPr>
        <w:t>(适用于法定代表人参加投标)</w:t>
      </w:r>
    </w:p>
    <w:p>
      <w:pPr>
        <w:topLinePunct/>
        <w:autoSpaceDE w:val="0"/>
        <w:autoSpaceDN w:val="0"/>
        <w:adjustRightInd w:val="0"/>
        <w:snapToGrid w:val="0"/>
        <w:spacing w:line="360" w:lineRule="auto"/>
        <w:ind w:firstLine="420" w:firstLineChars="200"/>
        <w:rPr>
          <w:color w:val="auto"/>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r>
              <w:rPr>
                <w:rFonts w:ascii="宋体" w:hAnsi="宋体" w:cs="宋体" w:hint="eastAsia"/>
                <w:color w:val="auto"/>
                <w:szCs w:val="21"/>
                <w:highlight w:val="none"/>
                <w:lang w:bidi="ar"/>
              </w:rPr>
              <w:t>法定代表人身份证明复印件</w:t>
            </w: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p>
            <w:pPr>
              <w:adjustRightInd w:val="0"/>
              <w:snapToGrid w:val="0"/>
              <w:spacing w:line="360" w:lineRule="auto"/>
              <w:jc w:val="center"/>
              <w:rPr>
                <w:rFonts w:ascii="宋体" w:hAnsi="宋体" w:cs="宋体"/>
                <w:color w:val="auto"/>
                <w:kern w:val="0"/>
                <w:sz w:val="24"/>
                <w:szCs w:val="24"/>
                <w:highlight w:val="none"/>
              </w:rPr>
            </w:pPr>
          </w:p>
        </w:tc>
      </w:tr>
    </w:tbl>
    <w:p>
      <w:pPr>
        <w:topLinePunct/>
        <w:autoSpaceDE w:val="0"/>
        <w:autoSpaceDN w:val="0"/>
        <w:adjustRightInd w:val="0"/>
        <w:snapToGrid w:val="0"/>
        <w:spacing w:line="360" w:lineRule="auto"/>
        <w:jc w:val="left"/>
        <w:rPr>
          <w:rFonts w:eastAsia="仿宋_GB2312"/>
          <w:color w:val="auto"/>
          <w:highlight w:val="none"/>
        </w:rPr>
      </w:pPr>
    </w:p>
    <w:p>
      <w:pPr>
        <w:topLinePunct/>
        <w:autoSpaceDE w:val="0"/>
        <w:autoSpaceDN w:val="0"/>
        <w:adjustRightInd w:val="0"/>
        <w:snapToGrid w:val="0"/>
        <w:spacing w:line="360" w:lineRule="auto"/>
        <w:jc w:val="left"/>
        <w:rPr>
          <w:rFonts w:ascii="宋体" w:hAnsi="宋体" w:cs="宋体"/>
          <w:i/>
          <w:iCs/>
          <w:color w:val="auto"/>
          <w:highlight w:val="none"/>
        </w:rPr>
      </w:pPr>
      <w:r>
        <w:rPr>
          <w:rFonts w:ascii="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highlight w:val="none"/>
        </w:rPr>
      </w:pPr>
      <w:r>
        <w:rPr>
          <w:rFonts w:ascii="宋体" w:hAnsi="宋体" w:cs="宋体" w:hint="eastAsia"/>
          <w:color w:val="auto"/>
          <w:highlight w:val="none"/>
          <w:lang w:bidi="ar"/>
        </w:rPr>
        <w:t>投标人如由</w:t>
      </w:r>
      <w:r>
        <w:rPr>
          <w:rFonts w:ascii="宋体" w:hAnsi="宋体" w:cs="宋体" w:hint="eastAsia"/>
          <w:b/>
          <w:bCs/>
          <w:color w:val="auto"/>
          <w:highlight w:val="none"/>
          <w:lang w:bidi="ar"/>
        </w:rPr>
        <w:t>法定代表人作为投标代表参与投标活动的，仅须提供法定代表人身份证复印件</w:t>
      </w:r>
      <w:r>
        <w:rPr>
          <w:rFonts w:ascii="宋体" w:hAnsi="宋体" w:cs="宋体" w:hint="eastAsia"/>
          <w:bCs/>
          <w:color w:val="auto"/>
          <w:szCs w:val="21"/>
          <w:highlight w:val="none"/>
          <w:lang w:bidi="ar"/>
        </w:rPr>
        <w:t>（线上采购项目提供扫描件，下同）</w:t>
      </w:r>
      <w:r>
        <w:rPr>
          <w:rFonts w:ascii="宋体" w:hAnsi="宋体" w:cs="宋体" w:hint="eastAsia"/>
          <w:color w:val="auto"/>
          <w:highlight w:val="none"/>
          <w:lang w:bidi="ar"/>
        </w:rPr>
        <w:t>。</w:t>
      </w:r>
    </w:p>
    <w:p>
      <w:pPr>
        <w:ind w:firstLine="480" w:firstLineChars="200"/>
        <w:rPr>
          <w:rFonts w:ascii="Times New Roman" w:eastAsia="仿宋_GB2312" w:hAnsi="Times New Roman" w:cs="Courier New"/>
          <w:color w:val="auto"/>
          <w:kern w:val="0"/>
          <w:sz w:val="24"/>
          <w:szCs w:val="24"/>
          <w:highlight w:val="none"/>
        </w:rPr>
      </w:pPr>
    </w:p>
    <w:p>
      <w:pPr>
        <w:widowControl/>
        <w:jc w:val="left"/>
        <w:rPr>
          <w:rFonts w:ascii="宋体" w:hAnsi="宋体" w:cs="宋体"/>
          <w:b/>
          <w:bCs/>
          <w:color w:val="auto"/>
          <w:sz w:val="36"/>
          <w:szCs w:val="36"/>
          <w:highlight w:val="none"/>
        </w:rPr>
      </w:pPr>
      <w:r>
        <w:rPr>
          <w:rFonts w:ascii="宋体" w:hAnsi="宋体" w:cs="宋体" w:hint="eastAsia"/>
          <w:b/>
          <w:bCs/>
          <w:color w:val="auto"/>
          <w:sz w:val="36"/>
          <w:szCs w:val="36"/>
          <w:highlight w:val="none"/>
          <w:lang w:bidi="ar"/>
        </w:rPr>
        <w:br w:type="page"/>
      </w: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hint="eastAsia"/>
          <w:b/>
          <w:bCs/>
          <w:color w:val="auto"/>
          <w:sz w:val="28"/>
          <w:szCs w:val="28"/>
          <w:highlight w:val="none"/>
          <w:lang w:bidi="ar"/>
        </w:rPr>
        <w:t>8</w:t>
      </w:r>
      <w:r>
        <w:rPr>
          <w:rFonts w:ascii="Times New Roman" w:hAnsi="Times New Roman"/>
          <w:b/>
          <w:bCs/>
          <w:color w:val="auto"/>
          <w:sz w:val="28"/>
          <w:szCs w:val="28"/>
          <w:highlight w:val="none"/>
          <w:lang w:bidi="ar"/>
        </w:rPr>
        <w:t>-3</w:t>
      </w:r>
      <w:r>
        <w:rPr>
          <w:rFonts w:ascii="Times New Roman" w:hAnsi="Times New Roman" w:cs="宋体" w:hint="eastAsia"/>
          <w:b/>
          <w:bCs/>
          <w:color w:val="auto"/>
          <w:sz w:val="28"/>
          <w:szCs w:val="28"/>
          <w:highlight w:val="none"/>
          <w:lang w:bidi="ar"/>
        </w:rPr>
        <w:t>自然人授权委托书</w:t>
      </w:r>
    </w:p>
    <w:p>
      <w:pPr>
        <w:adjustRightInd w:val="0"/>
        <w:snapToGrid w:val="0"/>
        <w:spacing w:line="360" w:lineRule="auto"/>
        <w:jc w:val="center"/>
        <w:rPr>
          <w:rFonts w:ascii="宋体" w:hAnsi="宋体" w:cs="宋体"/>
          <w:color w:val="auto"/>
          <w:szCs w:val="21"/>
          <w:highlight w:val="none"/>
        </w:rPr>
      </w:pPr>
      <w:r>
        <w:rPr>
          <w:rFonts w:ascii="宋体" w:hAnsi="宋体" w:cs="宋体" w:hint="eastAsia"/>
          <w:color w:val="auto"/>
          <w:szCs w:val="21"/>
          <w:highlight w:val="none"/>
          <w:lang w:bidi="ar"/>
        </w:rPr>
        <w:t>(适用于自然人投标)</w:t>
      </w:r>
    </w:p>
    <w:p>
      <w:pPr>
        <w:rPr>
          <w:rFonts w:ascii="Times New Roman" w:eastAsia="仿宋_GB2312" w:hAnsi="Times New Roman" w:cs="Courier New"/>
          <w:color w:val="auto"/>
          <w:kern w:val="0"/>
          <w:sz w:val="24"/>
          <w:szCs w:val="24"/>
          <w:highlight w:val="none"/>
        </w:rPr>
      </w:pPr>
    </w:p>
    <w:p>
      <w:pPr>
        <w:spacing w:line="360" w:lineRule="auto"/>
        <w:rPr>
          <w:color w:val="auto"/>
          <w:highlight w:val="none"/>
        </w:rPr>
      </w:pPr>
      <w:r>
        <w:rPr>
          <w:rFonts w:cs="宋体" w:hint="eastAsia"/>
          <w:color w:val="auto"/>
          <w:highlight w:val="none"/>
          <w:lang w:bidi="ar"/>
        </w:rPr>
        <w:t>致</w:t>
      </w:r>
      <w:r>
        <w:rPr>
          <w:color w:val="auto"/>
          <w:highlight w:val="none"/>
          <w:lang w:bidi="ar"/>
        </w:rPr>
        <w:t>____________(</w:t>
      </w:r>
      <w:r>
        <w:rPr>
          <w:rFonts w:cs="宋体" w:hint="eastAsia"/>
          <w:color w:val="auto"/>
          <w:highlight w:val="none"/>
          <w:lang w:bidi="ar"/>
        </w:rPr>
        <w:t>采购人</w:t>
      </w:r>
      <w:r>
        <w:rPr>
          <w:color w:val="auto"/>
          <w:highlight w:val="none"/>
          <w:lang w:bidi="ar"/>
        </w:rPr>
        <w:t>)</w:t>
      </w:r>
      <w:r>
        <w:rPr>
          <w:rFonts w:cs="宋体" w:hint="eastAsia"/>
          <w:color w:val="auto"/>
          <w:highlight w:val="none"/>
          <w:lang w:bidi="ar"/>
        </w:rPr>
        <w:t>：</w:t>
      </w:r>
    </w:p>
    <w:p>
      <w:pPr>
        <w:spacing w:line="360" w:lineRule="auto"/>
        <w:ind w:firstLine="420" w:firstLineChars="200"/>
        <w:rPr>
          <w:color w:val="auto"/>
          <w:highlight w:val="none"/>
        </w:rPr>
      </w:pPr>
      <w:r>
        <w:rPr>
          <w:rFonts w:cs="宋体" w:hint="eastAsia"/>
          <w:color w:val="auto"/>
          <w:highlight w:val="none"/>
          <w:lang w:bidi="ar"/>
        </w:rPr>
        <w:t>本授权书声明：我</w:t>
      </w:r>
      <w:r>
        <w:rPr>
          <w:color w:val="auto"/>
          <w:highlight w:val="none"/>
          <w:lang w:bidi="ar"/>
        </w:rPr>
        <w:t>________(</w:t>
      </w:r>
      <w:r>
        <w:rPr>
          <w:rFonts w:cs="宋体" w:hint="eastAsia"/>
          <w:color w:val="auto"/>
          <w:highlight w:val="none"/>
          <w:lang w:bidi="ar"/>
        </w:rPr>
        <w:t>姓名、身份证号码</w:t>
      </w:r>
      <w:r>
        <w:rPr>
          <w:color w:val="auto"/>
          <w:highlight w:val="none"/>
          <w:lang w:bidi="ar"/>
        </w:rPr>
        <w:t>)</w:t>
      </w:r>
      <w:r>
        <w:rPr>
          <w:rFonts w:cs="宋体" w:hint="eastAsia"/>
          <w:color w:val="auto"/>
          <w:highlight w:val="none"/>
          <w:lang w:bidi="ar"/>
        </w:rPr>
        <w:t>系自然人，现授权委托</w:t>
      </w:r>
      <w:r>
        <w:rPr>
          <w:color w:val="auto"/>
          <w:highlight w:val="none"/>
          <w:lang w:bidi="ar"/>
        </w:rPr>
        <w:t>____________(</w:t>
      </w:r>
      <w:r>
        <w:rPr>
          <w:rFonts w:cs="宋体" w:hint="eastAsia"/>
          <w:color w:val="auto"/>
          <w:highlight w:val="none"/>
          <w:lang w:bidi="ar"/>
        </w:rPr>
        <w:t>姓名、身份证号码</w:t>
      </w:r>
      <w:r>
        <w:rPr>
          <w:color w:val="auto"/>
          <w:highlight w:val="none"/>
          <w:lang w:bidi="ar"/>
        </w:rPr>
        <w:t>)</w:t>
      </w:r>
      <w:r>
        <w:rPr>
          <w:rFonts w:cs="宋体" w:hint="eastAsia"/>
          <w:color w:val="auto"/>
          <w:highlight w:val="none"/>
          <w:lang w:bidi="ar"/>
        </w:rPr>
        <w:t>以本人名义参加《</w:t>
      </w:r>
      <w:r>
        <w:rPr>
          <w:color w:val="auto"/>
          <w:highlight w:val="none"/>
          <w:u w:val="single"/>
          <w:lang w:bidi="ar"/>
        </w:rPr>
        <w:t xml:space="preserve">          </w:t>
      </w:r>
      <w:r>
        <w:rPr>
          <w:rFonts w:cs="宋体" w:hint="eastAsia"/>
          <w:color w:val="auto"/>
          <w:highlight w:val="none"/>
          <w:lang w:bidi="ar"/>
        </w:rPr>
        <w:t>项目》（项目编号：</w:t>
      </w:r>
      <w:r>
        <w:rPr>
          <w:color w:val="auto"/>
          <w:highlight w:val="none"/>
          <w:u w:val="single"/>
          <w:lang w:bidi="ar"/>
        </w:rPr>
        <w:t xml:space="preserve">    </w:t>
      </w:r>
      <w:r>
        <w:rPr>
          <w:rFonts w:cs="宋体" w:hint="eastAsia"/>
          <w:color w:val="auto"/>
          <w:highlight w:val="none"/>
          <w:lang w:bidi="ar"/>
        </w:rPr>
        <w:t>）的投标活动，并代表本人全权办理针对上述项目的投标、签约等具体事务和签署相关文件。</w:t>
      </w:r>
    </w:p>
    <w:p>
      <w:pPr>
        <w:spacing w:line="360" w:lineRule="auto"/>
        <w:ind w:firstLine="420" w:firstLineChars="200"/>
        <w:rPr>
          <w:color w:val="auto"/>
          <w:highlight w:val="none"/>
        </w:rPr>
      </w:pPr>
      <w:r>
        <w:rPr>
          <w:rFonts w:cs="宋体" w:hint="eastAsia"/>
          <w:color w:val="auto"/>
          <w:highlight w:val="none"/>
          <w:lang w:bidi="ar"/>
        </w:rPr>
        <w:t>本人对被授权人的签字事项负全部责任。</w:t>
      </w:r>
    </w:p>
    <w:p>
      <w:pPr>
        <w:spacing w:line="360" w:lineRule="auto"/>
        <w:ind w:firstLine="420" w:firstLineChars="200"/>
        <w:rPr>
          <w:color w:val="auto"/>
          <w:highlight w:val="none"/>
        </w:rPr>
      </w:pPr>
      <w:r>
        <w:rPr>
          <w:rFonts w:cs="宋体" w:hint="eastAsia"/>
          <w:color w:val="auto"/>
          <w:highlight w:val="none"/>
          <w:lang w:bidi="ar"/>
        </w:rPr>
        <w:t>授权委托代理期限：从</w:t>
      </w:r>
      <w:r>
        <w:rPr>
          <w:rFonts w:cs="宋体" w:hint="eastAsia"/>
          <w:color w:val="auto"/>
          <w:highlight w:val="none"/>
          <w:u w:val="single"/>
          <w:lang w:bidi="ar"/>
        </w:rPr>
        <w:t>　　</w:t>
      </w:r>
      <w:r>
        <w:rPr>
          <w:rFonts w:cs="宋体" w:hint="eastAsia"/>
          <w:color w:val="auto"/>
          <w:highlight w:val="none"/>
          <w:lang w:bidi="ar"/>
        </w:rPr>
        <w:t>年</w:t>
      </w:r>
      <w:r>
        <w:rPr>
          <w:rFonts w:cs="宋体" w:hint="eastAsia"/>
          <w:color w:val="auto"/>
          <w:highlight w:val="none"/>
          <w:u w:val="single"/>
          <w:lang w:bidi="ar"/>
        </w:rPr>
        <w:t>　　</w:t>
      </w:r>
      <w:r>
        <w:rPr>
          <w:rFonts w:cs="宋体" w:hint="eastAsia"/>
          <w:color w:val="auto"/>
          <w:highlight w:val="none"/>
          <w:lang w:bidi="ar"/>
        </w:rPr>
        <w:t>月</w:t>
      </w:r>
      <w:r>
        <w:rPr>
          <w:rFonts w:cs="宋体" w:hint="eastAsia"/>
          <w:color w:val="auto"/>
          <w:highlight w:val="none"/>
          <w:u w:val="single"/>
          <w:lang w:bidi="ar"/>
        </w:rPr>
        <w:t>　　</w:t>
      </w:r>
      <w:r>
        <w:rPr>
          <w:rFonts w:cs="宋体" w:hint="eastAsia"/>
          <w:color w:val="auto"/>
          <w:highlight w:val="none"/>
          <w:lang w:bidi="ar"/>
        </w:rPr>
        <w:t>日起至</w:t>
      </w:r>
      <w:r>
        <w:rPr>
          <w:rFonts w:cs="宋体" w:hint="eastAsia"/>
          <w:color w:val="auto"/>
          <w:highlight w:val="none"/>
          <w:u w:val="single"/>
          <w:lang w:bidi="ar"/>
        </w:rPr>
        <w:t>　　</w:t>
      </w:r>
      <w:r>
        <w:rPr>
          <w:rFonts w:cs="宋体" w:hint="eastAsia"/>
          <w:color w:val="auto"/>
          <w:highlight w:val="none"/>
          <w:lang w:bidi="ar"/>
        </w:rPr>
        <w:t>年</w:t>
      </w:r>
      <w:r>
        <w:rPr>
          <w:rFonts w:cs="宋体" w:hint="eastAsia"/>
          <w:color w:val="auto"/>
          <w:highlight w:val="none"/>
          <w:u w:val="single"/>
          <w:lang w:bidi="ar"/>
        </w:rPr>
        <w:t>　　</w:t>
      </w:r>
      <w:r>
        <w:rPr>
          <w:rFonts w:cs="宋体" w:hint="eastAsia"/>
          <w:color w:val="auto"/>
          <w:highlight w:val="none"/>
          <w:lang w:bidi="ar"/>
        </w:rPr>
        <w:t>月</w:t>
      </w:r>
      <w:r>
        <w:rPr>
          <w:rFonts w:cs="宋体" w:hint="eastAsia"/>
          <w:color w:val="auto"/>
          <w:highlight w:val="none"/>
          <w:u w:val="single"/>
          <w:lang w:bidi="ar"/>
        </w:rPr>
        <w:t>　　</w:t>
      </w:r>
      <w:r>
        <w:rPr>
          <w:rFonts w:cs="宋体" w:hint="eastAsia"/>
          <w:color w:val="auto"/>
          <w:highlight w:val="none"/>
          <w:lang w:bidi="ar"/>
        </w:rPr>
        <w:t>日止。</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代理人无转委托权，特此委托。</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我已在下面签字，以资证明。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自然人签字并在签名处加盖食指指印：</w:t>
      </w:r>
      <w:r>
        <w:rPr>
          <w:rFonts w:cs="宋体" w:hint="eastAsia"/>
          <w:color w:val="auto"/>
          <w:highlight w:val="none"/>
          <w:u w:val="single"/>
          <w:lang w:bidi="ar"/>
        </w:rPr>
        <w:t>　　　　</w:t>
      </w:r>
      <w:r>
        <w:rPr>
          <w:rFonts w:cs="宋体" w:hint="eastAsia"/>
          <w:color w:val="auto"/>
          <w:highlight w:val="none"/>
          <w:lang w:bidi="ar"/>
        </w:rPr>
        <w:t>年</w:t>
      </w:r>
      <w:r>
        <w:rPr>
          <w:rFonts w:cs="宋体" w:hint="eastAsia"/>
          <w:color w:val="auto"/>
          <w:highlight w:val="none"/>
          <w:u w:val="single"/>
          <w:lang w:bidi="ar"/>
        </w:rPr>
        <w:t>　　</w:t>
      </w:r>
      <w:r>
        <w:rPr>
          <w:rFonts w:cs="宋体" w:hint="eastAsia"/>
          <w:color w:val="auto"/>
          <w:highlight w:val="none"/>
          <w:lang w:bidi="ar"/>
        </w:rPr>
        <w:t>月</w:t>
      </w:r>
      <w:r>
        <w:rPr>
          <w:rFonts w:cs="宋体" w:hint="eastAsia"/>
          <w:color w:val="auto"/>
          <w:highlight w:val="none"/>
          <w:u w:val="single"/>
          <w:lang w:bidi="ar"/>
        </w:rPr>
        <w:t>　　</w:t>
      </w:r>
      <w:r>
        <w:rPr>
          <w:rFonts w:cs="宋体" w:hint="eastAsia"/>
          <w:color w:val="auto"/>
          <w:highlight w:val="none"/>
          <w:lang w:bidi="ar"/>
        </w:rPr>
        <w:t>日</w:t>
      </w:r>
    </w:p>
    <w:p>
      <w:pPr>
        <w:spacing w:line="360" w:lineRule="auto"/>
        <w:ind w:firstLine="480" w:firstLineChars="200"/>
        <w:rPr>
          <w:rFonts w:ascii="宋体" w:hAnsi="宋体" w:cs="宋体"/>
          <w:color w:val="auto"/>
          <w:kern w:val="0"/>
          <w:sz w:val="24"/>
          <w:szCs w:val="24"/>
          <w:highlight w:val="none"/>
        </w:rPr>
      </w:pPr>
    </w:p>
    <w:p>
      <w:pPr>
        <w:topLinePunct/>
        <w:autoSpaceDE w:val="0"/>
        <w:autoSpaceDN w:val="0"/>
        <w:adjustRightInd w:val="0"/>
        <w:snapToGrid w:val="0"/>
        <w:spacing w:line="360" w:lineRule="auto"/>
        <w:jc w:val="left"/>
        <w:rPr>
          <w:rFonts w:ascii="宋体" w:hAnsi="宋体" w:cs="宋体"/>
          <w:color w:val="auto"/>
          <w:highlight w:val="none"/>
        </w:rPr>
      </w:pPr>
    </w:p>
    <w:p>
      <w:pPr>
        <w:topLinePunct/>
        <w:autoSpaceDE w:val="0"/>
        <w:autoSpaceDN w:val="0"/>
        <w:adjustRightInd w:val="0"/>
        <w:snapToGrid w:val="0"/>
        <w:spacing w:line="360" w:lineRule="auto"/>
        <w:jc w:val="left"/>
        <w:rPr>
          <w:rFonts w:ascii="宋体" w:hAnsi="宋体" w:cs="宋体"/>
          <w:i/>
          <w:iCs/>
          <w:color w:val="auto"/>
          <w:highlight w:val="none"/>
        </w:rPr>
      </w:pPr>
      <w:r>
        <w:rPr>
          <w:rFonts w:ascii="宋体" w:hAnsi="宋体" w:cs="宋体" w:hint="eastAsia"/>
          <w:color w:val="auto"/>
          <w:highlight w:val="none"/>
          <w:lang w:bidi="ar"/>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color w:val="auto"/>
          <w:szCs w:val="21"/>
          <w:highlight w:val="none"/>
          <w:lang w:bidi="ar"/>
        </w:rPr>
      </w:pPr>
      <w:r>
        <w:rPr>
          <w:rFonts w:ascii="宋体" w:hAnsi="宋体" w:cs="宋体" w:hint="eastAsia"/>
          <w:color w:val="auto"/>
          <w:highlight w:val="none"/>
          <w:lang w:bidi="ar"/>
        </w:rPr>
        <w:t>投标人如由</w:t>
      </w:r>
      <w:r>
        <w:rPr>
          <w:rFonts w:ascii="宋体" w:hAnsi="宋体" w:cs="宋体" w:hint="eastAsia"/>
          <w:b/>
          <w:bCs/>
          <w:color w:val="auto"/>
          <w:highlight w:val="none"/>
          <w:lang w:bidi="ar"/>
        </w:rPr>
        <w:t>被授权人参与投标活动的，</w:t>
      </w:r>
      <w:r>
        <w:rPr>
          <w:rFonts w:ascii="宋体" w:hAnsi="宋体" w:cs="宋体" w:hint="eastAsia"/>
          <w:color w:val="auto"/>
          <w:highlight w:val="none"/>
          <w:lang w:bidi="ar"/>
        </w:rPr>
        <w:t>须提供《自然人授权委托书》，《自然人授权委托书》应当按本格式要求签字并由自然人在签名处加盖食指指印</w:t>
      </w:r>
      <w:r>
        <w:rPr>
          <w:rFonts w:ascii="宋体" w:hAnsi="宋体" w:cs="宋体" w:hint="eastAsia"/>
          <w:color w:val="auto"/>
          <w:szCs w:val="21"/>
          <w:highlight w:val="none"/>
          <w:lang w:bidi="ar"/>
        </w:rPr>
        <w:t>。</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tabs>
          <w:tab w:val="left" w:pos="312"/>
        </w:tabs>
        <w:topLinePunct/>
        <w:autoSpaceDE w:val="0"/>
        <w:autoSpaceDN w:val="0"/>
        <w:adjustRightInd w:val="0"/>
        <w:snapToGrid w:val="0"/>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 xml:space="preserve">格式9  </w:t>
      </w:r>
      <w:r>
        <w:rPr>
          <w:rFonts w:ascii="宋体" w:hAnsi="宋体" w:cs="宋体" w:hint="eastAsia"/>
          <w:b/>
          <w:bCs/>
          <w:color w:val="auto"/>
          <w:sz w:val="28"/>
          <w:szCs w:val="28"/>
          <w:highlight w:val="none"/>
          <w:lang w:bidi="ar"/>
        </w:rPr>
        <w:t>投标函</w:t>
      </w:r>
    </w:p>
    <w:p>
      <w:pPr>
        <w:spacing w:line="360" w:lineRule="auto"/>
        <w:rPr>
          <w:color w:val="auto"/>
          <w:highlight w:val="none"/>
        </w:rPr>
      </w:pPr>
      <w:r>
        <w:rPr>
          <w:rFonts w:cs="宋体" w:hint="eastAsia"/>
          <w:color w:val="auto"/>
          <w:highlight w:val="none"/>
          <w:lang w:bidi="ar"/>
        </w:rPr>
        <w:t>致</w:t>
      </w:r>
      <w:r>
        <w:rPr>
          <w:color w:val="auto"/>
          <w:highlight w:val="none"/>
          <w:lang w:bidi="ar"/>
        </w:rPr>
        <w:t>________</w:t>
      </w:r>
      <w:r>
        <w:rPr>
          <w:rFonts w:cs="宋体" w:hint="eastAsia"/>
          <w:color w:val="auto"/>
          <w:highlight w:val="none"/>
          <w:lang w:bidi="ar"/>
        </w:rPr>
        <w:t>（采购人）：</w:t>
      </w:r>
    </w:p>
    <w:p>
      <w:pPr>
        <w:spacing w:line="360" w:lineRule="auto"/>
        <w:ind w:firstLine="420" w:firstLineChars="200"/>
        <w:rPr>
          <w:color w:val="auto"/>
          <w:highlight w:val="none"/>
        </w:rPr>
      </w:pPr>
      <w:r>
        <w:rPr>
          <w:rFonts w:cs="宋体" w:hint="eastAsia"/>
          <w:color w:val="auto"/>
          <w:highlight w:val="none"/>
          <w:lang w:bidi="ar"/>
        </w:rPr>
        <w:t>根据</w:t>
      </w:r>
      <w:r>
        <w:rPr>
          <w:color w:val="auto"/>
          <w:highlight w:val="none"/>
          <w:lang w:bidi="ar"/>
        </w:rPr>
        <w:t>______</w:t>
      </w:r>
      <w:r>
        <w:rPr>
          <w:rFonts w:cs="宋体" w:hint="eastAsia"/>
          <w:color w:val="auto"/>
          <w:highlight w:val="none"/>
          <w:lang w:bidi="ar"/>
        </w:rPr>
        <w:t>（项目名称）（项目编号：</w:t>
      </w:r>
      <w:r>
        <w:rPr>
          <w:color w:val="auto"/>
          <w:highlight w:val="none"/>
          <w:lang w:bidi="ar"/>
        </w:rPr>
        <w:t>______</w:t>
      </w:r>
      <w:r>
        <w:rPr>
          <w:rFonts w:cs="宋体" w:hint="eastAsia"/>
          <w:color w:val="auto"/>
          <w:highlight w:val="none"/>
          <w:lang w:bidi="ar"/>
        </w:rPr>
        <w:t>）的招标公告，</w:t>
      </w:r>
      <w:r>
        <w:rPr>
          <w:color w:val="auto"/>
          <w:highlight w:val="none"/>
          <w:lang w:bidi="ar"/>
        </w:rPr>
        <w:t>______</w:t>
      </w:r>
      <w:r>
        <w:rPr>
          <w:rFonts w:cs="宋体" w:hint="eastAsia"/>
          <w:color w:val="auto"/>
          <w:highlight w:val="none"/>
          <w:lang w:bidi="ar"/>
        </w:rPr>
        <w:t>（姓名、职务）代表投标人</w:t>
      </w:r>
      <w:r>
        <w:rPr>
          <w:color w:val="auto"/>
          <w:highlight w:val="none"/>
          <w:lang w:bidi="ar"/>
        </w:rPr>
        <w:t>______</w:t>
      </w:r>
      <w:r>
        <w:rPr>
          <w:rFonts w:cs="宋体" w:hint="eastAsia"/>
          <w:color w:val="auto"/>
          <w:highlight w:val="none"/>
          <w:lang w:bidi="ar"/>
        </w:rPr>
        <w:t>（投标人名称、地址）参加项目招标的有关活动。据此函，作如下承诺：</w:t>
      </w:r>
    </w:p>
    <w:p>
      <w:pPr>
        <w:spacing w:line="360" w:lineRule="auto"/>
        <w:ind w:firstLine="420" w:firstLineChars="200"/>
        <w:rPr>
          <w:color w:val="auto"/>
          <w:highlight w:val="none"/>
        </w:rPr>
      </w:pPr>
      <w:r>
        <w:rPr>
          <w:color w:val="auto"/>
          <w:highlight w:val="none"/>
          <w:lang w:bidi="ar"/>
        </w:rPr>
        <w:t>1.</w:t>
      </w:r>
      <w:r>
        <w:rPr>
          <w:rFonts w:cs="宋体" w:hint="eastAsia"/>
          <w:color w:val="auto"/>
          <w:highlight w:val="none"/>
          <w:lang w:bidi="ar"/>
        </w:rPr>
        <w:t>同意在本项目招标文件中规定的开标日起</w:t>
      </w:r>
      <w:r>
        <w:rPr>
          <w:color w:val="auto"/>
          <w:highlight w:val="none"/>
          <w:u w:val="single"/>
          <w:lang w:bidi="ar"/>
        </w:rPr>
        <w:t xml:space="preserve">    </w:t>
      </w:r>
      <w:r>
        <w:rPr>
          <w:rFonts w:cs="宋体" w:hint="eastAsia"/>
          <w:color w:val="auto"/>
          <w:highlight w:val="none"/>
          <w:lang w:bidi="ar"/>
        </w:rPr>
        <w:t>天遵守本投标文件中的承诺，且在期满之前均具有约束力。</w:t>
      </w:r>
    </w:p>
    <w:p>
      <w:pPr>
        <w:spacing w:line="360" w:lineRule="auto"/>
        <w:ind w:firstLine="420" w:firstLineChars="200"/>
        <w:rPr>
          <w:color w:val="auto"/>
          <w:highlight w:val="none"/>
        </w:rPr>
      </w:pPr>
      <w:r>
        <w:rPr>
          <w:color w:val="auto"/>
          <w:highlight w:val="none"/>
          <w:lang w:bidi="ar"/>
        </w:rPr>
        <w:t>2.</w:t>
      </w:r>
      <w:r>
        <w:rPr>
          <w:rFonts w:cs="宋体" w:hint="eastAsia"/>
          <w:color w:val="auto"/>
          <w:highlight w:val="none"/>
          <w:lang w:bidi="ar"/>
        </w:rPr>
        <w:t>具备政府采购相关法律法规规定的参加政府采购活动的供应商应当具备的条件：</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1</w:t>
      </w:r>
      <w:r>
        <w:rPr>
          <w:rFonts w:cs="宋体" w:hint="eastAsia"/>
          <w:color w:val="auto"/>
          <w:highlight w:val="none"/>
          <w:lang w:bidi="ar"/>
        </w:rPr>
        <w:t>）具有独立承担民事责任的能力；</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2</w:t>
      </w:r>
      <w:r>
        <w:rPr>
          <w:rFonts w:cs="宋体" w:hint="eastAsia"/>
          <w:color w:val="auto"/>
          <w:highlight w:val="none"/>
          <w:lang w:bidi="ar"/>
        </w:rPr>
        <w:t>）具有良好的商业信誉和健全的财务会计制度；</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3</w:t>
      </w:r>
      <w:r>
        <w:rPr>
          <w:rFonts w:cs="宋体" w:hint="eastAsia"/>
          <w:color w:val="auto"/>
          <w:highlight w:val="none"/>
          <w:lang w:bidi="ar"/>
        </w:rPr>
        <w:t>）具有履行合同所必需的设备和专业技术能力；</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4</w:t>
      </w:r>
      <w:r>
        <w:rPr>
          <w:rFonts w:cs="宋体" w:hint="eastAsia"/>
          <w:color w:val="auto"/>
          <w:highlight w:val="none"/>
          <w:lang w:bidi="ar"/>
        </w:rPr>
        <w:t>）有依法缴纳税收和社会保障资金的良好记录；</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5</w:t>
      </w:r>
      <w:r>
        <w:rPr>
          <w:rFonts w:cs="宋体" w:hint="eastAsia"/>
          <w:color w:val="auto"/>
          <w:highlight w:val="none"/>
          <w:lang w:bidi="ar"/>
        </w:rPr>
        <w:t>）参加此项采购活动前三年内，在经营活动中没有重大违法记录。</w:t>
      </w:r>
    </w:p>
    <w:p>
      <w:pPr>
        <w:spacing w:line="360" w:lineRule="auto"/>
        <w:ind w:firstLine="420" w:firstLineChars="200"/>
        <w:rPr>
          <w:color w:val="auto"/>
          <w:highlight w:val="none"/>
        </w:rPr>
      </w:pPr>
      <w:r>
        <w:rPr>
          <w:rFonts w:cs="宋体" w:hint="eastAsia"/>
          <w:color w:val="auto"/>
          <w:highlight w:val="none"/>
          <w:lang w:bidi="ar"/>
        </w:rPr>
        <w:t>（</w:t>
      </w:r>
      <w:r>
        <w:rPr>
          <w:color w:val="auto"/>
          <w:highlight w:val="none"/>
          <w:lang w:bidi="ar"/>
        </w:rPr>
        <w:t>6</w:t>
      </w:r>
      <w:r>
        <w:rPr>
          <w:rFonts w:cs="宋体" w:hint="eastAsia"/>
          <w:color w:val="auto"/>
          <w:highlight w:val="none"/>
          <w:lang w:bidi="ar"/>
        </w:rPr>
        <w:t>）法律、行政法规规定的其他条件。</w:t>
      </w:r>
      <w:r>
        <w:rPr>
          <w:color w:val="auto"/>
          <w:highlight w:val="none"/>
          <w:lang w:bidi="ar"/>
        </w:rPr>
        <w:t xml:space="preserve"> </w:t>
      </w:r>
    </w:p>
    <w:p>
      <w:pPr>
        <w:spacing w:line="360" w:lineRule="auto"/>
        <w:ind w:firstLine="420" w:firstLineChars="200"/>
        <w:rPr>
          <w:color w:val="auto"/>
          <w:highlight w:val="none"/>
        </w:rPr>
      </w:pPr>
      <w:r>
        <w:rPr>
          <w:color w:val="auto"/>
          <w:highlight w:val="none"/>
          <w:lang w:bidi="ar"/>
        </w:rPr>
        <w:t>3.</w:t>
      </w:r>
      <w:r>
        <w:rPr>
          <w:rFonts w:cs="宋体" w:hint="eastAsia"/>
          <w:color w:val="auto"/>
          <w:highlight w:val="none"/>
          <w:lang w:bidi="ar"/>
        </w:rPr>
        <w:t>具备本项目招标文件中规定的其他要求和资质条件。</w:t>
      </w:r>
    </w:p>
    <w:p>
      <w:pPr>
        <w:spacing w:line="360" w:lineRule="auto"/>
        <w:ind w:firstLine="420" w:firstLineChars="200"/>
        <w:rPr>
          <w:color w:val="auto"/>
          <w:highlight w:val="none"/>
        </w:rPr>
      </w:pPr>
      <w:r>
        <w:rPr>
          <w:color w:val="auto"/>
          <w:highlight w:val="none"/>
          <w:lang w:bidi="ar"/>
        </w:rPr>
        <w:t>4.</w:t>
      </w:r>
      <w:r>
        <w:rPr>
          <w:rFonts w:cs="宋体" w:hint="eastAsia"/>
          <w:color w:val="auto"/>
          <w:highlight w:val="none"/>
          <w:lang w:bidi="ar"/>
        </w:rPr>
        <w:t>提供投标人须知规定的全部投标文件。</w:t>
      </w:r>
    </w:p>
    <w:p>
      <w:pPr>
        <w:spacing w:line="360" w:lineRule="auto"/>
        <w:ind w:firstLine="420" w:firstLineChars="200"/>
        <w:rPr>
          <w:color w:val="auto"/>
          <w:highlight w:val="none"/>
        </w:rPr>
      </w:pPr>
      <w:r>
        <w:rPr>
          <w:color w:val="auto"/>
          <w:highlight w:val="none"/>
          <w:lang w:bidi="ar"/>
        </w:rPr>
        <w:t>5.</w:t>
      </w:r>
      <w:r>
        <w:rPr>
          <w:rFonts w:cs="宋体" w:hint="eastAsia"/>
          <w:color w:val="auto"/>
          <w:highlight w:val="none"/>
          <w:lang w:bidi="ar"/>
        </w:rPr>
        <w:t>已详细审阅全部招标文件（包括招标文件澄清函），理解投标人须知的所有条款。</w:t>
      </w:r>
    </w:p>
    <w:p>
      <w:pPr>
        <w:spacing w:line="360" w:lineRule="auto"/>
        <w:ind w:firstLine="420" w:firstLineChars="200"/>
        <w:rPr>
          <w:color w:val="auto"/>
          <w:highlight w:val="none"/>
        </w:rPr>
      </w:pPr>
      <w:r>
        <w:rPr>
          <w:color w:val="auto"/>
          <w:highlight w:val="none"/>
          <w:lang w:bidi="ar"/>
        </w:rPr>
        <w:t>6.</w:t>
      </w:r>
      <w:r>
        <w:rPr>
          <w:rFonts w:cs="宋体" w:hint="eastAsia"/>
          <w:color w:val="auto"/>
          <w:highlight w:val="none"/>
          <w:lang w:bidi="ar"/>
        </w:rPr>
        <w:t>完全理解贵方“最低报价不能作为中标的保证”的规定。</w:t>
      </w:r>
    </w:p>
    <w:p>
      <w:pPr>
        <w:spacing w:line="360" w:lineRule="auto"/>
        <w:ind w:firstLine="420" w:firstLineChars="200"/>
        <w:rPr>
          <w:color w:val="auto"/>
          <w:highlight w:val="none"/>
        </w:rPr>
      </w:pPr>
      <w:r>
        <w:rPr>
          <w:color w:val="auto"/>
          <w:highlight w:val="none"/>
          <w:lang w:bidi="ar"/>
        </w:rPr>
        <w:t>7.</w:t>
      </w:r>
      <w:r>
        <w:rPr>
          <w:rFonts w:cs="宋体" w:hint="eastAsia"/>
          <w:color w:val="auto"/>
          <w:highlight w:val="none"/>
          <w:lang w:bidi="ar"/>
        </w:rPr>
        <w:t>接受招标文件中全部合同条款，且无任何异议；保证忠实地执行双方所签订的合同，并承担合同规定的责任和义务。</w:t>
      </w:r>
    </w:p>
    <w:p>
      <w:pPr>
        <w:spacing w:line="360" w:lineRule="auto"/>
        <w:ind w:firstLine="420" w:firstLineChars="200"/>
        <w:rPr>
          <w:color w:val="auto"/>
          <w:highlight w:val="none"/>
        </w:rPr>
      </w:pPr>
      <w:r>
        <w:rPr>
          <w:color w:val="auto"/>
          <w:highlight w:val="none"/>
          <w:lang w:bidi="ar"/>
        </w:rPr>
        <w:t>8.</w:t>
      </w:r>
      <w:r>
        <w:rPr>
          <w:rFonts w:cs="宋体" w:hint="eastAsia"/>
          <w:color w:val="auto"/>
          <w:highlight w:val="none"/>
          <w:lang w:bidi="ar"/>
        </w:rPr>
        <w:t>完全满足和响应招标文件中的各项商务和技术要求，若有偏差，已在投标文件中明确说明。</w:t>
      </w:r>
    </w:p>
    <w:p>
      <w:pPr>
        <w:spacing w:line="360" w:lineRule="auto"/>
        <w:ind w:firstLine="420" w:firstLineChars="200"/>
        <w:rPr>
          <w:color w:val="auto"/>
          <w:highlight w:val="none"/>
        </w:rPr>
      </w:pPr>
      <w:r>
        <w:rPr>
          <w:color w:val="auto"/>
          <w:highlight w:val="none"/>
          <w:lang w:bidi="ar"/>
        </w:rPr>
        <w:t>9.</w:t>
      </w:r>
      <w:r>
        <w:rPr>
          <w:rFonts w:cs="宋体" w:hint="eastAsia"/>
          <w:color w:val="auto"/>
          <w:highlight w:val="none"/>
          <w:lang w:bidi="ar"/>
        </w:rPr>
        <w:t>愿意提供任何与投标有关的数据、情况和技术资料等。若贵方需要，愿意提供一切证明材料。</w:t>
      </w:r>
    </w:p>
    <w:p>
      <w:pPr>
        <w:spacing w:line="360" w:lineRule="auto"/>
        <w:ind w:firstLine="420" w:firstLineChars="200"/>
        <w:rPr>
          <w:color w:val="auto"/>
          <w:highlight w:val="none"/>
        </w:rPr>
      </w:pPr>
      <w:r>
        <w:rPr>
          <w:color w:val="auto"/>
          <w:highlight w:val="none"/>
          <w:lang w:bidi="ar"/>
        </w:rPr>
        <w:t>10.</w:t>
      </w:r>
      <w:r>
        <w:rPr>
          <w:rFonts w:cs="宋体" w:hint="eastAsia"/>
          <w:color w:val="auto"/>
          <w:highlight w:val="none"/>
          <w:lang w:bidi="ar"/>
        </w:rPr>
        <w:t>我方已详细审核全部投标文件、参考资料及有关附件，确认无误。</w:t>
      </w:r>
    </w:p>
    <w:p>
      <w:pPr>
        <w:spacing w:line="360" w:lineRule="auto"/>
        <w:ind w:firstLine="420" w:firstLineChars="200"/>
        <w:rPr>
          <w:color w:val="auto"/>
          <w:highlight w:val="none"/>
        </w:rPr>
      </w:pPr>
      <w:r>
        <w:rPr>
          <w:color w:val="auto"/>
          <w:highlight w:val="none"/>
          <w:lang w:bidi="ar"/>
        </w:rPr>
        <w:t>11.</w:t>
      </w:r>
      <w:r>
        <w:rPr>
          <w:rFonts w:cs="宋体" w:hint="eastAsia"/>
          <w:color w:val="auto"/>
          <w:highlight w:val="none"/>
          <w:lang w:bidi="ar"/>
        </w:rPr>
        <w:t>对本次招标内容及与本项目有关的知识产权、技术资料、商业秘密及相关信息保密。</w:t>
      </w:r>
    </w:p>
    <w:p>
      <w:pPr>
        <w:spacing w:line="360" w:lineRule="auto"/>
        <w:ind w:firstLine="420" w:firstLineChars="200"/>
        <w:rPr>
          <w:color w:val="auto"/>
          <w:highlight w:val="none"/>
        </w:rPr>
      </w:pPr>
      <w:r>
        <w:rPr>
          <w:color w:val="auto"/>
          <w:highlight w:val="none"/>
          <w:lang w:bidi="ar"/>
        </w:rPr>
        <w:t>12.</w:t>
      </w:r>
      <w:r>
        <w:rPr>
          <w:rFonts w:cs="宋体" w:hint="eastAsia"/>
          <w:color w:val="auto"/>
          <w:highlight w:val="none"/>
          <w:lang w:bidi="ar"/>
        </w:rPr>
        <w:t>已知悉并承诺遵守《税务系统信息化服务商失信行为记录名单制度</w:t>
      </w:r>
      <w:r>
        <w:rPr>
          <w:color w:val="auto"/>
          <w:highlight w:val="none"/>
          <w:lang w:bidi="ar"/>
        </w:rPr>
        <w:t>(</w:t>
      </w:r>
      <w:r>
        <w:rPr>
          <w:rFonts w:cs="宋体" w:hint="eastAsia"/>
          <w:color w:val="auto"/>
          <w:highlight w:val="none"/>
          <w:lang w:bidi="ar"/>
        </w:rPr>
        <w:t>试行</w:t>
      </w:r>
      <w:r>
        <w:rPr>
          <w:color w:val="auto"/>
          <w:highlight w:val="none"/>
          <w:lang w:bidi="ar"/>
        </w:rPr>
        <w:t xml:space="preserve">) </w:t>
      </w:r>
      <w:r>
        <w:rPr>
          <w:rFonts w:cs="宋体" w:hint="eastAsia"/>
          <w:color w:val="auto"/>
          <w:highlight w:val="none"/>
          <w:lang w:bidi="ar"/>
        </w:rPr>
        <w:t>》关于失信行为进行记录和结果应用的相关规定，及对于违反网络安全规定行为造成不良后果、“围猎”税务人员、违法违规聘用离职税务人员、国家税务总局发票电子化改革领导小组办公室认定的失信行为，</w:t>
      </w:r>
      <w:r>
        <w:rPr>
          <w:color w:val="auto"/>
          <w:highlight w:val="none"/>
          <w:lang w:bidi="ar"/>
        </w:rPr>
        <w:t>3</w:t>
      </w:r>
      <w:r>
        <w:rPr>
          <w:rFonts w:cs="宋体" w:hint="eastAsia"/>
          <w:color w:val="auto"/>
          <w:highlight w:val="none"/>
          <w:lang w:bidi="ar"/>
        </w:rPr>
        <w:t>年内限制参加税务系统政府采购活动的相关规定。</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cs="宋体" w:hint="eastAsia"/>
          <w:color w:val="auto"/>
          <w:highlight w:val="none"/>
          <w:lang w:bidi="ar"/>
        </w:rPr>
        <w:t>投标人名称（电子签章）：</w:t>
      </w:r>
      <w:r>
        <w:rPr>
          <w:color w:val="auto"/>
          <w:highlight w:val="none"/>
          <w:lang w:bidi="ar"/>
        </w:rPr>
        <w:t>______________________________</w:t>
      </w:r>
    </w:p>
    <w:p>
      <w:pPr>
        <w:spacing w:line="360" w:lineRule="auto"/>
        <w:ind w:firstLine="420" w:firstLineChars="200"/>
        <w:rPr>
          <w:color w:val="auto"/>
          <w:highlight w:val="none"/>
        </w:rPr>
      </w:pPr>
      <w:r>
        <w:rPr>
          <w:rFonts w:cs="宋体" w:hint="eastAsia"/>
          <w:color w:val="auto"/>
          <w:highlight w:val="none"/>
        </w:rPr>
        <w:t>法定代表人（签字）</w:t>
      </w:r>
      <w:r>
        <w:rPr>
          <w:color w:val="auto"/>
          <w:highlight w:val="none"/>
        </w:rPr>
        <w:t>/</w:t>
      </w:r>
      <w:r>
        <w:rPr>
          <w:rFonts w:cs="宋体" w:hint="eastAsia"/>
          <w:color w:val="auto"/>
          <w:highlight w:val="none"/>
        </w:rPr>
        <w:t>被授权投标代表（签字）：</w:t>
      </w:r>
      <w:r>
        <w:rPr>
          <w:color w:val="auto"/>
          <w:highlight w:val="none"/>
        </w:rPr>
        <w:t>____________</w:t>
      </w:r>
    </w:p>
    <w:p>
      <w:pPr>
        <w:spacing w:line="360" w:lineRule="auto"/>
        <w:ind w:firstLine="420" w:firstLineChars="200"/>
        <w:rPr>
          <w:color w:val="auto"/>
          <w:highlight w:val="none"/>
        </w:rPr>
      </w:pPr>
      <w:r>
        <w:rPr>
          <w:rFonts w:cs="宋体" w:hint="eastAsia"/>
          <w:color w:val="auto"/>
          <w:highlight w:val="none"/>
          <w:lang w:bidi="ar"/>
        </w:rPr>
        <w:t>投标人地址：</w:t>
      </w:r>
      <w:r>
        <w:rPr>
          <w:color w:val="auto"/>
          <w:highlight w:val="none"/>
          <w:lang w:bidi="ar"/>
        </w:rPr>
        <w:t>_________________________________________</w:t>
      </w:r>
    </w:p>
    <w:p>
      <w:pPr>
        <w:spacing w:line="360" w:lineRule="auto"/>
        <w:ind w:firstLine="420" w:firstLineChars="200"/>
        <w:rPr>
          <w:color w:val="auto"/>
          <w:highlight w:val="none"/>
        </w:rPr>
      </w:pPr>
      <w:r>
        <w:rPr>
          <w:rFonts w:cs="宋体" w:hint="eastAsia"/>
          <w:color w:val="auto"/>
          <w:highlight w:val="none"/>
          <w:lang w:bidi="ar"/>
        </w:rPr>
        <w:t>邮编：</w:t>
      </w:r>
      <w:r>
        <w:rPr>
          <w:color w:val="auto"/>
          <w:highlight w:val="none"/>
          <w:lang w:bidi="ar"/>
        </w:rPr>
        <w:t>_______________________________________________</w:t>
      </w:r>
    </w:p>
    <w:p>
      <w:pPr>
        <w:spacing w:line="360" w:lineRule="auto"/>
        <w:ind w:firstLine="420" w:firstLineChars="200"/>
        <w:rPr>
          <w:color w:val="auto"/>
          <w:highlight w:val="none"/>
        </w:rPr>
      </w:pPr>
      <w:r>
        <w:rPr>
          <w:rFonts w:cs="宋体" w:hint="eastAsia"/>
          <w:color w:val="auto"/>
          <w:highlight w:val="none"/>
          <w:lang w:bidi="ar"/>
        </w:rPr>
        <w:t>电话：</w:t>
      </w:r>
      <w:r>
        <w:rPr>
          <w:color w:val="auto"/>
          <w:highlight w:val="none"/>
          <w:lang w:bidi="ar"/>
        </w:rPr>
        <w:t>_______________________________________________</w:t>
      </w:r>
    </w:p>
    <w:p>
      <w:pPr>
        <w:spacing w:line="360" w:lineRule="auto"/>
        <w:ind w:firstLine="420" w:firstLineChars="200"/>
        <w:rPr>
          <w:color w:val="auto"/>
          <w:highlight w:val="none"/>
        </w:rPr>
      </w:pPr>
      <w:r>
        <w:rPr>
          <w:rFonts w:cs="宋体" w:hint="eastAsia"/>
          <w:color w:val="auto"/>
          <w:highlight w:val="none"/>
          <w:lang w:bidi="ar"/>
        </w:rPr>
        <w:t>传真：</w:t>
      </w:r>
      <w:r>
        <w:rPr>
          <w:color w:val="auto"/>
          <w:highlight w:val="none"/>
          <w:lang w:bidi="ar"/>
        </w:rPr>
        <w:t>_______________________________________________</w:t>
      </w:r>
    </w:p>
    <w:p>
      <w:pPr>
        <w:spacing w:line="360" w:lineRule="auto"/>
        <w:ind w:firstLine="420" w:firstLineChars="200"/>
        <w:rPr>
          <w:color w:val="auto"/>
          <w:highlight w:val="none"/>
        </w:rPr>
      </w:pPr>
      <w:r>
        <w:rPr>
          <w:rFonts w:cs="宋体" w:hint="eastAsia"/>
          <w:color w:val="auto"/>
          <w:highlight w:val="none"/>
          <w:lang w:bidi="ar"/>
        </w:rPr>
        <w:t>日期：</w:t>
      </w:r>
      <w:r>
        <w:rPr>
          <w:color w:val="auto"/>
          <w:highlight w:val="none"/>
          <w:lang w:bidi="ar"/>
        </w:rPr>
        <w:t>_______________________________________________</w:t>
      </w:r>
    </w:p>
    <w:p>
      <w:pPr>
        <w:spacing w:line="360" w:lineRule="auto"/>
        <w:ind w:firstLine="420" w:firstLineChars="200"/>
        <w:rPr>
          <w:color w:val="auto"/>
          <w:highlight w:val="none"/>
        </w:rPr>
      </w:pPr>
    </w:p>
    <w:p>
      <w:pPr>
        <w:ind w:firstLine="480" w:firstLineChars="200"/>
        <w:rPr>
          <w:rFonts w:eastAsia="Times New Roman" w:hAnsi="宋体" w:cs="宋体"/>
          <w:color w:val="auto"/>
          <w:sz w:val="24"/>
          <w:highlight w:val="none"/>
        </w:rPr>
      </w:pPr>
    </w:p>
    <w:p>
      <w:pPr>
        <w:adjustRightInd w:val="0"/>
        <w:snapToGrid w:val="0"/>
        <w:spacing w:line="360" w:lineRule="auto"/>
        <w:rPr>
          <w:rFonts w:ascii="宋体" w:hAnsi="宋体" w:cs="宋体"/>
          <w:color w:val="auto"/>
          <w:highlight w:val="none"/>
        </w:rPr>
      </w:pPr>
      <w:r>
        <w:rPr>
          <w:rFonts w:ascii="宋体" w:hAnsi="宋体" w:cs="宋体" w:hint="eastAsia"/>
          <w:color w:val="auto"/>
          <w:highlight w:val="none"/>
          <w:lang w:bidi="ar"/>
        </w:rPr>
        <w:t>特别说明：</w:t>
      </w:r>
    </w:p>
    <w:p>
      <w:pPr>
        <w:adjustRightInd w:val="0"/>
        <w:snapToGrid w:val="0"/>
        <w:spacing w:line="360" w:lineRule="auto"/>
        <w:ind w:firstLine="420" w:firstLineChars="200"/>
        <w:rPr>
          <w:rFonts w:ascii="宋体" w:hAnsi="宋体" w:cs="宋体"/>
          <w:color w:val="auto"/>
          <w:szCs w:val="21"/>
          <w:highlight w:val="none"/>
          <w:lang w:bidi="ar"/>
        </w:rPr>
      </w:pPr>
      <w:r>
        <w:rPr>
          <w:rFonts w:ascii="宋体" w:hAnsi="宋体" w:cs="宋体" w:hint="eastAsia"/>
          <w:color w:val="auto"/>
          <w:szCs w:val="21"/>
          <w:highlight w:val="none"/>
          <w:lang w:bidi="ar"/>
        </w:rPr>
        <w:t>投标人应当按上述格式要求加盖与投标人名称全称一致的标准公章，并签署法定代表人或</w:t>
      </w:r>
      <w:r>
        <w:rPr>
          <w:rFonts w:ascii="宋体" w:hAnsi="宋体" w:cs="宋体" w:hint="eastAsia"/>
          <w:bCs/>
          <w:color w:val="auto"/>
          <w:szCs w:val="21"/>
          <w:highlight w:val="none"/>
          <w:lang w:bidi="ar"/>
        </w:rPr>
        <w:t>被授权投标代表</w:t>
      </w:r>
      <w:r>
        <w:rPr>
          <w:rFonts w:ascii="宋体" w:hAnsi="宋体" w:cs="宋体" w:hint="eastAsia"/>
          <w:color w:val="auto"/>
          <w:szCs w:val="21"/>
          <w:highlight w:val="none"/>
          <w:lang w:bidi="ar"/>
        </w:rPr>
        <w:t>的全名，线上采购项目应上传扫描件。</w:t>
      </w:r>
    </w:p>
    <w:p>
      <w:pPr>
        <w:widowControl/>
        <w:jc w:val="left"/>
        <w:rPr>
          <w:rFonts w:ascii="宋体" w:hAnsi="宋体" w:cs="宋体"/>
          <w:color w:val="auto"/>
          <w:szCs w:val="21"/>
          <w:highlight w:val="none"/>
          <w:lang w:bidi="ar"/>
        </w:rPr>
      </w:pPr>
      <w:r>
        <w:rPr>
          <w:rFonts w:ascii="宋体" w:hAnsi="宋体" w:cs="宋体"/>
          <w:color w:val="auto"/>
          <w:szCs w:val="21"/>
          <w:highlight w:val="none"/>
          <w:lang w:bidi="ar"/>
        </w:rPr>
        <w:br w:type="page"/>
      </w:r>
    </w:p>
    <w:p>
      <w:pPr>
        <w:widowControl/>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格式10  商务条款偏离表</w:t>
      </w:r>
    </w:p>
    <w:tbl>
      <w:tblPr>
        <w:tblStyle w:val="TableNormal"/>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75"/>
        <w:gridCol w:w="1798"/>
        <w:gridCol w:w="1545"/>
        <w:gridCol w:w="1530"/>
        <w:gridCol w:w="1515"/>
        <w:gridCol w:w="1285"/>
      </w:tblGrid>
      <w:tr>
        <w:tblPrEx>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798"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招标文件条目号</w:t>
            </w:r>
          </w:p>
        </w:tc>
        <w:tc>
          <w:tcPr>
            <w:tcW w:w="154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3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投标文件</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商务条款</w:t>
            </w:r>
          </w:p>
        </w:tc>
        <w:tc>
          <w:tcPr>
            <w:tcW w:w="151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偏离</w:t>
            </w:r>
          </w:p>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（无/正/负）</w:t>
            </w:r>
          </w:p>
        </w:tc>
        <w:tc>
          <w:tcPr>
            <w:tcW w:w="128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b/>
                <w:color w:val="auto"/>
                <w:szCs w:val="21"/>
                <w:highlight w:val="none"/>
              </w:rPr>
            </w:pPr>
            <w:r>
              <w:rPr>
                <w:rFonts w:ascii="Times New Roman" w:hAnsi="Times New Roman"/>
                <w:b/>
                <w:color w:val="auto"/>
                <w:szCs w:val="21"/>
                <w:highlight w:val="none"/>
              </w:rPr>
              <w:t>说明</w:t>
            </w: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r>
        <w:tblPrEx>
          <w:tblW w:w="8748" w:type="dxa"/>
          <w:jc w:val="center"/>
          <w:tblLayout w:type="fixed"/>
          <w:tblCellMar>
            <w:top w:w="0" w:type="dxa"/>
            <w:left w:w="108" w:type="dxa"/>
            <w:bottom w:w="0" w:type="dxa"/>
            <w:right w:w="108" w:type="dxa"/>
          </w:tblCellMar>
        </w:tblPrEx>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spacing w:before="62" w:beforeLines="20" w:after="4"/>
              <w:jc w:val="center"/>
              <w:rPr>
                <w:rFonts w:ascii="Times New Roman" w:hAnsi="Times New Roman"/>
                <w:color w:val="auto"/>
                <w:szCs w:val="21"/>
                <w:highlight w:val="none"/>
              </w:rPr>
            </w:pPr>
            <w:r>
              <w:rPr>
                <w:rFonts w:ascii="Times New Roman" w:hAnsi="Times New Roman"/>
                <w:color w:val="auto"/>
                <w:szCs w:val="21"/>
                <w:highlight w:val="none"/>
              </w:rPr>
              <w:t>……</w:t>
            </w:r>
          </w:p>
        </w:tc>
        <w:tc>
          <w:tcPr>
            <w:tcW w:w="1798"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c>
          <w:tcPr>
            <w:tcW w:w="1285" w:type="dxa"/>
            <w:tcBorders>
              <w:top w:val="single" w:sz="4" w:space="0" w:color="auto"/>
              <w:left w:val="single" w:sz="4" w:space="0" w:color="auto"/>
              <w:bottom w:val="single" w:sz="4" w:space="0" w:color="auto"/>
              <w:right w:val="single" w:sz="4" w:space="0" w:color="auto"/>
            </w:tcBorders>
            <w:noWrap/>
          </w:tcPr>
          <w:p>
            <w:pPr>
              <w:topLinePunct/>
              <w:autoSpaceDE w:val="0"/>
              <w:autoSpaceDN w:val="0"/>
              <w:spacing w:before="62" w:beforeLines="20" w:after="312"/>
              <w:jc w:val="center"/>
              <w:rPr>
                <w:rFonts w:ascii="Times New Roman" w:hAnsi="Times New Roman"/>
                <w:b/>
                <w:bCs/>
                <w:color w:val="auto"/>
                <w:szCs w:val="21"/>
                <w:highlight w:val="none"/>
              </w:rPr>
            </w:pPr>
          </w:p>
        </w:tc>
      </w:tr>
    </w:tbl>
    <w:p>
      <w:pPr>
        <w:topLinePunct/>
        <w:autoSpaceDE w:val="0"/>
        <w:autoSpaceDN w:val="0"/>
        <w:spacing w:line="360" w:lineRule="auto"/>
        <w:rPr>
          <w:rFonts w:ascii="Times New Roman" w:hAnsi="Times New Roman"/>
          <w:color w:val="auto"/>
          <w:highlight w:val="none"/>
        </w:rPr>
      </w:pPr>
      <w:r>
        <w:rPr>
          <w:rFonts w:ascii="Times New Roman" w:hAnsi="Times New Roman"/>
          <w:color w:val="auto"/>
          <w:szCs w:val="21"/>
          <w:highlight w:val="none"/>
        </w:rPr>
        <w:t>特别说明：</w:t>
      </w:r>
    </w:p>
    <w:p>
      <w:pPr>
        <w:spacing w:line="360" w:lineRule="auto"/>
        <w:ind w:firstLine="420" w:firstLineChars="200"/>
        <w:rPr>
          <w:b/>
          <w:color w:val="auto"/>
          <w:highlight w:val="none"/>
        </w:rPr>
      </w:pPr>
      <w:r>
        <w:rPr>
          <w:rFonts w:hint="eastAsia"/>
          <w:b/>
          <w:color w:val="auto"/>
          <w:highlight w:val="none"/>
        </w:rPr>
        <w:t>1.投标人应按招标文件《第六章　项目采购需求》中的商务要求，结合自身投标情况对商务条款逐条响应，未逐条响应的视为投标无效。</w:t>
      </w:r>
    </w:p>
    <w:p>
      <w:pPr>
        <w:spacing w:line="360" w:lineRule="auto"/>
        <w:ind w:firstLine="420" w:firstLineChars="200"/>
        <w:rPr>
          <w:color w:val="auto"/>
          <w:highlight w:val="none"/>
        </w:rPr>
      </w:pPr>
      <w:r>
        <w:rPr>
          <w:rFonts w:hint="eastAsia"/>
          <w:color w:val="auto"/>
          <w:highlight w:val="none"/>
        </w:rPr>
        <w:t>2.投标文件响应的商务内容完全响应招标文件要求的，投标人应注明“无偏离”；不满足或不响应招标文件要求的，应注明“负偏离”；优于招标文件要求的，应注明“正偏离”。</w:t>
      </w:r>
    </w:p>
    <w:p>
      <w:pPr>
        <w:spacing w:line="360" w:lineRule="auto"/>
        <w:ind w:firstLine="420" w:firstLineChars="200"/>
        <w:rPr>
          <w:color w:val="auto"/>
          <w:highlight w:val="none"/>
        </w:rPr>
      </w:pPr>
      <w:r>
        <w:rPr>
          <w:color w:val="auto"/>
          <w:highlight w:val="none"/>
        </w:rPr>
        <w:t>3.本表可扩展。</w:t>
      </w:r>
    </w:p>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投标人</w:t>
      </w:r>
      <w:r>
        <w:rPr>
          <w:rFonts w:ascii="宋体" w:hAnsi="宋体"/>
          <w:color w:val="auto"/>
          <w:kern w:val="0"/>
          <w:szCs w:val="21"/>
          <w:highlight w:val="none"/>
        </w:rPr>
        <w:t>（全称并加盖</w:t>
      </w:r>
      <w:r>
        <w:rPr>
          <w:rFonts w:ascii="宋体" w:hAnsi="宋体" w:hint="eastAsia"/>
          <w:color w:val="auto"/>
          <w:kern w:val="0"/>
          <w:szCs w:val="21"/>
          <w:highlight w:val="none"/>
        </w:rPr>
        <w:t>电子签章</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hint="eastAsia"/>
          <w:color w:val="auto"/>
          <w:kern w:val="0"/>
          <w:szCs w:val="21"/>
          <w:highlight w:val="none"/>
        </w:rPr>
        <w:t>日期：</w:t>
      </w:r>
      <w:r>
        <w:rPr>
          <w:rFonts w:ascii="宋体" w:hAnsi="宋体" w:cs="宋体" w:hint="eastAsia"/>
          <w:color w:val="auto"/>
          <w:szCs w:val="21"/>
          <w:highlight w:val="none"/>
          <w:u w:val="single"/>
        </w:rPr>
        <w:t xml:space="preserve">                                        </w:t>
      </w:r>
    </w:p>
    <w:p>
      <w:pPr>
        <w:widowControl/>
        <w:jc w:val="left"/>
        <w:rPr>
          <w:rFonts w:ascii="Times New Roman" w:hAnsi="Times New Roman" w:eastAsiaTheme="minorEastAsia" w:cstheme="minorBidi"/>
          <w:b/>
          <w:bCs/>
          <w:color w:val="auto"/>
          <w:sz w:val="28"/>
          <w:szCs w:val="28"/>
          <w:highlight w:val="none"/>
        </w:rPr>
      </w:pPr>
      <w:r>
        <w:rPr>
          <w:rFonts w:ascii="Times New Roman" w:hAnsi="Times New Roman" w:eastAsiaTheme="minorEastAsia" w:cstheme="minorBidi"/>
          <w:b/>
          <w:bCs/>
          <w:color w:val="auto"/>
          <w:sz w:val="28"/>
          <w:szCs w:val="28"/>
          <w:highlight w:val="none"/>
        </w:rPr>
        <w:br w:type="page"/>
      </w:r>
    </w:p>
    <w:p>
      <w:pPr>
        <w:adjustRightInd w:val="0"/>
        <w:snapToGrid w:val="0"/>
        <w:spacing w:line="360" w:lineRule="auto"/>
        <w:jc w:val="center"/>
        <w:rPr>
          <w:rFonts w:ascii="宋体" w:hAnsi="宋体" w:eastAsiaTheme="minorEastAsia" w:cs="宋体"/>
          <w:b/>
          <w:bCs/>
          <w:color w:val="auto"/>
          <w:sz w:val="28"/>
          <w:szCs w:val="28"/>
          <w:highlight w:val="none"/>
          <w:lang w:bidi="ar"/>
        </w:rPr>
      </w:pPr>
      <w:r>
        <w:rPr>
          <w:rFonts w:ascii="Times New Roman" w:hAnsi="Times New Roman" w:eastAsiaTheme="minorEastAsia" w:cstheme="minorBidi"/>
          <w:b/>
          <w:bCs/>
          <w:color w:val="auto"/>
          <w:sz w:val="28"/>
          <w:szCs w:val="28"/>
          <w:highlight w:val="none"/>
        </w:rPr>
        <w:t>格式</w:t>
      </w:r>
      <w:r>
        <w:rPr>
          <w:rFonts w:ascii="Times New Roman" w:hAnsi="Times New Roman" w:eastAsiaTheme="minorEastAsia" w:cstheme="minorBidi" w:hint="eastAsia"/>
          <w:b/>
          <w:bCs/>
          <w:color w:val="auto"/>
          <w:sz w:val="28"/>
          <w:szCs w:val="28"/>
          <w:highlight w:val="none"/>
        </w:rPr>
        <w:t>11</w:t>
      </w:r>
      <w:r>
        <w:rPr>
          <w:rFonts w:ascii="Times New Roman" w:hAnsi="Times New Roman" w:eastAsiaTheme="minorEastAsia" w:cstheme="minorBidi"/>
          <w:b/>
          <w:bCs/>
          <w:color w:val="auto"/>
          <w:sz w:val="28"/>
          <w:szCs w:val="28"/>
          <w:highlight w:val="none"/>
        </w:rPr>
        <w:t xml:space="preserve">  </w:t>
      </w:r>
      <w:r>
        <w:rPr>
          <w:rFonts w:ascii="宋体" w:hAnsi="宋体" w:eastAsiaTheme="minorEastAsia" w:cs="宋体" w:hint="eastAsia"/>
          <w:b/>
          <w:bCs/>
          <w:color w:val="auto"/>
          <w:sz w:val="28"/>
          <w:szCs w:val="28"/>
          <w:highlight w:val="none"/>
          <w:lang w:bidi="ar"/>
        </w:rPr>
        <w:t>中小企业声明函</w:t>
      </w:r>
    </w:p>
    <w:p>
      <w:pPr>
        <w:widowControl/>
        <w:jc w:val="center"/>
        <w:rPr>
          <w:rFonts w:ascii="宋体" w:hAnsi="宋体" w:cs="宋体"/>
          <w:b/>
          <w:bCs/>
          <w:color w:val="auto"/>
          <w:sz w:val="28"/>
          <w:szCs w:val="28"/>
          <w:highlight w:val="none"/>
        </w:rPr>
      </w:pPr>
      <w:r>
        <w:rPr>
          <w:rFonts w:ascii="宋体" w:hAnsi="宋体" w:cs="宋体" w:hint="eastAsia"/>
          <w:b/>
          <w:bCs/>
          <w:color w:val="auto"/>
          <w:sz w:val="28"/>
          <w:szCs w:val="28"/>
          <w:highlight w:val="none"/>
          <w:lang w:bidi="ar"/>
        </w:rPr>
        <w:t>中小企业声明函（服务）</w:t>
      </w:r>
    </w:p>
    <w:p>
      <w:pPr>
        <w:widowControl/>
        <w:spacing w:line="360" w:lineRule="auto"/>
        <w:ind w:firstLine="480" w:firstLineChars="200"/>
        <w:jc w:val="left"/>
        <w:rPr>
          <w:rFonts w:ascii="宋体" w:hAnsi="宋体" w:cs="宋体"/>
          <w:color w:val="auto"/>
          <w:kern w:val="0"/>
          <w:sz w:val="24"/>
          <w:highlight w:val="none"/>
        </w:rPr>
      </w:pP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本公司（联合体）郑重声明，根据《政府采购促进中小企业发展管理办法》（财库﹝</w:t>
      </w:r>
      <w:r>
        <w:rPr>
          <w:rFonts w:ascii="Times New Roman" w:hAnsi="Times New Roman" w:cs="Times New Roman"/>
          <w:color w:val="auto"/>
          <w:kern w:val="2"/>
          <w:sz w:val="21"/>
          <w:szCs w:val="21"/>
          <w:highlight w:val="none"/>
          <w:lang w:bidi="ar"/>
        </w:rPr>
        <w:t>2020</w:t>
      </w:r>
      <w:r>
        <w:rPr>
          <w:rFonts w:ascii="Times New Roman" w:hAnsi="Times New Roman" w:cs="Times New Roman" w:hint="eastAsia"/>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46 </w:t>
      </w:r>
      <w:r>
        <w:rPr>
          <w:rFonts w:ascii="Times New Roman" w:hAnsi="Times New Roman" w:cs="Times New Roman" w:hint="eastAsia"/>
          <w:color w:val="auto"/>
          <w:kern w:val="2"/>
          <w:sz w:val="21"/>
          <w:szCs w:val="21"/>
          <w:highlight w:val="none"/>
          <w:lang w:bidi="ar"/>
        </w:rPr>
        <w:t>号）的规定，本公司（联合体）参加</w:t>
      </w:r>
      <w:r>
        <w:rPr>
          <w:rFonts w:ascii="Times New Roman" w:hAnsi="Times New Roman" w:cs="Times New Roman" w:hint="eastAsia"/>
          <w:color w:val="auto"/>
          <w:kern w:val="2"/>
          <w:sz w:val="21"/>
          <w:szCs w:val="21"/>
          <w:highlight w:val="none"/>
          <w:u w:val="single"/>
          <w:lang w:bidi="ar"/>
        </w:rPr>
        <w:t>国家税务总局柳州市税务局2025-2026年物业管理服务项目</w:t>
      </w:r>
      <w:r>
        <w:rPr>
          <w:rFonts w:ascii="Times New Roman" w:hAnsi="Times New Roman" w:cs="Times New Roman" w:hint="eastAsia"/>
          <w:color w:val="auto"/>
          <w:kern w:val="2"/>
          <w:sz w:val="21"/>
          <w:szCs w:val="21"/>
          <w:highlight w:val="none"/>
          <w:lang w:bidi="ar"/>
        </w:rPr>
        <w:t>采购活动，服务全部由符合政策要求的中小企业承接。相关企业（含联合体中的中小企业、签订分包意向协议的中小企业）的具体情况如下：</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color w:val="auto"/>
          <w:kern w:val="2"/>
          <w:sz w:val="21"/>
          <w:szCs w:val="21"/>
          <w:highlight w:val="none"/>
          <w:lang w:bidi="ar"/>
        </w:rPr>
        <w:t>1.</w:t>
      </w:r>
      <w:r>
        <w:rPr>
          <w:rFonts w:hint="eastAsia"/>
          <w:color w:val="auto"/>
          <w:highlight w:val="none"/>
        </w:rPr>
        <w:t xml:space="preserve"> </w:t>
      </w:r>
      <w:r>
        <w:rPr>
          <w:rFonts w:ascii="Times New Roman" w:hAnsi="Times New Roman" w:cs="Times New Roman" w:hint="eastAsia"/>
          <w:color w:val="auto"/>
          <w:kern w:val="2"/>
          <w:sz w:val="21"/>
          <w:szCs w:val="21"/>
          <w:highlight w:val="none"/>
          <w:u w:val="single"/>
          <w:lang w:bidi="ar"/>
        </w:rPr>
        <w:t>国家税务总局柳州市税务局2025-2026年物业管理服务项目</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color w:val="auto"/>
          <w:kern w:val="2"/>
          <w:sz w:val="21"/>
          <w:szCs w:val="21"/>
          <w:highlight w:val="none"/>
          <w:u w:val="single"/>
          <w:lang w:bidi="ar"/>
        </w:rPr>
        <w:t xml:space="preserve"> </w:t>
      </w:r>
      <w:r>
        <w:rPr>
          <w:rFonts w:ascii="Times New Roman" w:hAnsi="Times New Roman" w:cs="Times New Roman" w:hint="eastAsia"/>
          <w:iCs/>
          <w:color w:val="auto"/>
          <w:kern w:val="2"/>
          <w:sz w:val="21"/>
          <w:szCs w:val="21"/>
          <w:highlight w:val="none"/>
          <w:u w:val="single"/>
          <w:lang w:bidi="ar"/>
        </w:rPr>
        <w:t xml:space="preserve">物业管理 </w:t>
      </w:r>
      <w:r>
        <w:rPr>
          <w:rFonts w:ascii="Times New Roman" w:hAnsi="Times New Roman" w:cs="Times New Roman" w:hint="eastAsia"/>
          <w:color w:val="auto"/>
          <w:kern w:val="2"/>
          <w:sz w:val="21"/>
          <w:szCs w:val="21"/>
          <w:highlight w:val="none"/>
          <w:lang w:bidi="ar"/>
        </w:rPr>
        <w:t>；承建（承接）企业为</w:t>
      </w:r>
      <w:r>
        <w:rPr>
          <w:rFonts w:ascii="Times New Roman" w:hAnsi="Times New Roman" w:cs="Times New Roman" w:hint="eastAsia"/>
          <w:i/>
          <w:iCs/>
          <w:color w:val="auto"/>
          <w:kern w:val="2"/>
          <w:sz w:val="21"/>
          <w:szCs w:val="21"/>
          <w:highlight w:val="none"/>
          <w:u w:val="single"/>
          <w:lang w:bidi="ar"/>
        </w:rPr>
        <w:t>（企业名称）</w:t>
      </w:r>
      <w:r>
        <w:rPr>
          <w:rFonts w:ascii="Times New Roman" w:hAnsi="Times New Roman" w:cs="Times New Roman" w:hint="eastAsia"/>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i/>
          <w:iCs/>
          <w:color w:val="auto"/>
          <w:kern w:val="2"/>
          <w:sz w:val="21"/>
          <w:szCs w:val="21"/>
          <w:highlight w:val="none"/>
          <w:u w:val="single"/>
          <w:lang w:bidi="ar"/>
        </w:rPr>
        <w:t>（中型企业、小型企业、微型企业）</w:t>
      </w:r>
      <w:r>
        <w:rPr>
          <w:rFonts w:ascii="Times New Roman" w:hAnsi="Times New Roman" w:cs="Times New Roman" w:hint="eastAsia"/>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hint="eastAsia"/>
          <w:color w:val="auto"/>
          <w:kern w:val="2"/>
          <w:sz w:val="21"/>
          <w:szCs w:val="21"/>
          <w:highlight w:val="none"/>
          <w:lang w:bidi="ar"/>
        </w:rPr>
        <w:t>2</w:t>
      </w:r>
      <w:r>
        <w:rPr>
          <w:rFonts w:ascii="Times New Roman" w:hAnsi="Times New Roman" w:cs="Times New Roman"/>
          <w:color w:val="auto"/>
          <w:kern w:val="2"/>
          <w:sz w:val="21"/>
          <w:szCs w:val="21"/>
          <w:highlight w:val="none"/>
          <w:lang w:bidi="ar"/>
        </w:rPr>
        <w:t>.</w:t>
      </w:r>
      <w:r>
        <w:rPr>
          <w:rFonts w:ascii="Times New Roman" w:hAnsi="Times New Roman" w:cs="Times New Roman" w:hint="eastAsia"/>
          <w:iCs/>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color w:val="auto"/>
          <w:kern w:val="2"/>
          <w:sz w:val="21"/>
          <w:szCs w:val="21"/>
          <w:highlight w:val="none"/>
          <w:u w:val="single"/>
          <w:lang w:bidi="ar"/>
        </w:rPr>
        <w:t xml:space="preserve"> </w:t>
      </w:r>
      <w:r>
        <w:rPr>
          <w:rFonts w:ascii="Times New Roman" w:hAnsi="Times New Roman" w:cs="Times New Roman" w:hint="eastAsia"/>
          <w:iCs/>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；承建（承接）企业为</w:t>
      </w:r>
      <w:r>
        <w:rPr>
          <w:rFonts w:ascii="Times New Roman" w:hAnsi="Times New Roman" w:cs="Times New Roman" w:hint="eastAsia"/>
          <w:i/>
          <w:iCs/>
          <w:color w:val="auto"/>
          <w:kern w:val="2"/>
          <w:sz w:val="21"/>
          <w:szCs w:val="21"/>
          <w:highlight w:val="none"/>
          <w:u w:val="single"/>
          <w:lang w:bidi="ar"/>
        </w:rPr>
        <w:t>（企业名称）</w:t>
      </w:r>
      <w:r>
        <w:rPr>
          <w:rFonts w:ascii="Times New Roman" w:hAnsi="Times New Roman" w:cs="Times New Roman" w:hint="eastAsia"/>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i/>
          <w:iCs/>
          <w:color w:val="auto"/>
          <w:kern w:val="2"/>
          <w:sz w:val="21"/>
          <w:szCs w:val="21"/>
          <w:highlight w:val="none"/>
          <w:u w:val="single"/>
          <w:lang w:bidi="ar"/>
        </w:rPr>
        <w:t>（中型企业、小型企业、微型企业）</w:t>
      </w:r>
      <w:r>
        <w:rPr>
          <w:rFonts w:ascii="Times New Roman" w:hAnsi="Times New Roman" w:cs="Times New Roman" w:hint="eastAsia"/>
          <w:color w:val="auto"/>
          <w:kern w:val="2"/>
          <w:sz w:val="21"/>
          <w:szCs w:val="21"/>
          <w:highlight w:val="none"/>
          <w:lang w:bidi="ar"/>
        </w:rPr>
        <w:t>；</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color w:val="auto"/>
          <w:kern w:val="2"/>
          <w:sz w:val="21"/>
          <w:szCs w:val="21"/>
          <w:highlight w:val="none"/>
          <w:lang w:bidi="ar"/>
        </w:rPr>
        <w:t>……</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以上企业，不属于大企业的分支机构，不存在控股股东为大企业的情形，也不存在与大企业的负责人为同一人的情形。</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本企业对上述声明内容的真实性负责。如有虚假，将依法承担相应责任。</w:t>
      </w:r>
      <w:r>
        <w:rPr>
          <w:rFonts w:ascii="Times New Roman" w:hAnsi="Times New Roman" w:cs="Times New Roman"/>
          <w:color w:val="auto"/>
          <w:kern w:val="2"/>
          <w:sz w:val="21"/>
          <w:szCs w:val="21"/>
          <w:highlight w:val="none"/>
          <w:lang w:bidi="ar"/>
        </w:rPr>
        <w:t xml:space="preserve"> </w:t>
      </w:r>
    </w:p>
    <w:p>
      <w:pPr>
        <w:widowControl/>
        <w:spacing w:line="360" w:lineRule="auto"/>
        <w:ind w:firstLine="420" w:firstLineChars="200"/>
        <w:jc w:val="left"/>
        <w:rPr>
          <w:rFonts w:ascii="Times New Roman" w:hAnsi="Times New Roman"/>
          <w:color w:val="auto"/>
          <w:szCs w:val="21"/>
          <w:highlight w:val="none"/>
        </w:rPr>
      </w:pPr>
    </w:p>
    <w:p>
      <w:pPr>
        <w:widowControl/>
        <w:spacing w:line="360" w:lineRule="auto"/>
        <w:ind w:firstLine="1680" w:firstLineChars="8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投标人</w:t>
      </w:r>
      <w:r>
        <w:rPr>
          <w:rFonts w:ascii="Times New Roman" w:hAnsi="Times New Roman" w:cs="宋体" w:hint="eastAsia"/>
          <w:color w:val="auto"/>
          <w:kern w:val="0"/>
          <w:szCs w:val="21"/>
          <w:highlight w:val="none"/>
          <w:lang w:bidi="ar"/>
        </w:rPr>
        <w:t>（全称并加盖电子签章</w:t>
      </w:r>
      <w:r>
        <w:rPr>
          <w:rFonts w:ascii="Times New Roman" w:hAnsi="Times New Roman" w:cs="宋体" w:hint="eastAsia"/>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日期：</w:t>
      </w:r>
      <w:r>
        <w:rPr>
          <w:rFonts w:ascii="Times New Roman" w:hAnsi="Times New Roman"/>
          <w:color w:val="auto"/>
          <w:szCs w:val="21"/>
          <w:highlight w:val="none"/>
          <w:u w:val="single"/>
          <w:lang w:bidi="ar"/>
        </w:rPr>
        <w:t xml:space="preserve">                                 </w:t>
      </w:r>
    </w:p>
    <w:p>
      <w:pPr>
        <w:widowControl/>
        <w:ind w:firstLine="3120" w:firstLineChars="1300"/>
        <w:rPr>
          <w:rFonts w:ascii="宋体" w:hAnsi="宋体" w:cs="宋体"/>
          <w:color w:val="auto"/>
          <w:sz w:val="24"/>
          <w:highlight w:val="none"/>
        </w:rPr>
      </w:pPr>
    </w:p>
    <w:p>
      <w:pPr>
        <w:widowControl/>
        <w:rPr>
          <w:color w:val="auto"/>
          <w:highlight w:val="none"/>
        </w:rPr>
      </w:pPr>
    </w:p>
    <w:p>
      <w:pPr>
        <w:widowControl/>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lang w:bidi="ar"/>
        </w:rPr>
        <w:t>1 从业人员、营业收入、资产总额填报上一年度数据，无上一年度数据的新成立企业可不填报。</w:t>
      </w:r>
    </w:p>
    <w:p>
      <w:pPr>
        <w:rPr>
          <w:rFonts w:ascii="宋体" w:hAnsi="宋体" w:cs="宋体" w:hint="eastAsia"/>
          <w:b/>
          <w:bCs/>
          <w:color w:val="auto"/>
          <w:sz w:val="28"/>
          <w:szCs w:val="28"/>
          <w:highlight w:val="none"/>
          <w:lang w:bidi="ar"/>
        </w:rPr>
      </w:pPr>
      <w:r>
        <w:rPr>
          <w:rFonts w:ascii="宋体" w:hAnsi="宋体" w:cs="宋体" w:hint="eastAsia"/>
          <w:b/>
          <w:bCs/>
          <w:color w:val="auto"/>
          <w:sz w:val="28"/>
          <w:szCs w:val="28"/>
          <w:highlight w:val="none"/>
          <w:lang w:bidi="ar"/>
        </w:rPr>
        <w:br w:type="page"/>
      </w:r>
    </w:p>
    <w:p>
      <w:pPr>
        <w:widowControl/>
        <w:jc w:val="center"/>
        <w:rPr>
          <w:rFonts w:ascii="宋体" w:hAnsi="宋体" w:cs="宋体"/>
          <w:b/>
          <w:bCs/>
          <w:color w:val="auto"/>
          <w:sz w:val="28"/>
          <w:szCs w:val="28"/>
          <w:highlight w:val="none"/>
        </w:rPr>
      </w:pPr>
      <w:r>
        <w:rPr>
          <w:rFonts w:ascii="宋体" w:hAnsi="宋体" w:cs="宋体" w:hint="eastAsia"/>
          <w:b/>
          <w:bCs/>
          <w:color w:val="auto"/>
          <w:sz w:val="28"/>
          <w:szCs w:val="28"/>
          <w:highlight w:val="none"/>
          <w:lang w:bidi="ar"/>
        </w:rPr>
        <w:t>中小企业声明函（例如分包“电梯运行维护”的填写举例）</w:t>
      </w:r>
    </w:p>
    <w:p>
      <w:pPr>
        <w:widowControl/>
        <w:spacing w:line="360" w:lineRule="auto"/>
        <w:ind w:firstLine="480" w:firstLineChars="200"/>
        <w:jc w:val="left"/>
        <w:rPr>
          <w:rFonts w:ascii="宋体" w:hAnsi="宋体" w:cs="宋体"/>
          <w:color w:val="auto"/>
          <w:kern w:val="0"/>
          <w:sz w:val="24"/>
          <w:highlight w:val="none"/>
        </w:rPr>
      </w:pP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本公司（联合体）郑重声明，根据《政府采购促进中小企业发展管理办法》（财库﹝</w:t>
      </w:r>
      <w:r>
        <w:rPr>
          <w:rFonts w:ascii="Times New Roman" w:hAnsi="Times New Roman" w:cs="Times New Roman"/>
          <w:color w:val="auto"/>
          <w:kern w:val="2"/>
          <w:sz w:val="21"/>
          <w:szCs w:val="21"/>
          <w:highlight w:val="none"/>
          <w:lang w:bidi="ar"/>
        </w:rPr>
        <w:t>2020</w:t>
      </w:r>
      <w:r>
        <w:rPr>
          <w:rFonts w:ascii="Times New Roman" w:hAnsi="Times New Roman" w:cs="Times New Roman" w:hint="eastAsia"/>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46 </w:t>
      </w:r>
      <w:r>
        <w:rPr>
          <w:rFonts w:ascii="Times New Roman" w:hAnsi="Times New Roman" w:cs="Times New Roman" w:hint="eastAsia"/>
          <w:color w:val="auto"/>
          <w:kern w:val="2"/>
          <w:sz w:val="21"/>
          <w:szCs w:val="21"/>
          <w:highlight w:val="none"/>
          <w:lang w:bidi="ar"/>
        </w:rPr>
        <w:t>号）的规定，本公司（联合体）参加</w:t>
      </w:r>
      <w:r>
        <w:rPr>
          <w:rFonts w:ascii="Times New Roman" w:hAnsi="Times New Roman" w:cs="Times New Roman" w:hint="eastAsia"/>
          <w:color w:val="auto"/>
          <w:kern w:val="2"/>
          <w:sz w:val="21"/>
          <w:szCs w:val="21"/>
          <w:highlight w:val="none"/>
          <w:u w:val="single"/>
          <w:lang w:bidi="ar"/>
        </w:rPr>
        <w:t>国家税务总局柳州市税务局2025-2026年物业管理服务项目</w:t>
      </w:r>
      <w:r>
        <w:rPr>
          <w:rFonts w:ascii="Times New Roman" w:hAnsi="Times New Roman" w:cs="Times New Roman" w:hint="eastAsia"/>
          <w:color w:val="auto"/>
          <w:kern w:val="2"/>
          <w:sz w:val="21"/>
          <w:szCs w:val="21"/>
          <w:highlight w:val="none"/>
          <w:lang w:bidi="ar"/>
        </w:rPr>
        <w:t>采购活动，服务全部由符合政策要求的中小企业承接。相关企业（含联合体中的中小企业、签订分包意向协议的中小企业）的具体情况如下：</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color w:val="auto"/>
          <w:kern w:val="2"/>
          <w:sz w:val="21"/>
          <w:szCs w:val="21"/>
          <w:highlight w:val="none"/>
          <w:lang w:bidi="ar"/>
        </w:rPr>
        <w:t>1.</w:t>
      </w:r>
      <w:r>
        <w:rPr>
          <w:rFonts w:hint="eastAsia"/>
          <w:color w:val="auto"/>
          <w:highlight w:val="none"/>
        </w:rPr>
        <w:t xml:space="preserve"> </w:t>
      </w:r>
      <w:r>
        <w:rPr>
          <w:rFonts w:hint="eastAsia"/>
          <w:color w:val="auto"/>
          <w:sz w:val="22"/>
          <w:szCs w:val="22"/>
          <w:highlight w:val="none"/>
          <w:u w:val="single"/>
        </w:rPr>
        <w:t>国家税务总局柳州市税务局2025-2026年物业管理服务项目</w:t>
      </w:r>
      <w:r>
        <w:rPr>
          <w:rFonts w:ascii="Times New Roman" w:hAnsi="Times New Roman" w:cs="Times New Roman" w:hint="eastAsia"/>
          <w:b/>
          <w:iCs/>
          <w:color w:val="auto"/>
          <w:kern w:val="2"/>
          <w:sz w:val="22"/>
          <w:szCs w:val="21"/>
          <w:highlight w:val="none"/>
          <w:u w:val="single"/>
          <w:lang w:bidi="ar"/>
        </w:rPr>
        <w:t>的电梯运行维护</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color w:val="auto"/>
          <w:kern w:val="2"/>
          <w:sz w:val="21"/>
          <w:szCs w:val="21"/>
          <w:highlight w:val="none"/>
          <w:u w:val="single"/>
          <w:lang w:bidi="ar"/>
        </w:rPr>
        <w:t xml:space="preserve"> </w:t>
      </w:r>
      <w:r>
        <w:rPr>
          <w:rFonts w:ascii="Times New Roman" w:hAnsi="Times New Roman" w:cs="Times New Roman" w:hint="eastAsia"/>
          <w:iCs/>
          <w:color w:val="auto"/>
          <w:kern w:val="2"/>
          <w:sz w:val="21"/>
          <w:szCs w:val="21"/>
          <w:highlight w:val="none"/>
          <w:u w:val="single"/>
          <w:lang w:bidi="ar"/>
        </w:rPr>
        <w:t xml:space="preserve">物业管理 </w:t>
      </w:r>
      <w:r>
        <w:rPr>
          <w:rFonts w:ascii="Times New Roman" w:hAnsi="Times New Roman" w:cs="Times New Roman" w:hint="eastAsia"/>
          <w:color w:val="auto"/>
          <w:kern w:val="2"/>
          <w:sz w:val="21"/>
          <w:szCs w:val="21"/>
          <w:highlight w:val="none"/>
          <w:lang w:bidi="ar"/>
        </w:rPr>
        <w:t>；承建（承接）企业为</w:t>
      </w:r>
      <w:r>
        <w:rPr>
          <w:rFonts w:ascii="Times New Roman" w:hAnsi="Times New Roman" w:cs="Times New Roman" w:hint="eastAsia"/>
          <w:i/>
          <w:iCs/>
          <w:color w:val="auto"/>
          <w:kern w:val="2"/>
          <w:sz w:val="21"/>
          <w:szCs w:val="21"/>
          <w:highlight w:val="none"/>
          <w:u w:val="single"/>
          <w:lang w:bidi="ar"/>
        </w:rPr>
        <w:t>（企业名称）</w:t>
      </w:r>
      <w:r>
        <w:rPr>
          <w:rFonts w:ascii="Times New Roman" w:hAnsi="Times New Roman" w:cs="Times New Roman" w:hint="eastAsia"/>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i/>
          <w:iCs/>
          <w:color w:val="auto"/>
          <w:kern w:val="2"/>
          <w:sz w:val="21"/>
          <w:szCs w:val="21"/>
          <w:highlight w:val="none"/>
          <w:u w:val="single"/>
          <w:lang w:bidi="ar"/>
        </w:rPr>
        <w:t>（中型企业、小型企业、微型企业）</w:t>
      </w:r>
      <w:r>
        <w:rPr>
          <w:rFonts w:ascii="Times New Roman" w:hAnsi="Times New Roman" w:cs="Times New Roman" w:hint="eastAsia"/>
          <w:color w:val="auto"/>
          <w:kern w:val="2"/>
          <w:sz w:val="21"/>
          <w:szCs w:val="21"/>
          <w:highlight w:val="none"/>
          <w:lang w:bidi="ar"/>
        </w:rPr>
        <w:t>；</w:t>
      </w:r>
      <w:r>
        <w:rPr>
          <w:rFonts w:ascii="Times New Roman" w:hAnsi="Times New Roman" w:cs="Times New Roman"/>
          <w:color w:val="auto"/>
          <w:kern w:val="2"/>
          <w:sz w:val="21"/>
          <w:szCs w:val="21"/>
          <w:highlight w:val="none"/>
          <w:lang w:bidi="ar"/>
        </w:rPr>
        <w:t xml:space="preserve">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hint="eastAsia"/>
          <w:color w:val="auto"/>
          <w:kern w:val="2"/>
          <w:sz w:val="21"/>
          <w:szCs w:val="21"/>
          <w:highlight w:val="none"/>
          <w:lang w:bidi="ar"/>
        </w:rPr>
        <w:t>2</w:t>
      </w:r>
      <w:r>
        <w:rPr>
          <w:rFonts w:ascii="Times New Roman" w:hAnsi="Times New Roman" w:cs="Times New Roman"/>
          <w:color w:val="auto"/>
          <w:kern w:val="2"/>
          <w:sz w:val="21"/>
          <w:szCs w:val="21"/>
          <w:highlight w:val="none"/>
          <w:lang w:bidi="ar"/>
        </w:rPr>
        <w:t>.</w:t>
      </w:r>
      <w:r>
        <w:rPr>
          <w:rFonts w:ascii="Times New Roman" w:hAnsi="Times New Roman" w:cs="Times New Roman" w:hint="eastAsia"/>
          <w:iCs/>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color w:val="auto"/>
          <w:kern w:val="2"/>
          <w:sz w:val="21"/>
          <w:szCs w:val="21"/>
          <w:highlight w:val="none"/>
          <w:u w:val="single"/>
          <w:lang w:bidi="ar"/>
        </w:rPr>
        <w:t xml:space="preserve"> </w:t>
      </w:r>
      <w:r>
        <w:rPr>
          <w:rFonts w:ascii="Times New Roman" w:hAnsi="Times New Roman" w:cs="Times New Roman" w:hint="eastAsia"/>
          <w:iCs/>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；承建（承接）企业为</w:t>
      </w:r>
      <w:r>
        <w:rPr>
          <w:rFonts w:ascii="Times New Roman" w:hAnsi="Times New Roman" w:cs="Times New Roman" w:hint="eastAsia"/>
          <w:i/>
          <w:iCs/>
          <w:color w:val="auto"/>
          <w:kern w:val="2"/>
          <w:sz w:val="21"/>
          <w:szCs w:val="21"/>
          <w:highlight w:val="none"/>
          <w:u w:val="single"/>
          <w:lang w:bidi="ar"/>
        </w:rPr>
        <w:t>（企业名称）</w:t>
      </w:r>
      <w:r>
        <w:rPr>
          <w:rFonts w:ascii="Times New Roman" w:hAnsi="Times New Roman" w:cs="Times New Roman" w:hint="eastAsia"/>
          <w:color w:val="auto"/>
          <w:kern w:val="2"/>
          <w:sz w:val="21"/>
          <w:szCs w:val="21"/>
          <w:highlight w:val="none"/>
          <w:lang w:bidi="ar"/>
        </w:rPr>
        <w:t>，从业人员</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人，营业收入为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万元，资产总额为</w:t>
      </w:r>
      <w:r>
        <w:rPr>
          <w:rFonts w:ascii="Times New Roman" w:hAnsi="Times New Roman" w:cs="Times New Roman"/>
          <w:color w:val="auto"/>
          <w:kern w:val="2"/>
          <w:sz w:val="21"/>
          <w:szCs w:val="21"/>
          <w:highlight w:val="none"/>
          <w:u w:val="single"/>
          <w:lang w:bidi="ar"/>
        </w:rPr>
        <w:tab/>
      </w:r>
      <w:r>
        <w:rPr>
          <w:rFonts w:ascii="Times New Roman" w:hAnsi="Times New Roman" w:cs="Times New Roman"/>
          <w:color w:val="auto"/>
          <w:kern w:val="2"/>
          <w:sz w:val="21"/>
          <w:szCs w:val="21"/>
          <w:highlight w:val="none"/>
          <w:u w:val="single"/>
          <w:lang w:bidi="ar"/>
        </w:rPr>
        <w:t xml:space="preserve">   </w:t>
      </w:r>
      <w:r>
        <w:rPr>
          <w:rFonts w:ascii="Times New Roman" w:hAnsi="Times New Roman" w:cs="Times New Roman" w:hint="eastAsia"/>
          <w:color w:val="auto"/>
          <w:kern w:val="2"/>
          <w:sz w:val="21"/>
          <w:szCs w:val="21"/>
          <w:highlight w:val="none"/>
          <w:lang w:bidi="ar"/>
        </w:rPr>
        <w:t>万元</w:t>
      </w:r>
      <w:r>
        <w:rPr>
          <w:rFonts w:ascii="Times New Roman" w:hAnsi="Times New Roman" w:cs="Times New Roman"/>
          <w:color w:val="auto"/>
          <w:kern w:val="2"/>
          <w:sz w:val="21"/>
          <w:szCs w:val="21"/>
          <w:highlight w:val="none"/>
          <w:vertAlign w:val="superscript"/>
          <w:lang w:bidi="ar"/>
        </w:rPr>
        <w:t>1</w:t>
      </w:r>
      <w:r>
        <w:rPr>
          <w:rFonts w:ascii="Times New Roman" w:hAnsi="Times New Roman" w:cs="Times New Roman" w:hint="eastAsia"/>
          <w:color w:val="auto"/>
          <w:kern w:val="2"/>
          <w:sz w:val="21"/>
          <w:szCs w:val="21"/>
          <w:highlight w:val="none"/>
          <w:lang w:bidi="ar"/>
        </w:rPr>
        <w:t>，属于</w:t>
      </w:r>
      <w:r>
        <w:rPr>
          <w:rFonts w:ascii="Times New Roman" w:hAnsi="Times New Roman" w:cs="Times New Roman" w:hint="eastAsia"/>
          <w:i/>
          <w:iCs/>
          <w:color w:val="auto"/>
          <w:kern w:val="2"/>
          <w:sz w:val="21"/>
          <w:szCs w:val="21"/>
          <w:highlight w:val="none"/>
          <w:u w:val="single"/>
          <w:lang w:bidi="ar"/>
        </w:rPr>
        <w:t>（中型企业、小型企业、微型企业）</w:t>
      </w:r>
      <w:r>
        <w:rPr>
          <w:rFonts w:ascii="Times New Roman" w:hAnsi="Times New Roman" w:cs="Times New Roman" w:hint="eastAsia"/>
          <w:color w:val="auto"/>
          <w:kern w:val="2"/>
          <w:sz w:val="21"/>
          <w:szCs w:val="21"/>
          <w:highlight w:val="none"/>
          <w:lang w:bidi="ar"/>
        </w:rPr>
        <w:t>；</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kern w:val="2"/>
          <w:sz w:val="21"/>
          <w:szCs w:val="21"/>
          <w:highlight w:val="none"/>
          <w:lang w:bidi="ar"/>
        </w:rPr>
      </w:pPr>
      <w:r>
        <w:rPr>
          <w:rFonts w:ascii="Times New Roman" w:hAnsi="Times New Roman" w:cs="Times New Roman"/>
          <w:color w:val="auto"/>
          <w:kern w:val="2"/>
          <w:sz w:val="21"/>
          <w:szCs w:val="21"/>
          <w:highlight w:val="none"/>
          <w:lang w:bidi="ar"/>
        </w:rPr>
        <w:t>……</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以上企业，不属于大企业的分支机构，不存在控股股东为大企业的情形，也不存在与大企业的负责人为同一人的情形。</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color w:val="auto"/>
          <w:highlight w:val="none"/>
        </w:rPr>
      </w:pPr>
      <w:r>
        <w:rPr>
          <w:rFonts w:ascii="Times New Roman" w:hAnsi="Times New Roman" w:cs="Times New Roman" w:hint="eastAsia"/>
          <w:color w:val="auto"/>
          <w:kern w:val="2"/>
          <w:sz w:val="21"/>
          <w:szCs w:val="21"/>
          <w:highlight w:val="none"/>
          <w:lang w:bidi="ar"/>
        </w:rPr>
        <w:t>本企业对上述声明内容的真实性负责。如有虚假，将依法承担相应责任。</w:t>
      </w:r>
      <w:r>
        <w:rPr>
          <w:rFonts w:ascii="Times New Roman" w:hAnsi="Times New Roman" w:cs="Times New Roman"/>
          <w:color w:val="auto"/>
          <w:kern w:val="2"/>
          <w:sz w:val="21"/>
          <w:szCs w:val="21"/>
          <w:highlight w:val="none"/>
          <w:lang w:bidi="ar"/>
        </w:rPr>
        <w:t xml:space="preserve"> </w:t>
      </w:r>
    </w:p>
    <w:p>
      <w:pPr>
        <w:widowControl/>
        <w:spacing w:line="360" w:lineRule="auto"/>
        <w:ind w:firstLine="420" w:firstLineChars="200"/>
        <w:jc w:val="left"/>
        <w:rPr>
          <w:rFonts w:ascii="Times New Roman" w:hAnsi="Times New Roman"/>
          <w:color w:val="auto"/>
          <w:szCs w:val="21"/>
          <w:highlight w:val="none"/>
        </w:rPr>
      </w:pPr>
    </w:p>
    <w:p>
      <w:pPr>
        <w:widowControl/>
        <w:spacing w:line="360" w:lineRule="auto"/>
        <w:ind w:firstLine="1680" w:firstLineChars="8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投标人</w:t>
      </w:r>
      <w:r>
        <w:rPr>
          <w:rFonts w:ascii="Times New Roman" w:hAnsi="Times New Roman" w:cs="宋体" w:hint="eastAsia"/>
          <w:color w:val="auto"/>
          <w:kern w:val="0"/>
          <w:szCs w:val="21"/>
          <w:highlight w:val="none"/>
          <w:lang w:bidi="ar"/>
        </w:rPr>
        <w:t>（全称并加盖电子签章</w:t>
      </w:r>
      <w:r>
        <w:rPr>
          <w:rFonts w:ascii="Times New Roman" w:hAnsi="Times New Roman" w:cs="宋体" w:hint="eastAsia"/>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日期：</w:t>
      </w:r>
      <w:r>
        <w:rPr>
          <w:rFonts w:ascii="Times New Roman" w:hAnsi="Times New Roman"/>
          <w:color w:val="auto"/>
          <w:szCs w:val="21"/>
          <w:highlight w:val="none"/>
          <w:u w:val="single"/>
          <w:lang w:bidi="ar"/>
        </w:rPr>
        <w:t xml:space="preserve">                                 </w:t>
      </w:r>
    </w:p>
    <w:p>
      <w:pPr>
        <w:widowControl/>
        <w:ind w:firstLine="3120" w:firstLineChars="1300"/>
        <w:rPr>
          <w:rFonts w:ascii="宋体" w:hAnsi="宋体" w:cs="宋体"/>
          <w:color w:val="auto"/>
          <w:sz w:val="24"/>
          <w:highlight w:val="none"/>
        </w:rPr>
      </w:pPr>
    </w:p>
    <w:p>
      <w:pPr>
        <w:widowControl/>
        <w:rPr>
          <w:color w:val="auto"/>
          <w:highlight w:val="none"/>
        </w:rPr>
      </w:pPr>
    </w:p>
    <w:p>
      <w:pPr>
        <w:widowControl/>
        <w:jc w:val="left"/>
        <w:rPr>
          <w:rFonts w:ascii="宋体" w:hAnsi="宋体" w:cs="宋体"/>
          <w:color w:val="auto"/>
          <w:kern w:val="0"/>
          <w:sz w:val="18"/>
          <w:szCs w:val="18"/>
          <w:highlight w:val="none"/>
        </w:rPr>
      </w:pPr>
      <w:r>
        <w:rPr>
          <w:rFonts w:ascii="宋体" w:hAnsi="宋体" w:cs="宋体" w:hint="eastAsia"/>
          <w:color w:val="auto"/>
          <w:kern w:val="0"/>
          <w:sz w:val="18"/>
          <w:szCs w:val="18"/>
          <w:highlight w:val="none"/>
          <w:lang w:bidi="ar"/>
        </w:rPr>
        <w:t>1 从业人员、营业收入、资产总额填报上一年度数据，无上一年度数据的新成立企业可不填报。</w:t>
      </w:r>
    </w:p>
    <w:p>
      <w:pPr>
        <w:keepNext w:val="0"/>
        <w:keepLines w:val="0"/>
        <w:widowControl/>
        <w:suppressLineNumbers w:val="0"/>
        <w:jc w:val="center"/>
        <w:rPr>
          <w:color w:val="auto"/>
          <w:highlight w:val="none"/>
        </w:rPr>
      </w:pPr>
      <w:r>
        <w:rPr>
          <w:rFonts w:hAnsi="宋体" w:cs="宋体"/>
          <w:color w:val="auto"/>
          <w:szCs w:val="21"/>
          <w:highlight w:val="none"/>
        </w:rPr>
        <w:br w:type="page"/>
      </w:r>
      <w:r>
        <w:rPr>
          <w:rFonts w:ascii="宋体" w:hAnsi="宋体" w:cs="宋体" w:hint="eastAsia"/>
          <w:b/>
          <w:bCs/>
          <w:color w:val="auto"/>
          <w:sz w:val="28"/>
          <w:szCs w:val="28"/>
          <w:highlight w:val="none"/>
          <w:lang w:val="en-US" w:eastAsia="zh-CN" w:bidi="ar"/>
        </w:rPr>
        <w:t>分包意向书格式</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val="en-US" w:eastAsia="zh-CN" w:bidi="ar"/>
        </w:rPr>
      </w:pP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eastAsia"/>
          <w:color w:val="auto"/>
          <w:kern w:val="2"/>
          <w:sz w:val="21"/>
          <w:szCs w:val="21"/>
          <w:highlight w:val="none"/>
          <w:lang w:val="en-US" w:eastAsia="zh-CN" w:bidi="ar"/>
        </w:rPr>
        <w:t xml:space="preserve">如为大中型企业投标，必须预留 35%（含）以上份额分包给一家或多家小微企业，并在分包意向书中承诺满足所分包比例采购服务的相应要求；如投标人自身为小微企业，则在投标文件中提供《中小企业声明函》，且声明为小型或微型企业；投标人为大中型企业，须提供分包意向书以及拟分包小微企业的名称、拟分包的内容（格式自拟），以及《中小企业声明函》，且声明被分包企业为小型或微型企业（由投标人进行声明）。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1.</w:t>
      </w:r>
      <w:r>
        <w:rPr>
          <w:rFonts w:ascii="Times New Roman" w:hAnsi="Times New Roman" w:cs="Times New Roman" w:hint="eastAsia"/>
          <w:color w:val="auto"/>
          <w:kern w:val="2"/>
          <w:sz w:val="21"/>
          <w:szCs w:val="21"/>
          <w:highlight w:val="none"/>
          <w:lang w:val="en-US" w:eastAsia="zh-CN" w:bidi="ar"/>
        </w:rPr>
        <w:t>投标人企业类型：（大型</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中型</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小型</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 xml:space="preserve">微型）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2.</w:t>
      </w:r>
      <w:r>
        <w:rPr>
          <w:rFonts w:ascii="Times New Roman" w:hAnsi="Times New Roman" w:cs="Times New Roman" w:hint="eastAsia"/>
          <w:color w:val="auto"/>
          <w:kern w:val="2"/>
          <w:sz w:val="21"/>
          <w:szCs w:val="21"/>
          <w:highlight w:val="none"/>
          <w:lang w:val="en-US" w:eastAsia="zh-CN" w:bidi="ar"/>
        </w:rPr>
        <w:t xml:space="preserve">拟分包小微企业的名称：（如有）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3.</w:t>
      </w:r>
      <w:r>
        <w:rPr>
          <w:rFonts w:ascii="Times New Roman" w:hAnsi="Times New Roman" w:cs="Times New Roman" w:hint="eastAsia"/>
          <w:color w:val="auto"/>
          <w:kern w:val="2"/>
          <w:sz w:val="21"/>
          <w:szCs w:val="21"/>
          <w:highlight w:val="none"/>
          <w:lang w:val="en-US" w:eastAsia="zh-CN" w:bidi="ar"/>
        </w:rPr>
        <w:t xml:space="preserve">拟分包的内容：（如有）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4.</w:t>
      </w:r>
      <w:r>
        <w:rPr>
          <w:rFonts w:ascii="Times New Roman" w:hAnsi="Times New Roman" w:cs="Times New Roman" w:hint="eastAsia"/>
          <w:color w:val="auto"/>
          <w:kern w:val="2"/>
          <w:sz w:val="21"/>
          <w:szCs w:val="21"/>
          <w:highlight w:val="none"/>
          <w:lang w:val="en-US" w:eastAsia="zh-CN" w:bidi="ar"/>
        </w:rPr>
        <w:t xml:space="preserve">《中小企业声明函》【投标人自身企业或被分包企业（根据要求据实提供）】 </w:t>
      </w:r>
    </w:p>
    <w:p>
      <w:pPr>
        <w:pStyle w:val="NormalWeb"/>
        <w:widowControl w:val="0"/>
        <w:snapToGrid w:val="0"/>
        <w:spacing w:before="0" w:beforeAutospacing="0" w:after="0" w:afterAutospacing="0" w:line="360" w:lineRule="auto"/>
        <w:ind w:firstLine="420" w:firstLineChars="200"/>
        <w:jc w:val="both"/>
        <w:rPr>
          <w:rFonts w:ascii="Times New Roman" w:hAnsi="Times New Roman" w:cs="Times New Roman" w:hint="eastAsia"/>
          <w:color w:val="auto"/>
          <w:kern w:val="2"/>
          <w:sz w:val="21"/>
          <w:szCs w:val="21"/>
          <w:highlight w:val="none"/>
          <w:lang w:bidi="ar"/>
        </w:rPr>
      </w:pPr>
      <w:r>
        <w:rPr>
          <w:rFonts w:ascii="Times New Roman" w:hAnsi="Times New Roman" w:cs="Times New Roman" w:hint="default"/>
          <w:color w:val="auto"/>
          <w:kern w:val="2"/>
          <w:sz w:val="21"/>
          <w:szCs w:val="21"/>
          <w:highlight w:val="none"/>
          <w:lang w:val="en-US" w:eastAsia="zh-CN" w:bidi="ar"/>
        </w:rPr>
        <w:t xml:space="preserve">5. </w:t>
      </w:r>
      <w:r>
        <w:rPr>
          <w:rFonts w:ascii="Times New Roman" w:hAnsi="Times New Roman" w:cs="Times New Roman" w:hint="eastAsia"/>
          <w:color w:val="auto"/>
          <w:kern w:val="2"/>
          <w:sz w:val="21"/>
          <w:szCs w:val="21"/>
          <w:highlight w:val="none"/>
          <w:lang w:val="en-US" w:eastAsia="zh-CN" w:bidi="ar"/>
        </w:rPr>
        <w:t>分包金额为预算金额的</w:t>
      </w:r>
      <w:r>
        <w:rPr>
          <w:rFonts w:ascii="Times New Roman" w:hAnsi="Times New Roman" w:cs="Times New Roman" w:hint="eastAsia"/>
          <w:color w:val="auto"/>
          <w:kern w:val="2"/>
          <w:sz w:val="21"/>
          <w:szCs w:val="21"/>
          <w:highlight w:val="none"/>
          <w:u w:val="single"/>
          <w:lang w:val="en-US" w:eastAsia="zh-CN" w:bidi="ar"/>
        </w:rPr>
        <w:t xml:space="preserve">     </w:t>
      </w:r>
      <w:r>
        <w:rPr>
          <w:rFonts w:ascii="Times New Roman" w:hAnsi="Times New Roman" w:cs="Times New Roman" w:hint="default"/>
          <w:color w:val="auto"/>
          <w:kern w:val="2"/>
          <w:sz w:val="21"/>
          <w:szCs w:val="21"/>
          <w:highlight w:val="none"/>
          <w:lang w:val="en-US" w:eastAsia="zh-CN" w:bidi="ar"/>
        </w:rPr>
        <w:t>%</w:t>
      </w:r>
      <w:r>
        <w:rPr>
          <w:rFonts w:ascii="Times New Roman" w:hAnsi="Times New Roman" w:cs="Times New Roman" w:hint="eastAsia"/>
          <w:color w:val="auto"/>
          <w:kern w:val="2"/>
          <w:sz w:val="21"/>
          <w:szCs w:val="21"/>
          <w:highlight w:val="none"/>
          <w:lang w:val="en-US" w:eastAsia="zh-CN" w:bidi="ar"/>
        </w:rPr>
        <w:t xml:space="preserve">（含）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投标人</w:t>
      </w:r>
      <w:r>
        <w:rPr>
          <w:rFonts w:ascii="Times New Roman" w:hAnsi="Times New Roman" w:cs="宋体" w:hint="eastAsia"/>
          <w:color w:val="auto"/>
          <w:kern w:val="0"/>
          <w:szCs w:val="21"/>
          <w:highlight w:val="none"/>
          <w:lang w:bidi="ar"/>
        </w:rPr>
        <w:t>（全称并加盖电子签章</w:t>
      </w:r>
      <w:r>
        <w:rPr>
          <w:rFonts w:ascii="Times New Roman" w:hAnsi="Times New Roman" w:cs="宋体" w:hint="eastAsia"/>
          <w:color w:val="auto"/>
          <w:szCs w:val="21"/>
          <w:highlight w:val="none"/>
          <w:lang w:bidi="ar"/>
        </w:rPr>
        <w:t>）：</w:t>
      </w:r>
      <w:r>
        <w:rPr>
          <w:rFonts w:ascii="Times New Roman" w:hAnsi="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s="宋体" w:hint="eastAsia"/>
          <w:color w:val="auto"/>
          <w:szCs w:val="21"/>
          <w:highlight w:val="none"/>
          <w:lang w:bidi="ar"/>
        </w:rPr>
        <w:t>日期：</w:t>
      </w:r>
      <w:r>
        <w:rPr>
          <w:rFonts w:ascii="Times New Roman" w:hAnsi="Times New Roman"/>
          <w:color w:val="auto"/>
          <w:szCs w:val="21"/>
          <w:highlight w:val="none"/>
          <w:u w:val="single"/>
          <w:lang w:bidi="ar"/>
        </w:rPr>
        <w:t xml:space="preserve">                                 </w:t>
      </w:r>
    </w:p>
    <w:p>
      <w:pPr>
        <w:rPr>
          <w:rFonts w:hAnsi="宋体" w:cs="宋体"/>
          <w:color w:val="auto"/>
          <w:szCs w:val="21"/>
          <w:highlight w:val="none"/>
        </w:rPr>
      </w:pPr>
    </w:p>
    <w:p>
      <w:pPr>
        <w:pStyle w:val="5"/>
        <w:rPr>
          <w:color w:val="auto"/>
          <w:highlight w:val="none"/>
        </w:rPr>
      </w:pPr>
    </w:p>
    <w:p>
      <w:pPr>
        <w:rPr>
          <w:rFonts w:ascii="宋体" w:hAnsi="宋体" w:cs="Courier New" w:hint="eastAsia"/>
          <w:b/>
          <w:bCs/>
          <w:color w:val="auto"/>
          <w:sz w:val="28"/>
          <w:szCs w:val="28"/>
          <w:highlight w:val="none"/>
        </w:rPr>
      </w:pPr>
      <w:r>
        <w:rPr>
          <w:rFonts w:ascii="宋体" w:hAnsi="宋体" w:cs="Courier New" w:hint="eastAsia"/>
          <w:b/>
          <w:bCs/>
          <w:color w:val="auto"/>
          <w:sz w:val="28"/>
          <w:szCs w:val="28"/>
          <w:highlight w:val="none"/>
        </w:rPr>
        <w:br w:type="page"/>
      </w:r>
    </w:p>
    <w:p>
      <w:pPr>
        <w:ind w:firstLine="1960" w:firstLineChars="700"/>
        <w:rPr>
          <w:rFonts w:ascii="宋体" w:hAnsi="宋体" w:cs="Courier New"/>
          <w:b/>
          <w:bCs/>
          <w:color w:val="auto"/>
          <w:sz w:val="28"/>
          <w:szCs w:val="28"/>
          <w:highlight w:val="none"/>
        </w:rPr>
      </w:pPr>
      <w:r>
        <w:rPr>
          <w:rFonts w:ascii="宋体" w:hAnsi="宋体" w:cs="Courier New" w:hint="eastAsia"/>
          <w:b/>
          <w:bCs/>
          <w:color w:val="auto"/>
          <w:sz w:val="28"/>
          <w:szCs w:val="28"/>
          <w:highlight w:val="none"/>
        </w:rPr>
        <w:t>格式12  监狱企业的证明材料文件</w:t>
      </w:r>
    </w:p>
    <w:p>
      <w:pPr>
        <w:ind w:firstLine="420" w:firstLineChars="200"/>
        <w:rPr>
          <w:rFonts w:ascii="宋体" w:hAnsi="宋体" w:cs="Courier New"/>
          <w:color w:val="auto"/>
          <w:szCs w:val="21"/>
          <w:highlight w:val="none"/>
        </w:rPr>
      </w:pPr>
      <w:r>
        <w:rPr>
          <w:rFonts w:ascii="宋体" w:hAnsi="宋体" w:cs="Courier New" w:hint="eastAsia"/>
          <w:color w:val="auto"/>
          <w:szCs w:val="21"/>
          <w:highlight w:val="none"/>
        </w:rPr>
        <w:t>说明：</w:t>
      </w:r>
    </w:p>
    <w:p>
      <w:pPr>
        <w:ind w:firstLine="420" w:firstLineChars="200"/>
        <w:rPr>
          <w:rFonts w:ascii="宋体" w:hAnsi="宋体" w:cs="Courier New"/>
          <w:color w:val="auto"/>
          <w:szCs w:val="21"/>
          <w:highlight w:val="none"/>
        </w:rPr>
      </w:pPr>
      <w:r>
        <w:rPr>
          <w:rFonts w:ascii="宋体" w:hAnsi="宋体" w:cs="Courier New" w:hint="eastAsia"/>
          <w:color w:val="auto"/>
          <w:szCs w:val="21"/>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ind w:firstLine="420" w:firstLineChars="200"/>
        <w:rPr>
          <w:rFonts w:ascii="宋体" w:hAnsi="宋体" w:cs="Courier New"/>
          <w:color w:val="auto"/>
          <w:szCs w:val="21"/>
          <w:highlight w:val="none"/>
        </w:rPr>
      </w:pPr>
      <w:r>
        <w:rPr>
          <w:rFonts w:ascii="宋体" w:hAnsi="宋体" w:cs="Courier New" w:hint="eastAsia"/>
          <w:color w:val="auto"/>
          <w:szCs w:val="21"/>
          <w:highlight w:val="none"/>
        </w:rPr>
        <w:t>2.未按上述要求提供、填写的，评标时不予以考虑。</w:t>
      </w:r>
    </w:p>
    <w:p>
      <w:pPr>
        <w:ind w:firstLine="420" w:firstLineChars="200"/>
        <w:rPr>
          <w:rFonts w:ascii="宋体" w:hAnsi="宋体" w:cs="Courier New"/>
          <w:color w:val="auto"/>
          <w:szCs w:val="21"/>
          <w:highlight w:val="none"/>
        </w:rPr>
      </w:pPr>
      <w:r>
        <w:rPr>
          <w:rFonts w:ascii="宋体" w:hAnsi="宋体" w:cs="Courier New"/>
          <w:color w:val="auto"/>
          <w:szCs w:val="21"/>
          <w:highlight w:val="none"/>
        </w:rPr>
        <w:t>(</w:t>
      </w:r>
      <w:r>
        <w:rPr>
          <w:rFonts w:ascii="宋体" w:hAnsi="宋体" w:cs="Courier New" w:hint="eastAsia"/>
          <w:color w:val="auto"/>
          <w:szCs w:val="21"/>
          <w:highlight w:val="none"/>
        </w:rPr>
        <w:t>示例略</w:t>
      </w:r>
      <w:r>
        <w:rPr>
          <w:rFonts w:ascii="宋体" w:hAnsi="宋体" w:cs="Courier New"/>
          <w:color w:val="auto"/>
          <w:szCs w:val="21"/>
          <w:highlight w:val="none"/>
        </w:rPr>
        <w:t>)</w:t>
      </w:r>
    </w:p>
    <w:p>
      <w:pPr>
        <w:rPr>
          <w:rFonts w:cs="宋体"/>
          <w:color w:val="auto"/>
          <w:sz w:val="28"/>
          <w:szCs w:val="28"/>
          <w:highlight w:val="none"/>
        </w:rPr>
      </w:pPr>
      <w:r>
        <w:rPr>
          <w:rFonts w:cs="宋体" w:hint="eastAsia"/>
          <w:color w:val="auto"/>
          <w:sz w:val="28"/>
          <w:szCs w:val="28"/>
          <w:highlight w:val="none"/>
        </w:rPr>
        <w:br w:type="page"/>
      </w:r>
    </w:p>
    <w:p>
      <w:pPr>
        <w:topLinePunct/>
        <w:autoSpaceDE w:val="0"/>
        <w:autoSpaceDN w:val="0"/>
        <w:spacing w:line="460" w:lineRule="exact"/>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格式</w:t>
      </w:r>
      <w:r>
        <w:rPr>
          <w:rFonts w:ascii="Times New Roman" w:hAnsi="Times New Roman" w:hint="eastAsia"/>
          <w:b/>
          <w:bCs/>
          <w:color w:val="auto"/>
          <w:sz w:val="28"/>
          <w:szCs w:val="28"/>
          <w:highlight w:val="none"/>
        </w:rPr>
        <w:t>13</w:t>
      </w:r>
      <w:r>
        <w:rPr>
          <w:rFonts w:ascii="Times New Roman" w:hAnsi="Times New Roman"/>
          <w:b/>
          <w:bCs/>
          <w:color w:val="auto"/>
          <w:sz w:val="28"/>
          <w:szCs w:val="28"/>
          <w:highlight w:val="none"/>
        </w:rPr>
        <w:t xml:space="preserve">  残疾人福利性单位声明函</w:t>
      </w:r>
    </w:p>
    <w:p>
      <w:pPr>
        <w:spacing w:line="588" w:lineRule="exact"/>
        <w:ind w:firstLine="420"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imes New Roman" w:hAnsi="Times New Roman"/>
          <w:color w:val="auto"/>
          <w:spacing w:val="6"/>
          <w:szCs w:val="21"/>
          <w:highlight w:val="none"/>
        </w:rPr>
      </w:pPr>
      <w:r>
        <w:rPr>
          <w:rFonts w:ascii="Times New Roman" w:hAnsi="Times New Roman"/>
          <w:color w:val="auto"/>
          <w:spacing w:val="6"/>
          <w:szCs w:val="21"/>
          <w:highlight w:val="none"/>
        </w:rPr>
        <w:t>本单位对上述声明的真实性负责。如有虚假，将依法承担相应责任。</w:t>
      </w:r>
    </w:p>
    <w:p>
      <w:pPr>
        <w:spacing w:line="588" w:lineRule="exact"/>
        <w:ind w:firstLine="420" w:firstLineChars="200"/>
        <w:rPr>
          <w:rFonts w:ascii="Times New Roman" w:hAnsi="Times New Roman"/>
          <w:color w:val="auto"/>
          <w:spacing w:val="6"/>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kern w:val="0"/>
          <w:szCs w:val="21"/>
          <w:highlight w:val="none"/>
        </w:rPr>
        <w:t>（全称并加盖</w:t>
      </w:r>
      <w:r>
        <w:rPr>
          <w:rFonts w:ascii="Times New Roman" w:hAnsi="Times New Roman" w:hint="eastAsia"/>
          <w:color w:val="auto"/>
          <w:kern w:val="0"/>
          <w:szCs w:val="21"/>
          <w:highlight w:val="none"/>
        </w:rPr>
        <w:t>电子签章</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日期：</w:t>
      </w:r>
      <w:r>
        <w:rPr>
          <w:rFonts w:ascii="Times New Roman" w:hAnsi="Times New Roman"/>
          <w:color w:val="auto"/>
          <w:szCs w:val="21"/>
          <w:highlight w:val="none"/>
          <w:u w:val="single"/>
        </w:rPr>
        <w:t xml:space="preserve">                                 </w:t>
      </w:r>
    </w:p>
    <w:p>
      <w:pPr>
        <w:topLinePunct/>
        <w:autoSpaceDE w:val="0"/>
        <w:autoSpaceDN w:val="0"/>
        <w:spacing w:line="460" w:lineRule="exact"/>
        <w:jc w:val="center"/>
        <w:rPr>
          <w:rFonts w:ascii="Times New Roman" w:hAnsi="Times New Roman"/>
          <w:color w:val="auto"/>
          <w:spacing w:val="6"/>
          <w:szCs w:val="21"/>
          <w:highlight w:val="none"/>
        </w:rPr>
      </w:pPr>
    </w:p>
    <w:p>
      <w:pPr>
        <w:tabs>
          <w:tab w:val="left" w:pos="420"/>
        </w:tabs>
        <w:snapToGrid w:val="0"/>
        <w:spacing w:line="460" w:lineRule="atLeast"/>
        <w:jc w:val="center"/>
        <w:rPr>
          <w:rFonts w:ascii="Times New Roman" w:eastAsia="方正大标宋简体" w:hAnsi="Times New Roman"/>
          <w:b/>
          <w:bCs/>
          <w:color w:val="auto"/>
          <w:sz w:val="28"/>
          <w:szCs w:val="28"/>
          <w:highlight w:val="none"/>
        </w:rPr>
      </w:pPr>
      <w:r>
        <w:rPr>
          <w:rFonts w:eastAsia="方正大标宋简体" w:cs="宋体" w:hint="eastAsia"/>
          <w:color w:val="auto"/>
          <w:sz w:val="28"/>
          <w:szCs w:val="28"/>
          <w:highlight w:val="none"/>
        </w:rPr>
        <w:br w:type="page"/>
      </w:r>
      <w:r>
        <w:rPr>
          <w:rFonts w:ascii="Times New Roman" w:eastAsia="方正大标宋简体" w:hAnsi="Times New Roman"/>
          <w:b/>
          <w:bCs/>
          <w:color w:val="auto"/>
          <w:sz w:val="28"/>
          <w:szCs w:val="28"/>
          <w:highlight w:val="none"/>
        </w:rPr>
        <w:t>格式</w:t>
      </w:r>
      <w:r>
        <w:rPr>
          <w:rFonts w:ascii="Times New Roman" w:eastAsia="方正大标宋简体" w:hAnsi="Times New Roman" w:hint="eastAsia"/>
          <w:b/>
          <w:bCs/>
          <w:color w:val="auto"/>
          <w:sz w:val="28"/>
          <w:szCs w:val="28"/>
          <w:highlight w:val="none"/>
        </w:rPr>
        <w:t>14</w:t>
      </w:r>
      <w:r>
        <w:rPr>
          <w:rFonts w:ascii="Times New Roman" w:eastAsia="方正大标宋简体" w:hAnsi="Times New Roman"/>
          <w:b/>
          <w:bCs/>
          <w:color w:val="auto"/>
          <w:sz w:val="28"/>
          <w:szCs w:val="28"/>
          <w:highlight w:val="none"/>
        </w:rPr>
        <w:t xml:space="preserve">  成功案例一览表</w:t>
      </w:r>
    </w:p>
    <w:p>
      <w:pPr>
        <w:jc w:val="center"/>
        <w:rPr>
          <w:color w:val="auto"/>
          <w:highlight w:val="none"/>
        </w:rPr>
      </w:pPr>
    </w:p>
    <w:tbl>
      <w:tblPr>
        <w:tblStyle w:val="TableNormal"/>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名称</w:t>
            </w: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甲方</w:t>
            </w:r>
          </w:p>
        </w:tc>
        <w:tc>
          <w:tcPr>
            <w:tcW w:w="70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合同时间</w:t>
            </w: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金额</w:t>
            </w: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合同主要</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内容</w:t>
            </w: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  户</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联系人</w:t>
            </w: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用户联</w:t>
            </w:r>
          </w:p>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系电话</w:t>
            </w: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r>
        <w:tblPrEx>
          <w:tblW w:w="9158"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819"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707" w:type="dxa"/>
            <w:tcBorders>
              <w:top w:val="single" w:sz="4" w:space="0" w:color="auto"/>
              <w:left w:val="single" w:sz="4" w:space="0" w:color="auto"/>
              <w:bottom w:val="single" w:sz="4" w:space="0" w:color="auto"/>
              <w:right w:val="single" w:sz="4" w:space="0" w:color="auto"/>
            </w:tcBorders>
            <w:noWrap/>
          </w:tcPr>
          <w:p>
            <w:pPr>
              <w:topLinePunct/>
              <w:autoSpaceDE w:val="0"/>
              <w:autoSpaceDN w:val="0"/>
              <w:adjustRightInd w:val="0"/>
              <w:snapToGrid w:val="0"/>
              <w:jc w:val="center"/>
              <w:rPr>
                <w:rFonts w:ascii="Times New Roman" w:hAnsi="Times New Roman"/>
                <w:color w:val="auto"/>
                <w:szCs w:val="21"/>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c>
          <w:tcPr>
            <w:tcW w:w="1737" w:type="dxa"/>
            <w:tcBorders>
              <w:top w:val="single" w:sz="4" w:space="0" w:color="auto"/>
              <w:left w:val="single" w:sz="4" w:space="0" w:color="auto"/>
              <w:bottom w:val="single" w:sz="4" w:space="0" w:color="auto"/>
              <w:right w:val="single" w:sz="4" w:space="0" w:color="auto"/>
            </w:tcBorders>
            <w:noWrap/>
            <w:vAlign w:val="center"/>
          </w:tcPr>
          <w:p>
            <w:pPr>
              <w:topLinePunct/>
              <w:autoSpaceDE w:val="0"/>
              <w:autoSpaceDN w:val="0"/>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1.</w:t>
      </w:r>
      <w:r>
        <w:rPr>
          <w:rFonts w:hint="eastAsia"/>
          <w:color w:val="auto"/>
          <w:highlight w:val="none"/>
        </w:rPr>
        <w:t xml:space="preserve"> </w:t>
      </w:r>
      <w:r>
        <w:rPr>
          <w:rFonts w:ascii="Times New Roman" w:hAnsi="Times New Roman" w:hint="eastAsia"/>
          <w:color w:val="auto"/>
          <w:szCs w:val="21"/>
          <w:highlight w:val="none"/>
        </w:rPr>
        <w:t>应提供合同复印件（线上采购项目提供扫描件，下同）。合同复印件应能清晰体现合同甲乙双方、合同时间、合同金额、合同主要内容等，并提供对方联系人及联系方式，否则不能获得相应分值。</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2.本表可扩展。</w:t>
      </w:r>
    </w:p>
    <w:p>
      <w:pPr>
        <w:widowControl/>
        <w:jc w:val="left"/>
        <w:rPr>
          <w:rFonts w:ascii="Times New Roman" w:hAnsi="Times New Roman"/>
          <w:color w:val="auto"/>
          <w:szCs w:val="21"/>
          <w:highlight w:val="none"/>
          <w:u w:val="single"/>
        </w:rPr>
      </w:pPr>
    </w:p>
    <w:p>
      <w:pPr>
        <w:rPr>
          <w:rFonts w:hAnsi="宋体" w:cs="宋体"/>
          <w:b/>
          <w:bCs/>
          <w:color w:val="auto"/>
          <w:sz w:val="36"/>
          <w:szCs w:val="36"/>
          <w:highlight w:val="none"/>
        </w:rPr>
      </w:pPr>
    </w:p>
    <w:p>
      <w:pPr>
        <w:spacing w:line="600" w:lineRule="auto"/>
        <w:jc w:val="center"/>
        <w:rPr>
          <w:rFonts w:ascii="宋体" w:hAnsi="宋体"/>
          <w:b/>
          <w:color w:val="auto"/>
          <w:kern w:val="0"/>
          <w:sz w:val="44"/>
          <w:szCs w:val="44"/>
          <w:highlight w:val="none"/>
        </w:rPr>
      </w:pPr>
    </w:p>
    <w:p>
      <w:pPr>
        <w:widowControl/>
        <w:jc w:val="left"/>
        <w:rPr>
          <w:rFonts w:ascii="华文中宋" w:eastAsia="华文中宋" w:hAnsi="华文中宋" w:cs="华文中宋"/>
          <w:bCs/>
          <w:color w:val="auto"/>
          <w:kern w:val="0"/>
          <w:sz w:val="32"/>
          <w:szCs w:val="32"/>
          <w:highlight w:val="none"/>
        </w:rPr>
      </w:pPr>
      <w:r>
        <w:rPr>
          <w:rFonts w:ascii="华文中宋" w:eastAsia="华文中宋" w:hAnsi="华文中宋" w:cs="华文中宋"/>
          <w:bCs/>
          <w:color w:val="auto"/>
          <w:kern w:val="0"/>
          <w:sz w:val="32"/>
          <w:szCs w:val="32"/>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ascii="华文中宋" w:eastAsia="华文中宋" w:hAnsi="华文中宋" w:cs="华文中宋"/>
          <w:bCs/>
          <w:color w:val="auto"/>
          <w:kern w:val="0"/>
          <w:sz w:val="32"/>
          <w:szCs w:val="32"/>
          <w:highlight w:val="none"/>
        </w:rPr>
      </w:pP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投  标  文  件</w:t>
      </w:r>
    </w:p>
    <w:p>
      <w:pPr>
        <w:spacing w:line="600" w:lineRule="auto"/>
        <w:jc w:val="center"/>
        <w:rPr>
          <w:rFonts w:ascii="华文中宋" w:eastAsia="华文中宋" w:hAnsi="华文中宋" w:cs="华文中宋"/>
          <w:bCs/>
          <w:color w:val="auto"/>
          <w:kern w:val="0"/>
          <w:sz w:val="32"/>
          <w:szCs w:val="32"/>
          <w:highlight w:val="none"/>
        </w:rPr>
      </w:pPr>
      <w:r>
        <w:rPr>
          <w:rFonts w:ascii="华文中宋" w:eastAsia="华文中宋" w:hAnsi="华文中宋" w:cs="华文中宋" w:hint="eastAsia"/>
          <w:bCs/>
          <w:color w:val="auto"/>
          <w:kern w:val="0"/>
          <w:sz w:val="32"/>
          <w:szCs w:val="32"/>
          <w:highlight w:val="none"/>
        </w:rPr>
        <w:t>技术部分</w:t>
      </w:r>
    </w:p>
    <w:p>
      <w:pPr>
        <w:spacing w:line="360" w:lineRule="auto"/>
        <w:jc w:val="center"/>
        <w:rPr>
          <w:rFonts w:ascii="宋体" w:hAnsi="宋体"/>
          <w:color w:val="auto"/>
          <w:kern w:val="0"/>
          <w:sz w:val="32"/>
          <w:szCs w:val="32"/>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jc w:val="center"/>
        <w:rPr>
          <w:rFonts w:ascii="方正小标宋简体" w:eastAsia="方正小标宋简体" w:hAnsi="方正小标宋简体"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项目名称：</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项目编号：</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所投采购包：</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jc w:val="center"/>
        <w:rPr>
          <w:rFonts w:asciiTheme="minorEastAsia" w:eastAsiaTheme="minorEastAsia" w:hAnsiTheme="minorEastAsia" w:cs="方正小标宋简体"/>
          <w:bCs/>
          <w:color w:val="auto"/>
          <w:kern w:val="0"/>
          <w:sz w:val="24"/>
          <w:szCs w:val="24"/>
          <w:highlight w:val="none"/>
        </w:rPr>
      </w:pP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投标人：</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2520" w:leftChars="1200"/>
        <w:rPr>
          <w:rFonts w:asciiTheme="minorEastAsia" w:eastAsiaTheme="minorEastAsia" w:hAnsiTheme="minorEastAsia" w:cs="方正小标宋简体"/>
          <w:bCs/>
          <w:color w:val="auto"/>
          <w:kern w:val="0"/>
          <w:sz w:val="24"/>
          <w:szCs w:val="24"/>
          <w:highlight w:val="none"/>
        </w:rPr>
      </w:pPr>
      <w:r>
        <w:rPr>
          <w:rFonts w:asciiTheme="minorEastAsia" w:eastAsiaTheme="minorEastAsia" w:hAnsiTheme="minorEastAsia" w:cs="方正小标宋简体" w:hint="eastAsia"/>
          <w:bCs/>
          <w:color w:val="auto"/>
          <w:kern w:val="0"/>
          <w:sz w:val="24"/>
          <w:szCs w:val="24"/>
          <w:highlight w:val="none"/>
        </w:rPr>
        <w:t>日  期：</w:t>
      </w:r>
      <w:r>
        <w:rPr>
          <w:rFonts w:asciiTheme="minorEastAsia" w:eastAsiaTheme="minorEastAsia" w:hAnsiTheme="minorEastAsia" w:cs="方正小标宋简体" w:hint="eastAsia"/>
          <w:bCs/>
          <w:color w:val="auto"/>
          <w:kern w:val="0"/>
          <w:sz w:val="24"/>
          <w:szCs w:val="24"/>
          <w:highlight w:val="none"/>
          <w:u w:val="single"/>
        </w:rPr>
        <w:t xml:space="preserve">                     </w:t>
      </w:r>
    </w:p>
    <w:p>
      <w:pPr>
        <w:spacing w:line="360" w:lineRule="auto"/>
        <w:ind w:left="1470" w:firstLine="1680" w:leftChars="700" w:firstLineChars="700"/>
        <w:rPr>
          <w:rFonts w:ascii="方正小标宋简体" w:eastAsia="方正小标宋简体" w:hAnsi="方正小标宋简体" w:cs="方正小标宋简体"/>
          <w:bCs/>
          <w:color w:val="auto"/>
          <w:kern w:val="0"/>
          <w:sz w:val="24"/>
          <w:szCs w:val="24"/>
          <w:highlight w:val="none"/>
        </w:rPr>
      </w:pPr>
    </w:p>
    <w:p>
      <w:pPr>
        <w:widowControl/>
        <w:jc w:val="center"/>
        <w:rPr>
          <w:rFonts w:ascii="宋体" w:hAnsi="宋体" w:cs="宋体"/>
          <w:b/>
          <w:bCs/>
          <w:color w:val="auto"/>
          <w:sz w:val="28"/>
          <w:szCs w:val="28"/>
          <w:highlight w:val="none"/>
        </w:rPr>
      </w:pPr>
      <w:r>
        <w:rPr>
          <w:rFonts w:ascii="宋体" w:hAnsi="宋体" w:cs="宋体" w:hint="eastAsia"/>
          <w:b/>
          <w:bCs/>
          <w:color w:val="auto"/>
          <w:sz w:val="36"/>
          <w:szCs w:val="36"/>
          <w:highlight w:val="none"/>
        </w:rPr>
        <w:br w:type="page"/>
      </w:r>
      <w:r>
        <w:rPr>
          <w:rFonts w:ascii="Times New Roman" w:hAnsi="Times New Roman"/>
          <w:b/>
          <w:bCs/>
          <w:color w:val="auto"/>
          <w:sz w:val="28"/>
          <w:szCs w:val="28"/>
          <w:highlight w:val="none"/>
        </w:rPr>
        <w:t>格式</w:t>
      </w:r>
      <w:r>
        <w:rPr>
          <w:rFonts w:ascii="Times New Roman" w:hAnsi="Times New Roman" w:hint="eastAsia"/>
          <w:b/>
          <w:bCs/>
          <w:color w:val="auto"/>
          <w:sz w:val="28"/>
          <w:szCs w:val="28"/>
          <w:highlight w:val="none"/>
        </w:rPr>
        <w:t>15</w:t>
      </w:r>
      <w:r>
        <w:rPr>
          <w:rFonts w:ascii="Times New Roman" w:hAnsi="Times New Roman"/>
          <w:b/>
          <w:bCs/>
          <w:color w:val="auto"/>
          <w:sz w:val="28"/>
          <w:szCs w:val="28"/>
          <w:highlight w:val="none"/>
        </w:rPr>
        <w:t xml:space="preserve">  技术</w:t>
      </w:r>
      <w:r>
        <w:rPr>
          <w:rFonts w:ascii="Times New Roman" w:hAnsi="Times New Roman" w:hint="eastAsia"/>
          <w:b/>
          <w:bCs/>
          <w:color w:val="auto"/>
          <w:sz w:val="28"/>
          <w:szCs w:val="28"/>
          <w:highlight w:val="none"/>
        </w:rPr>
        <w:t>条款偏离表</w:t>
      </w:r>
    </w:p>
    <w:tbl>
      <w:tblPr>
        <w:tblStyle w:val="TableNormal"/>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
      <w:tblGrid>
        <w:gridCol w:w="928"/>
        <w:gridCol w:w="1516"/>
        <w:gridCol w:w="2116"/>
        <w:gridCol w:w="1684"/>
        <w:gridCol w:w="2090"/>
        <w:gridCol w:w="639"/>
      </w:tblGrid>
      <w:tr>
        <w:tblPrEx>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516" w:type="dxa"/>
            <w:noWrap/>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技术部分序号</w:t>
            </w:r>
          </w:p>
        </w:tc>
        <w:tc>
          <w:tcPr>
            <w:tcW w:w="2116"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招标文件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技术部分内容要求</w:t>
            </w:r>
          </w:p>
        </w:tc>
        <w:tc>
          <w:tcPr>
            <w:tcW w:w="1684"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投标文件</w:t>
            </w:r>
          </w:p>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应答情况</w:t>
            </w:r>
          </w:p>
        </w:tc>
        <w:tc>
          <w:tcPr>
            <w:tcW w:w="2090"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偏离（无/正/负）</w:t>
            </w:r>
          </w:p>
        </w:tc>
        <w:tc>
          <w:tcPr>
            <w:tcW w:w="639" w:type="dxa"/>
            <w:noWrap/>
            <w:vAlign w:val="center"/>
          </w:tcPr>
          <w:p>
            <w:pPr>
              <w:adjustRightInd w:val="0"/>
              <w:snapToGrid w:val="0"/>
              <w:jc w:val="center"/>
              <w:rPr>
                <w:rFonts w:ascii="Times New Roman" w:hAnsi="Times New Roman"/>
                <w:b/>
                <w:color w:val="auto"/>
                <w:szCs w:val="21"/>
                <w:highlight w:val="none"/>
              </w:rPr>
            </w:pPr>
            <w:r>
              <w:rPr>
                <w:rFonts w:ascii="Times New Roman" w:hAnsi="Times New Roman"/>
                <w:b/>
                <w:color w:val="auto"/>
                <w:szCs w:val="21"/>
                <w:highlight w:val="none"/>
              </w:rPr>
              <w:t>备注</w:t>
            </w: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5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2116" w:type="dxa"/>
            <w:noWrap/>
            <w:vAlign w:val="center"/>
          </w:tcPr>
          <w:p>
            <w:pPr>
              <w:adjustRightInd w:val="0"/>
              <w:snapToGrid w:val="0"/>
              <w:ind w:left="50" w:right="55" w:leftChars="24" w:rightChars="26"/>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5</w:t>
            </w:r>
          </w:p>
        </w:tc>
        <w:tc>
          <w:tcPr>
            <w:tcW w:w="1516" w:type="dxa"/>
            <w:noWrap/>
            <w:vAlign w:val="center"/>
          </w:tcPr>
          <w:p>
            <w:pPr>
              <w:adjustRightInd w:val="0"/>
              <w:snapToGrid w:val="0"/>
              <w:jc w:val="center"/>
              <w:rPr>
                <w:rFonts w:ascii="Times New Roman" w:hAnsi="Times New Roman"/>
                <w:color w:val="auto"/>
                <w:szCs w:val="21"/>
                <w:highlight w:val="none"/>
              </w:rPr>
            </w:pPr>
          </w:p>
        </w:tc>
        <w:tc>
          <w:tcPr>
            <w:tcW w:w="2116" w:type="dxa"/>
            <w:noWrap/>
            <w:vAlign w:val="center"/>
          </w:tcPr>
          <w:p>
            <w:pPr>
              <w:adjustRightInd w:val="0"/>
              <w:snapToGrid w:val="0"/>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r>
        <w:tblPrEx>
          <w:tblW w:w="8973" w:type="dxa"/>
          <w:jc w:val="center"/>
          <w:tblLayout w:type="fixed"/>
          <w:tblCellMar>
            <w:top w:w="0" w:type="dxa"/>
            <w:left w:w="28" w:type="dxa"/>
            <w:bottom w:w="0" w:type="dxa"/>
            <w:right w:w="28" w:type="dxa"/>
          </w:tblCellMar>
        </w:tblPrEx>
        <w:trPr>
          <w:trHeight w:val="567"/>
          <w:jc w:val="center"/>
        </w:trPr>
        <w:tc>
          <w:tcPr>
            <w:tcW w:w="928" w:type="dxa"/>
            <w:noWrap/>
            <w:vAlign w:val="center"/>
          </w:tcPr>
          <w:p>
            <w:pPr>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w:t>
            </w:r>
          </w:p>
        </w:tc>
        <w:tc>
          <w:tcPr>
            <w:tcW w:w="1516" w:type="dxa"/>
            <w:noWrap/>
            <w:vAlign w:val="center"/>
          </w:tcPr>
          <w:p>
            <w:pPr>
              <w:adjustRightInd w:val="0"/>
              <w:snapToGrid w:val="0"/>
              <w:jc w:val="center"/>
              <w:rPr>
                <w:rFonts w:ascii="Times New Roman" w:hAnsi="Times New Roman"/>
                <w:color w:val="auto"/>
                <w:szCs w:val="21"/>
                <w:highlight w:val="none"/>
              </w:rPr>
            </w:pPr>
          </w:p>
        </w:tc>
        <w:tc>
          <w:tcPr>
            <w:tcW w:w="2116" w:type="dxa"/>
            <w:noWrap/>
            <w:vAlign w:val="center"/>
          </w:tcPr>
          <w:p>
            <w:pPr>
              <w:adjustRightInd w:val="0"/>
              <w:snapToGrid w:val="0"/>
              <w:jc w:val="center"/>
              <w:rPr>
                <w:rFonts w:ascii="Times New Roman" w:hAnsi="Times New Roman"/>
                <w:color w:val="auto"/>
                <w:szCs w:val="21"/>
                <w:highlight w:val="none"/>
              </w:rPr>
            </w:pPr>
          </w:p>
        </w:tc>
        <w:tc>
          <w:tcPr>
            <w:tcW w:w="1684" w:type="dxa"/>
            <w:noWrap/>
            <w:vAlign w:val="center"/>
          </w:tcPr>
          <w:p>
            <w:pPr>
              <w:adjustRightInd w:val="0"/>
              <w:snapToGrid w:val="0"/>
              <w:jc w:val="center"/>
              <w:rPr>
                <w:rFonts w:ascii="Times New Roman" w:hAnsi="Times New Roman"/>
                <w:color w:val="auto"/>
                <w:szCs w:val="21"/>
                <w:highlight w:val="none"/>
              </w:rPr>
            </w:pPr>
          </w:p>
        </w:tc>
        <w:tc>
          <w:tcPr>
            <w:tcW w:w="2090" w:type="dxa"/>
            <w:noWrap/>
            <w:vAlign w:val="center"/>
          </w:tcPr>
          <w:p>
            <w:pPr>
              <w:adjustRightInd w:val="0"/>
              <w:snapToGrid w:val="0"/>
              <w:jc w:val="center"/>
              <w:rPr>
                <w:rFonts w:ascii="Times New Roman" w:hAnsi="Times New Roman"/>
                <w:color w:val="auto"/>
                <w:szCs w:val="21"/>
                <w:highlight w:val="none"/>
              </w:rPr>
            </w:pPr>
          </w:p>
        </w:tc>
        <w:tc>
          <w:tcPr>
            <w:tcW w:w="639" w:type="dxa"/>
            <w:noWrap/>
            <w:vAlign w:val="center"/>
          </w:tcPr>
          <w:p>
            <w:pPr>
              <w:adjustRightInd w:val="0"/>
              <w:snapToGrid w:val="0"/>
              <w:jc w:val="center"/>
              <w:rPr>
                <w:rFonts w:ascii="Times New Roman" w:hAnsi="Times New Roman"/>
                <w:color w:val="auto"/>
                <w:szCs w:val="21"/>
                <w:highlight w:val="none"/>
              </w:rPr>
            </w:pPr>
          </w:p>
        </w:tc>
      </w:tr>
    </w:tbl>
    <w:p>
      <w:pPr>
        <w:topLinePunct/>
        <w:autoSpaceDE w:val="0"/>
        <w:autoSpaceDN w:val="0"/>
        <w:spacing w:line="360" w:lineRule="auto"/>
        <w:rPr>
          <w:rFonts w:ascii="宋体" w:hAnsi="宋体" w:cs="宋体"/>
          <w:color w:val="auto"/>
          <w:szCs w:val="21"/>
          <w:highlight w:val="none"/>
        </w:rPr>
      </w:pPr>
      <w:r>
        <w:rPr>
          <w:rFonts w:ascii="宋体" w:hAnsi="宋体" w:cs="宋体" w:hint="eastAsia"/>
          <w:color w:val="auto"/>
          <w:szCs w:val="21"/>
          <w:highlight w:val="none"/>
        </w:rPr>
        <w:t>特别说明：</w:t>
      </w:r>
    </w:p>
    <w:p>
      <w:pPr>
        <w:spacing w:line="360" w:lineRule="auto"/>
        <w:ind w:firstLine="420" w:firstLineChars="200"/>
        <w:rPr>
          <w:b/>
          <w:color w:val="auto"/>
          <w:highlight w:val="none"/>
        </w:rPr>
      </w:pPr>
      <w:r>
        <w:rPr>
          <w:rFonts w:hint="eastAsia"/>
          <w:b/>
          <w:color w:val="auto"/>
          <w:highlight w:val="none"/>
        </w:rPr>
        <w:t>1.投标人应按招标文件《第六章　项目采购需求》中的技术要求，结合自身投标情况对技术条款逐条响应，未逐条响应的视为投标无效。</w:t>
      </w:r>
    </w:p>
    <w:p>
      <w:pPr>
        <w:spacing w:line="360" w:lineRule="auto"/>
        <w:ind w:firstLine="420" w:firstLineChars="200"/>
        <w:rPr>
          <w:color w:val="auto"/>
          <w:highlight w:val="none"/>
        </w:rPr>
      </w:pPr>
      <w:r>
        <w:rPr>
          <w:rFonts w:hint="eastAsia"/>
          <w:color w:val="auto"/>
          <w:highlight w:val="none"/>
        </w:rPr>
        <w:t>2.投标文件响应的技术内容完全响应招标文件要求的，投标人应注明“无偏离”；不满足或不响应招标文件要求的，应注明“负偏离”；优于招标文件要求的，应注明“正偏离”。</w:t>
      </w:r>
    </w:p>
    <w:p>
      <w:pPr>
        <w:spacing w:line="360" w:lineRule="auto"/>
        <w:ind w:firstLine="420" w:firstLineChars="200"/>
        <w:rPr>
          <w:color w:val="auto"/>
          <w:highlight w:val="none"/>
        </w:rPr>
      </w:pPr>
      <w:r>
        <w:rPr>
          <w:color w:val="auto"/>
          <w:highlight w:val="none"/>
        </w:rPr>
        <w:t>3.本表可扩展。</w:t>
      </w:r>
    </w:p>
    <w:p>
      <w:pPr>
        <w:topLinePunct/>
        <w:autoSpaceDE w:val="0"/>
        <w:autoSpaceDN w:val="0"/>
        <w:spacing w:line="360" w:lineRule="auto"/>
        <w:ind w:firstLine="420" w:firstLineChars="200"/>
        <w:rPr>
          <w:rFonts w:ascii="Times New Roman" w:hAnsi="Times New Roman"/>
          <w:color w:val="auto"/>
          <w:szCs w:val="21"/>
          <w:highlight w:val="none"/>
        </w:rPr>
      </w:pPr>
    </w:p>
    <w:p>
      <w:pPr>
        <w:widowControl/>
        <w:spacing w:after="156" w:afterLines="50" w:line="360" w:lineRule="auto"/>
        <w:ind w:firstLine="420" w:firstLineChars="200"/>
        <w:jc w:val="left"/>
        <w:rPr>
          <w:rFonts w:ascii="Times New Roman" w:hAnsi="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投标人</w:t>
      </w:r>
      <w:r>
        <w:rPr>
          <w:rFonts w:ascii="宋体" w:hAnsi="宋体"/>
          <w:color w:val="auto"/>
          <w:kern w:val="0"/>
          <w:szCs w:val="21"/>
          <w:highlight w:val="none"/>
        </w:rPr>
        <w:t>（全称并加盖</w:t>
      </w:r>
      <w:r>
        <w:rPr>
          <w:rFonts w:ascii="宋体" w:hAnsi="宋体" w:hint="eastAsia"/>
          <w:color w:val="auto"/>
          <w:kern w:val="0"/>
          <w:szCs w:val="21"/>
          <w:highlight w:val="none"/>
        </w:rPr>
        <w:t>电子签章</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hint="eastAsia"/>
          <w:color w:val="auto"/>
          <w:kern w:val="0"/>
          <w:szCs w:val="21"/>
          <w:highlight w:val="none"/>
        </w:rPr>
        <w:t>投标人代表（签字）</w:t>
      </w:r>
      <w:r>
        <w:rPr>
          <w:rFonts w:ascii="宋体" w:hAnsi="宋体" w:cs="宋体" w:hint="eastAsia"/>
          <w:color w:val="auto"/>
          <w:szCs w:val="21"/>
          <w:highlight w:val="none"/>
        </w:rPr>
        <w:t>：</w:t>
      </w:r>
      <w:r>
        <w:rPr>
          <w:rFonts w:ascii="宋体" w:hAnsi="宋体" w:cs="宋体" w:hint="eastAsia"/>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p>
    <w:p>
      <w:pPr>
        <w:jc w:val="center"/>
        <w:rPr>
          <w:b/>
          <w:bCs/>
          <w:color w:val="auto"/>
          <w:sz w:val="36"/>
          <w:szCs w:val="36"/>
          <w:highlight w:val="none"/>
        </w:rPr>
      </w:pPr>
      <w:r>
        <w:rPr>
          <w:rFonts w:hAnsi="宋体" w:cs="宋体" w:hint="eastAsia"/>
          <w:color w:val="auto"/>
          <w:sz w:val="24"/>
          <w:highlight w:val="none"/>
        </w:rPr>
        <w:br w:type="page"/>
      </w:r>
      <w:r>
        <w:rPr>
          <w:rFonts w:ascii="宋体" w:hAnsi="宋体" w:hint="eastAsia"/>
          <w:b/>
          <w:bCs/>
          <w:color w:val="auto"/>
          <w:sz w:val="28"/>
          <w:szCs w:val="28"/>
          <w:highlight w:val="none"/>
        </w:rPr>
        <w:t>格式</w:t>
      </w:r>
      <w:r>
        <w:rPr>
          <w:rFonts w:ascii="Times New Roman" w:hAnsi="Times New Roman" w:hint="eastAsia"/>
          <w:b/>
          <w:bCs/>
          <w:color w:val="auto"/>
          <w:sz w:val="28"/>
          <w:szCs w:val="28"/>
          <w:highlight w:val="none"/>
        </w:rPr>
        <w:t xml:space="preserve">16  </w:t>
      </w:r>
      <w:r>
        <w:rPr>
          <w:rFonts w:hint="eastAsia"/>
          <w:b/>
          <w:bCs/>
          <w:color w:val="auto"/>
          <w:sz w:val="28"/>
          <w:szCs w:val="28"/>
          <w:highlight w:val="none"/>
        </w:rPr>
        <w:t>服务方案</w:t>
      </w:r>
    </w:p>
    <w:p>
      <w:pPr>
        <w:ind w:firstLine="420" w:firstLineChars="200"/>
        <w:rPr>
          <w:color w:val="auto"/>
          <w:szCs w:val="21"/>
          <w:highlight w:val="none"/>
        </w:rPr>
      </w:pPr>
    </w:p>
    <w:p>
      <w:pPr>
        <w:adjustRightInd w:val="0"/>
        <w:snapToGrid w:val="0"/>
        <w:spacing w:line="360" w:lineRule="auto"/>
        <w:jc w:val="center"/>
        <w:rPr>
          <w:b/>
          <w:bCs/>
          <w:color w:val="auto"/>
          <w:sz w:val="28"/>
          <w:szCs w:val="28"/>
          <w:highlight w:val="none"/>
        </w:rPr>
      </w:pPr>
    </w:p>
    <w:p>
      <w:pPr>
        <w:adjustRightInd w:val="0"/>
        <w:snapToGrid w:val="0"/>
        <w:spacing w:line="360" w:lineRule="auto"/>
        <w:jc w:val="center"/>
        <w:rPr>
          <w:rFonts w:eastAsia="黑体"/>
          <w:color w:val="auto"/>
          <w:sz w:val="28"/>
          <w:szCs w:val="28"/>
          <w:highlight w:val="none"/>
        </w:rPr>
      </w:pPr>
      <w:r>
        <w:rPr>
          <w:rFonts w:ascii="宋体" w:hAnsi="宋体" w:cs="宋体" w:hint="eastAsia"/>
          <w:b/>
          <w:bCs/>
          <w:color w:val="auto"/>
          <w:sz w:val="28"/>
          <w:szCs w:val="28"/>
          <w:highlight w:val="none"/>
        </w:rPr>
        <w:t>服务方案说明</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服务类项目供应商应根据第六章规定编写服务方案说明。服务方案说明包括但不限于：</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(1)服务目标、范围和任务；</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(2)服务方案；</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(3)服务团队组织安排计划；</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(4)工作流程；</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(5)进度计划及保证措施；</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(6)质量保证措施；</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(7)合理化建议；</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(8)其他。</w:t>
      </w:r>
    </w:p>
    <w:p>
      <w:pPr>
        <w:jc w:val="center"/>
        <w:rPr>
          <w:rFonts w:ascii="宋体" w:hAnsi="宋体" w:cs="宋体"/>
          <w:color w:val="auto"/>
          <w:szCs w:val="21"/>
          <w:highlight w:val="none"/>
        </w:rPr>
      </w:pPr>
    </w:p>
    <w:p>
      <w:pPr>
        <w:adjustRightInd w:val="0"/>
        <w:snapToGrid w:val="0"/>
        <w:spacing w:line="360" w:lineRule="auto"/>
        <w:jc w:val="center"/>
        <w:rPr>
          <w:rFonts w:ascii="宋体" w:hAnsi="宋体" w:cs="宋体"/>
          <w:b/>
          <w:bCs/>
          <w:color w:val="auto"/>
          <w:sz w:val="28"/>
          <w:szCs w:val="28"/>
          <w:highlight w:val="none"/>
        </w:rPr>
      </w:pPr>
      <w:r>
        <w:rPr>
          <w:rFonts w:eastAsia="仿宋_GB2312"/>
          <w:color w:val="auto"/>
          <w:szCs w:val="21"/>
          <w:highlight w:val="none"/>
        </w:rPr>
        <w:br w:type="page"/>
      </w:r>
    </w:p>
    <w:p>
      <w:pPr>
        <w:spacing w:line="360" w:lineRule="auto"/>
        <w:jc w:val="center"/>
        <w:rPr>
          <w:rFonts w:ascii="宋体" w:hAnsi="宋体" w:cs="宋体"/>
          <w:b/>
          <w:bCs/>
          <w:color w:val="auto"/>
          <w:sz w:val="28"/>
          <w:szCs w:val="28"/>
          <w:highlight w:val="none"/>
        </w:rPr>
      </w:pPr>
      <w:r>
        <w:rPr>
          <w:rFonts w:ascii="宋体" w:hAnsi="宋体" w:cs="宋体" w:hint="eastAsia"/>
          <w:b/>
          <w:bCs/>
          <w:color w:val="auto"/>
          <w:sz w:val="28"/>
          <w:szCs w:val="28"/>
          <w:highlight w:val="none"/>
        </w:rPr>
        <w:t>格式</w:t>
      </w:r>
      <w:r>
        <w:rPr>
          <w:rFonts w:ascii="Times New Roman" w:eastAsia="方正小标宋简体" w:hAnsi="Times New Roman" w:hint="eastAsia"/>
          <w:b/>
          <w:bCs/>
          <w:color w:val="auto"/>
          <w:sz w:val="28"/>
          <w:szCs w:val="28"/>
          <w:highlight w:val="none"/>
        </w:rPr>
        <w:t xml:space="preserve">17 </w:t>
      </w:r>
      <w:r>
        <w:rPr>
          <w:rFonts w:ascii="宋体" w:hAnsi="宋体" w:cs="宋体" w:hint="eastAsia"/>
          <w:b/>
          <w:bCs/>
          <w:color w:val="auto"/>
          <w:sz w:val="28"/>
          <w:szCs w:val="28"/>
          <w:highlight w:val="none"/>
        </w:rPr>
        <w:t xml:space="preserve"> 技术力量一览表</w:t>
      </w:r>
    </w:p>
    <w:tbl>
      <w:tblPr>
        <w:tblStyle w:val="TableNormal"/>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59"/>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序号</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姓 名</w:t>
            </w: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技术职称</w:t>
            </w: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人员级别</w:t>
            </w: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工作年限</w:t>
            </w: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本项目中担任职务</w:t>
            </w: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b/>
                <w:color w:val="auto"/>
                <w:szCs w:val="21"/>
                <w:highlight w:val="none"/>
              </w:rPr>
            </w:pPr>
            <w:r>
              <w:rPr>
                <w:rFonts w:ascii="宋体" w:hAnsi="宋体"/>
                <w:b/>
                <w:color w:val="auto"/>
                <w:szCs w:val="21"/>
                <w:highlight w:val="none"/>
              </w:rPr>
              <w:t>认证情况</w:t>
            </w:r>
          </w:p>
        </w:tc>
      </w:tr>
      <w:tr>
        <w:tblPrEx>
          <w:tblW w:w="8960" w:type="dxa"/>
          <w:tblInd w:w="0" w:type="dxa"/>
          <w:tblLayout w:type="fixed"/>
          <w:tblCellMar>
            <w:top w:w="0" w:type="dxa"/>
            <w:left w:w="108" w:type="dxa"/>
            <w:bottom w:w="0" w:type="dxa"/>
            <w:right w:w="108" w:type="dxa"/>
          </w:tblCellMar>
        </w:tblPrEx>
        <w:trPr>
          <w:trHeight w:val="90"/>
        </w:trPr>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hAnsi="宋体"/>
                <w:color w:val="auto"/>
                <w:szCs w:val="21"/>
                <w:highlight w:val="none"/>
              </w:rPr>
            </w:pPr>
            <w:r>
              <w:rPr>
                <w:rFonts w:ascii="宋体" w:hAnsi="宋体"/>
                <w:color w:val="auto"/>
                <w:szCs w:val="21"/>
                <w:highlight w:val="none"/>
              </w:rPr>
              <w:t>项目管理人员</w:t>
            </w:r>
          </w:p>
          <w:p>
            <w:pPr>
              <w:adjustRightInd w:val="0"/>
              <w:jc w:val="left"/>
              <w:rPr>
                <w:rFonts w:ascii="宋体" w:hAnsi="宋体"/>
                <w:color w:val="auto"/>
                <w:szCs w:val="21"/>
                <w:highlight w:val="none"/>
              </w:rPr>
            </w:pPr>
            <w:r>
              <w:rPr>
                <w:rFonts w:ascii="宋体" w:hAnsi="宋体"/>
                <w:color w:val="auto"/>
                <w:szCs w:val="21"/>
                <w:highlight w:val="none"/>
              </w:rPr>
              <w:t>（一）</w:t>
            </w:r>
            <w:r>
              <w:rPr>
                <w:rFonts w:ascii="宋体" w:hAnsi="宋体" w:hint="eastAsia"/>
                <w:color w:val="auto"/>
                <w:szCs w:val="21"/>
                <w:highlight w:val="none"/>
              </w:rPr>
              <w:t>XX</w:t>
            </w:r>
            <w:r>
              <w:rPr>
                <w:rFonts w:ascii="宋体" w:hAnsi="宋体"/>
                <w:color w:val="auto"/>
                <w:szCs w:val="21"/>
                <w:highlight w:val="none"/>
              </w:rPr>
              <w:t>人</w:t>
            </w:r>
          </w:p>
        </w:tc>
      </w:tr>
      <w:tr>
        <w:tblPrEx>
          <w:tblW w:w="8960" w:type="dxa"/>
          <w:tblInd w:w="0" w:type="dxa"/>
          <w:tblLayout w:type="fixed"/>
          <w:tblCellMar>
            <w:top w:w="0" w:type="dxa"/>
            <w:left w:w="108" w:type="dxa"/>
            <w:bottom w:w="0" w:type="dxa"/>
            <w:right w:w="108" w:type="dxa"/>
          </w:tblCellMar>
        </w:tblPrEx>
        <w:trPr>
          <w:trHeight w:val="90"/>
        </w:trPr>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hAnsi="宋体"/>
                <w:color w:val="auto"/>
                <w:szCs w:val="21"/>
                <w:highlight w:val="none"/>
              </w:rPr>
            </w:pPr>
            <w:r>
              <w:rPr>
                <w:rFonts w:ascii="宋体" w:hAnsi="宋体"/>
                <w:color w:val="auto"/>
                <w:szCs w:val="21"/>
                <w:highlight w:val="none"/>
              </w:rPr>
              <w:t>（二）</w:t>
            </w:r>
            <w:r>
              <w:rPr>
                <w:rFonts w:ascii="宋体" w:hAnsi="宋体" w:hint="eastAsia"/>
                <w:color w:val="auto"/>
                <w:szCs w:val="21"/>
                <w:highlight w:val="none"/>
              </w:rPr>
              <w:t>XX</w:t>
            </w:r>
            <w:r>
              <w:rPr>
                <w:rFonts w:ascii="宋体" w:hAnsi="宋体"/>
                <w:color w:val="auto"/>
                <w:szCs w:val="21"/>
                <w:highlight w:val="none"/>
              </w:rPr>
              <w:t>人</w:t>
            </w: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hAnsi="宋体"/>
                <w:color w:val="auto"/>
                <w:szCs w:val="21"/>
                <w:highlight w:val="none"/>
              </w:rPr>
            </w:pPr>
            <w:r>
              <w:rPr>
                <w:rFonts w:ascii="宋体" w:hAnsi="宋体"/>
                <w:color w:val="auto"/>
                <w:szCs w:val="21"/>
                <w:highlight w:val="none"/>
              </w:rPr>
              <w:t>二、XX人员</w:t>
            </w: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r>
              <w:rPr>
                <w:rFonts w:ascii="宋体" w:hAnsi="宋体"/>
                <w:color w:val="auto"/>
                <w:szCs w:val="21"/>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adjustRightInd w:val="0"/>
              <w:jc w:val="left"/>
              <w:rPr>
                <w:rFonts w:ascii="宋体" w:hAnsi="宋体"/>
                <w:color w:val="auto"/>
                <w:szCs w:val="21"/>
                <w:highlight w:val="none"/>
              </w:rPr>
            </w:pPr>
            <w:r>
              <w:rPr>
                <w:rFonts w:ascii="宋体" w:hAnsi="宋体"/>
                <w:color w:val="auto"/>
                <w:szCs w:val="21"/>
                <w:highlight w:val="none"/>
              </w:rPr>
              <w:t>三、XX人员</w:t>
            </w:r>
          </w:p>
        </w:tc>
      </w:tr>
      <w:tr>
        <w:tblPrEx>
          <w:tblW w:w="8960" w:type="dxa"/>
          <w:tblInd w:w="0" w:type="dxa"/>
          <w:tblLayout w:type="fixed"/>
          <w:tblCellMar>
            <w:top w:w="0" w:type="dxa"/>
            <w:left w:w="108" w:type="dxa"/>
            <w:bottom w:w="0" w:type="dxa"/>
            <w:right w:w="108" w:type="dxa"/>
          </w:tblCellMar>
        </w:tblPrEx>
        <w:tc>
          <w:tcPr>
            <w:tcW w:w="794" w:type="dxa"/>
            <w:vAlign w:val="center"/>
          </w:tcPr>
          <w:p>
            <w:pPr>
              <w:adjustRightInd w:val="0"/>
              <w:jc w:val="center"/>
              <w:rPr>
                <w:rFonts w:ascii="宋体" w:hAnsi="宋体"/>
                <w:color w:val="auto"/>
                <w:szCs w:val="21"/>
                <w:highlight w:val="none"/>
              </w:rPr>
            </w:pPr>
            <w:r>
              <w:rPr>
                <w:rFonts w:ascii="宋体" w:hAnsi="宋体"/>
                <w:color w:val="auto"/>
                <w:szCs w:val="21"/>
                <w:highlight w:val="none"/>
              </w:rPr>
              <w:t>1</w:t>
            </w:r>
          </w:p>
        </w:tc>
        <w:tc>
          <w:tcPr>
            <w:tcW w:w="1356" w:type="dxa"/>
            <w:vAlign w:val="center"/>
          </w:tcPr>
          <w:p>
            <w:pPr>
              <w:adjustRightInd w:val="0"/>
              <w:jc w:val="center"/>
              <w:rPr>
                <w:rFonts w:ascii="宋体" w:hAnsi="宋体"/>
                <w:color w:val="auto"/>
                <w:szCs w:val="21"/>
                <w:highlight w:val="none"/>
              </w:rPr>
            </w:pPr>
          </w:p>
        </w:tc>
        <w:tc>
          <w:tcPr>
            <w:tcW w:w="1187" w:type="dxa"/>
            <w:vAlign w:val="center"/>
          </w:tcPr>
          <w:p>
            <w:pPr>
              <w:adjustRightInd w:val="0"/>
              <w:jc w:val="center"/>
              <w:rPr>
                <w:rFonts w:ascii="宋体" w:hAnsi="宋体"/>
                <w:color w:val="auto"/>
                <w:szCs w:val="21"/>
                <w:highlight w:val="none"/>
              </w:rPr>
            </w:pPr>
          </w:p>
        </w:tc>
        <w:tc>
          <w:tcPr>
            <w:tcW w:w="1189" w:type="dxa"/>
            <w:vAlign w:val="center"/>
          </w:tcPr>
          <w:p>
            <w:pPr>
              <w:adjustRightInd w:val="0"/>
              <w:jc w:val="center"/>
              <w:rPr>
                <w:rFonts w:ascii="宋体" w:hAnsi="宋体"/>
                <w:color w:val="auto"/>
                <w:szCs w:val="21"/>
                <w:highlight w:val="none"/>
              </w:rPr>
            </w:pPr>
          </w:p>
        </w:tc>
        <w:tc>
          <w:tcPr>
            <w:tcW w:w="1275" w:type="dxa"/>
            <w:vAlign w:val="center"/>
          </w:tcPr>
          <w:p>
            <w:pPr>
              <w:adjustRightInd w:val="0"/>
              <w:jc w:val="center"/>
              <w:rPr>
                <w:rFonts w:ascii="宋体" w:hAnsi="宋体"/>
                <w:color w:val="auto"/>
                <w:szCs w:val="21"/>
                <w:highlight w:val="none"/>
              </w:rPr>
            </w:pPr>
          </w:p>
        </w:tc>
        <w:tc>
          <w:tcPr>
            <w:tcW w:w="1243" w:type="dxa"/>
            <w:vAlign w:val="center"/>
          </w:tcPr>
          <w:p>
            <w:pPr>
              <w:adjustRightInd w:val="0"/>
              <w:jc w:val="center"/>
              <w:rPr>
                <w:rFonts w:ascii="宋体" w:hAnsi="宋体"/>
                <w:color w:val="auto"/>
                <w:szCs w:val="21"/>
                <w:highlight w:val="none"/>
              </w:rPr>
            </w:pPr>
          </w:p>
        </w:tc>
        <w:tc>
          <w:tcPr>
            <w:tcW w:w="1916" w:type="dxa"/>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vAlign w:val="center"/>
          </w:tcPr>
          <w:p>
            <w:pPr>
              <w:adjustRightInd w:val="0"/>
              <w:jc w:val="center"/>
              <w:rPr>
                <w:rFonts w:ascii="宋体" w:hAnsi="宋体"/>
                <w:color w:val="auto"/>
                <w:szCs w:val="21"/>
                <w:highlight w:val="none"/>
              </w:rPr>
            </w:pPr>
            <w:r>
              <w:rPr>
                <w:rFonts w:ascii="宋体" w:hAnsi="宋体"/>
                <w:color w:val="auto"/>
                <w:szCs w:val="21"/>
                <w:highlight w:val="none"/>
              </w:rPr>
              <w:t>2</w:t>
            </w:r>
          </w:p>
        </w:tc>
        <w:tc>
          <w:tcPr>
            <w:tcW w:w="1356" w:type="dxa"/>
            <w:vAlign w:val="center"/>
          </w:tcPr>
          <w:p>
            <w:pPr>
              <w:adjustRightInd w:val="0"/>
              <w:jc w:val="center"/>
              <w:rPr>
                <w:rFonts w:ascii="宋体" w:hAnsi="宋体"/>
                <w:color w:val="auto"/>
                <w:szCs w:val="21"/>
                <w:highlight w:val="none"/>
              </w:rPr>
            </w:pPr>
          </w:p>
        </w:tc>
        <w:tc>
          <w:tcPr>
            <w:tcW w:w="1187" w:type="dxa"/>
            <w:vAlign w:val="center"/>
          </w:tcPr>
          <w:p>
            <w:pPr>
              <w:adjustRightInd w:val="0"/>
              <w:jc w:val="center"/>
              <w:rPr>
                <w:rFonts w:ascii="宋体" w:hAnsi="宋体"/>
                <w:color w:val="auto"/>
                <w:szCs w:val="21"/>
                <w:highlight w:val="none"/>
              </w:rPr>
            </w:pPr>
          </w:p>
        </w:tc>
        <w:tc>
          <w:tcPr>
            <w:tcW w:w="1189" w:type="dxa"/>
            <w:vAlign w:val="center"/>
          </w:tcPr>
          <w:p>
            <w:pPr>
              <w:adjustRightInd w:val="0"/>
              <w:jc w:val="center"/>
              <w:rPr>
                <w:rFonts w:ascii="宋体" w:hAnsi="宋体"/>
                <w:color w:val="auto"/>
                <w:szCs w:val="21"/>
                <w:highlight w:val="none"/>
              </w:rPr>
            </w:pPr>
          </w:p>
        </w:tc>
        <w:tc>
          <w:tcPr>
            <w:tcW w:w="1275" w:type="dxa"/>
            <w:vAlign w:val="center"/>
          </w:tcPr>
          <w:p>
            <w:pPr>
              <w:adjustRightInd w:val="0"/>
              <w:jc w:val="center"/>
              <w:rPr>
                <w:rFonts w:ascii="宋体" w:hAnsi="宋体"/>
                <w:color w:val="auto"/>
                <w:szCs w:val="21"/>
                <w:highlight w:val="none"/>
              </w:rPr>
            </w:pPr>
          </w:p>
        </w:tc>
        <w:tc>
          <w:tcPr>
            <w:tcW w:w="1243" w:type="dxa"/>
            <w:vAlign w:val="center"/>
          </w:tcPr>
          <w:p>
            <w:pPr>
              <w:adjustRightInd w:val="0"/>
              <w:jc w:val="center"/>
              <w:rPr>
                <w:rFonts w:ascii="宋体" w:hAnsi="宋体"/>
                <w:color w:val="auto"/>
                <w:szCs w:val="21"/>
                <w:highlight w:val="none"/>
              </w:rPr>
            </w:pPr>
          </w:p>
        </w:tc>
        <w:tc>
          <w:tcPr>
            <w:tcW w:w="1916" w:type="dxa"/>
            <w:vAlign w:val="center"/>
          </w:tcPr>
          <w:p>
            <w:pPr>
              <w:adjustRightInd w:val="0"/>
              <w:jc w:val="center"/>
              <w:rPr>
                <w:rFonts w:ascii="宋体" w:hAnsi="宋体"/>
                <w:color w:val="auto"/>
                <w:szCs w:val="21"/>
                <w:highlight w:val="none"/>
              </w:rPr>
            </w:pPr>
          </w:p>
        </w:tc>
      </w:tr>
      <w:tr>
        <w:tblPrEx>
          <w:tblW w:w="8960" w:type="dxa"/>
          <w:tblInd w:w="0" w:type="dxa"/>
          <w:tblLayout w:type="fixed"/>
          <w:tblCellMar>
            <w:top w:w="0" w:type="dxa"/>
            <w:left w:w="108" w:type="dxa"/>
            <w:bottom w:w="0" w:type="dxa"/>
            <w:right w:w="108" w:type="dxa"/>
          </w:tblCellMar>
        </w:tblPrEx>
        <w:tc>
          <w:tcPr>
            <w:tcW w:w="794" w:type="dxa"/>
            <w:vAlign w:val="center"/>
          </w:tcPr>
          <w:p>
            <w:pPr>
              <w:adjustRightInd w:val="0"/>
              <w:jc w:val="center"/>
              <w:rPr>
                <w:rFonts w:ascii="宋体" w:hAnsi="宋体"/>
                <w:color w:val="auto"/>
                <w:szCs w:val="21"/>
                <w:highlight w:val="none"/>
              </w:rPr>
            </w:pPr>
            <w:r>
              <w:rPr>
                <w:rFonts w:ascii="宋体" w:hAnsi="宋体"/>
                <w:color w:val="auto"/>
                <w:szCs w:val="21"/>
                <w:highlight w:val="none"/>
              </w:rPr>
              <w:t>……</w:t>
            </w:r>
          </w:p>
        </w:tc>
        <w:tc>
          <w:tcPr>
            <w:tcW w:w="1356" w:type="dxa"/>
            <w:vAlign w:val="center"/>
          </w:tcPr>
          <w:p>
            <w:pPr>
              <w:adjustRightInd w:val="0"/>
              <w:jc w:val="center"/>
              <w:rPr>
                <w:rFonts w:ascii="宋体" w:hAnsi="宋体"/>
                <w:color w:val="auto"/>
                <w:szCs w:val="21"/>
                <w:highlight w:val="none"/>
              </w:rPr>
            </w:pPr>
          </w:p>
        </w:tc>
        <w:tc>
          <w:tcPr>
            <w:tcW w:w="1187" w:type="dxa"/>
            <w:vAlign w:val="center"/>
          </w:tcPr>
          <w:p>
            <w:pPr>
              <w:adjustRightInd w:val="0"/>
              <w:jc w:val="center"/>
              <w:rPr>
                <w:rFonts w:ascii="宋体" w:hAnsi="宋体"/>
                <w:color w:val="auto"/>
                <w:szCs w:val="21"/>
                <w:highlight w:val="none"/>
              </w:rPr>
            </w:pPr>
          </w:p>
        </w:tc>
        <w:tc>
          <w:tcPr>
            <w:tcW w:w="1189" w:type="dxa"/>
            <w:vAlign w:val="center"/>
          </w:tcPr>
          <w:p>
            <w:pPr>
              <w:adjustRightInd w:val="0"/>
              <w:jc w:val="center"/>
              <w:rPr>
                <w:rFonts w:ascii="宋体" w:hAnsi="宋体"/>
                <w:color w:val="auto"/>
                <w:szCs w:val="21"/>
                <w:highlight w:val="none"/>
              </w:rPr>
            </w:pPr>
          </w:p>
        </w:tc>
        <w:tc>
          <w:tcPr>
            <w:tcW w:w="1275" w:type="dxa"/>
            <w:vAlign w:val="center"/>
          </w:tcPr>
          <w:p>
            <w:pPr>
              <w:adjustRightInd w:val="0"/>
              <w:jc w:val="center"/>
              <w:rPr>
                <w:rFonts w:ascii="宋体" w:hAnsi="宋体"/>
                <w:color w:val="auto"/>
                <w:szCs w:val="21"/>
                <w:highlight w:val="none"/>
              </w:rPr>
            </w:pPr>
          </w:p>
        </w:tc>
        <w:tc>
          <w:tcPr>
            <w:tcW w:w="1243" w:type="dxa"/>
            <w:vAlign w:val="center"/>
          </w:tcPr>
          <w:p>
            <w:pPr>
              <w:adjustRightInd w:val="0"/>
              <w:jc w:val="center"/>
              <w:rPr>
                <w:rFonts w:ascii="宋体" w:hAnsi="宋体"/>
                <w:color w:val="auto"/>
                <w:szCs w:val="21"/>
                <w:highlight w:val="none"/>
              </w:rPr>
            </w:pPr>
          </w:p>
        </w:tc>
        <w:tc>
          <w:tcPr>
            <w:tcW w:w="1916" w:type="dxa"/>
            <w:vAlign w:val="center"/>
          </w:tcPr>
          <w:p>
            <w:pPr>
              <w:adjustRightInd w:val="0"/>
              <w:jc w:val="center"/>
              <w:rPr>
                <w:rFonts w:ascii="宋体" w:hAnsi="宋体"/>
                <w:color w:val="auto"/>
                <w:szCs w:val="21"/>
                <w:highlight w:val="none"/>
              </w:rPr>
            </w:pPr>
          </w:p>
        </w:tc>
      </w:tr>
    </w:tbl>
    <w:p>
      <w:pPr>
        <w:topLinePunct/>
        <w:autoSpaceDE w:val="0"/>
        <w:autoSpaceDN w:val="0"/>
        <w:spacing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1.投标人须按照上述格式填写投入本项目所有人员的相关信息。</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ascii="Times New Roman" w:hAnsi="Times New Roman" w:hint="eastAsia"/>
          <w:color w:val="auto"/>
          <w:szCs w:val="21"/>
          <w:highlight w:val="none"/>
        </w:rPr>
        <w:t>投标人按《第三章 评标方法及标准》、《第六章 项目采购需求》的要求附投入人员的相关学历、执业等证书扫描件，以及人员与投标人签署的劳动合同（截止本项目开标当天合同仍在有效期内）扫描件、工作经验证明材料扫描件。否则将不给予相应人员的计分。</w:t>
      </w:r>
    </w:p>
    <w:p>
      <w:pPr>
        <w:topLinePunct/>
        <w:autoSpaceDE w:val="0"/>
        <w:autoSpaceDN w:val="0"/>
        <w:spacing w:line="360" w:lineRule="auto"/>
        <w:ind w:firstLine="420" w:firstLineChars="200"/>
        <w:rPr>
          <w:rFonts w:ascii="Times New Roman" w:hAnsi="Times New Roman"/>
          <w:color w:val="auto"/>
          <w:szCs w:val="21"/>
          <w:highlight w:val="none"/>
        </w:rPr>
      </w:pPr>
      <w:r>
        <w:rPr>
          <w:rFonts w:ascii="Times New Roman" w:hAnsi="Times New Roman" w:hint="eastAsia"/>
          <w:color w:val="auto"/>
          <w:szCs w:val="21"/>
          <w:highlight w:val="none"/>
        </w:rPr>
        <w:t>3.本表可扩展。</w:t>
      </w:r>
    </w:p>
    <w:p>
      <w:pPr>
        <w:topLinePunct/>
        <w:autoSpaceDE w:val="0"/>
        <w:autoSpaceDN w:val="0"/>
        <w:spacing w:line="360" w:lineRule="auto"/>
        <w:jc w:val="center"/>
        <w:rPr>
          <w:rFonts w:ascii="宋体" w:hAnsi="宋体" w:cs="宋体"/>
          <w:b/>
          <w:bCs/>
          <w:color w:val="auto"/>
          <w:sz w:val="28"/>
          <w:szCs w:val="28"/>
          <w:highlight w:val="none"/>
        </w:rPr>
      </w:pPr>
      <w:r>
        <w:rPr>
          <w:rFonts w:ascii="宋体" w:hAnsi="宋体" w:cs="宋体" w:hint="eastAsia"/>
          <w:b/>
          <w:color w:val="auto"/>
          <w:sz w:val="30"/>
          <w:szCs w:val="30"/>
          <w:highlight w:val="none"/>
        </w:rPr>
        <w:br w:type="page"/>
      </w:r>
      <w:r>
        <w:rPr>
          <w:rFonts w:ascii="宋体" w:hAnsi="宋体" w:cs="宋体" w:hint="eastAsia"/>
          <w:b/>
          <w:bCs/>
          <w:color w:val="auto"/>
          <w:sz w:val="28"/>
          <w:szCs w:val="28"/>
          <w:highlight w:val="none"/>
        </w:rPr>
        <w:t>格式18  技术人员简历表</w:t>
      </w:r>
    </w:p>
    <w:tbl>
      <w:tblPr>
        <w:tblStyle w:val="TableNormal"/>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3"/>
        <w:gridCol w:w="1713"/>
        <w:gridCol w:w="1505"/>
        <w:gridCol w:w="1388"/>
        <w:gridCol w:w="1796"/>
        <w:gridCol w:w="1263"/>
      </w:tblGrid>
      <w:tr>
        <w:tblPrEx>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姓   名</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性    别</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出生日期</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学   历</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毕业学校</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技术职称</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52"/>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公司职务</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任职时间</w:t>
            </w:r>
          </w:p>
        </w:tc>
        <w:tc>
          <w:tcPr>
            <w:tcW w:w="13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7"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本项目任职</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270"/>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人员级别</w:t>
            </w:r>
          </w:p>
        </w:tc>
        <w:tc>
          <w:tcPr>
            <w:tcW w:w="171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506"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从事XXX工作年限</w:t>
            </w:r>
          </w:p>
        </w:tc>
        <w:tc>
          <w:tcPr>
            <w:tcW w:w="1388"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c>
          <w:tcPr>
            <w:tcW w:w="1794"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从事XXXX年限</w:t>
            </w:r>
          </w:p>
        </w:tc>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463"/>
        </w:trPr>
        <w:tc>
          <w:tcPr>
            <w:tcW w:w="1263"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r>
              <w:rPr>
                <w:rFonts w:ascii="宋体" w:hAnsi="宋体" w:cs="宋体" w:hint="eastAsia"/>
                <w:color w:val="auto"/>
                <w:szCs w:val="21"/>
                <w:highlight w:val="none"/>
              </w:rPr>
              <w:t>认证证书</w:t>
            </w:r>
          </w:p>
        </w:tc>
        <w:tc>
          <w:tcPr>
            <w:tcW w:w="7665" w:type="dxa"/>
            <w:gridSpan w:val="5"/>
            <w:tcBorders>
              <w:top w:val="single" w:sz="4" w:space="0" w:color="auto"/>
              <w:left w:val="single" w:sz="4" w:space="0" w:color="auto"/>
              <w:bottom w:val="single" w:sz="4" w:space="0" w:color="auto"/>
              <w:right w:val="single" w:sz="4" w:space="0" w:color="auto"/>
            </w:tcBorders>
            <w:vAlign w:val="center"/>
          </w:tcPr>
          <w:p>
            <w:pPr>
              <w:adjustRightInd w:val="0"/>
              <w:jc w:val="center"/>
              <w:rPr>
                <w:rFonts w:ascii="宋体" w:hAnsi="宋体" w:cs="宋体"/>
                <w:color w:val="auto"/>
                <w:szCs w:val="21"/>
                <w:highlight w:val="none"/>
              </w:rPr>
            </w:pPr>
          </w:p>
        </w:tc>
      </w:tr>
      <w:tr>
        <w:tblPrEx>
          <w:tblW w:w="8928" w:type="dxa"/>
          <w:tblInd w:w="0" w:type="dxa"/>
          <w:tblLayout w:type="fixed"/>
          <w:tblCellMar>
            <w:top w:w="0" w:type="dxa"/>
            <w:left w:w="108" w:type="dxa"/>
            <w:bottom w:w="0" w:type="dxa"/>
            <w:right w:w="108" w:type="dxa"/>
          </w:tblCellMar>
        </w:tblPrEx>
        <w:trPr>
          <w:trHeight w:val="5944"/>
        </w:trPr>
        <w:tc>
          <w:tcPr>
            <w:tcW w:w="8928" w:type="dxa"/>
            <w:gridSpan w:val="6"/>
            <w:tcBorders>
              <w:top w:val="single" w:sz="4" w:space="0" w:color="auto"/>
              <w:left w:val="single" w:sz="4" w:space="0" w:color="auto"/>
              <w:bottom w:val="single" w:sz="4" w:space="0" w:color="auto"/>
              <w:right w:val="single" w:sz="4" w:space="0" w:color="auto"/>
            </w:tcBorders>
          </w:tcPr>
          <w:p>
            <w:pPr>
              <w:rPr>
                <w:rFonts w:ascii="宋体" w:hAnsi="宋体" w:cs="宋体"/>
                <w:color w:val="auto"/>
                <w:szCs w:val="21"/>
                <w:highlight w:val="none"/>
              </w:rPr>
            </w:pPr>
            <w:r>
              <w:rPr>
                <w:rFonts w:ascii="宋体" w:hAnsi="宋体" w:cs="宋体" w:hint="eastAsia"/>
                <w:color w:val="auto"/>
                <w:szCs w:val="21"/>
                <w:highlight w:val="none"/>
              </w:rPr>
              <w:t>工作简历及主要业绩</w:t>
            </w:r>
          </w:p>
          <w:p>
            <w:pPr>
              <w:adjustRightInd w:val="0"/>
              <w:rPr>
                <w:rFonts w:ascii="宋体" w:hAnsi="宋体" w:cs="宋体"/>
                <w:color w:val="auto"/>
                <w:szCs w:val="21"/>
                <w:highlight w:val="none"/>
              </w:rPr>
            </w:pPr>
          </w:p>
        </w:tc>
      </w:tr>
    </w:tbl>
    <w:p>
      <w:pPr>
        <w:topLinePunct/>
        <w:autoSpaceDE w:val="0"/>
        <w:autoSpaceDN w:val="0"/>
        <w:spacing w:line="360" w:lineRule="auto"/>
        <w:rPr>
          <w:rFonts w:ascii="Times New Roman" w:hAnsi="Times New Roman"/>
          <w:color w:val="auto"/>
          <w:szCs w:val="21"/>
          <w:highlight w:val="none"/>
        </w:rPr>
      </w:pPr>
      <w:r>
        <w:rPr>
          <w:rFonts w:ascii="Times New Roman" w:hAnsi="Times New Roman"/>
          <w:color w:val="auto"/>
          <w:szCs w:val="21"/>
          <w:highlight w:val="none"/>
        </w:rPr>
        <w:t>特别说明：投标人应提供投入本项目</w:t>
      </w:r>
      <w:r>
        <w:rPr>
          <w:rFonts w:ascii="Times New Roman" w:hAnsi="Times New Roman" w:hint="eastAsia"/>
          <w:color w:val="auto"/>
          <w:szCs w:val="21"/>
          <w:highlight w:val="none"/>
        </w:rPr>
        <w:t>技术人员</w:t>
      </w:r>
      <w:r>
        <w:rPr>
          <w:rFonts w:ascii="Times New Roman" w:hAnsi="Times New Roman"/>
          <w:color w:val="auto"/>
          <w:szCs w:val="21"/>
          <w:highlight w:val="none"/>
        </w:rPr>
        <w:t>的简历。</w:t>
      </w:r>
    </w:p>
    <w:p>
      <w:pPr>
        <w:topLinePunct/>
        <w:autoSpaceDE w:val="0"/>
        <w:autoSpaceDN w:val="0"/>
        <w:spacing w:line="360" w:lineRule="auto"/>
        <w:ind w:firstLine="420" w:firstLineChars="200"/>
        <w:rPr>
          <w:rFonts w:ascii="Times New Roman" w:hAnsi="Times New Roman"/>
          <w:color w:val="auto"/>
          <w:highlight w:val="none"/>
        </w:rPr>
      </w:pPr>
      <w:r>
        <w:rPr>
          <w:rFonts w:ascii="Times New Roman" w:hAnsi="Times New Roman"/>
          <w:color w:val="auto"/>
          <w:szCs w:val="21"/>
          <w:highlight w:val="none"/>
        </w:rPr>
        <w:t xml:space="preserve"> </w:t>
      </w:r>
    </w:p>
    <w:p>
      <w:pPr>
        <w:widowControl/>
        <w:jc w:val="left"/>
        <w:rPr>
          <w:color w:val="auto"/>
          <w:highlight w:val="none"/>
        </w:rPr>
      </w:pPr>
    </w:p>
    <w:p>
      <w:pPr>
        <w:widowControl/>
        <w:jc w:val="center"/>
        <w:rPr>
          <w:b/>
          <w:bCs/>
          <w:color w:val="auto"/>
          <w:sz w:val="36"/>
          <w:szCs w:val="36"/>
          <w:highlight w:val="none"/>
        </w:rPr>
      </w:pPr>
      <w:r>
        <w:rPr>
          <w:rFonts w:ascii="宋体" w:hAnsi="宋体"/>
          <w:b/>
          <w:bCs/>
          <w:color w:val="auto"/>
          <w:sz w:val="36"/>
          <w:szCs w:val="36"/>
          <w:highlight w:val="none"/>
        </w:rPr>
        <w:br w:type="page"/>
      </w:r>
      <w:r>
        <w:rPr>
          <w:rFonts w:ascii="宋体" w:hAnsi="宋体" w:hint="eastAsia"/>
          <w:b/>
          <w:bCs/>
          <w:color w:val="auto"/>
          <w:sz w:val="28"/>
          <w:szCs w:val="28"/>
          <w:highlight w:val="none"/>
        </w:rPr>
        <w:t>格式19  投标人售后服务承诺</w:t>
      </w:r>
    </w:p>
    <w:p>
      <w:pPr>
        <w:ind w:firstLine="420" w:firstLineChars="200"/>
        <w:rPr>
          <w:color w:val="auto"/>
          <w:szCs w:val="21"/>
          <w:highlight w:val="none"/>
        </w:rPr>
      </w:pPr>
    </w:p>
    <w:p>
      <w:pPr>
        <w:widowControl/>
        <w:jc w:val="center"/>
        <w:rPr>
          <w:rFonts w:ascii="宋体" w:hAnsi="宋体"/>
          <w:color w:val="auto"/>
          <w:kern w:val="0"/>
          <w:szCs w:val="21"/>
          <w:highlight w:val="none"/>
        </w:rPr>
      </w:pPr>
      <w:r>
        <w:rPr>
          <w:rFonts w:ascii="宋体" w:hAnsi="宋体"/>
          <w:color w:val="auto"/>
          <w:kern w:val="0"/>
          <w:szCs w:val="21"/>
          <w:highlight w:val="none"/>
        </w:rPr>
        <w:t>(示例略)</w:t>
      </w:r>
    </w:p>
    <w:p>
      <w:pPr>
        <w:spacing w:line="360" w:lineRule="auto"/>
        <w:ind w:firstLine="420" w:firstLineChars="200"/>
        <w:jc w:val="left"/>
        <w:rPr>
          <w:rFonts w:ascii="宋体" w:hAnsi="宋体"/>
          <w:color w:val="auto"/>
          <w:kern w:val="0"/>
          <w:szCs w:val="21"/>
          <w:highlight w:val="none"/>
        </w:rPr>
      </w:pPr>
    </w:p>
    <w:p>
      <w:pPr>
        <w:pStyle w:val="BodyText"/>
      </w:pPr>
    </w:p>
    <w:sectPr>
      <w:footerReference w:type="default" r:id="rId8"/>
      <w:pgSz w:w="11906" w:h="16838"/>
      <w:pgMar w:top="1418" w:right="1418" w:bottom="1418" w:left="1418" w:header="851" w:footer="992" w:gutter="0"/>
      <w:cols w:num="1" w:space="425"/>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大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altName w:val="Noto Sans"/>
    <w:panose1 w:val="020B0502040204020203"/>
    <w:charset w:val="00"/>
    <w:family w:val="swiss"/>
    <w:pitch w:val="default"/>
    <w:sig w:usb0="00000000" w:usb1="00000000" w:usb2="0004C000" w:usb3="00000000" w:csb0="00000001" w:csb1="40000000"/>
  </w:font>
  <w:font w:name="MS Mincho">
    <w:altName w:val="宋体"/>
    <w:panose1 w:val="02020609040205080304"/>
    <w:charset w:val="80"/>
    <w:family w:val="roman"/>
    <w:pitch w:val="default"/>
    <w:sig w:usb0="00000000" w:usb1="00000000" w:usb2="00000012" w:usb3="00000000" w:csb0="4002009F" w:csb1="DFD70000"/>
  </w:font>
  <w:font w:name="MingLiU_HKSCS">
    <w:altName w:val="Noto Sans CJK SC"/>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w:panose1 w:val="020B0502040504020204"/>
    <w:charset w:val="00"/>
    <w:family w:val="auto"/>
    <w:pitch w:val="default"/>
    <w:sig w:usb0="E00002FF" w:usb1="4000201F" w:usb2="08000029" w:usb3="00100000" w:csb0="0000019F" w:csb1="0000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2676339"/>
      <w:richText/>
    </w:sdtPr>
    <w:sdtContent>
      <w:p>
        <w:pPr>
          <w:pStyle w:val="Footer"/>
          <w:jc w:val="center"/>
        </w:pPr>
        <w:r>
          <w:fldChar w:fldCharType="begin"/>
        </w:r>
        <w:r>
          <w:instrText>PAGE   \* MERGEFORMAT</w:instrText>
        </w:r>
        <w:r>
          <w:fldChar w:fldCharType="separate"/>
        </w:r>
        <w:r>
          <w:rPr>
            <w:lang w:val="zh-CN"/>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3745676"/>
      <w:richText/>
    </w:sdtPr>
    <w:sdtContent>
      <w:p>
        <w:pPr>
          <w:pStyle w:val="Footer"/>
          <w:jc w:val="center"/>
        </w:pPr>
        <w:r>
          <w:fldChar w:fldCharType="begin"/>
        </w:r>
        <w:r>
          <w:instrText>PAGE   \* MERGEFORMAT</w:instrText>
        </w:r>
        <w:r>
          <w:fldChar w:fldCharType="separate"/>
        </w:r>
        <w:r>
          <w:rPr>
            <w:lang w:val="zh-CN"/>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1835" cy="230505"/>
                      </a:xfrm>
                      <a:prstGeom prst="rect">
                        <a:avLst/>
                      </a:prstGeom>
                      <a:noFill/>
                      <a:ln>
                        <a:noFill/>
                      </a:ln>
                    </wps:spPr>
                    <wps:txbx>
                      <w:txbxContent>
                        <w:p>
                          <w:pPr>
                            <w:pStyle w:val="Footer"/>
                          </w:pPr>
                          <w:r>
                            <w:rPr>
                              <w:rFonts w:ascii="宋体" w:hAnsi="宋体" w:hint="eastAsia"/>
                              <w:sz w:val="28"/>
                              <w:szCs w:val="28"/>
                            </w:rPr>
                            <w:t xml:space="preserve">— </w:t>
                          </w:r>
                          <w:r>
                            <w:rPr>
                              <w:rFonts w:ascii="宋体" w:hAnsi="宋体"/>
                              <w:sz w:val="28"/>
                              <w:szCs w:val="28"/>
                            </w:rPr>
                            <w:fldChar w:fldCharType="begin"/>
                          </w:r>
                          <w:r>
                            <w:rPr>
                              <w:rStyle w:val="PageNumber"/>
                              <w:rFonts w:ascii="宋体" w:hAnsi="宋体"/>
                              <w:sz w:val="28"/>
                              <w:szCs w:val="28"/>
                            </w:rPr>
                            <w:instrText xml:space="preserve">PAGE  </w:instrText>
                          </w:r>
                          <w:r>
                            <w:rPr>
                              <w:rFonts w:ascii="宋体" w:hAnsi="宋体"/>
                              <w:sz w:val="28"/>
                              <w:szCs w:val="28"/>
                            </w:rPr>
                            <w:fldChar w:fldCharType="separate"/>
                          </w:r>
                          <w:r>
                            <w:rPr>
                              <w:rStyle w:val="PageNumber"/>
                              <w:rFonts w:ascii="宋体" w:hAnsi="宋体"/>
                              <w:sz w:val="28"/>
                              <w:szCs w:val="28"/>
                            </w:rPr>
                            <w:t>50</w:t>
                          </w:r>
                          <w:r>
                            <w:rPr>
                              <w:rFonts w:ascii="宋体" w:hAnsi="宋体"/>
                              <w:sz w:val="28"/>
                              <w:szCs w:val="28"/>
                            </w:rPr>
                            <w:fldChar w:fldCharType="end"/>
                          </w:r>
                          <w:r>
                            <w:rPr>
                              <w:rStyle w:val="PageNumber"/>
                              <w:rFonts w:ascii="宋体" w:hAnsi="宋体" w:hint="eastAsia"/>
                              <w:sz w:val="28"/>
                              <w:szCs w:val="28"/>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2049" type="#_x0000_t202" style="width:56.05pt;height:18.15pt;margin-top:0;margin-left:0;mso-height-relative:page;mso-position-horizontal:outside;mso-position-horizontal-relative:margin;mso-width-relative:page;mso-wrap-style:none;position:absolute;z-index:251661312" coordsize="21600,21600" filled="f" stroked="f">
              <o:lock v:ext="edit" aspectratio="f"/>
              <v:textbox style="mso-fit-shape-to-text:t" inset="0,0,0,0">
                <w:txbxContent>
                  <w:p>
                    <w:pPr>
                      <w:pStyle w:val="Footer"/>
                    </w:pPr>
                    <w:r>
                      <w:rPr>
                        <w:rFonts w:ascii="宋体" w:hAnsi="宋体" w:hint="eastAsia"/>
                        <w:sz w:val="28"/>
                        <w:szCs w:val="28"/>
                      </w:rPr>
                      <w:t xml:space="preserve">— </w:t>
                    </w:r>
                    <w:r>
                      <w:rPr>
                        <w:rFonts w:ascii="宋体" w:hAnsi="宋体"/>
                        <w:sz w:val="28"/>
                        <w:szCs w:val="28"/>
                      </w:rPr>
                      <w:fldChar w:fldCharType="begin"/>
                    </w:r>
                    <w:r>
                      <w:rPr>
                        <w:rStyle w:val="PageNumber"/>
                        <w:rFonts w:ascii="宋体" w:hAnsi="宋体"/>
                        <w:sz w:val="28"/>
                        <w:szCs w:val="28"/>
                      </w:rPr>
                      <w:instrText xml:space="preserve">PAGE  </w:instrText>
                    </w:r>
                    <w:r>
                      <w:rPr>
                        <w:rFonts w:ascii="宋体" w:hAnsi="宋体"/>
                        <w:sz w:val="28"/>
                        <w:szCs w:val="28"/>
                      </w:rPr>
                      <w:fldChar w:fldCharType="separate"/>
                    </w:r>
                    <w:r>
                      <w:rPr>
                        <w:rStyle w:val="PageNumber"/>
                        <w:rFonts w:ascii="宋体" w:hAnsi="宋体"/>
                        <w:sz w:val="28"/>
                        <w:szCs w:val="28"/>
                      </w:rPr>
                      <w:t>50</w:t>
                    </w:r>
                    <w:r>
                      <w:rPr>
                        <w:rFonts w:ascii="宋体" w:hAnsi="宋体"/>
                        <w:sz w:val="28"/>
                        <w:szCs w:val="28"/>
                      </w:rPr>
                      <w:fldChar w:fldCharType="end"/>
                    </w:r>
                    <w:r>
                      <w:rPr>
                        <w:rStyle w:val="PageNumber"/>
                        <w:rFonts w:ascii="宋体" w:hAnsi="宋体"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line="169" w:lineRule="auto"/>
      <w:rPr>
        <w:rFonts w:eastAsia="Calibri" w:cs="Calibri"/>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120</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Jc w:val="left"/>
      <w:pPr>
        <w:tabs>
          <w:tab w:val="left" w:pos="360"/>
        </w:tabs>
      </w:pPr>
      <w:rPr>
        <w:rFonts w:cs="Times New Roman"/>
      </w:rPr>
    </w:lvl>
    <w:lvl w:ilvl="3">
      <w:start w:val="0"/>
      <w:numFmt w:val="none"/>
      <w:lvlJc w:val="left"/>
      <w:pPr>
        <w:tabs>
          <w:tab w:val="left" w:pos="360"/>
        </w:tabs>
      </w:pPr>
      <w:rPr>
        <w:rFonts w:cs="Times New Roman"/>
      </w:rPr>
    </w:lvl>
    <w:lvl w:ilvl="4">
      <w:start w:val="0"/>
      <w:numFmt w:val="decimal"/>
      <w:pStyle w:val="5"/>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2C508B"/>
    <w:rsid w:val="BFBFA795"/>
    <w:rsid w:val="BFFADC03"/>
    <w:rsid w:val="D7AFD86C"/>
    <w:rsid w:val="36C22EAF"/>
    <w:rsid w:val="642C508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qFormat="1"/>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qFormat="1"/>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5"/>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5">
    <w:name w:val="标题 5（有编号）（绿盟科技）"/>
    <w:basedOn w:val="Normal"/>
    <w:next w:val="a"/>
    <w:qFormat/>
    <w:pPr>
      <w:keepNext/>
      <w:keepLines/>
      <w:numPr>
        <w:ilvl w:val="4"/>
        <w:numId w:val="1"/>
      </w:numPr>
      <w:spacing w:before="280" w:after="156" w:line="377" w:lineRule="auto"/>
      <w:jc w:val="left"/>
      <w:outlineLvl w:val="4"/>
    </w:pPr>
    <w:rPr>
      <w:rFonts w:ascii="Arial" w:eastAsia="黑体" w:hAnsi="Arial" w:cs="黑体"/>
      <w:b/>
      <w:kern w:val="0"/>
      <w:sz w:val="24"/>
      <w:szCs w:val="28"/>
    </w:rPr>
  </w:style>
  <w:style w:type="paragraph" w:customStyle="1" w:styleId="a">
    <w:name w:val="正文（绿盟科技）"/>
    <w:qFormat/>
    <w:pPr>
      <w:spacing w:line="300" w:lineRule="auto"/>
    </w:pPr>
    <w:rPr>
      <w:rFonts w:ascii="Arial" w:eastAsia="宋体" w:hAnsi="Arial" w:cs="黑体"/>
      <w:sz w:val="21"/>
      <w:szCs w:val="21"/>
      <w:lang w:val="en-US" w:eastAsia="zh-CN" w:bidi="ar-SA"/>
    </w:rPr>
  </w:style>
  <w:style w:type="paragraph" w:styleId="CommentText">
    <w:name w:val="annotation text"/>
    <w:basedOn w:val="Normal"/>
    <w:unhideWhenUsed/>
    <w:qFormat/>
    <w:pPr>
      <w:jc w:val="left"/>
    </w:pPr>
  </w:style>
  <w:style w:type="paragraph" w:styleId="BodyText">
    <w:name w:val="Body Text"/>
    <w:basedOn w:val="Normal"/>
    <w:qFormat/>
    <w:rPr>
      <w:b/>
      <w:szCs w:val="24"/>
    </w:rPr>
  </w:style>
  <w:style w:type="paragraph" w:styleId="PlainText">
    <w:name w:val="Plain Text"/>
    <w:basedOn w:val="Normal"/>
    <w:next w:val="Normal"/>
    <w:uiPriority w:val="99"/>
    <w:unhideWhenUsed/>
    <w:qFormat/>
    <w:rPr>
      <w:rFonts w:ascii="宋体" w:hAnsi="Courier New" w:cs="Courier New"/>
      <w:szCs w:val="21"/>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TOC1">
    <w:name w:val="toc 1"/>
    <w:basedOn w:val="Normal"/>
    <w:next w:val="Normal"/>
    <w:uiPriority w:val="39"/>
    <w:unhideWhenUsed/>
    <w:qFormat/>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Hyperlink">
    <w:name w:val="Hyperlink"/>
    <w:uiPriority w:val="99"/>
    <w:unhideWhenUsed/>
    <w:qFormat/>
    <w:rPr>
      <w:color w:val="0000FF"/>
      <w:u w:val="single"/>
    </w:rPr>
  </w:style>
  <w:style w:type="paragraph" w:customStyle="1" w:styleId="null3">
    <w:name w:val="null3"/>
    <w:qFormat/>
    <w:rPr>
      <w:rFonts w:ascii="Calibri" w:eastAsia="宋体" w:hAnsi="Calibri" w:cs="Times New Roman" w:hint="eastAsia"/>
      <w:lang w:val="en-US" w:eastAsia="zh-CN" w:bidi="ar-SA"/>
    </w:rPr>
  </w:style>
  <w:style w:type="paragraph" w:customStyle="1" w:styleId="1">
    <w:name w:val="样式1"/>
    <w:basedOn w:val="Normal"/>
    <w:uiPriority w:val="99"/>
    <w:qFormat/>
    <w:pPr>
      <w:jc w:val="center"/>
    </w:pPr>
    <w:rPr>
      <w:rFonts w:eastAsia="方正大标宋简体"/>
      <w:sz w:val="52"/>
    </w:rPr>
  </w:style>
  <w:style w:type="table" w:customStyle="1" w:styleId="TableNormal0">
    <w:name w:val="Table Normal_0"/>
    <w:uiPriority w:val="2"/>
    <w:semiHidden/>
    <w:qFormat/>
    <w:pPr>
      <w:widowControl w:val="0"/>
    </w:pPr>
    <w:rPr>
      <w:rFonts w:eastAsia="Times New Roman"/>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仇文艳</dc:creator>
  <cp:lastModifiedBy>覃燕倩</cp:lastModifiedBy>
  <cp:revision>1</cp:revision>
  <dcterms:created xsi:type="dcterms:W3CDTF">2024-10-23T02:30:00Z</dcterms:created>
  <dcterms:modified xsi:type="dcterms:W3CDTF">2024-10-22T19:14:37Z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