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pPr>
        <w:pStyle w:val="BodyText"/>
        <w:rPr>
          <w:rFonts w:ascii="黑体" w:eastAsia="黑体"/>
          <w:color w:val="auto"/>
          <w:sz w:val="32"/>
          <w:szCs w:val="32"/>
          <w:highlight w:val="none"/>
        </w:rPr>
      </w:pPr>
    </w:p>
    <w:p>
      <w:pPr>
        <w:pStyle w:val="BodyText"/>
        <w:rPr>
          <w:rFonts w:ascii="黑体" w:eastAsia="黑体"/>
          <w:color w:val="auto"/>
          <w:sz w:val="32"/>
          <w:szCs w:val="32"/>
          <w:highlight w:val="none"/>
        </w:rPr>
      </w:pPr>
    </w:p>
    <w:p>
      <w:pPr>
        <w:pStyle w:val="BodyText"/>
        <w:rPr>
          <w:rFonts w:ascii="黑体" w:eastAsia="黑体"/>
          <w:color w:val="auto"/>
          <w:sz w:val="32"/>
          <w:szCs w:val="32"/>
          <w:highlight w:val="none"/>
        </w:rPr>
      </w:pPr>
    </w:p>
    <w:p>
      <w:pPr>
        <w:spacing w:line="360" w:lineRule="auto"/>
        <w:jc w:val="center"/>
        <w:rPr>
          <w:rFonts w:ascii="黑体" w:eastAsia="黑体" w:hAnsi="黑体" w:cs="宋体"/>
          <w:bCs/>
          <w:color w:val="auto"/>
          <w:sz w:val="72"/>
          <w:szCs w:val="72"/>
          <w:highlight w:val="none"/>
        </w:rPr>
      </w:pPr>
      <w:r>
        <w:rPr>
          <w:rFonts w:ascii="黑体" w:eastAsia="黑体" w:hAnsi="黑体" w:cs="宋体" w:hint="eastAsia"/>
          <w:bCs/>
          <w:color w:val="auto"/>
          <w:sz w:val="72"/>
          <w:szCs w:val="72"/>
          <w:highlight w:val="none"/>
        </w:rPr>
        <w:t>招 标 文 件</w:t>
      </w:r>
    </w:p>
    <w:p>
      <w:pPr>
        <w:topLinePunct/>
        <w:autoSpaceDE w:val="0"/>
        <w:autoSpaceDN w:val="0"/>
        <w:spacing w:line="360" w:lineRule="auto"/>
        <w:jc w:val="center"/>
        <w:rPr>
          <w:rFonts w:ascii="黑体" w:eastAsia="黑体" w:hAnsi="黑体" w:cs="华文中宋"/>
          <w:bCs/>
          <w:color w:val="auto"/>
          <w:sz w:val="44"/>
          <w:szCs w:val="44"/>
          <w:highlight w:val="none"/>
        </w:rPr>
      </w:pPr>
      <w:r>
        <w:rPr>
          <w:rFonts w:ascii="黑体" w:eastAsia="黑体" w:hAnsi="黑体" w:cs="华文中宋" w:hint="eastAsia"/>
          <w:bCs/>
          <w:color w:val="auto"/>
          <w:sz w:val="44"/>
          <w:szCs w:val="44"/>
          <w:highlight w:val="none"/>
        </w:rPr>
        <w:t>（技术部分）</w:t>
      </w:r>
    </w:p>
    <w:p>
      <w:pPr>
        <w:topLinePunct/>
        <w:autoSpaceDE w:val="0"/>
        <w:autoSpaceDN w:val="0"/>
        <w:snapToGrid w:val="0"/>
        <w:rPr>
          <w:rFonts w:ascii="华文中宋" w:eastAsia="华文中宋" w:hAnsi="华文中宋" w:cs="华文中宋"/>
          <w:bCs/>
          <w:color w:val="auto"/>
          <w:sz w:val="32"/>
          <w:szCs w:val="32"/>
          <w:highlight w:val="none"/>
        </w:rPr>
      </w:pPr>
    </w:p>
    <w:p>
      <w:pPr>
        <w:jc w:val="center"/>
        <w:rPr>
          <w:rFonts w:ascii="方正小标宋简体" w:eastAsia="方正小标宋简体" w:hAnsi="方正小标宋简体" w:cs="方正小标宋简体"/>
          <w:color w:val="auto"/>
          <w:sz w:val="24"/>
          <w:szCs w:val="24"/>
          <w:highlight w:val="none"/>
        </w:rPr>
      </w:pPr>
    </w:p>
    <w:p>
      <w:pPr>
        <w:jc w:val="center"/>
        <w:rPr>
          <w:rFonts w:ascii="方正小标宋简体" w:eastAsia="方正小标宋简体" w:hAnsi="方正小标宋简体" w:cs="方正小标宋简体"/>
          <w:color w:val="auto"/>
          <w:sz w:val="24"/>
          <w:szCs w:val="24"/>
          <w:highlight w:val="none"/>
        </w:rPr>
      </w:pPr>
    </w:p>
    <w:p>
      <w:pPr>
        <w:jc w:val="center"/>
        <w:rPr>
          <w:rFonts w:ascii="方正小标宋简体" w:eastAsia="方正小标宋简体" w:hAnsi="方正小标宋简体" w:cs="方正小标宋简体"/>
          <w:color w:val="auto"/>
          <w:sz w:val="24"/>
          <w:szCs w:val="24"/>
          <w:highlight w:val="none"/>
        </w:rPr>
      </w:pP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项目名称：国家税务总局柳州市税务局</w:t>
      </w:r>
    </w:p>
    <w:p>
      <w:pPr>
        <w:widowControl/>
        <w:spacing w:line="720" w:lineRule="auto"/>
        <w:ind w:firstLine="1800" w:firstLineChars="600"/>
        <w:jc w:val="left"/>
        <w:rPr>
          <w:rFonts w:ascii="宋体" w:hAnsi="宋体" w:cs="宋体"/>
          <w:b/>
          <w:color w:val="auto"/>
          <w:sz w:val="30"/>
          <w:szCs w:val="30"/>
          <w:highlight w:val="none"/>
        </w:rPr>
      </w:pPr>
      <w:r>
        <w:rPr>
          <w:rFonts w:ascii="宋体" w:hAnsi="宋体" w:cs="宋体" w:hint="eastAsia"/>
          <w:b/>
          <w:color w:val="auto"/>
          <w:sz w:val="30"/>
          <w:szCs w:val="30"/>
          <w:highlight w:val="none"/>
        </w:rPr>
        <w:t>2025-2026年物业管理服务项目</w:t>
      </w: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项目编号：GX2024-ZXGK-C0091-B00</w:t>
      </w: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采购人：国家税务总局柳州市税务局</w:t>
      </w:r>
    </w:p>
    <w:p>
      <w:pPr>
        <w:widowControl/>
        <w:spacing w:line="720" w:lineRule="auto"/>
        <w:jc w:val="left"/>
        <w:rPr>
          <w:rFonts w:ascii="宋体" w:hAnsi="宋体" w:cs="宋体"/>
          <w:b/>
          <w:color w:val="auto"/>
          <w:sz w:val="30"/>
          <w:szCs w:val="30"/>
          <w:highlight w:val="none"/>
        </w:rPr>
      </w:pPr>
    </w:p>
    <w:p>
      <w:pPr>
        <w:topLinePunct/>
        <w:autoSpaceDE w:val="0"/>
        <w:autoSpaceDN w:val="0"/>
        <w:spacing w:line="460" w:lineRule="exact"/>
        <w:rPr>
          <w:rFonts w:ascii="方正小标宋简体" w:eastAsia="方正小标宋简体" w:hAnsi="方正小标宋简体" w:cs="方正小标宋简体"/>
          <w:color w:val="auto"/>
          <w:sz w:val="24"/>
          <w:szCs w:val="24"/>
          <w:highlight w:val="none"/>
        </w:rPr>
      </w:pPr>
    </w:p>
    <w:p>
      <w:pPr>
        <w:widowControl/>
        <w:spacing w:line="480" w:lineRule="auto"/>
        <w:jc w:val="center"/>
        <w:rPr>
          <w:rFonts w:ascii="宋体" w:hAnsi="宋体" w:cs="宋体"/>
          <w:b/>
          <w:color w:val="auto"/>
          <w:sz w:val="30"/>
          <w:szCs w:val="30"/>
          <w:highlight w:val="none"/>
        </w:rPr>
      </w:pPr>
    </w:p>
    <w:p>
      <w:pPr>
        <w:widowControl/>
        <w:spacing w:line="480" w:lineRule="auto"/>
        <w:jc w:val="center"/>
        <w:rPr>
          <w:rFonts w:ascii="宋体" w:hAnsi="宋体" w:cs="宋体"/>
          <w:b/>
          <w:color w:val="auto"/>
          <w:sz w:val="30"/>
          <w:szCs w:val="30"/>
          <w:highlight w:val="none"/>
        </w:rPr>
      </w:pPr>
      <w:r>
        <w:rPr>
          <w:rFonts w:ascii="宋体" w:hAnsi="宋体" w:cs="宋体" w:hint="eastAsia"/>
          <w:b/>
          <w:color w:val="auto"/>
          <w:sz w:val="30"/>
          <w:szCs w:val="30"/>
          <w:highlight w:val="none"/>
        </w:rPr>
        <w:t>国家税务总局柳州市税务局</w:t>
      </w:r>
    </w:p>
    <w:p>
      <w:pPr>
        <w:widowControl/>
        <w:spacing w:line="480" w:lineRule="auto"/>
        <w:jc w:val="center"/>
        <w:rPr>
          <w:rFonts w:ascii="华文中宋" w:eastAsia="华文中宋" w:hAnsi="华文中宋" w:cs="华文中宋"/>
          <w:bCs/>
          <w:color w:val="auto"/>
          <w:sz w:val="32"/>
          <w:szCs w:val="32"/>
          <w:highlight w:val="none"/>
        </w:rPr>
      </w:pPr>
      <w:r>
        <w:rPr>
          <w:rFonts w:ascii="宋体" w:hAnsi="宋体" w:cs="宋体" w:hint="eastAsia"/>
          <w:b/>
          <w:color w:val="auto"/>
          <w:sz w:val="30"/>
          <w:szCs w:val="30"/>
          <w:highlight w:val="none"/>
        </w:rPr>
        <w:t>2024年</w:t>
      </w:r>
      <w:r>
        <w:rPr>
          <w:rFonts w:ascii="宋体" w:hAnsi="宋体" w:cs="宋体" w:hint="eastAsia"/>
          <w:b/>
          <w:color w:val="auto"/>
          <w:sz w:val="30"/>
          <w:szCs w:val="30"/>
          <w:highlight w:val="none"/>
          <w:lang w:val="en-US" w:eastAsia="zh-CN"/>
        </w:rPr>
        <w:t>10</w:t>
      </w:r>
      <w:r>
        <w:rPr>
          <w:rFonts w:ascii="宋体" w:hAnsi="宋体" w:cs="宋体" w:hint="eastAsia"/>
          <w:b/>
          <w:color w:val="auto"/>
          <w:sz w:val="30"/>
          <w:szCs w:val="30"/>
          <w:highlight w:val="none"/>
        </w:rPr>
        <w:t>月</w:t>
      </w:r>
      <w:r>
        <w:rPr>
          <w:rFonts w:ascii="宋体" w:hAnsi="宋体" w:cs="宋体" w:hint="eastAsia"/>
          <w:b/>
          <w:color w:val="auto"/>
          <w:sz w:val="30"/>
          <w:szCs w:val="30"/>
          <w:highlight w:val="none"/>
          <w:lang w:val="en-US" w:eastAsia="zh-CN"/>
        </w:rPr>
        <w:t>22</w:t>
      </w:r>
      <w:r>
        <w:rPr>
          <w:rFonts w:ascii="宋体" w:hAnsi="宋体" w:cs="宋体" w:hint="eastAsia"/>
          <w:b/>
          <w:color w:val="auto"/>
          <w:sz w:val="30"/>
          <w:szCs w:val="30"/>
          <w:highlight w:val="none"/>
        </w:rPr>
        <w:t>日</w:t>
      </w:r>
    </w:p>
    <w:p>
      <w:pPr>
        <w:widowControl/>
        <w:jc w:val="left"/>
        <w:rPr>
          <w:rFonts w:ascii="宋体" w:hAnsi="Courier New" w:cs="宋体"/>
          <w:b/>
          <w:bCs/>
          <w:color w:val="auto"/>
          <w:sz w:val="28"/>
          <w:szCs w:val="28"/>
          <w:highlight w:val="none"/>
        </w:rPr>
      </w:pPr>
    </w:p>
    <w:p>
      <w:pPr>
        <w:pStyle w:val="PlainText"/>
        <w:numPr>
          <w:ilvl w:val="0"/>
          <w:numId w:val="2"/>
        </w:numPr>
        <w:jc w:val="center"/>
        <w:outlineLvl w:val="0"/>
        <w:rPr>
          <w:rFonts w:cs="宋体"/>
          <w:b/>
          <w:bCs/>
          <w:color w:val="auto"/>
          <w:sz w:val="28"/>
          <w:szCs w:val="28"/>
          <w:highlight w:val="none"/>
        </w:rPr>
      </w:pPr>
      <w:r>
        <w:rPr>
          <w:rFonts w:cs="宋体" w:hint="eastAsia"/>
          <w:b/>
          <w:bCs/>
          <w:color w:val="auto"/>
          <w:sz w:val="28"/>
          <w:szCs w:val="28"/>
          <w:highlight w:val="none"/>
        </w:rPr>
        <w:t xml:space="preserve"> 项目采购需求</w:t>
      </w:r>
    </w:p>
    <w:p>
      <w:pPr>
        <w:rPr>
          <w:color w:val="auto"/>
          <w:highlight w:val="none"/>
        </w:rPr>
      </w:pPr>
    </w:p>
    <w:p>
      <w:pPr>
        <w:snapToGrid w:val="0"/>
        <w:spacing w:line="400" w:lineRule="exact"/>
        <w:ind w:firstLine="420" w:firstLineChars="200"/>
        <w:rPr>
          <w:rFonts w:ascii="宋体" w:hAnsi="宋体" w:cs="宋体"/>
          <w:b/>
          <w:color w:val="auto"/>
          <w:szCs w:val="21"/>
          <w:highlight w:val="none"/>
        </w:rPr>
      </w:pPr>
      <w:r>
        <w:rPr>
          <w:rFonts w:ascii="宋体" w:hAnsi="宋体" w:cs="宋体" w:hint="eastAsia"/>
          <w:b/>
          <w:color w:val="auto"/>
          <w:szCs w:val="21"/>
          <w:highlight w:val="none"/>
        </w:rPr>
        <w:t>说明：</w:t>
      </w:r>
    </w:p>
    <w:p>
      <w:pPr>
        <w:snapToGrid w:val="0"/>
        <w:spacing w:line="400" w:lineRule="exact"/>
        <w:ind w:firstLine="420" w:firstLineChars="200"/>
        <w:rPr>
          <w:rFonts w:ascii="宋体" w:hAnsi="宋体" w:cs="宋体"/>
          <w:b/>
          <w:color w:val="auto"/>
          <w:szCs w:val="21"/>
          <w:highlight w:val="none"/>
        </w:rPr>
      </w:pPr>
      <w:r>
        <w:rPr>
          <w:rFonts w:ascii="宋体" w:hAnsi="宋体" w:cs="宋体" w:hint="eastAsia"/>
          <w:b/>
          <w:color w:val="auto"/>
          <w:szCs w:val="21"/>
          <w:highlight w:val="none"/>
        </w:rPr>
        <w:t>1.投标人提供的服务必须符合国家和行业标准。</w:t>
      </w:r>
    </w:p>
    <w:p>
      <w:pPr>
        <w:snapToGrid w:val="0"/>
        <w:spacing w:line="400" w:lineRule="exact"/>
        <w:ind w:firstLine="420" w:firstLineChars="200"/>
        <w:rPr>
          <w:rFonts w:ascii="宋体" w:hAnsi="宋体" w:cs="宋体"/>
          <w:b/>
          <w:color w:val="auto"/>
          <w:szCs w:val="21"/>
          <w:highlight w:val="none"/>
        </w:rPr>
      </w:pPr>
      <w:r>
        <w:rPr>
          <w:rFonts w:ascii="宋体" w:hAnsi="宋体" w:cs="宋体" w:hint="eastAsia"/>
          <w:b/>
          <w:color w:val="auto"/>
          <w:szCs w:val="21"/>
          <w:highlight w:val="none"/>
        </w:rPr>
        <w:t>2.标“★”为实质性参数要求和条件，投标人必须满足并在投标文件中如实作出响应，否则投标无效；标“▲”为重点指标；无标识的为一般指标。</w:t>
      </w:r>
    </w:p>
    <w:p>
      <w:pPr>
        <w:snapToGrid w:val="0"/>
        <w:spacing w:line="400" w:lineRule="exact"/>
        <w:ind w:firstLine="420" w:firstLineChars="200"/>
        <w:rPr>
          <w:rFonts w:ascii="宋体" w:hAnsi="宋体" w:cs="宋体"/>
          <w:b/>
          <w:color w:val="auto"/>
          <w:szCs w:val="21"/>
          <w:highlight w:val="none"/>
        </w:rPr>
      </w:pPr>
      <w:r>
        <w:rPr>
          <w:rFonts w:ascii="宋体" w:hAnsi="宋体" w:cs="宋体" w:hint="eastAsia"/>
          <w:b/>
          <w:color w:val="auto"/>
          <w:szCs w:val="21"/>
          <w:highlight w:val="none"/>
        </w:rPr>
        <w:t>3.投标人投标时必须在投标文件中对所投分标所有项目要求及技术需求内容、商务要求表中内容及附件内容（如有）逐条响应并一一对应。</w:t>
      </w:r>
    </w:p>
    <w:p>
      <w:pPr>
        <w:snapToGrid w:val="0"/>
        <w:spacing w:line="400" w:lineRule="exact"/>
        <w:ind w:firstLine="420" w:firstLineChars="200"/>
        <w:rPr>
          <w:rFonts w:ascii="宋体" w:hAnsi="宋体" w:cs="宋体"/>
          <w:b/>
          <w:color w:val="auto"/>
          <w:szCs w:val="21"/>
          <w:highlight w:val="none"/>
        </w:rPr>
      </w:pPr>
      <w:r>
        <w:rPr>
          <w:rFonts w:ascii="宋体" w:hAnsi="宋体" w:cs="宋体" w:hint="eastAsia"/>
          <w:b/>
          <w:color w:val="auto"/>
          <w:szCs w:val="21"/>
          <w:highlight w:val="none"/>
        </w:rPr>
        <w:t>4. 本项目采购标的对应的中小企业划分标准所属行业为：物业管理。</w:t>
      </w:r>
    </w:p>
    <w:p>
      <w:pPr>
        <w:snapToGrid w:val="0"/>
        <w:spacing w:line="400" w:lineRule="exact"/>
        <w:ind w:firstLine="420" w:firstLineChars="200"/>
        <w:rPr>
          <w:rFonts w:ascii="宋体" w:hAnsi="宋体" w:cs="宋体"/>
          <w:b/>
          <w:color w:val="auto"/>
          <w:szCs w:val="21"/>
          <w:highlight w:val="none"/>
        </w:rPr>
      </w:pPr>
    </w:p>
    <w:tbl>
      <w:tblPr>
        <w:tblStyle w:val="TableNormal"/>
        <w:tblW w:w="5138"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549"/>
        <w:gridCol w:w="38"/>
        <w:gridCol w:w="860"/>
        <w:gridCol w:w="176"/>
        <w:gridCol w:w="23"/>
        <w:gridCol w:w="589"/>
        <w:gridCol w:w="7326"/>
      </w:tblGrid>
      <w:tr>
        <w:tblPrEx>
          <w:tblW w:w="5138"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Ex>
        <w:trPr>
          <w:trHeight w:val="567"/>
        </w:trPr>
        <w:tc>
          <w:tcPr>
            <w:tcW w:w="5000" w:type="pct"/>
            <w:gridSpan w:val="7"/>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pPr>
              <w:widowControl/>
              <w:spacing w:line="300" w:lineRule="auto"/>
              <w:jc w:val="left"/>
              <w:rPr>
                <w:rFonts w:ascii="宋体" w:hAnsi="宋体" w:cs="黑体"/>
                <w:color w:val="auto"/>
                <w:kern w:val="0"/>
                <w:szCs w:val="21"/>
                <w:highlight w:val="none"/>
              </w:rPr>
            </w:pPr>
            <w:r>
              <w:rPr>
                <w:rFonts w:ascii="宋体" w:hAnsi="宋体" w:cs="黑体" w:hint="eastAsia"/>
                <w:color w:val="auto"/>
                <w:kern w:val="0"/>
                <w:szCs w:val="21"/>
                <w:highlight w:val="none"/>
              </w:rPr>
              <w:t>一、技术参数、服务内容要求：</w:t>
            </w:r>
          </w:p>
        </w:tc>
      </w:tr>
      <w:tr>
        <w:tblPrEx>
          <w:tblW w:w="5138" w:type="pct"/>
          <w:tblInd w:w="-256" w:type="dxa"/>
          <w:tblLayout w:type="fixed"/>
          <w:tblCellMar>
            <w:top w:w="0" w:type="dxa"/>
            <w:left w:w="0" w:type="dxa"/>
            <w:bottom w:w="0" w:type="dxa"/>
            <w:right w:w="0" w:type="dxa"/>
          </w:tblCellMar>
        </w:tblPrEx>
        <w:trPr>
          <w:trHeight w:val="567"/>
        </w:trPr>
        <w:tc>
          <w:tcPr>
            <w:tcW w:w="28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pPr>
              <w:spacing w:line="380" w:lineRule="exact"/>
              <w:jc w:val="center"/>
              <w:rPr>
                <w:rFonts w:ascii="宋体" w:hAnsi="宋体" w:cs="宋体"/>
                <w:b/>
                <w:bCs/>
                <w:color w:val="auto"/>
                <w:szCs w:val="21"/>
                <w:highlight w:val="none"/>
              </w:rPr>
            </w:pPr>
            <w:r>
              <w:rPr>
                <w:rFonts w:ascii="宋体" w:hAnsi="宋体" w:cs="宋体" w:hint="eastAsia"/>
                <w:b/>
                <w:bCs/>
                <w:color w:val="auto"/>
                <w:szCs w:val="21"/>
                <w:highlight w:val="none"/>
              </w:rPr>
              <w:t>序号</w:t>
            </w:r>
          </w:p>
        </w:tc>
        <w:tc>
          <w:tcPr>
            <w:tcW w:w="470" w:type="pct"/>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pPr>
              <w:snapToGrid w:val="0"/>
              <w:spacing w:line="380" w:lineRule="exact"/>
              <w:jc w:val="center"/>
              <w:rPr>
                <w:rFonts w:ascii="宋体" w:hAnsi="宋体" w:cs="宋体"/>
                <w:b/>
                <w:bCs/>
                <w:color w:val="auto"/>
                <w:szCs w:val="21"/>
                <w:highlight w:val="none"/>
              </w:rPr>
            </w:pPr>
            <w:r>
              <w:rPr>
                <w:rFonts w:ascii="宋体" w:hAnsi="宋体" w:cs="宋体" w:hint="eastAsia"/>
                <w:b/>
                <w:bCs/>
                <w:color w:val="auto"/>
                <w:szCs w:val="21"/>
                <w:highlight w:val="none"/>
              </w:rPr>
              <w:t>标的名称</w:t>
            </w:r>
          </w:p>
        </w:tc>
        <w:tc>
          <w:tcPr>
            <w:tcW w:w="412" w:type="pct"/>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pPr>
              <w:snapToGrid w:val="0"/>
              <w:spacing w:line="380" w:lineRule="exact"/>
              <w:jc w:val="center"/>
              <w:rPr>
                <w:rFonts w:ascii="宋体" w:hAnsi="宋体" w:cs="宋体"/>
                <w:b/>
                <w:bCs/>
                <w:color w:val="auto"/>
                <w:szCs w:val="21"/>
                <w:highlight w:val="none"/>
              </w:rPr>
            </w:pPr>
            <w:r>
              <w:rPr>
                <w:rFonts w:ascii="宋体" w:hAnsi="宋体" w:cs="宋体" w:hint="eastAsia"/>
                <w:b/>
                <w:bCs/>
                <w:color w:val="auto"/>
                <w:szCs w:val="21"/>
                <w:highlight w:val="none"/>
              </w:rPr>
              <w:t>数量及单位</w:t>
            </w:r>
          </w:p>
        </w:tc>
        <w:tc>
          <w:tcPr>
            <w:tcW w:w="3830"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pPr>
              <w:spacing w:line="380" w:lineRule="exact"/>
              <w:jc w:val="center"/>
              <w:rPr>
                <w:rFonts w:ascii="宋体" w:hAnsi="宋体" w:cs="宋体"/>
                <w:b/>
                <w:bCs/>
                <w:color w:val="auto"/>
                <w:szCs w:val="21"/>
                <w:highlight w:val="none"/>
              </w:rPr>
            </w:pPr>
            <w:r>
              <w:rPr>
                <w:rFonts w:ascii="宋体" w:hAnsi="宋体" w:cs="宋体" w:hint="eastAsia"/>
                <w:b/>
                <w:bCs/>
                <w:color w:val="auto"/>
                <w:szCs w:val="21"/>
                <w:highlight w:val="none"/>
              </w:rPr>
              <w:t>技术需求或者服务要求</w:t>
            </w:r>
          </w:p>
        </w:tc>
      </w:tr>
      <w:tr>
        <w:tblPrEx>
          <w:tblW w:w="5138" w:type="pct"/>
          <w:tblInd w:w="-256" w:type="dxa"/>
          <w:tblLayout w:type="fixed"/>
          <w:tblCellMar>
            <w:top w:w="0" w:type="dxa"/>
            <w:left w:w="0" w:type="dxa"/>
            <w:bottom w:w="0" w:type="dxa"/>
            <w:right w:w="0" w:type="dxa"/>
          </w:tblCellMar>
        </w:tblPrEx>
        <w:trPr>
          <w:trHeight w:val="567"/>
        </w:trPr>
        <w:tc>
          <w:tcPr>
            <w:tcW w:w="28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pPr>
              <w:numPr>
                <w:ilvl w:val="0"/>
                <w:numId w:val="3"/>
              </w:numPr>
              <w:spacing w:line="380" w:lineRule="exact"/>
              <w:jc w:val="center"/>
              <w:rPr>
                <w:rFonts w:ascii="宋体" w:hAnsi="宋体" w:cs="宋体"/>
                <w:color w:val="auto"/>
                <w:szCs w:val="21"/>
                <w:highlight w:val="none"/>
              </w:rPr>
            </w:pPr>
          </w:p>
        </w:tc>
        <w:tc>
          <w:tcPr>
            <w:tcW w:w="470" w:type="pct"/>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pPr>
              <w:spacing w:line="380" w:lineRule="exact"/>
              <w:jc w:val="center"/>
              <w:rPr>
                <w:rFonts w:ascii="宋体" w:hAnsi="宋体" w:cs="宋体"/>
                <w:color w:val="auto"/>
                <w:szCs w:val="21"/>
                <w:highlight w:val="none"/>
              </w:rPr>
            </w:pPr>
            <w:r>
              <w:rPr>
                <w:rFonts w:ascii="宋体" w:hAnsi="宋体" w:cs="宋体" w:hint="eastAsia"/>
                <w:color w:val="auto"/>
                <w:szCs w:val="21"/>
                <w:highlight w:val="none"/>
              </w:rPr>
              <w:t>国家税务总局柳州市税务局2025-2026年物业管理服务项目</w:t>
            </w:r>
          </w:p>
        </w:tc>
        <w:tc>
          <w:tcPr>
            <w:tcW w:w="412" w:type="pct"/>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pPr>
              <w:spacing w:line="380" w:lineRule="exact"/>
              <w:jc w:val="center"/>
              <w:rPr>
                <w:rFonts w:ascii="宋体" w:hAnsi="宋体" w:cs="??"/>
                <w:color w:val="auto"/>
                <w:szCs w:val="21"/>
                <w:highlight w:val="none"/>
              </w:rPr>
            </w:pPr>
            <w:r>
              <w:rPr>
                <w:rFonts w:ascii="宋体" w:hAnsi="宋体"/>
                <w:color w:val="auto"/>
                <w:kern w:val="0"/>
                <w:szCs w:val="21"/>
                <w:highlight w:val="none"/>
              </w:rPr>
              <w:t>1项</w:t>
            </w:r>
          </w:p>
        </w:tc>
        <w:tc>
          <w:tcPr>
            <w:tcW w:w="3830" w:type="pct"/>
            <w:tcBorders>
              <w:top w:val="single" w:sz="4" w:space="0" w:color="auto"/>
              <w:left w:val="single" w:sz="4" w:space="0" w:color="auto"/>
              <w:right w:val="single" w:sz="4" w:space="0" w:color="auto"/>
            </w:tcBorders>
            <w:tcMar>
              <w:top w:w="13" w:type="dxa"/>
              <w:left w:w="57" w:type="dxa"/>
              <w:bottom w:w="0" w:type="dxa"/>
              <w:right w:w="57" w:type="dxa"/>
            </w:tcMar>
            <w:vAlign w:val="center"/>
          </w:tcPr>
          <w:p>
            <w:pPr>
              <w:widowControl/>
              <w:wordWrap w:val="0"/>
              <w:autoSpaceDE w:val="0"/>
              <w:autoSpaceDN w:val="0"/>
              <w:adjustRightInd w:val="0"/>
              <w:snapToGrid w:val="0"/>
              <w:spacing w:line="360" w:lineRule="auto"/>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5"/>
                <w:kern w:val="0"/>
                <w:szCs w:val="21"/>
                <w:highlight w:val="none"/>
              </w:rPr>
              <w:t>一、项目服务方式及要求</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b/>
                <w:bCs/>
                <w:snapToGrid w:val="0"/>
                <w:color w:val="auto"/>
                <w:spacing w:val="11"/>
                <w:kern w:val="0"/>
                <w:szCs w:val="21"/>
                <w:highlight w:val="none"/>
              </w:rPr>
            </w:pPr>
            <w:r>
              <w:rPr>
                <w:rFonts w:ascii="宋体" w:hAnsi="宋体" w:cs="宋体" w:hint="eastAsia"/>
                <w:b/>
                <w:bCs/>
                <w:snapToGrid w:val="0"/>
                <w:color w:val="auto"/>
                <w:spacing w:val="11"/>
                <w:kern w:val="0"/>
                <w:szCs w:val="21"/>
                <w:highlight w:val="none"/>
              </w:rPr>
              <w:t>（一）物业管理服务范围</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spacing w:val="6"/>
                <w:kern w:val="0"/>
                <w:szCs w:val="21"/>
                <w:highlight w:val="none"/>
              </w:rPr>
            </w:pPr>
            <w:r>
              <w:rPr>
                <w:rFonts w:ascii="宋体" w:hAnsi="宋体" w:cs="宋体" w:hint="eastAsia"/>
                <w:snapToGrid w:val="0"/>
                <w:color w:val="auto"/>
                <w:spacing w:val="7"/>
                <w:kern w:val="0"/>
                <w:szCs w:val="21"/>
                <w:highlight w:val="none"/>
              </w:rPr>
              <w:t>1.</w:t>
            </w:r>
            <w:r>
              <w:rPr>
                <w:rFonts w:ascii="宋体" w:hAnsi="宋体" w:cs="宋体" w:hint="eastAsia"/>
                <w:snapToGrid w:val="0"/>
                <w:color w:val="auto"/>
                <w:spacing w:val="5"/>
                <w:kern w:val="0"/>
                <w:szCs w:val="21"/>
                <w:highlight w:val="none"/>
              </w:rPr>
              <w:t>柳州市税务局潭中东路26号办公区，坐落于柳州市城中区潭中东路26号，总占地（院落）面积：11386.55㎡，其中：办公楼占地2076㎡，道路、空地9310.55㎡。办公楼为地下1层，地上15层。现该楼总建筑面积：25119.45㎡。</w:t>
            </w:r>
            <w:r>
              <w:rPr>
                <w:rFonts w:ascii="宋体" w:hAnsi="宋体" w:cs="宋体" w:hint="eastAsia"/>
                <w:snapToGrid w:val="0"/>
                <w:color w:val="auto"/>
                <w:spacing w:val="6"/>
                <w:kern w:val="0"/>
                <w:szCs w:val="21"/>
                <w:highlight w:val="none"/>
              </w:rPr>
              <w:t>主要设施：电梯4部、空调为多联空调机组及模块式风冷热泵机组、地下立体车库（257个车位）、有配电房1个，水泵房1个，消防系统</w:t>
            </w:r>
            <w:r>
              <w:rPr>
                <w:rFonts w:ascii="宋体" w:hAnsi="宋体" w:cs="宋体" w:hint="eastAsia"/>
                <w:snapToGrid w:val="0"/>
                <w:color w:val="auto"/>
                <w:spacing w:val="5"/>
                <w:kern w:val="0"/>
                <w:szCs w:val="21"/>
                <w:highlight w:val="none"/>
              </w:rPr>
              <w:t>1套。</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spacing w:val="11"/>
                <w:kern w:val="0"/>
                <w:szCs w:val="21"/>
                <w:highlight w:val="none"/>
              </w:rPr>
            </w:pPr>
            <w:r>
              <w:rPr>
                <w:rFonts w:ascii="宋体" w:hAnsi="宋体" w:cs="宋体" w:hint="eastAsia"/>
                <w:snapToGrid w:val="0"/>
                <w:color w:val="auto"/>
                <w:spacing w:val="11"/>
                <w:kern w:val="0"/>
                <w:szCs w:val="21"/>
                <w:highlight w:val="none"/>
              </w:rPr>
              <w:t>2.柳州市潭中东路14号办公区，位于柳州市潭中东路14号。主楼地上15层，地下1层；附楼3栋，均为2层，建筑面积10726㎡，绿地面积300㎡，大院停车场面积2000㎡。主要设施设备：配电房2间、变压器1台、中央空调系统2套、照明系统1套、消防系统1套、监控系统1套、红外报警系统1套、二次加压系统1套、排污系统1套、电梯2台、分体空调40台、信息中心机房2个、电教室1个、办公设施若干。</w:t>
            </w:r>
          </w:p>
          <w:p>
            <w:pPr>
              <w:widowControl/>
              <w:overflowPunct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spacing w:val="11"/>
                <w:kern w:val="0"/>
                <w:szCs w:val="21"/>
                <w:highlight w:val="none"/>
              </w:rPr>
            </w:pPr>
            <w:r>
              <w:rPr>
                <w:rFonts w:ascii="宋体" w:hAnsi="宋体" w:cs="宋体" w:hint="eastAsia"/>
                <w:snapToGrid w:val="0"/>
                <w:color w:val="auto"/>
                <w:spacing w:val="11"/>
                <w:kern w:val="0"/>
                <w:szCs w:val="21"/>
                <w:highlight w:val="none"/>
              </w:rPr>
              <w:t>3.柳州市税务局第一稽查局位于柳北区三中路跃进村162号，办公楼一栋共三层半，一至三层办公用，顶楼半层用作食堂，总占地面积1062.12㎡，总建筑面积2937.96㎡，其中办公楼建筑面积2648.96平方米、其他建筑面积289平方米，一楼大院停车位15个。主要设施设备：办税服务大厅1个、配电房1间、充电桩3个、监控系统1套、中心机房1个、分体空调40台、办公设施若干。</w:t>
            </w:r>
          </w:p>
          <w:p>
            <w:pPr>
              <w:widowControl/>
              <w:overflowPunct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spacing w:val="11"/>
                <w:kern w:val="0"/>
                <w:szCs w:val="21"/>
                <w:highlight w:val="none"/>
              </w:rPr>
            </w:pPr>
            <w:r>
              <w:rPr>
                <w:rFonts w:ascii="宋体" w:hAnsi="宋体" w:cs="宋体" w:hint="eastAsia"/>
                <w:snapToGrid w:val="0"/>
                <w:color w:val="auto"/>
                <w:spacing w:val="11"/>
                <w:kern w:val="0"/>
                <w:szCs w:val="21"/>
                <w:highlight w:val="none"/>
              </w:rPr>
              <w:t>4.柳州市税务局第三稽查局综合业务办公用房位于</w:t>
            </w:r>
            <w:r>
              <w:rPr>
                <w:rFonts w:ascii="宋体" w:hAnsi="宋体" w:cs="宋体" w:hint="eastAsia"/>
                <w:snapToGrid w:val="0"/>
                <w:color w:val="auto"/>
                <w:spacing w:val="7"/>
                <w:kern w:val="0"/>
                <w:szCs w:val="21"/>
                <w:highlight w:val="none"/>
              </w:rPr>
              <w:t>屏山大道312号，</w:t>
            </w:r>
            <w:r>
              <w:rPr>
                <w:rFonts w:ascii="宋体" w:hAnsi="宋体" w:cs="宋体" w:hint="eastAsia"/>
                <w:snapToGrid w:val="0"/>
                <w:color w:val="auto"/>
                <w:spacing w:val="11"/>
                <w:kern w:val="0"/>
                <w:szCs w:val="21"/>
                <w:highlight w:val="none"/>
              </w:rPr>
              <w:t>总建筑面积约3982平方米，是一栋12层楼的建筑，地下1层的建筑，后院停车场面积大约500㎡，配电房1间大约100㎡，变压器1台，柴油发电机1组，照明系统1套、充电桩6个，消防系统1套、监控系统1套、二次加压系统1套、电梯1台、分体空调50台、信息中心机房1个（鱼峰局）、办公设施若干。</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b/>
                <w:bCs/>
                <w:snapToGrid w:val="0"/>
                <w:color w:val="auto"/>
                <w:spacing w:val="6"/>
                <w:kern w:val="0"/>
                <w:szCs w:val="21"/>
                <w:highlight w:val="none"/>
              </w:rPr>
              <w:t>（二）物业管理服务要求</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4"/>
                <w:kern w:val="0"/>
                <w:szCs w:val="21"/>
                <w:highlight w:val="none"/>
              </w:rPr>
              <w:t>1、综合服务。发挥物业服务管理职能，提供相应保障服务，更好地服务采购人局机关工作人员，</w:t>
            </w:r>
            <w:r>
              <w:rPr>
                <w:rFonts w:ascii="宋体" w:hAnsi="宋体" w:cs="宋体" w:hint="eastAsia"/>
                <w:snapToGrid w:val="0"/>
                <w:color w:val="auto"/>
                <w:spacing w:val="7"/>
                <w:kern w:val="0"/>
                <w:szCs w:val="21"/>
                <w:highlight w:val="none"/>
              </w:rPr>
              <w:t>包括但不限于：</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（1）建立投诉处理机制：建立物业管理服务投诉渠道，如投诉电话、微信号、意</w:t>
            </w:r>
            <w:r>
              <w:rPr>
                <w:rFonts w:ascii="宋体" w:hAnsi="宋体" w:cs="宋体" w:hint="eastAsia"/>
                <w:snapToGrid w:val="0"/>
                <w:color w:val="auto"/>
                <w:spacing w:val="7"/>
                <w:kern w:val="0"/>
                <w:szCs w:val="21"/>
                <w:highlight w:val="none"/>
              </w:rPr>
              <w:t>见箱等，公布</w:t>
            </w:r>
            <w:r>
              <w:rPr>
                <w:rFonts w:ascii="宋体" w:hAnsi="宋体" w:cs="宋体" w:hint="eastAsia"/>
                <w:snapToGrid w:val="0"/>
                <w:color w:val="auto"/>
                <w:spacing w:val="9"/>
                <w:kern w:val="0"/>
                <w:szCs w:val="21"/>
                <w:highlight w:val="none"/>
              </w:rPr>
              <w:t>投诉处理流程等；设立每天24小时服务热线电话及24小时值班，及时接受采购人和职工的投诉反</w:t>
            </w:r>
            <w:r>
              <w:rPr>
                <w:rFonts w:ascii="宋体" w:hAnsi="宋体" w:cs="宋体" w:hint="eastAsia"/>
                <w:snapToGrid w:val="0"/>
                <w:color w:val="auto"/>
                <w:spacing w:val="11"/>
                <w:kern w:val="0"/>
                <w:szCs w:val="21"/>
                <w:highlight w:val="none"/>
              </w:rPr>
              <w:t>映，并及时解决所反映的问题，对受理的投诉应核实情况，及时处理并对采购</w:t>
            </w:r>
            <w:r>
              <w:rPr>
                <w:rFonts w:ascii="宋体" w:hAnsi="宋体" w:cs="宋体" w:hint="eastAsia"/>
                <w:snapToGrid w:val="0"/>
                <w:color w:val="auto"/>
                <w:spacing w:val="10"/>
                <w:kern w:val="0"/>
                <w:szCs w:val="21"/>
                <w:highlight w:val="none"/>
              </w:rPr>
              <w:t>人和职工提出的投诉</w:t>
            </w:r>
            <w:r>
              <w:rPr>
                <w:rFonts w:ascii="宋体" w:hAnsi="宋体" w:cs="宋体" w:hint="eastAsia"/>
                <w:snapToGrid w:val="0"/>
                <w:color w:val="auto"/>
                <w:spacing w:val="11"/>
                <w:kern w:val="0"/>
                <w:szCs w:val="21"/>
                <w:highlight w:val="none"/>
              </w:rPr>
              <w:t>进行答复；属于物业服务责任的，应向业主道歉，及时处理或纠正；不</w:t>
            </w:r>
            <w:r>
              <w:rPr>
                <w:rFonts w:ascii="宋体" w:hAnsi="宋体" w:cs="宋体" w:hint="eastAsia"/>
                <w:snapToGrid w:val="0"/>
                <w:color w:val="auto"/>
                <w:spacing w:val="10"/>
                <w:kern w:val="0"/>
                <w:szCs w:val="21"/>
                <w:highlight w:val="none"/>
              </w:rPr>
              <w:t>属于物业服务责任的，应耐</w:t>
            </w:r>
            <w:r>
              <w:rPr>
                <w:rFonts w:ascii="宋体" w:hAnsi="宋体" w:cs="宋体" w:hint="eastAsia"/>
                <w:snapToGrid w:val="0"/>
                <w:color w:val="auto"/>
                <w:spacing w:val="9"/>
                <w:kern w:val="0"/>
                <w:szCs w:val="21"/>
                <w:highlight w:val="none"/>
              </w:rPr>
              <w:t>心做好解释工作并提供必要的帮助。受理、处理投诉应留存记录。</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（2）客户意见征集、处理：建立健全调查制度、调查问卷、回访统计表、原因分析及</w:t>
            </w:r>
            <w:r>
              <w:rPr>
                <w:rFonts w:ascii="宋体" w:hAnsi="宋体" w:cs="宋体" w:hint="eastAsia"/>
                <w:snapToGrid w:val="0"/>
                <w:color w:val="auto"/>
                <w:spacing w:val="7"/>
                <w:kern w:val="0"/>
                <w:szCs w:val="21"/>
                <w:highlight w:val="none"/>
              </w:rPr>
              <w:t>更改措施</w:t>
            </w:r>
            <w:r>
              <w:rPr>
                <w:rFonts w:ascii="宋体" w:hAnsi="宋体" w:cs="宋体" w:hint="eastAsia"/>
                <w:snapToGrid w:val="0"/>
                <w:color w:val="auto"/>
                <w:spacing w:val="10"/>
                <w:kern w:val="0"/>
                <w:szCs w:val="21"/>
                <w:highlight w:val="none"/>
              </w:rPr>
              <w:t>记录。回访调查表、调查问卷应为收录用户签名的原始记录；回访：迁入</w:t>
            </w:r>
            <w:r>
              <w:rPr>
                <w:rFonts w:ascii="宋体" w:hAnsi="宋体" w:cs="宋体" w:hint="eastAsia"/>
                <w:snapToGrid w:val="0"/>
                <w:color w:val="auto"/>
                <w:spacing w:val="9"/>
                <w:kern w:val="0"/>
                <w:szCs w:val="21"/>
                <w:highlight w:val="none"/>
              </w:rPr>
              <w:t>、维修及投诉处理完毕后</w:t>
            </w:r>
            <w:r>
              <w:rPr>
                <w:rFonts w:ascii="宋体" w:hAnsi="宋体" w:cs="宋体" w:hint="eastAsia"/>
                <w:snapToGrid w:val="0"/>
                <w:color w:val="auto"/>
                <w:spacing w:val="11"/>
                <w:kern w:val="0"/>
                <w:szCs w:val="21"/>
                <w:highlight w:val="none"/>
              </w:rPr>
              <w:t>均应进行回访，并留有回访调查表、回访统计表综合满意度调查；每季</w:t>
            </w:r>
            <w:r>
              <w:rPr>
                <w:rFonts w:ascii="宋体" w:hAnsi="宋体" w:cs="宋体" w:hint="eastAsia"/>
                <w:snapToGrid w:val="0"/>
                <w:color w:val="auto"/>
                <w:spacing w:val="10"/>
                <w:kern w:val="0"/>
                <w:szCs w:val="21"/>
                <w:highlight w:val="none"/>
              </w:rPr>
              <w:t>度至少一次，向客户采用走</w:t>
            </w:r>
            <w:r>
              <w:rPr>
                <w:rFonts w:ascii="宋体" w:hAnsi="宋体" w:cs="宋体" w:hint="eastAsia"/>
                <w:snapToGrid w:val="0"/>
                <w:color w:val="auto"/>
                <w:spacing w:val="11"/>
                <w:kern w:val="0"/>
                <w:szCs w:val="21"/>
                <w:highlight w:val="none"/>
              </w:rPr>
              <w:t>访、问卷调查等形式，开展物业管理服务满意度调查，并对调查结果进</w:t>
            </w:r>
            <w:r>
              <w:rPr>
                <w:rFonts w:ascii="宋体" w:hAnsi="宋体" w:cs="宋体" w:hint="eastAsia"/>
                <w:snapToGrid w:val="0"/>
                <w:color w:val="auto"/>
                <w:spacing w:val="10"/>
                <w:kern w:val="0"/>
                <w:szCs w:val="21"/>
                <w:highlight w:val="none"/>
              </w:rPr>
              <w:t>行分析，持续改进，及时反</w:t>
            </w:r>
            <w:r>
              <w:rPr>
                <w:rFonts w:ascii="宋体" w:hAnsi="宋体" w:cs="宋体" w:hint="eastAsia"/>
                <w:snapToGrid w:val="0"/>
                <w:color w:val="auto"/>
                <w:spacing w:val="11"/>
                <w:kern w:val="0"/>
                <w:szCs w:val="21"/>
                <w:highlight w:val="none"/>
              </w:rPr>
              <w:t>馈客户动态信息，客户日常反馈的意见应及时处理，并留有记录；建设</w:t>
            </w:r>
            <w:r>
              <w:rPr>
                <w:rFonts w:ascii="宋体" w:hAnsi="宋体" w:cs="宋体" w:hint="eastAsia"/>
                <w:snapToGrid w:val="0"/>
                <w:color w:val="auto"/>
                <w:spacing w:val="10"/>
                <w:kern w:val="0"/>
                <w:szCs w:val="21"/>
                <w:highlight w:val="none"/>
              </w:rPr>
              <w:t>物业服务评价平台，满足与</w:t>
            </w:r>
            <w:r>
              <w:rPr>
                <w:rFonts w:ascii="宋体" w:hAnsi="宋体" w:cs="宋体" w:hint="eastAsia"/>
                <w:snapToGrid w:val="0"/>
                <w:color w:val="auto"/>
                <w:spacing w:val="9"/>
                <w:kern w:val="0"/>
                <w:szCs w:val="21"/>
                <w:highlight w:val="none"/>
              </w:rPr>
              <w:t>用户意见交流、接受用户评价、接纳用户合理建议工作。</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（3）物业档案资料管理。档案和资料的管理包括：业主档案、设备设施档案、清洁卫</w:t>
            </w:r>
            <w:r>
              <w:rPr>
                <w:rFonts w:ascii="宋体" w:hAnsi="宋体" w:cs="宋体" w:hint="eastAsia"/>
                <w:snapToGrid w:val="0"/>
                <w:color w:val="auto"/>
                <w:spacing w:val="7"/>
                <w:kern w:val="0"/>
                <w:szCs w:val="21"/>
                <w:highlight w:val="none"/>
              </w:rPr>
              <w:t>生管理档</w:t>
            </w:r>
            <w:r>
              <w:rPr>
                <w:rFonts w:ascii="宋体" w:hAnsi="宋体" w:cs="宋体" w:hint="eastAsia"/>
                <w:snapToGrid w:val="0"/>
                <w:color w:val="auto"/>
                <w:spacing w:val="11"/>
                <w:kern w:val="0"/>
                <w:szCs w:val="21"/>
                <w:highlight w:val="none"/>
              </w:rPr>
              <w:t>案、室内外绿化管理档案、人事管理及人员培训</w:t>
            </w:r>
            <w:r>
              <w:rPr>
                <w:rFonts w:ascii="宋体" w:hAnsi="宋体" w:cs="宋体" w:hint="eastAsia"/>
                <w:snapToGrid w:val="0"/>
                <w:color w:val="auto"/>
                <w:spacing w:val="8"/>
                <w:kern w:val="0"/>
                <w:szCs w:val="21"/>
                <w:highlight w:val="none"/>
              </w:rPr>
              <w:t>档案</w:t>
            </w:r>
            <w:r>
              <w:rPr>
                <w:rFonts w:ascii="宋体" w:hAnsi="宋体" w:cs="宋体" w:hint="eastAsia"/>
                <w:snapToGrid w:val="0"/>
                <w:color w:val="auto"/>
                <w:spacing w:val="11"/>
                <w:kern w:val="0"/>
                <w:szCs w:val="21"/>
                <w:highlight w:val="none"/>
              </w:rPr>
              <w:t>以及具体的管理方案</w:t>
            </w:r>
            <w:r>
              <w:rPr>
                <w:rFonts w:ascii="宋体" w:hAnsi="宋体" w:cs="宋体" w:hint="eastAsia"/>
                <w:snapToGrid w:val="0"/>
                <w:color w:val="auto"/>
                <w:spacing w:val="10"/>
                <w:kern w:val="0"/>
                <w:szCs w:val="21"/>
                <w:highlight w:val="none"/>
              </w:rPr>
              <w:t>、工作计划等资料档案，</w:t>
            </w:r>
            <w:r>
              <w:rPr>
                <w:rFonts w:ascii="宋体" w:hAnsi="宋体" w:cs="宋体" w:hint="eastAsia"/>
                <w:snapToGrid w:val="0"/>
                <w:color w:val="auto"/>
                <w:spacing w:val="9"/>
                <w:kern w:val="0"/>
                <w:szCs w:val="21"/>
                <w:highlight w:val="none"/>
              </w:rPr>
              <w:t>所有资料档案做到保存完整，管理完善，交接手续完备，检索方便准确，符合有关标准。</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（4）对各办公室内的日常使用物资配送、发放。安排专人负责报刊、杂志派送等。</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5"/>
                <w:kern w:val="0"/>
                <w:szCs w:val="21"/>
                <w:highlight w:val="none"/>
              </w:rPr>
              <w:t>（5）对办公区域清理出来可利旧的杂物、旧物品和其他物品，按采购</w:t>
            </w:r>
            <w:r>
              <w:rPr>
                <w:rFonts w:ascii="宋体" w:hAnsi="宋体" w:cs="宋体" w:hint="eastAsia"/>
                <w:snapToGrid w:val="0"/>
                <w:color w:val="auto"/>
                <w:spacing w:val="4"/>
                <w:kern w:val="0"/>
                <w:szCs w:val="21"/>
                <w:highlight w:val="none"/>
              </w:rPr>
              <w:t>人要求协助进行暂时保管。</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（6）对废纸、废塑料品、废电池及废灯具等废旧物品进行定点回收及清理搬运。</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（7）按要求协助做好办公区重大节日、重大活动等氛围营造及宣传标语制作、张贴等。</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3"/>
                <w:kern w:val="0"/>
                <w:szCs w:val="21"/>
                <w:highlight w:val="none"/>
              </w:rPr>
              <w:t>（8）配合采购人做好公共机构节能减排工作，合理设定启动办公区感应灯的时间，每</w:t>
            </w:r>
            <w:r>
              <w:rPr>
                <w:rFonts w:ascii="宋体" w:hAnsi="宋体" w:cs="宋体" w:hint="eastAsia"/>
                <w:snapToGrid w:val="0"/>
                <w:color w:val="auto"/>
                <w:spacing w:val="12"/>
                <w:kern w:val="0"/>
                <w:szCs w:val="21"/>
                <w:highlight w:val="none"/>
              </w:rPr>
              <w:t>天晚上</w:t>
            </w:r>
            <w:r>
              <w:rPr>
                <w:rFonts w:ascii="宋体" w:hAnsi="宋体" w:cs="宋体" w:hint="eastAsia"/>
                <w:snapToGrid w:val="0"/>
                <w:color w:val="auto"/>
                <w:spacing w:val="7"/>
                <w:kern w:val="0"/>
                <w:szCs w:val="21"/>
                <w:highlight w:val="none"/>
              </w:rPr>
              <w:t>22点对办公区进行巡查，关闭楼道及卫生间灯。</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（9）物业服务人员能自觉维护公众利益，遵守办公区的各项管理规</w:t>
            </w:r>
            <w:r>
              <w:rPr>
                <w:rFonts w:ascii="宋体" w:hAnsi="宋体" w:cs="宋体" w:hint="eastAsia"/>
                <w:snapToGrid w:val="0"/>
                <w:color w:val="auto"/>
                <w:spacing w:val="8"/>
                <w:kern w:val="0"/>
                <w:szCs w:val="21"/>
                <w:highlight w:val="none"/>
              </w:rPr>
              <w:t>定。</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0"/>
                <w:kern w:val="0"/>
                <w:szCs w:val="21"/>
                <w:highlight w:val="none"/>
              </w:rPr>
              <w:t>（10）项目部经理或各部门主管每天对各楼层巡查不少于两次，发现问题及时整改，提升服务</w:t>
            </w:r>
            <w:r>
              <w:rPr>
                <w:rFonts w:ascii="宋体" w:hAnsi="宋体" w:cs="宋体" w:hint="eastAsia"/>
                <w:snapToGrid w:val="0"/>
                <w:color w:val="auto"/>
                <w:spacing w:val="2"/>
                <w:kern w:val="0"/>
                <w:szCs w:val="21"/>
                <w:highlight w:val="none"/>
              </w:rPr>
              <w:t>质量。</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（11）中标人质量管控部门每季定期对项目进行品质监督检查考核，并安排暗访组不定期抽查</w:t>
            </w:r>
            <w:r>
              <w:rPr>
                <w:rFonts w:ascii="宋体" w:hAnsi="宋体" w:cs="宋体" w:hint="eastAsia"/>
                <w:snapToGrid w:val="0"/>
                <w:color w:val="auto"/>
                <w:spacing w:val="8"/>
                <w:kern w:val="0"/>
                <w:szCs w:val="21"/>
                <w:highlight w:val="none"/>
              </w:rPr>
              <w:t>项目物业服务中心工作执行情况。</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7"/>
                <w:kern w:val="0"/>
                <w:szCs w:val="21"/>
                <w:highlight w:val="none"/>
              </w:rPr>
              <w:t>（12）利用科技信息化管理措施，整合采购人现有资源及中标人</w:t>
            </w:r>
            <w:r>
              <w:rPr>
                <w:rFonts w:ascii="宋体" w:hAnsi="宋体" w:cs="宋体" w:hint="eastAsia"/>
                <w:snapToGrid w:val="0"/>
                <w:color w:val="auto"/>
                <w:spacing w:val="6"/>
                <w:kern w:val="0"/>
                <w:szCs w:val="21"/>
                <w:highlight w:val="none"/>
              </w:rPr>
              <w:t>的资源，建立智能化物业管理，</w:t>
            </w:r>
            <w:r>
              <w:rPr>
                <w:rFonts w:ascii="宋体" w:hAnsi="宋体" w:cs="宋体" w:hint="eastAsia"/>
                <w:snapToGrid w:val="0"/>
                <w:color w:val="auto"/>
                <w:spacing w:val="8"/>
                <w:kern w:val="0"/>
                <w:szCs w:val="21"/>
                <w:highlight w:val="none"/>
              </w:rPr>
              <w:t>更好地服务采购人及职工。</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0"/>
                <w:kern w:val="0"/>
                <w:szCs w:val="21"/>
                <w:highlight w:val="none"/>
              </w:rPr>
              <w:t>（13）领用日常清洁药剂、清洁工具、洗手液、卫生纸及维修材料等易耗品需拟定计划并建立</w:t>
            </w:r>
            <w:r>
              <w:rPr>
                <w:rFonts w:ascii="宋体" w:hAnsi="宋体" w:cs="宋体" w:hint="eastAsia"/>
                <w:snapToGrid w:val="0"/>
                <w:color w:val="auto"/>
                <w:spacing w:val="2"/>
                <w:kern w:val="0"/>
                <w:szCs w:val="21"/>
                <w:highlight w:val="none"/>
              </w:rPr>
              <w:t>台账管理。</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（14）配合采购人做好充电桩、节能减排、固定资产等管理工</w:t>
            </w:r>
            <w:r>
              <w:rPr>
                <w:rFonts w:ascii="宋体" w:hAnsi="宋体" w:cs="宋体" w:hint="eastAsia"/>
                <w:snapToGrid w:val="0"/>
                <w:color w:val="auto"/>
                <w:spacing w:val="8"/>
                <w:kern w:val="0"/>
                <w:szCs w:val="21"/>
                <w:highlight w:val="none"/>
              </w:rPr>
              <w:t>作。</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2、供电设备监控维护。办公楼（区）供电系统、高低压电器设备、电线电</w:t>
            </w:r>
            <w:r>
              <w:rPr>
                <w:rFonts w:ascii="宋体" w:hAnsi="宋体" w:cs="宋体" w:hint="eastAsia"/>
                <w:snapToGrid w:val="0"/>
                <w:color w:val="auto"/>
                <w:spacing w:val="7"/>
                <w:kern w:val="0"/>
                <w:szCs w:val="21"/>
                <w:highlight w:val="none"/>
              </w:rPr>
              <w:t>缆、电器照明装置、</w:t>
            </w:r>
            <w:r>
              <w:rPr>
                <w:rFonts w:ascii="宋体" w:hAnsi="宋体" w:cs="宋体" w:hint="eastAsia"/>
                <w:snapToGrid w:val="0"/>
                <w:color w:val="auto"/>
                <w:spacing w:val="11"/>
                <w:kern w:val="0"/>
                <w:szCs w:val="21"/>
                <w:highlight w:val="none"/>
              </w:rPr>
              <w:t>避雷检测等日常管理、清洁、养护及维修</w:t>
            </w:r>
            <w:r>
              <w:rPr>
                <w:rFonts w:ascii="宋体" w:hAnsi="宋体" w:cs="宋体" w:hint="eastAsia"/>
                <w:snapToGrid w:val="0"/>
                <w:color w:val="auto"/>
                <w:spacing w:val="6"/>
                <w:kern w:val="0"/>
                <w:szCs w:val="21"/>
                <w:highlight w:val="none"/>
              </w:rPr>
              <w:t>，年检费用、单次花费金额不高于500元的维护及维修费用由中标人承担</w:t>
            </w:r>
            <w:r>
              <w:rPr>
                <w:rFonts w:ascii="宋体" w:hAnsi="宋体" w:cs="宋体" w:hint="eastAsia"/>
                <w:snapToGrid w:val="0"/>
                <w:color w:val="auto"/>
                <w:spacing w:val="11"/>
                <w:kern w:val="0"/>
                <w:szCs w:val="21"/>
                <w:highlight w:val="none"/>
              </w:rPr>
              <w:t>。供</w:t>
            </w:r>
            <w:r>
              <w:rPr>
                <w:rFonts w:ascii="宋体" w:hAnsi="宋体" w:cs="宋体" w:hint="eastAsia"/>
                <w:snapToGrid w:val="0"/>
                <w:color w:val="auto"/>
                <w:spacing w:val="8"/>
                <w:kern w:val="0"/>
                <w:szCs w:val="21"/>
                <w:highlight w:val="none"/>
              </w:rPr>
              <w:t>电设备监控维护具体要求如下：</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7"/>
                <w:kern w:val="0"/>
                <w:szCs w:val="21"/>
                <w:highlight w:val="none"/>
              </w:rPr>
              <w:t>（1）制定停电应急处置预案，确保应急发电率达到100%。</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（2）加强对各弱电系统的检查维护，确保</w:t>
            </w:r>
            <w:r>
              <w:rPr>
                <w:rFonts w:ascii="宋体" w:hAnsi="宋体" w:cs="宋体" w:hint="eastAsia"/>
                <w:snapToGrid w:val="0"/>
                <w:color w:val="auto"/>
                <w:spacing w:val="7"/>
                <w:kern w:val="0"/>
                <w:szCs w:val="21"/>
                <w:highlight w:val="none"/>
              </w:rPr>
              <w:t>每天24小时正常工作。</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（3）发现系统故障或隐患，应在10分钟内到达现场进行抢修，照明装置随坏随修；不定期组</w:t>
            </w:r>
            <w:r>
              <w:rPr>
                <w:rFonts w:ascii="宋体" w:hAnsi="宋体" w:cs="宋体" w:hint="eastAsia"/>
                <w:snapToGrid w:val="0"/>
                <w:color w:val="auto"/>
                <w:spacing w:val="8"/>
                <w:kern w:val="0"/>
                <w:szCs w:val="21"/>
                <w:highlight w:val="none"/>
              </w:rPr>
              <w:t>织发电系统应急抢修演练，确保供电系统每天24小时正</w:t>
            </w:r>
            <w:r>
              <w:rPr>
                <w:rFonts w:ascii="宋体" w:hAnsi="宋体" w:cs="宋体" w:hint="eastAsia"/>
                <w:snapToGrid w:val="0"/>
                <w:color w:val="auto"/>
                <w:spacing w:val="7"/>
                <w:kern w:val="0"/>
                <w:szCs w:val="21"/>
                <w:highlight w:val="none"/>
              </w:rPr>
              <w:t>常运行。</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（4）加强对监控观察室、监控摄像头、对讲机等监控系统的检查巡查，做好年检、日常维</w:t>
            </w:r>
            <w:r>
              <w:rPr>
                <w:rFonts w:ascii="宋体" w:hAnsi="宋体" w:cs="宋体" w:hint="eastAsia"/>
                <w:snapToGrid w:val="0"/>
                <w:color w:val="auto"/>
                <w:spacing w:val="6"/>
                <w:kern w:val="0"/>
                <w:szCs w:val="21"/>
                <w:highlight w:val="none"/>
              </w:rPr>
              <w:t>护和</w:t>
            </w:r>
            <w:r>
              <w:rPr>
                <w:rFonts w:ascii="宋体" w:hAnsi="宋体" w:cs="宋体" w:hint="eastAsia"/>
                <w:snapToGrid w:val="0"/>
                <w:color w:val="auto"/>
                <w:spacing w:val="7"/>
                <w:kern w:val="0"/>
                <w:szCs w:val="21"/>
                <w:highlight w:val="none"/>
              </w:rPr>
              <w:t>零星维修工作，确保每天24小时系统无故障等。</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3、房屋的日常养护。包括建筑结构、屋面、外墙面、屋顶、大堂、公共门厅、走廊、过道、楼</w:t>
            </w:r>
            <w:r>
              <w:rPr>
                <w:rFonts w:ascii="宋体" w:hAnsi="宋体" w:cs="宋体" w:hint="eastAsia"/>
                <w:snapToGrid w:val="0"/>
                <w:color w:val="auto"/>
                <w:spacing w:val="10"/>
                <w:kern w:val="0"/>
                <w:szCs w:val="21"/>
                <w:highlight w:val="none"/>
              </w:rPr>
              <w:t>梯间、门窗、附属道路、沟渠、水池、井、停车场、洗车场等日常清洁、养</w:t>
            </w:r>
            <w:r>
              <w:rPr>
                <w:rFonts w:ascii="宋体" w:hAnsi="宋体" w:cs="宋体" w:hint="eastAsia"/>
                <w:snapToGrid w:val="0"/>
                <w:color w:val="auto"/>
                <w:spacing w:val="9"/>
                <w:kern w:val="0"/>
                <w:szCs w:val="21"/>
                <w:highlight w:val="none"/>
              </w:rPr>
              <w:t>护及管理、定期检查房</w:t>
            </w:r>
            <w:r>
              <w:rPr>
                <w:rFonts w:ascii="宋体" w:hAnsi="宋体" w:cs="宋体" w:hint="eastAsia"/>
                <w:snapToGrid w:val="0"/>
                <w:color w:val="auto"/>
                <w:spacing w:val="10"/>
                <w:kern w:val="0"/>
                <w:szCs w:val="21"/>
                <w:highlight w:val="none"/>
              </w:rPr>
              <w:t>屋安全状况、完善记录，及时向采购人报告发现问题并提供解决方案供采购</w:t>
            </w:r>
            <w:r>
              <w:rPr>
                <w:rFonts w:ascii="宋体" w:hAnsi="宋体" w:cs="宋体" w:hint="eastAsia"/>
                <w:snapToGrid w:val="0"/>
                <w:color w:val="auto"/>
                <w:spacing w:val="9"/>
                <w:kern w:val="0"/>
                <w:szCs w:val="21"/>
                <w:highlight w:val="none"/>
              </w:rPr>
              <w:t>人决策参考，遇紧急情况时，采取必要的应急措施，</w:t>
            </w:r>
            <w:r>
              <w:rPr>
                <w:rFonts w:ascii="宋体" w:hAnsi="宋体" w:cs="宋体" w:hint="eastAsia"/>
                <w:snapToGrid w:val="0"/>
                <w:color w:val="auto"/>
                <w:spacing w:val="6"/>
                <w:kern w:val="0"/>
                <w:szCs w:val="21"/>
                <w:highlight w:val="none"/>
              </w:rPr>
              <w:t>单次花费金额不高于500元的维护及维修费用由中标人承担</w:t>
            </w:r>
            <w:r>
              <w:rPr>
                <w:rFonts w:ascii="宋体" w:hAnsi="宋体" w:cs="宋体" w:hint="eastAsia"/>
                <w:snapToGrid w:val="0"/>
                <w:color w:val="auto"/>
                <w:spacing w:val="9"/>
                <w:kern w:val="0"/>
                <w:szCs w:val="21"/>
                <w:highlight w:val="none"/>
              </w:rPr>
              <w:t>。</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4、公共设施设备的日常清洁、养护及管理。包括但不仅限于：公共的上下水管道、落水管；公</w:t>
            </w:r>
            <w:r>
              <w:rPr>
                <w:rFonts w:ascii="宋体" w:hAnsi="宋体" w:cs="宋体" w:hint="eastAsia"/>
                <w:snapToGrid w:val="0"/>
                <w:color w:val="auto"/>
                <w:spacing w:val="10"/>
                <w:kern w:val="0"/>
                <w:szCs w:val="21"/>
                <w:highlight w:val="none"/>
              </w:rPr>
              <w:t>共照明；楼内消防系统；供配电系统；中央空调；充电桩；二次加压供水系统；</w:t>
            </w:r>
            <w:r>
              <w:rPr>
                <w:rFonts w:ascii="宋体" w:hAnsi="宋体" w:cs="宋体" w:hint="eastAsia"/>
                <w:snapToGrid w:val="0"/>
                <w:color w:val="auto"/>
                <w:spacing w:val="9"/>
                <w:kern w:val="0"/>
                <w:szCs w:val="21"/>
                <w:highlight w:val="none"/>
              </w:rPr>
              <w:t>设备机房；监控及</w:t>
            </w:r>
            <w:r>
              <w:rPr>
                <w:rFonts w:ascii="宋体" w:hAnsi="宋体" w:cs="宋体" w:hint="eastAsia"/>
                <w:snapToGrid w:val="0"/>
                <w:color w:val="auto"/>
                <w:spacing w:val="10"/>
                <w:kern w:val="0"/>
                <w:szCs w:val="21"/>
                <w:highlight w:val="none"/>
              </w:rPr>
              <w:t>安防系统；电梯系统等</w:t>
            </w:r>
            <w:r>
              <w:rPr>
                <w:rFonts w:ascii="宋体" w:hAnsi="宋体" w:cs="宋体" w:hint="eastAsia"/>
                <w:snapToGrid w:val="0"/>
                <w:color w:val="auto"/>
                <w:spacing w:val="7"/>
                <w:kern w:val="0"/>
                <w:szCs w:val="21"/>
                <w:highlight w:val="none"/>
              </w:rPr>
              <w:t>。具体要求如下：</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7"/>
                <w:kern w:val="0"/>
                <w:szCs w:val="21"/>
                <w:highlight w:val="none"/>
              </w:rPr>
              <w:t>（1）给排水系统管理维护要求：</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1"/>
                <w:kern w:val="0"/>
                <w:szCs w:val="21"/>
                <w:highlight w:val="none"/>
              </w:rPr>
              <w:t>①配合采购人对水箱、上下水道、阀门、管道、落水管、水泵、二次加压供</w:t>
            </w:r>
            <w:r>
              <w:rPr>
                <w:rFonts w:ascii="宋体" w:hAnsi="宋体" w:cs="宋体" w:hint="eastAsia"/>
                <w:snapToGrid w:val="0"/>
                <w:color w:val="auto"/>
                <w:spacing w:val="10"/>
                <w:kern w:val="0"/>
                <w:szCs w:val="21"/>
                <w:highlight w:val="none"/>
              </w:rPr>
              <w:t>水等系统和设备进</w:t>
            </w:r>
            <w:r>
              <w:rPr>
                <w:rFonts w:ascii="宋体" w:hAnsi="宋体" w:cs="宋体" w:hint="eastAsia"/>
                <w:snapToGrid w:val="0"/>
                <w:color w:val="auto"/>
                <w:spacing w:val="6"/>
                <w:kern w:val="0"/>
                <w:szCs w:val="21"/>
                <w:highlight w:val="none"/>
              </w:rPr>
              <w:t>行年检、日常维护、运行管理、零星维修等。年检费用、单次花费金额不高于500元的维护及维修费用由中标人承担。</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②建立用水、供水管理制度、积极协助用户安排合理的用水和节水计划。</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③设备、阀门、管道工作正常、无跑冒滴漏。</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1"/>
                <w:kern w:val="0"/>
                <w:szCs w:val="21"/>
                <w:highlight w:val="none"/>
              </w:rPr>
              <w:t>④按照高压水泵、水池、水箱的管理规定，水池、水箱清洁卫生，周围无污染</w:t>
            </w:r>
            <w:r>
              <w:rPr>
                <w:rFonts w:ascii="宋体" w:hAnsi="宋体" w:cs="宋体" w:hint="eastAsia"/>
                <w:snapToGrid w:val="0"/>
                <w:color w:val="auto"/>
                <w:spacing w:val="10"/>
                <w:kern w:val="0"/>
                <w:szCs w:val="21"/>
                <w:highlight w:val="none"/>
              </w:rPr>
              <w:t>隐患，无二次污</w:t>
            </w:r>
            <w:r>
              <w:rPr>
                <w:rFonts w:ascii="宋体" w:hAnsi="宋体" w:cs="宋体" w:hint="eastAsia"/>
                <w:snapToGrid w:val="0"/>
                <w:color w:val="auto"/>
                <w:spacing w:val="-2"/>
                <w:kern w:val="0"/>
                <w:szCs w:val="21"/>
                <w:highlight w:val="none"/>
              </w:rPr>
              <w:t>染。</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⑤每年不少于两次对生活水池进行检验及清洗。</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⑥紧急情况下，限水、停水按规定时间通知采购人和使用人。</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⑦排水系统通畅，汛期道路无积水，地下室、车库、设备房无积水、浸泡发生。</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7"/>
                <w:kern w:val="0"/>
                <w:szCs w:val="21"/>
                <w:highlight w:val="none"/>
              </w:rPr>
              <w:t>⑧加强日常巡查工作，建立巡查台账，明确人员责任。发现各种水管和水龙头漏水、滴水情况，</w:t>
            </w:r>
            <w:r>
              <w:rPr>
                <w:rFonts w:ascii="宋体" w:hAnsi="宋体" w:cs="宋体" w:hint="eastAsia"/>
                <w:snapToGrid w:val="0"/>
                <w:color w:val="auto"/>
                <w:spacing w:val="9"/>
                <w:kern w:val="0"/>
                <w:szCs w:val="21"/>
                <w:highlight w:val="none"/>
              </w:rPr>
              <w:t>及时维修处理；制定事故应急处理预案，严禁发生大面积泡水、泛水，长时间停水现象。</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7"/>
                <w:kern w:val="0"/>
                <w:szCs w:val="21"/>
                <w:highlight w:val="none"/>
              </w:rPr>
              <w:t>⑨发现突发故障，维修人员在10分钟内到达现场进行抢修，重大故障及时报告采购人并协助处</w:t>
            </w:r>
            <w:r>
              <w:rPr>
                <w:rFonts w:ascii="宋体" w:hAnsi="宋体" w:cs="宋体" w:hint="eastAsia"/>
                <w:snapToGrid w:val="0"/>
                <w:color w:val="auto"/>
                <w:spacing w:val="-1"/>
                <w:kern w:val="0"/>
                <w:szCs w:val="21"/>
                <w:highlight w:val="none"/>
              </w:rPr>
              <w:t>理。</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7"/>
                <w:kern w:val="0"/>
                <w:szCs w:val="21"/>
                <w:highlight w:val="none"/>
              </w:rPr>
              <w:t>（2）中央空调系统管理维护要求：</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0"/>
                <w:kern w:val="0"/>
                <w:szCs w:val="21"/>
                <w:highlight w:val="none"/>
              </w:rPr>
              <w:t>①配合采购人做好对空调、新风、除尘、采气装置、</w:t>
            </w:r>
            <w:r>
              <w:rPr>
                <w:rFonts w:ascii="宋体" w:hAnsi="宋体" w:cs="宋体" w:hint="eastAsia"/>
                <w:snapToGrid w:val="0"/>
                <w:color w:val="auto"/>
                <w:spacing w:val="9"/>
                <w:kern w:val="0"/>
                <w:szCs w:val="21"/>
                <w:highlight w:val="none"/>
              </w:rPr>
              <w:t>各类风口、自动控制等空气调节系统和设</w:t>
            </w:r>
            <w:r>
              <w:rPr>
                <w:rFonts w:ascii="宋体" w:hAnsi="宋体" w:cs="宋体" w:hint="eastAsia"/>
                <w:snapToGrid w:val="0"/>
                <w:color w:val="auto"/>
                <w:spacing w:val="6"/>
                <w:kern w:val="0"/>
                <w:szCs w:val="21"/>
                <w:highlight w:val="none"/>
              </w:rPr>
              <w:t>备进行清洁、年检、日常维护、零星维修等。年检费用、单次花费金额不高于500元的维护及维修费用由中标人承担。</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②加强巡查巡检，发现简单故障要第一时间维</w:t>
            </w:r>
            <w:r>
              <w:rPr>
                <w:rFonts w:ascii="宋体" w:hAnsi="宋体" w:cs="宋体" w:hint="eastAsia"/>
                <w:snapToGrid w:val="0"/>
                <w:color w:val="auto"/>
                <w:spacing w:val="7"/>
                <w:kern w:val="0"/>
                <w:szCs w:val="21"/>
                <w:highlight w:val="none"/>
              </w:rPr>
              <w:t>修，无法处理的问题应在10分钟内报告采购人，</w:t>
            </w:r>
            <w:r>
              <w:rPr>
                <w:rFonts w:ascii="宋体" w:hAnsi="宋体" w:cs="宋体" w:hint="eastAsia"/>
                <w:snapToGrid w:val="0"/>
                <w:color w:val="auto"/>
                <w:spacing w:val="6"/>
                <w:kern w:val="0"/>
                <w:szCs w:val="21"/>
                <w:highlight w:val="none"/>
              </w:rPr>
              <w:t>确保空调系统每天24小时正常运转。</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1"/>
                <w:kern w:val="0"/>
                <w:szCs w:val="21"/>
                <w:highlight w:val="none"/>
              </w:rPr>
              <w:t>③空调要进行维修保养，维保人员须持有相关证件进</w:t>
            </w:r>
            <w:r>
              <w:rPr>
                <w:rFonts w:ascii="宋体" w:hAnsi="宋体" w:cs="宋体" w:hint="eastAsia"/>
                <w:snapToGrid w:val="0"/>
                <w:color w:val="auto"/>
                <w:spacing w:val="10"/>
                <w:kern w:val="0"/>
                <w:szCs w:val="21"/>
                <w:highlight w:val="none"/>
              </w:rPr>
              <w:t>行维护保养，严</w:t>
            </w:r>
            <w:r>
              <w:rPr>
                <w:rFonts w:ascii="宋体" w:hAnsi="宋体" w:cs="宋体" w:hint="eastAsia"/>
                <w:snapToGrid w:val="0"/>
                <w:color w:val="auto"/>
                <w:spacing w:val="7"/>
                <w:kern w:val="0"/>
                <w:szCs w:val="21"/>
                <w:highlight w:val="none"/>
              </w:rPr>
              <w:t>禁非专业人员操作。</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spacing w:val="8"/>
                <w:kern w:val="0"/>
                <w:szCs w:val="21"/>
                <w:highlight w:val="none"/>
              </w:rPr>
            </w:pPr>
            <w:r>
              <w:rPr>
                <w:rFonts w:ascii="宋体" w:hAnsi="宋体" w:cs="宋体" w:hint="eastAsia"/>
                <w:snapToGrid w:val="0"/>
                <w:color w:val="auto"/>
                <w:spacing w:val="8"/>
                <w:kern w:val="0"/>
                <w:szCs w:val="21"/>
                <w:highlight w:val="none"/>
              </w:rPr>
              <w:t>④遇突发故障，维修人员应在10分钟内到达现场进行抢修，发现重大故障及时报告。</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7"/>
                <w:kern w:val="0"/>
                <w:szCs w:val="21"/>
                <w:highlight w:val="none"/>
              </w:rPr>
              <w:t>（3）消防系统管理维护要求：</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1"/>
                <w:kern w:val="0"/>
                <w:szCs w:val="21"/>
                <w:highlight w:val="none"/>
              </w:rPr>
              <w:t>①加强对消防栓，消防柜、灭火器、消防控制台、消防管道、烟感器、淋头</w:t>
            </w:r>
            <w:r>
              <w:rPr>
                <w:rFonts w:ascii="宋体" w:hAnsi="宋体" w:cs="宋体" w:hint="eastAsia"/>
                <w:snapToGrid w:val="0"/>
                <w:color w:val="auto"/>
                <w:spacing w:val="10"/>
                <w:kern w:val="0"/>
                <w:szCs w:val="21"/>
                <w:highlight w:val="none"/>
              </w:rPr>
              <w:t>、安全出口等消防</w:t>
            </w:r>
            <w:r>
              <w:rPr>
                <w:rFonts w:ascii="宋体" w:hAnsi="宋体" w:cs="宋体" w:hint="eastAsia"/>
                <w:snapToGrid w:val="0"/>
                <w:color w:val="auto"/>
                <w:spacing w:val="8"/>
                <w:kern w:val="0"/>
                <w:szCs w:val="21"/>
                <w:highlight w:val="none"/>
              </w:rPr>
              <w:t>系统和设备的检查巡查，进行日常养护及运行</w:t>
            </w:r>
            <w:r>
              <w:rPr>
                <w:rFonts w:ascii="宋体" w:hAnsi="宋体" w:cs="宋体" w:hint="eastAsia"/>
                <w:snapToGrid w:val="0"/>
                <w:color w:val="auto"/>
                <w:spacing w:val="7"/>
                <w:kern w:val="0"/>
                <w:szCs w:val="21"/>
                <w:highlight w:val="none"/>
              </w:rPr>
              <w:t>管理等，建立巡查工作台账，确保每天24小时系统无</w:t>
            </w:r>
            <w:r>
              <w:rPr>
                <w:rFonts w:ascii="宋体" w:hAnsi="宋体" w:cs="宋体" w:hint="eastAsia"/>
                <w:snapToGrid w:val="0"/>
                <w:color w:val="auto"/>
                <w:spacing w:val="4"/>
                <w:kern w:val="0"/>
                <w:szCs w:val="21"/>
                <w:highlight w:val="none"/>
              </w:rPr>
              <w:t>故障等</w:t>
            </w:r>
            <w:r>
              <w:rPr>
                <w:rFonts w:ascii="宋体" w:hAnsi="宋体" w:cs="宋体" w:hint="eastAsia"/>
                <w:snapToGrid w:val="0"/>
                <w:color w:val="auto"/>
                <w:spacing w:val="6"/>
                <w:kern w:val="0"/>
                <w:szCs w:val="21"/>
                <w:highlight w:val="none"/>
              </w:rPr>
              <w:t>。年检费用、单次花费金额不高于500元的维护及维修费用由中标人承担</w:t>
            </w:r>
            <w:r>
              <w:rPr>
                <w:rFonts w:ascii="宋体" w:hAnsi="宋体" w:cs="宋体" w:hint="eastAsia"/>
                <w:snapToGrid w:val="0"/>
                <w:color w:val="auto"/>
                <w:spacing w:val="4"/>
                <w:kern w:val="0"/>
                <w:szCs w:val="21"/>
                <w:highlight w:val="none"/>
              </w:rPr>
              <w:t>。</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7"/>
                <w:kern w:val="0"/>
                <w:szCs w:val="21"/>
                <w:highlight w:val="none"/>
              </w:rPr>
              <w:t>②消防控制中心设置每天24小时专人值班岗。</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1"/>
                <w:kern w:val="0"/>
                <w:szCs w:val="21"/>
                <w:highlight w:val="none"/>
              </w:rPr>
              <w:t>③加强消防监控系统管理，建立视频信息调阅、拷贝、复制审批登记制度未经</w:t>
            </w:r>
            <w:r>
              <w:rPr>
                <w:rFonts w:ascii="宋体" w:hAnsi="宋体" w:cs="宋体" w:hint="eastAsia"/>
                <w:snapToGrid w:val="0"/>
                <w:color w:val="auto"/>
                <w:spacing w:val="10"/>
                <w:kern w:val="0"/>
                <w:szCs w:val="21"/>
                <w:highlight w:val="none"/>
              </w:rPr>
              <w:t>采购人批准，任</w:t>
            </w:r>
            <w:r>
              <w:rPr>
                <w:rFonts w:ascii="宋体" w:hAnsi="宋体" w:cs="宋体" w:hint="eastAsia"/>
                <w:snapToGrid w:val="0"/>
                <w:color w:val="auto"/>
                <w:spacing w:val="8"/>
                <w:kern w:val="0"/>
                <w:szCs w:val="21"/>
                <w:highlight w:val="none"/>
              </w:rPr>
              <w:t>何单位和个人不得调阅、拷贝、复制视频信息。</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0"/>
                <w:kern w:val="0"/>
                <w:szCs w:val="21"/>
                <w:highlight w:val="none"/>
              </w:rPr>
              <w:t>④消防系统要进行维修保养，发现消防系统存在安全隐</w:t>
            </w:r>
            <w:r>
              <w:rPr>
                <w:rFonts w:ascii="宋体" w:hAnsi="宋体" w:cs="宋体" w:hint="eastAsia"/>
                <w:snapToGrid w:val="0"/>
                <w:color w:val="auto"/>
                <w:spacing w:val="9"/>
                <w:kern w:val="0"/>
                <w:szCs w:val="21"/>
                <w:highlight w:val="none"/>
              </w:rPr>
              <w:t>患时，必须由专业维保人员维护保养，</w:t>
            </w:r>
            <w:r>
              <w:rPr>
                <w:rFonts w:ascii="宋体" w:hAnsi="宋体" w:cs="宋体" w:hint="eastAsia"/>
                <w:snapToGrid w:val="0"/>
                <w:color w:val="auto"/>
                <w:spacing w:val="7"/>
                <w:kern w:val="0"/>
                <w:szCs w:val="21"/>
                <w:highlight w:val="none"/>
              </w:rPr>
              <w:t>严禁非专业人员操作。</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1"/>
                <w:kern w:val="0"/>
                <w:szCs w:val="21"/>
                <w:highlight w:val="none"/>
              </w:rPr>
              <w:t>⑤组织开展消防法规及消防知识的宣传教育，明确各区域防火责任人，确保责</w:t>
            </w:r>
            <w:r>
              <w:rPr>
                <w:rFonts w:ascii="宋体" w:hAnsi="宋体" w:cs="宋体" w:hint="eastAsia"/>
                <w:snapToGrid w:val="0"/>
                <w:color w:val="auto"/>
                <w:spacing w:val="10"/>
                <w:kern w:val="0"/>
                <w:szCs w:val="21"/>
                <w:highlight w:val="none"/>
              </w:rPr>
              <w:t>任人掌握消防设</w:t>
            </w:r>
            <w:r>
              <w:rPr>
                <w:rFonts w:ascii="宋体" w:hAnsi="宋体" w:cs="宋体" w:hint="eastAsia"/>
                <w:snapToGrid w:val="0"/>
                <w:color w:val="auto"/>
                <w:spacing w:val="8"/>
                <w:kern w:val="0"/>
                <w:szCs w:val="21"/>
                <w:highlight w:val="none"/>
              </w:rPr>
              <w:t>施设备的使用方法并能及时处理各种问题。</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1"/>
                <w:kern w:val="0"/>
                <w:szCs w:val="21"/>
                <w:highlight w:val="none"/>
              </w:rPr>
              <w:t>⑥制定有突发火灾应急预案，在明显处设立消防疏散示意图。照明设施、引路</w:t>
            </w:r>
            <w:r>
              <w:rPr>
                <w:rFonts w:ascii="宋体" w:hAnsi="宋体" w:cs="宋体" w:hint="eastAsia"/>
                <w:snapToGrid w:val="0"/>
                <w:color w:val="auto"/>
                <w:spacing w:val="10"/>
                <w:kern w:val="0"/>
                <w:szCs w:val="21"/>
                <w:highlight w:val="none"/>
              </w:rPr>
              <w:t>标志完好，紧急</w:t>
            </w:r>
            <w:r>
              <w:rPr>
                <w:rFonts w:ascii="宋体" w:hAnsi="宋体" w:cs="宋体" w:hint="eastAsia"/>
                <w:snapToGrid w:val="0"/>
                <w:color w:val="auto"/>
                <w:spacing w:val="11"/>
                <w:kern w:val="0"/>
                <w:szCs w:val="21"/>
                <w:highlight w:val="none"/>
              </w:rPr>
              <w:t>疏散通道畅通无阻。所有通往楼梯前室与楼梯间的防火门应保持闭合</w:t>
            </w:r>
            <w:r>
              <w:rPr>
                <w:rFonts w:ascii="宋体" w:hAnsi="宋体" w:cs="宋体" w:hint="eastAsia"/>
                <w:snapToGrid w:val="0"/>
                <w:color w:val="auto"/>
                <w:spacing w:val="10"/>
                <w:kern w:val="0"/>
                <w:szCs w:val="21"/>
                <w:highlight w:val="none"/>
              </w:rPr>
              <w:t>但不能上锁，走道内的防火分</w:t>
            </w:r>
            <w:r>
              <w:rPr>
                <w:rFonts w:ascii="宋体" w:hAnsi="宋体" w:cs="宋体" w:hint="eastAsia"/>
                <w:snapToGrid w:val="0"/>
                <w:color w:val="auto"/>
                <w:spacing w:val="7"/>
                <w:kern w:val="0"/>
                <w:szCs w:val="21"/>
                <w:highlight w:val="none"/>
              </w:rPr>
              <w:t>区之间的防火门应保持闭合但不能上锁。走道上设置有门禁的门应确保在紧急情况时随时可以打开；</w:t>
            </w:r>
            <w:r>
              <w:rPr>
                <w:rFonts w:ascii="宋体" w:hAnsi="宋体" w:cs="宋体" w:hint="eastAsia"/>
                <w:snapToGrid w:val="0"/>
                <w:color w:val="auto"/>
                <w:spacing w:val="11"/>
                <w:kern w:val="0"/>
                <w:szCs w:val="21"/>
                <w:highlight w:val="none"/>
              </w:rPr>
              <w:t>所有强弱电井道与空调机房的防火门应保持闭合且上锁；底层所有通</w:t>
            </w:r>
            <w:r>
              <w:rPr>
                <w:rFonts w:ascii="宋体" w:hAnsi="宋体" w:cs="宋体" w:hint="eastAsia"/>
                <w:snapToGrid w:val="0"/>
                <w:color w:val="auto"/>
                <w:spacing w:val="10"/>
                <w:kern w:val="0"/>
                <w:szCs w:val="21"/>
                <w:highlight w:val="none"/>
              </w:rPr>
              <w:t>往室外的疏散门在紧急情况时</w:t>
            </w:r>
            <w:r>
              <w:rPr>
                <w:rFonts w:ascii="宋体" w:hAnsi="宋体" w:cs="宋体" w:hint="eastAsia"/>
                <w:snapToGrid w:val="0"/>
                <w:color w:val="auto"/>
                <w:spacing w:val="7"/>
                <w:kern w:val="0"/>
                <w:szCs w:val="21"/>
                <w:highlight w:val="none"/>
              </w:rPr>
              <w:t>随时可以打开。</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1"/>
                <w:kern w:val="0"/>
                <w:szCs w:val="21"/>
                <w:highlight w:val="none"/>
              </w:rPr>
              <w:t>⑦严格落实用电管理规定，严禁私接电源、插座，办公区内无火灾安全隐患，</w:t>
            </w:r>
            <w:r>
              <w:rPr>
                <w:rFonts w:ascii="宋体" w:hAnsi="宋体" w:cs="宋体" w:hint="eastAsia"/>
                <w:snapToGrid w:val="0"/>
                <w:color w:val="auto"/>
                <w:spacing w:val="10"/>
                <w:kern w:val="0"/>
                <w:szCs w:val="21"/>
                <w:highlight w:val="none"/>
              </w:rPr>
              <w:t>消防设备完好率</w:t>
            </w:r>
            <w:r>
              <w:rPr>
                <w:rFonts w:ascii="宋体" w:hAnsi="宋体" w:cs="宋体" w:hint="eastAsia"/>
                <w:snapToGrid w:val="0"/>
                <w:color w:val="auto"/>
                <w:spacing w:val="1"/>
                <w:kern w:val="0"/>
                <w:szCs w:val="21"/>
                <w:highlight w:val="none"/>
              </w:rPr>
              <w:t>达到100%。</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1"/>
                <w:kern w:val="0"/>
                <w:szCs w:val="21"/>
                <w:highlight w:val="none"/>
              </w:rPr>
              <w:t>⑧加强巡查检查，遇有火灾隐患或苗头，要第一时间处理，及时组织消除遇突</w:t>
            </w:r>
            <w:r>
              <w:rPr>
                <w:rFonts w:ascii="宋体" w:hAnsi="宋体" w:cs="宋体" w:hint="eastAsia"/>
                <w:snapToGrid w:val="0"/>
                <w:color w:val="auto"/>
                <w:spacing w:val="10"/>
                <w:kern w:val="0"/>
                <w:szCs w:val="21"/>
                <w:highlight w:val="none"/>
              </w:rPr>
              <w:t>发火灾事故，立</w:t>
            </w:r>
            <w:r>
              <w:rPr>
                <w:rFonts w:ascii="宋体" w:hAnsi="宋体" w:cs="宋体" w:hint="eastAsia"/>
                <w:snapToGrid w:val="0"/>
                <w:color w:val="auto"/>
                <w:spacing w:val="7"/>
                <w:kern w:val="0"/>
                <w:szCs w:val="21"/>
                <w:highlight w:val="none"/>
              </w:rPr>
              <w:t>即拨打119报警，同时采取有力措施开展救援，并及时向采购人报告。</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7"/>
                <w:kern w:val="0"/>
                <w:szCs w:val="21"/>
                <w:highlight w:val="none"/>
              </w:rPr>
              <w:t>⑨每月开展消防培训一次；新员工培训后方能上岗，做到遇火情、紧急险情能有效控制和处理；</w:t>
            </w:r>
            <w:r>
              <w:rPr>
                <w:rFonts w:ascii="宋体" w:hAnsi="宋体" w:cs="宋体" w:hint="eastAsia"/>
                <w:snapToGrid w:val="0"/>
                <w:color w:val="auto"/>
                <w:spacing w:val="11"/>
                <w:kern w:val="0"/>
                <w:szCs w:val="21"/>
                <w:highlight w:val="none"/>
              </w:rPr>
              <w:t>每月开展消防设备安全检查一次；配合采购人到各处室及重点场所排</w:t>
            </w:r>
            <w:r>
              <w:rPr>
                <w:rFonts w:ascii="宋体" w:hAnsi="宋体" w:cs="宋体" w:hint="eastAsia"/>
                <w:snapToGrid w:val="0"/>
                <w:color w:val="auto"/>
                <w:spacing w:val="10"/>
                <w:kern w:val="0"/>
                <w:szCs w:val="21"/>
                <w:highlight w:val="none"/>
              </w:rPr>
              <w:t>查安全隐患，发放消防安全知</w:t>
            </w:r>
            <w:r>
              <w:rPr>
                <w:rFonts w:ascii="宋体" w:hAnsi="宋体" w:cs="宋体" w:hint="eastAsia"/>
                <w:snapToGrid w:val="0"/>
                <w:color w:val="auto"/>
                <w:spacing w:val="9"/>
                <w:kern w:val="0"/>
                <w:szCs w:val="21"/>
                <w:highlight w:val="none"/>
              </w:rPr>
              <w:t>识宣传页，宣传季节性应注意的消防安全知识。</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3"/>
                <w:kern w:val="0"/>
                <w:szCs w:val="21"/>
                <w:highlight w:val="none"/>
              </w:rPr>
              <w:t>（4）电梯运行维护要求：</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①按照要求做好电梯的日常维护保养、保洁、运行管理。</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0"/>
                <w:kern w:val="0"/>
                <w:szCs w:val="21"/>
                <w:highlight w:val="none"/>
              </w:rPr>
              <w:t>②保持安全设施齐全，通风、散热、照明及附属设施完好，轿厢、机房保持</w:t>
            </w:r>
            <w:r>
              <w:rPr>
                <w:rFonts w:ascii="宋体" w:hAnsi="宋体" w:cs="宋体" w:hint="eastAsia"/>
                <w:snapToGrid w:val="0"/>
                <w:color w:val="auto"/>
                <w:spacing w:val="9"/>
                <w:kern w:val="0"/>
                <w:szCs w:val="21"/>
                <w:highlight w:val="none"/>
              </w:rPr>
              <w:t>整洁，电梯轿厢每</w:t>
            </w:r>
            <w:r>
              <w:rPr>
                <w:rFonts w:ascii="宋体" w:hAnsi="宋体" w:cs="宋体" w:hint="eastAsia"/>
                <w:snapToGrid w:val="0"/>
                <w:color w:val="auto"/>
                <w:spacing w:val="6"/>
                <w:kern w:val="0"/>
                <w:szCs w:val="21"/>
                <w:highlight w:val="none"/>
              </w:rPr>
              <w:t>天至少擦拭2次，电梯地面每天至少拖扫2次，电梯门厅及轿厢每周上油保养至少</w:t>
            </w:r>
            <w:r>
              <w:rPr>
                <w:rFonts w:ascii="宋体" w:hAnsi="宋体" w:cs="宋体" w:hint="eastAsia"/>
                <w:snapToGrid w:val="0"/>
                <w:color w:val="auto"/>
                <w:spacing w:val="5"/>
                <w:kern w:val="0"/>
                <w:szCs w:val="21"/>
                <w:highlight w:val="none"/>
              </w:rPr>
              <w:t>3次。</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③配合采购人做好电梯检测、电梯年检、日常维</w:t>
            </w:r>
            <w:r>
              <w:rPr>
                <w:rFonts w:ascii="宋体" w:hAnsi="宋体" w:cs="宋体" w:hint="eastAsia"/>
                <w:snapToGrid w:val="0"/>
                <w:color w:val="auto"/>
                <w:spacing w:val="8"/>
                <w:kern w:val="0"/>
                <w:szCs w:val="21"/>
                <w:highlight w:val="none"/>
              </w:rPr>
              <w:t>修保养等工作，</w:t>
            </w:r>
            <w:r>
              <w:rPr>
                <w:rFonts w:ascii="宋体" w:hAnsi="宋体" w:cs="宋体" w:hint="eastAsia"/>
                <w:snapToGrid w:val="0"/>
                <w:color w:val="auto"/>
                <w:spacing w:val="6"/>
                <w:kern w:val="0"/>
                <w:szCs w:val="21"/>
                <w:highlight w:val="none"/>
              </w:rPr>
              <w:t>费用由中标人承担</w:t>
            </w:r>
            <w:r>
              <w:rPr>
                <w:rFonts w:ascii="宋体" w:hAnsi="宋体" w:cs="宋体" w:hint="eastAsia"/>
                <w:snapToGrid w:val="0"/>
                <w:color w:val="auto"/>
                <w:spacing w:val="8"/>
                <w:kern w:val="0"/>
                <w:szCs w:val="21"/>
                <w:highlight w:val="none"/>
              </w:rPr>
              <w:t>，建立日常电梯运行的巡检、维</w:t>
            </w:r>
            <w:r>
              <w:rPr>
                <w:rFonts w:ascii="宋体" w:hAnsi="宋体" w:cs="宋体" w:hint="eastAsia"/>
                <w:snapToGrid w:val="0"/>
                <w:color w:val="auto"/>
                <w:spacing w:val="4"/>
                <w:kern w:val="0"/>
                <w:szCs w:val="21"/>
                <w:highlight w:val="none"/>
              </w:rPr>
              <w:t>护台账。</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④电梯由专业维修人员维修保养（如中标人需将电梯运行维护服务分包，则应满足</w:t>
            </w:r>
            <w:r>
              <w:rPr>
                <w:rFonts w:ascii="宋体" w:hAnsi="宋体" w:cs="宋体" w:hint="eastAsia"/>
                <w:b/>
                <w:color w:val="auto"/>
                <w:szCs w:val="21"/>
                <w:highlight w:val="none"/>
              </w:rPr>
              <w:t>商务要求</w:t>
            </w:r>
            <w:r>
              <w:rPr>
                <w:rFonts w:ascii="宋体" w:hAnsi="宋体" w:cs="宋体" w:hint="eastAsia"/>
                <w:snapToGrid w:val="0"/>
                <w:color w:val="auto"/>
                <w:spacing w:val="8"/>
                <w:kern w:val="0"/>
                <w:szCs w:val="21"/>
                <w:highlight w:val="none"/>
              </w:rPr>
              <w:t>“</w:t>
            </w:r>
            <w:r>
              <w:rPr>
                <w:rFonts w:ascii="宋体" w:hAnsi="宋体" w:cs="宋体"/>
                <w:b/>
                <w:color w:val="auto"/>
                <w:szCs w:val="21"/>
                <w:highlight w:val="none"/>
              </w:rPr>
              <w:t>三、其他要求</w:t>
            </w:r>
            <w:r>
              <w:rPr>
                <w:rFonts w:ascii="宋体" w:hAnsi="宋体" w:cs="宋体" w:hint="eastAsia"/>
                <w:snapToGrid w:val="0"/>
                <w:color w:val="auto"/>
                <w:spacing w:val="8"/>
                <w:kern w:val="0"/>
                <w:szCs w:val="21"/>
                <w:highlight w:val="none"/>
              </w:rPr>
              <w:t xml:space="preserve">→2 </w:t>
            </w:r>
            <w:r>
              <w:rPr>
                <w:rFonts w:ascii="宋体" w:hAnsi="宋体" w:cstheme="minorBidi" w:hint="eastAsia"/>
                <w:color w:val="auto"/>
                <w:szCs w:val="21"/>
                <w:highlight w:val="none"/>
              </w:rPr>
              <w:t>分包</w:t>
            </w:r>
            <w:r>
              <w:rPr>
                <w:rFonts w:ascii="宋体" w:hAnsi="宋体" w:cs="宋体" w:hint="eastAsia"/>
                <w:snapToGrid w:val="0"/>
                <w:color w:val="auto"/>
                <w:spacing w:val="8"/>
                <w:kern w:val="0"/>
                <w:szCs w:val="21"/>
                <w:highlight w:val="none"/>
              </w:rPr>
              <w:t>”中列明的要求），严禁非专业人员操作。</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⑤遇有电梯故障，须在10分钟内到达现场进行查看、报修、抢修，并及时恢复正常状态。</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5、保洁服务。办公楼（区）内大厅、过道、楼梯、天台电梯间、卫生间、茶水间、公共活动场所楼宇外墙等所有公共部位，办公区域道路、停车场（库）等所有公共场地及“门前三包”区域的</w:t>
            </w:r>
            <w:r>
              <w:rPr>
                <w:rFonts w:ascii="宋体" w:hAnsi="宋体" w:cs="宋体" w:hint="eastAsia"/>
                <w:snapToGrid w:val="0"/>
                <w:color w:val="auto"/>
                <w:spacing w:val="10"/>
                <w:kern w:val="0"/>
                <w:szCs w:val="21"/>
                <w:highlight w:val="none"/>
              </w:rPr>
              <w:t>日常清洁、消毒、杀虫、灭鼠、垃圾清远、管道疏通、化粪池清理。办公垃圾等废弃物的分类及清理、</w:t>
            </w:r>
            <w:r>
              <w:rPr>
                <w:rFonts w:ascii="宋体" w:hAnsi="宋体" w:cs="宋体" w:hint="eastAsia"/>
                <w:snapToGrid w:val="0"/>
                <w:color w:val="auto"/>
                <w:spacing w:val="9"/>
                <w:kern w:val="0"/>
                <w:szCs w:val="21"/>
                <w:highlight w:val="none"/>
              </w:rPr>
              <w:t>杀虫、灭鼠、</w:t>
            </w:r>
            <w:r>
              <w:rPr>
                <w:rFonts w:ascii="宋体" w:hAnsi="宋体" w:cs="宋体" w:hint="eastAsia"/>
                <w:snapToGrid w:val="0"/>
                <w:color w:val="auto"/>
                <w:spacing w:val="10"/>
                <w:kern w:val="0"/>
                <w:szCs w:val="21"/>
                <w:highlight w:val="none"/>
              </w:rPr>
              <w:t>管道疏通、化粪</w:t>
            </w:r>
            <w:r>
              <w:rPr>
                <w:rFonts w:ascii="宋体" w:hAnsi="宋体" w:cs="宋体" w:hint="eastAsia"/>
                <w:snapToGrid w:val="0"/>
                <w:color w:val="auto"/>
                <w:spacing w:val="9"/>
                <w:kern w:val="0"/>
                <w:szCs w:val="21"/>
                <w:highlight w:val="none"/>
              </w:rPr>
              <w:t>池清理、日常卫生工具等费用支出由中标人承担。清洁易耗品中的卫生间用卷筒纸、擦手纸、洗手液、洗洁精和各办公室内工作人员用的垃圾桶、垃圾袋、茶水桶等办公用品由采购人提供，日常卫生用具、清洁所需手套、抹布、拖把、扫把等工具由中标人自行购买。具体保洁服务要求如下：</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4"/>
                <w:kern w:val="0"/>
                <w:szCs w:val="21"/>
                <w:highlight w:val="none"/>
              </w:rPr>
              <w:t>（1）坚持每天不少于2次对楼道、走廊、楼梯、卫生间、会</w:t>
            </w:r>
            <w:r>
              <w:rPr>
                <w:rFonts w:ascii="宋体" w:hAnsi="宋体" w:cs="宋体" w:hint="eastAsia"/>
                <w:snapToGrid w:val="0"/>
                <w:color w:val="auto"/>
                <w:spacing w:val="3"/>
                <w:kern w:val="0"/>
                <w:szCs w:val="21"/>
                <w:highlight w:val="none"/>
              </w:rPr>
              <w:t>议室进行卫生清扫、保洁消杀工作，</w:t>
            </w:r>
            <w:r>
              <w:rPr>
                <w:rFonts w:ascii="宋体" w:hAnsi="宋体" w:cs="宋体" w:hint="eastAsia"/>
                <w:snapToGrid w:val="0"/>
                <w:color w:val="auto"/>
                <w:spacing w:val="11"/>
                <w:kern w:val="0"/>
                <w:szCs w:val="21"/>
                <w:highlight w:val="none"/>
              </w:rPr>
              <w:t>对门窗、扶手、灯柱、垃圾桶、会议桌椅进行擦拭保洁、消杀，按采购</w:t>
            </w:r>
            <w:r>
              <w:rPr>
                <w:rFonts w:ascii="宋体" w:hAnsi="宋体" w:cs="宋体" w:hint="eastAsia"/>
                <w:snapToGrid w:val="0"/>
                <w:color w:val="auto"/>
                <w:spacing w:val="10"/>
                <w:kern w:val="0"/>
                <w:szCs w:val="21"/>
                <w:highlight w:val="none"/>
              </w:rPr>
              <w:t>人和使用人要求对办公室进行卫生清扫、消杀。每天不少于2次对保洁区域进行巡视检查，巡回保洁，确保干净、无异味、无</w:t>
            </w:r>
            <w:r>
              <w:rPr>
                <w:rFonts w:ascii="宋体" w:hAnsi="宋体" w:cs="宋体" w:hint="eastAsia"/>
                <w:snapToGrid w:val="0"/>
                <w:color w:val="auto"/>
                <w:spacing w:val="11"/>
                <w:kern w:val="0"/>
                <w:szCs w:val="21"/>
                <w:highlight w:val="none"/>
              </w:rPr>
              <w:t>灰尘、无杂物、无积水、无明显污迹、无油迹、无蛛网、无乱钉乱画，物品、桌椅摆放整齐有序、</w:t>
            </w:r>
            <w:r>
              <w:rPr>
                <w:rFonts w:ascii="宋体" w:hAnsi="宋体" w:cs="宋体" w:hint="eastAsia"/>
                <w:snapToGrid w:val="0"/>
                <w:color w:val="auto"/>
                <w:spacing w:val="10"/>
                <w:kern w:val="0"/>
                <w:szCs w:val="21"/>
                <w:highlight w:val="none"/>
              </w:rPr>
              <w:t>无杂物，卫生间、楼梯、电梯间等室内空间保持空气清新、无异味，公共部位无</w:t>
            </w:r>
            <w:r>
              <w:rPr>
                <w:rFonts w:ascii="宋体" w:hAnsi="宋体" w:cs="宋体" w:hint="eastAsia"/>
                <w:snapToGrid w:val="0"/>
                <w:color w:val="auto"/>
                <w:spacing w:val="9"/>
                <w:kern w:val="0"/>
                <w:szCs w:val="21"/>
                <w:highlight w:val="none"/>
              </w:rPr>
              <w:t>擅自占用和堆放杂</w:t>
            </w:r>
            <w:r>
              <w:rPr>
                <w:rFonts w:ascii="宋体" w:hAnsi="宋体" w:cs="宋体" w:hint="eastAsia"/>
                <w:snapToGrid w:val="0"/>
                <w:color w:val="auto"/>
                <w:kern w:val="0"/>
                <w:szCs w:val="21"/>
                <w:highlight w:val="none"/>
              </w:rPr>
              <w:t>物。</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（2）室内卫生使用的清洁剂、除锈剂、光亮剂、消毒液等化工液体要符合质量要</w:t>
            </w:r>
            <w:r>
              <w:rPr>
                <w:rFonts w:ascii="宋体" w:hAnsi="宋体" w:cs="宋体" w:hint="eastAsia"/>
                <w:snapToGrid w:val="0"/>
                <w:color w:val="auto"/>
                <w:spacing w:val="7"/>
                <w:kern w:val="0"/>
                <w:szCs w:val="21"/>
                <w:highlight w:val="none"/>
              </w:rPr>
              <w:t>求，卫生间的</w:t>
            </w:r>
            <w:r>
              <w:rPr>
                <w:rFonts w:ascii="宋体" w:hAnsi="宋体" w:cs="宋体" w:hint="eastAsia"/>
                <w:snapToGrid w:val="0"/>
                <w:color w:val="auto"/>
                <w:spacing w:val="8"/>
                <w:kern w:val="0"/>
                <w:szCs w:val="21"/>
                <w:highlight w:val="none"/>
              </w:rPr>
              <w:t>卫生纸及洗手液按要求及时更换。</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5"/>
                <w:kern w:val="0"/>
                <w:szCs w:val="21"/>
                <w:highlight w:val="none"/>
              </w:rPr>
              <w:t>（3）清洁工具分区分类定点摆放，整齐、干净；保洁员要节约、爱护</w:t>
            </w:r>
            <w:r>
              <w:rPr>
                <w:rFonts w:ascii="宋体" w:hAnsi="宋体" w:cs="宋体" w:hint="eastAsia"/>
                <w:snapToGrid w:val="0"/>
                <w:color w:val="auto"/>
                <w:spacing w:val="4"/>
                <w:kern w:val="0"/>
                <w:szCs w:val="21"/>
                <w:highlight w:val="none"/>
              </w:rPr>
              <w:t>保洁工具，不得随意损坏、</w:t>
            </w:r>
            <w:r>
              <w:rPr>
                <w:rFonts w:ascii="宋体" w:hAnsi="宋体" w:cs="宋体" w:hint="eastAsia"/>
                <w:snapToGrid w:val="0"/>
                <w:color w:val="auto"/>
                <w:spacing w:val="11"/>
                <w:kern w:val="0"/>
                <w:szCs w:val="21"/>
                <w:highlight w:val="none"/>
              </w:rPr>
              <w:t>丢弃；卫生保洁要注意节约用水，做到人离水关；在清扫外围区域</w:t>
            </w:r>
            <w:r>
              <w:rPr>
                <w:rFonts w:ascii="宋体" w:hAnsi="宋体" w:cs="宋体" w:hint="eastAsia"/>
                <w:snapToGrid w:val="0"/>
                <w:color w:val="auto"/>
                <w:spacing w:val="10"/>
                <w:kern w:val="0"/>
                <w:szCs w:val="21"/>
                <w:highlight w:val="none"/>
              </w:rPr>
              <w:t>时注意行人车辆，要有安全作业</w:t>
            </w:r>
            <w:r>
              <w:rPr>
                <w:rFonts w:ascii="宋体" w:hAnsi="宋体" w:cs="宋体" w:hint="eastAsia"/>
                <w:snapToGrid w:val="0"/>
                <w:color w:val="auto"/>
                <w:spacing w:val="7"/>
                <w:kern w:val="0"/>
                <w:szCs w:val="21"/>
                <w:highlight w:val="none"/>
              </w:rPr>
              <w:t>标识，确保安全。</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（4）做好垃圾清运工作。保洁员在作业中产生的所有垃圾必须倒入指定位置，所有生</w:t>
            </w:r>
            <w:r>
              <w:rPr>
                <w:rFonts w:ascii="宋体" w:hAnsi="宋体" w:cs="宋体" w:hint="eastAsia"/>
                <w:snapToGrid w:val="0"/>
                <w:color w:val="auto"/>
                <w:spacing w:val="7"/>
                <w:kern w:val="0"/>
                <w:szCs w:val="21"/>
                <w:highlight w:val="none"/>
              </w:rPr>
              <w:t>活垃圾必</w:t>
            </w:r>
            <w:r>
              <w:rPr>
                <w:rFonts w:ascii="宋体" w:hAnsi="宋体" w:cs="宋体" w:hint="eastAsia"/>
                <w:snapToGrid w:val="0"/>
                <w:color w:val="auto"/>
                <w:spacing w:val="6"/>
                <w:kern w:val="0"/>
                <w:szCs w:val="21"/>
                <w:highlight w:val="none"/>
              </w:rPr>
              <w:t>须做到日产日清，不得在管理区域内私自焚烧或随意倒放，垃圾箱外侧表面清洁、内侧无残</w:t>
            </w:r>
            <w:r>
              <w:rPr>
                <w:rFonts w:ascii="宋体" w:hAnsi="宋体" w:cs="宋体" w:hint="eastAsia"/>
                <w:snapToGrid w:val="0"/>
                <w:color w:val="auto"/>
                <w:spacing w:val="5"/>
                <w:kern w:val="0"/>
                <w:szCs w:val="21"/>
                <w:highlight w:val="none"/>
              </w:rPr>
              <w:t>留物；装</w:t>
            </w:r>
            <w:r>
              <w:rPr>
                <w:rFonts w:ascii="宋体" w:hAnsi="宋体" w:cs="宋体" w:hint="eastAsia"/>
                <w:snapToGrid w:val="0"/>
                <w:color w:val="auto"/>
                <w:spacing w:val="9"/>
                <w:kern w:val="0"/>
                <w:szCs w:val="21"/>
                <w:highlight w:val="none"/>
              </w:rPr>
              <w:t>修垃圾必须集中堆放，定期清运并进行消毒杀菌，不影响交通，不影响环境。</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4"/>
                <w:kern w:val="0"/>
                <w:szCs w:val="21"/>
                <w:highlight w:val="none"/>
              </w:rPr>
              <w:t>（5）按疫情防控要求做好环境消毒及除“四害”工作，特殊时期根据采购人要求加大消杀力度。</w:t>
            </w:r>
            <w:r>
              <w:rPr>
                <w:rFonts w:ascii="宋体" w:hAnsi="宋体" w:cs="宋体" w:hint="eastAsia"/>
                <w:snapToGrid w:val="0"/>
                <w:color w:val="auto"/>
                <w:spacing w:val="9"/>
                <w:kern w:val="0"/>
                <w:szCs w:val="21"/>
                <w:highlight w:val="none"/>
              </w:rPr>
              <w:t>药品成分符合国家规范要求，安全、环保、无异</w:t>
            </w:r>
            <w:r>
              <w:rPr>
                <w:rFonts w:ascii="宋体" w:hAnsi="宋体" w:cs="宋体" w:hint="eastAsia"/>
                <w:snapToGrid w:val="0"/>
                <w:color w:val="auto"/>
                <w:spacing w:val="8"/>
                <w:kern w:val="0"/>
                <w:szCs w:val="21"/>
                <w:highlight w:val="none"/>
              </w:rPr>
              <w:t>味。</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（6）每月定期组织管道疏导工作并根据天气状况，及时清理排水沟渠及排污管道，保</w:t>
            </w:r>
            <w:r>
              <w:rPr>
                <w:rFonts w:ascii="宋体" w:hAnsi="宋体" w:cs="宋体" w:hint="eastAsia"/>
                <w:snapToGrid w:val="0"/>
                <w:color w:val="auto"/>
                <w:spacing w:val="7"/>
                <w:kern w:val="0"/>
                <w:szCs w:val="21"/>
                <w:highlight w:val="none"/>
              </w:rPr>
              <w:t>持地下管</w:t>
            </w:r>
            <w:r>
              <w:rPr>
                <w:rFonts w:ascii="宋体" w:hAnsi="宋体" w:cs="宋体" w:hint="eastAsia"/>
                <w:snapToGrid w:val="0"/>
                <w:color w:val="auto"/>
                <w:spacing w:val="5"/>
                <w:kern w:val="0"/>
                <w:szCs w:val="21"/>
                <w:highlight w:val="none"/>
              </w:rPr>
              <w:t>道畅通。</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（7）不定期检查化粪池情况，每年不少于两次清理化粪池，保持良好环境卫生。</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4"/>
                <w:kern w:val="0"/>
                <w:szCs w:val="21"/>
                <w:highlight w:val="none"/>
              </w:rPr>
              <w:t>（8）重要岗位的保洁人员要求：无违法犯罪记录，思想端正，人员相对固定，并签订保密协议；</w:t>
            </w:r>
            <w:r>
              <w:rPr>
                <w:rFonts w:ascii="宋体" w:hAnsi="宋体" w:cs="宋体" w:hint="eastAsia"/>
                <w:snapToGrid w:val="0"/>
                <w:color w:val="auto"/>
                <w:spacing w:val="8"/>
                <w:kern w:val="0"/>
                <w:szCs w:val="21"/>
                <w:highlight w:val="none"/>
              </w:rPr>
              <w:t>清洁时要确保两人同时在岗。</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6、绿化服务。办公楼（区）室内外各类植株进行整形修剪、土壤、水肥管理和病虫害综合治理等</w:t>
            </w:r>
            <w:r>
              <w:rPr>
                <w:rFonts w:ascii="宋体" w:hAnsi="宋体" w:cs="宋体" w:hint="eastAsia"/>
                <w:snapToGrid w:val="0"/>
                <w:color w:val="auto"/>
                <w:spacing w:val="9"/>
                <w:kern w:val="0"/>
                <w:szCs w:val="21"/>
                <w:highlight w:val="none"/>
              </w:rPr>
              <w:t>日常养护，绿化带、盆株的日常清洁和绿化生产垃圾的清运，办公楼（区</w:t>
            </w:r>
            <w:r>
              <w:rPr>
                <w:rFonts w:ascii="宋体" w:hAnsi="宋体" w:cs="宋体" w:hint="eastAsia"/>
                <w:snapToGrid w:val="0"/>
                <w:color w:val="auto"/>
                <w:spacing w:val="8"/>
                <w:kern w:val="0"/>
                <w:szCs w:val="21"/>
                <w:highlight w:val="none"/>
              </w:rPr>
              <w:t>）门前规定区域绿地的养</w:t>
            </w:r>
            <w:r>
              <w:rPr>
                <w:rFonts w:ascii="宋体" w:hAnsi="宋体" w:cs="宋体" w:hint="eastAsia"/>
                <w:snapToGrid w:val="0"/>
                <w:color w:val="auto"/>
                <w:spacing w:val="7"/>
                <w:kern w:val="0"/>
                <w:szCs w:val="21"/>
                <w:highlight w:val="none"/>
              </w:rPr>
              <w:t>护管理等。绿化生产垃圾的清运费用由中标人负责；下列项目</w:t>
            </w:r>
            <w:r>
              <w:rPr>
                <w:rFonts w:ascii="宋体" w:hAnsi="宋体" w:cs="宋体" w:hint="eastAsia"/>
                <w:snapToGrid w:val="0"/>
                <w:color w:val="auto"/>
                <w:spacing w:val="6"/>
                <w:kern w:val="0"/>
                <w:szCs w:val="21"/>
                <w:highlight w:val="none"/>
              </w:rPr>
              <w:t>单次花费金额不高于500元的由中标人承担：</w:t>
            </w:r>
            <w:r>
              <w:rPr>
                <w:rFonts w:ascii="宋体" w:hAnsi="宋体" w:cs="宋体" w:hint="eastAsia"/>
                <w:snapToGrid w:val="0"/>
                <w:color w:val="auto"/>
                <w:spacing w:val="7"/>
                <w:kern w:val="0"/>
                <w:szCs w:val="21"/>
                <w:highlight w:val="none"/>
              </w:rPr>
              <w:t>除草机耗材、修剪机耗材、肥料、杀虫药剂等材料费用；</w:t>
            </w:r>
            <w:r>
              <w:rPr>
                <w:rFonts w:ascii="宋体" w:hAnsi="宋体" w:cs="宋体" w:hint="eastAsia"/>
                <w:snapToGrid w:val="0"/>
                <w:color w:val="auto"/>
                <w:spacing w:val="9"/>
                <w:kern w:val="0"/>
                <w:szCs w:val="21"/>
                <w:highlight w:val="none"/>
              </w:rPr>
              <w:t>各类高大植株绿化整形修剪所产生的费用由采购人承担。绿化服务具体要求如下：</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（1）及时铲除绿地、空地、屋顶、车棚、天台等处的杂草、杂物、青</w:t>
            </w:r>
            <w:r>
              <w:rPr>
                <w:rFonts w:ascii="宋体" w:hAnsi="宋体" w:cs="宋体" w:hint="eastAsia"/>
                <w:snapToGrid w:val="0"/>
                <w:color w:val="auto"/>
                <w:spacing w:val="8"/>
                <w:kern w:val="0"/>
                <w:szCs w:val="21"/>
                <w:highlight w:val="none"/>
              </w:rPr>
              <w:t>苔。</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（2）不定期浇水。根据季节、气候、地域条件、绿地花木品种、生长期决定浇水量。</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（3）定期松土施肥。根据花木生长期，花木品种和培植需要，定期对绿化地土壤</w:t>
            </w:r>
            <w:r>
              <w:rPr>
                <w:rFonts w:ascii="宋体" w:hAnsi="宋体" w:cs="宋体" w:hint="eastAsia"/>
                <w:snapToGrid w:val="0"/>
                <w:color w:val="auto"/>
                <w:spacing w:val="7"/>
                <w:kern w:val="0"/>
                <w:szCs w:val="21"/>
                <w:highlight w:val="none"/>
              </w:rPr>
              <w:t>进行松土和施</w:t>
            </w:r>
            <w:r>
              <w:rPr>
                <w:rFonts w:ascii="宋体" w:hAnsi="宋体" w:cs="宋体" w:hint="eastAsia"/>
                <w:snapToGrid w:val="0"/>
                <w:color w:val="auto"/>
                <w:spacing w:val="8"/>
                <w:kern w:val="0"/>
                <w:szCs w:val="21"/>
                <w:highlight w:val="none"/>
              </w:rPr>
              <w:t>肥，确保花木长势良好。</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（4）定期修剪整形。修剪绿化带、草地及景观树根据树木形态、观赏效果、树木</w:t>
            </w:r>
            <w:r>
              <w:rPr>
                <w:rFonts w:ascii="宋体" w:hAnsi="宋体" w:cs="宋体" w:hint="eastAsia"/>
                <w:snapToGrid w:val="0"/>
                <w:color w:val="auto"/>
                <w:spacing w:val="7"/>
                <w:kern w:val="0"/>
                <w:szCs w:val="21"/>
                <w:highlight w:val="none"/>
              </w:rPr>
              <w:t>品种和生长情</w:t>
            </w:r>
            <w:r>
              <w:rPr>
                <w:rFonts w:ascii="宋体" w:hAnsi="宋体" w:cs="宋体" w:hint="eastAsia"/>
                <w:snapToGrid w:val="0"/>
                <w:color w:val="auto"/>
                <w:spacing w:val="11"/>
                <w:kern w:val="0"/>
                <w:szCs w:val="21"/>
                <w:highlight w:val="none"/>
              </w:rPr>
              <w:t>况等因素定期进行修剪整形；要及时清理树枝、树叶、枯枝、杂草等，</w:t>
            </w:r>
            <w:r>
              <w:rPr>
                <w:rFonts w:ascii="宋体" w:hAnsi="宋体" w:cs="宋体" w:hint="eastAsia"/>
                <w:snapToGrid w:val="0"/>
                <w:color w:val="auto"/>
                <w:spacing w:val="10"/>
                <w:kern w:val="0"/>
                <w:szCs w:val="21"/>
                <w:highlight w:val="none"/>
              </w:rPr>
              <w:t>配合采购人对高大植株每年</w:t>
            </w:r>
            <w:r>
              <w:rPr>
                <w:rFonts w:ascii="宋体" w:hAnsi="宋体" w:cs="宋体" w:hint="eastAsia"/>
                <w:snapToGrid w:val="0"/>
                <w:color w:val="auto"/>
                <w:spacing w:val="8"/>
                <w:kern w:val="0"/>
                <w:szCs w:val="21"/>
                <w:highlight w:val="none"/>
              </w:rPr>
              <w:t>至少修剪一次，做好安全防范管理工作。</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lang w:eastAsia="en-US"/>
              </w:rPr>
              <w:t>（5）不定期清除病虫害。</w:t>
            </w:r>
            <w:r>
              <w:rPr>
                <w:rFonts w:ascii="宋体" w:hAnsi="宋体" w:cs="宋体" w:hint="eastAsia"/>
                <w:snapToGrid w:val="0"/>
                <w:color w:val="auto"/>
                <w:spacing w:val="8"/>
                <w:kern w:val="0"/>
                <w:szCs w:val="21"/>
                <w:highlight w:val="none"/>
              </w:rPr>
              <w:t>根据病虫害发生规律实施综合治理，做到预防为主、综</w:t>
            </w:r>
            <w:r>
              <w:rPr>
                <w:rFonts w:ascii="宋体" w:hAnsi="宋体" w:cs="宋体" w:hint="eastAsia"/>
                <w:snapToGrid w:val="0"/>
                <w:color w:val="auto"/>
                <w:spacing w:val="7"/>
                <w:kern w:val="0"/>
                <w:szCs w:val="21"/>
                <w:highlight w:val="none"/>
              </w:rPr>
              <w:t>合防治，不得</w:t>
            </w:r>
            <w:r>
              <w:rPr>
                <w:rFonts w:ascii="宋体" w:hAnsi="宋体" w:cs="宋体" w:hint="eastAsia"/>
                <w:snapToGrid w:val="0"/>
                <w:color w:val="auto"/>
                <w:spacing w:val="9"/>
                <w:kern w:val="0"/>
                <w:szCs w:val="21"/>
                <w:highlight w:val="none"/>
              </w:rPr>
              <w:t>发生办公区内花木因病虫害而导致的枯萎问</w:t>
            </w:r>
            <w:r>
              <w:rPr>
                <w:rFonts w:ascii="宋体" w:hAnsi="宋体" w:cs="宋体" w:hint="eastAsia"/>
                <w:snapToGrid w:val="0"/>
                <w:color w:val="auto"/>
                <w:spacing w:val="8"/>
                <w:kern w:val="0"/>
                <w:szCs w:val="21"/>
                <w:highlight w:val="none"/>
              </w:rPr>
              <w:t>题。</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（6）喷洒农药要在节假日实施，对喷洒农药的植物，要挂牌警示，以防农药中</w:t>
            </w:r>
            <w:r>
              <w:rPr>
                <w:rFonts w:ascii="宋体" w:hAnsi="宋体" w:cs="宋体" w:hint="eastAsia"/>
                <w:snapToGrid w:val="0"/>
                <w:color w:val="auto"/>
                <w:spacing w:val="7"/>
                <w:kern w:val="0"/>
                <w:szCs w:val="21"/>
                <w:highlight w:val="none"/>
              </w:rPr>
              <w:t>毒。</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0"/>
                <w:kern w:val="0"/>
                <w:szCs w:val="21"/>
                <w:highlight w:val="none"/>
              </w:rPr>
              <w:t>7、</w:t>
            </w:r>
            <w:r>
              <w:rPr>
                <w:rFonts w:ascii="宋体" w:hAnsi="宋体" w:cs="宋体" w:hint="eastAsia"/>
                <w:snapToGrid w:val="0"/>
                <w:color w:val="auto"/>
                <w:kern w:val="0"/>
                <w:szCs w:val="21"/>
                <w:highlight w:val="none"/>
              </w:rPr>
              <w:t>秩序维护服务</w:t>
            </w:r>
            <w:r>
              <w:rPr>
                <w:rFonts w:ascii="宋体" w:hAnsi="宋体" w:cs="宋体" w:hint="eastAsia"/>
                <w:snapToGrid w:val="0"/>
                <w:color w:val="auto"/>
                <w:spacing w:val="10"/>
                <w:kern w:val="0"/>
                <w:szCs w:val="21"/>
                <w:highlight w:val="none"/>
              </w:rPr>
              <w:t>。办公楼（区）门卫和日常巡逻、防盗等报警监控运行管理，车辆、道</w:t>
            </w:r>
            <w:r>
              <w:rPr>
                <w:rFonts w:ascii="宋体" w:hAnsi="宋体" w:cs="宋体" w:hint="eastAsia"/>
                <w:snapToGrid w:val="0"/>
                <w:color w:val="auto"/>
                <w:spacing w:val="9"/>
                <w:kern w:val="0"/>
                <w:szCs w:val="21"/>
                <w:highlight w:val="none"/>
              </w:rPr>
              <w:t>路及</w:t>
            </w:r>
            <w:r>
              <w:rPr>
                <w:rFonts w:ascii="宋体" w:hAnsi="宋体" w:cs="宋体" w:hint="eastAsia"/>
                <w:snapToGrid w:val="0"/>
                <w:color w:val="auto"/>
                <w:spacing w:val="8"/>
                <w:kern w:val="0"/>
                <w:szCs w:val="21"/>
                <w:highlight w:val="none"/>
              </w:rPr>
              <w:t>公共秩序维护，防汛、治安及其他突发事件处理等，日常秩序维护</w:t>
            </w:r>
            <w:r>
              <w:rPr>
                <w:rFonts w:ascii="宋体" w:hAnsi="宋体" w:cs="宋体" w:hint="eastAsia"/>
                <w:snapToGrid w:val="0"/>
                <w:color w:val="auto"/>
                <w:spacing w:val="7"/>
                <w:kern w:val="0"/>
                <w:szCs w:val="21"/>
                <w:highlight w:val="none"/>
              </w:rPr>
              <w:t>所购买的对讲机、安保服装、照明灯、</w:t>
            </w:r>
            <w:r>
              <w:rPr>
                <w:rFonts w:ascii="宋体" w:hAnsi="宋体" w:cs="宋体" w:hint="eastAsia"/>
                <w:snapToGrid w:val="0"/>
                <w:color w:val="auto"/>
                <w:spacing w:val="9"/>
                <w:kern w:val="0"/>
                <w:szCs w:val="21"/>
                <w:highlight w:val="none"/>
              </w:rPr>
              <w:t>应急包等材料费用由中标人承担。秩序维护服务具体要求如下：</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1"/>
                <w:kern w:val="0"/>
                <w:szCs w:val="21"/>
                <w:highlight w:val="none"/>
              </w:rPr>
              <w:t>（1）加强门卫管理。24小时值守；指定时间段立岗，形象展示；按采购人要求，严格对出入</w:t>
            </w:r>
            <w:r>
              <w:rPr>
                <w:rFonts w:ascii="宋体" w:hAnsi="宋体" w:cs="宋体" w:hint="eastAsia"/>
                <w:snapToGrid w:val="0"/>
                <w:color w:val="auto"/>
                <w:spacing w:val="10"/>
                <w:kern w:val="0"/>
                <w:szCs w:val="21"/>
                <w:highlight w:val="none"/>
              </w:rPr>
              <w:t>管理区域人员管理，落实好检查、验证、登记制度，杜绝外来推销、废品收购等闲杂人员、可疑人</w:t>
            </w:r>
            <w:r>
              <w:rPr>
                <w:rFonts w:ascii="宋体" w:hAnsi="宋体" w:cs="宋体" w:hint="eastAsia"/>
                <w:snapToGrid w:val="0"/>
                <w:color w:val="auto"/>
                <w:spacing w:val="9"/>
                <w:kern w:val="0"/>
                <w:szCs w:val="21"/>
                <w:highlight w:val="none"/>
              </w:rPr>
              <w:t>员和危险物品进入办公楼（区）内；大件物品出入实行确认备案制度，建立报告制度并登记台帐；</w:t>
            </w:r>
            <w:r>
              <w:rPr>
                <w:rFonts w:ascii="宋体" w:hAnsi="宋体" w:cs="宋体" w:hint="eastAsia"/>
                <w:snapToGrid w:val="0"/>
                <w:color w:val="auto"/>
                <w:spacing w:val="10"/>
                <w:kern w:val="0"/>
                <w:szCs w:val="21"/>
                <w:highlight w:val="none"/>
              </w:rPr>
              <w:t>密切掌握管理区域车辆、人员动态，及时妥善处置各种意外情况，定期做好办公区、小区车辆的排</w:t>
            </w:r>
            <w:r>
              <w:rPr>
                <w:rFonts w:ascii="宋体" w:hAnsi="宋体" w:cs="宋体" w:hint="eastAsia"/>
                <w:snapToGrid w:val="0"/>
                <w:color w:val="auto"/>
                <w:spacing w:val="9"/>
                <w:kern w:val="0"/>
                <w:szCs w:val="21"/>
                <w:highlight w:val="none"/>
              </w:rPr>
              <w:t>查工作，非工作人员、小区业主车辆不得隔夜停放，并研究制定相应管理办法。</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（2）加强秩序维护管理。每天组织对秩序维护队伍落实日常巡查、安全检查、隐患排查等工作</w:t>
            </w:r>
            <w:r>
              <w:rPr>
                <w:rFonts w:ascii="宋体" w:hAnsi="宋体" w:cs="宋体" w:hint="eastAsia"/>
                <w:snapToGrid w:val="0"/>
                <w:color w:val="auto"/>
                <w:spacing w:val="7"/>
                <w:kern w:val="0"/>
                <w:szCs w:val="21"/>
                <w:highlight w:val="none"/>
              </w:rPr>
              <w:t>情况检查</w:t>
            </w:r>
            <w:r>
              <w:rPr>
                <w:rFonts w:ascii="宋体" w:hAnsi="宋体" w:cs="宋体" w:hint="eastAsia"/>
                <w:snapToGrid w:val="0"/>
                <w:color w:val="auto"/>
                <w:spacing w:val="9"/>
                <w:kern w:val="0"/>
                <w:szCs w:val="21"/>
                <w:highlight w:val="none"/>
              </w:rPr>
              <w:t>抽查；每周组织不少于1次的执勤规范化训练；在职所有员工</w:t>
            </w:r>
            <w:r>
              <w:rPr>
                <w:rFonts w:ascii="宋体" w:hAnsi="宋体" w:cs="宋体" w:hint="eastAsia"/>
                <w:snapToGrid w:val="0"/>
                <w:color w:val="auto"/>
                <w:spacing w:val="8"/>
                <w:kern w:val="0"/>
                <w:szCs w:val="21"/>
                <w:highlight w:val="none"/>
              </w:rPr>
              <w:t>必须签订保密协议，每季开展1次保</w:t>
            </w:r>
            <w:r>
              <w:rPr>
                <w:rFonts w:ascii="宋体" w:hAnsi="宋体" w:cs="宋体" w:hint="eastAsia"/>
                <w:snapToGrid w:val="0"/>
                <w:color w:val="auto"/>
                <w:spacing w:val="11"/>
                <w:kern w:val="0"/>
                <w:szCs w:val="21"/>
                <w:highlight w:val="none"/>
              </w:rPr>
              <w:t>密工作强化培训；对秩序维护人员要统一执勤着装、统一执勤标准、统一执</w:t>
            </w:r>
            <w:r>
              <w:rPr>
                <w:rFonts w:ascii="宋体" w:hAnsi="宋体" w:cs="宋体" w:hint="eastAsia"/>
                <w:snapToGrid w:val="0"/>
                <w:color w:val="auto"/>
                <w:spacing w:val="10"/>
                <w:kern w:val="0"/>
                <w:szCs w:val="21"/>
                <w:highlight w:val="none"/>
              </w:rPr>
              <w:t>勤动作，保持执勤威严，并</w:t>
            </w:r>
            <w:r>
              <w:rPr>
                <w:rFonts w:ascii="宋体" w:hAnsi="宋体" w:cs="宋体" w:hint="eastAsia"/>
                <w:snapToGrid w:val="0"/>
                <w:color w:val="auto"/>
                <w:spacing w:val="7"/>
                <w:kern w:val="0"/>
                <w:szCs w:val="21"/>
                <w:highlight w:val="none"/>
              </w:rPr>
              <w:t>做到服务态度良好。</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（3）组织对办公区域道路弯道、交叉路口、楼梯台阶、易发事故等处设置安全标</w:t>
            </w:r>
            <w:r>
              <w:rPr>
                <w:rFonts w:ascii="宋体" w:hAnsi="宋体" w:cs="宋体" w:hint="eastAsia"/>
                <w:snapToGrid w:val="0"/>
                <w:color w:val="auto"/>
                <w:spacing w:val="7"/>
                <w:kern w:val="0"/>
                <w:szCs w:val="21"/>
                <w:highlight w:val="none"/>
              </w:rPr>
              <w:t>识，并及时组织引导与设施维护。</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（4）主动引导车辆停放和维护交通秩序，加强检查巡查，及时纠正各种乱停乱放问题。</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（5）积极协助主办部门做好重大活动、重大会议等秩序维护与保障工作，全力保障重</w:t>
            </w:r>
            <w:r>
              <w:rPr>
                <w:rFonts w:ascii="宋体" w:hAnsi="宋体" w:cs="宋体" w:hint="eastAsia"/>
                <w:snapToGrid w:val="0"/>
                <w:color w:val="auto"/>
                <w:spacing w:val="7"/>
                <w:kern w:val="0"/>
                <w:szCs w:val="21"/>
                <w:highlight w:val="none"/>
              </w:rPr>
              <w:t>大活动与重大会议顺利进行。</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（6）严格执行门卫管理制度做好交接工作。</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spacing w:val="8"/>
                <w:kern w:val="0"/>
                <w:szCs w:val="21"/>
                <w:highlight w:val="none"/>
              </w:rPr>
            </w:pPr>
            <w:r>
              <w:rPr>
                <w:rFonts w:ascii="宋体" w:hAnsi="宋体" w:cs="宋体" w:hint="eastAsia"/>
                <w:snapToGrid w:val="0"/>
                <w:color w:val="auto"/>
                <w:spacing w:val="9"/>
                <w:kern w:val="0"/>
                <w:szCs w:val="21"/>
                <w:highlight w:val="none"/>
              </w:rPr>
              <w:t>（7）物业服务人员不得勾结或私自放行他人占用公家房产或</w:t>
            </w:r>
            <w:r>
              <w:rPr>
                <w:rFonts w:ascii="宋体" w:hAnsi="宋体" w:cs="宋体" w:hint="eastAsia"/>
                <w:snapToGrid w:val="0"/>
                <w:color w:val="auto"/>
                <w:spacing w:val="8"/>
                <w:kern w:val="0"/>
                <w:szCs w:val="21"/>
                <w:highlight w:val="none"/>
              </w:rPr>
              <w:t>公共资源。</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8、会议服务。办公楼（区）内发生的会前的物品准备、会场清洁、会场布置、会议期间的茶水供应、应急疏散、会议用品保管等，会议服务的茶叶、纸杯</w:t>
            </w:r>
            <w:r>
              <w:rPr>
                <w:rFonts w:ascii="宋体" w:hAnsi="宋体" w:cs="宋体" w:hint="eastAsia"/>
                <w:snapToGrid w:val="0"/>
                <w:color w:val="auto"/>
                <w:spacing w:val="7"/>
                <w:kern w:val="0"/>
                <w:szCs w:val="21"/>
                <w:highlight w:val="none"/>
              </w:rPr>
              <w:t>纸巾等材料费由采购人承担。</w:t>
            </w:r>
            <w:r>
              <w:rPr>
                <w:rFonts w:ascii="宋体" w:hAnsi="宋体" w:cs="宋体" w:hint="eastAsia"/>
                <w:snapToGrid w:val="0"/>
                <w:color w:val="auto"/>
                <w:spacing w:val="8"/>
                <w:kern w:val="0"/>
                <w:szCs w:val="21"/>
                <w:highlight w:val="none"/>
              </w:rPr>
              <w:t>会议服务具体要求如下：</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（1）会议室及其用品管理：茶具、餐具，严格清洗、消、封存，达到卫生安全标</w:t>
            </w:r>
            <w:r>
              <w:rPr>
                <w:rFonts w:ascii="宋体" w:hAnsi="宋体" w:cs="宋体" w:hint="eastAsia"/>
                <w:snapToGrid w:val="0"/>
                <w:color w:val="auto"/>
                <w:spacing w:val="7"/>
                <w:kern w:val="0"/>
                <w:szCs w:val="21"/>
                <w:highlight w:val="none"/>
              </w:rPr>
              <w:t>准，对公共区</w:t>
            </w:r>
            <w:r>
              <w:rPr>
                <w:rFonts w:ascii="宋体" w:hAnsi="宋体" w:cs="宋体" w:hint="eastAsia"/>
                <w:snapToGrid w:val="0"/>
                <w:color w:val="auto"/>
                <w:spacing w:val="8"/>
                <w:kern w:val="0"/>
                <w:szCs w:val="21"/>
                <w:highlight w:val="none"/>
              </w:rPr>
              <w:t>域的物品进行有效管理，定期进行清点。</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（2）根据会议使用方要求、场地大小、用途，明确摆放规定，做好会场和活动场地的</w:t>
            </w:r>
            <w:r>
              <w:rPr>
                <w:rFonts w:ascii="宋体" w:hAnsi="宋体" w:cs="宋体" w:hint="eastAsia"/>
                <w:snapToGrid w:val="0"/>
                <w:color w:val="auto"/>
                <w:spacing w:val="7"/>
                <w:kern w:val="0"/>
                <w:szCs w:val="21"/>
                <w:highlight w:val="none"/>
              </w:rPr>
              <w:t>布置；会</w:t>
            </w:r>
            <w:r>
              <w:rPr>
                <w:rFonts w:ascii="宋体" w:hAnsi="宋体" w:cs="宋体" w:hint="eastAsia"/>
                <w:snapToGrid w:val="0"/>
                <w:color w:val="auto"/>
                <w:spacing w:val="10"/>
                <w:kern w:val="0"/>
                <w:szCs w:val="21"/>
                <w:highlight w:val="none"/>
              </w:rPr>
              <w:t>议服务人员于会议开始前就位；做好相应方位、就座、安全出口指引</w:t>
            </w:r>
            <w:r>
              <w:rPr>
                <w:rFonts w:ascii="宋体" w:hAnsi="宋体" w:cs="宋体" w:hint="eastAsia"/>
                <w:snapToGrid w:val="0"/>
                <w:color w:val="auto"/>
                <w:spacing w:val="9"/>
                <w:kern w:val="0"/>
                <w:szCs w:val="21"/>
                <w:highlight w:val="none"/>
              </w:rPr>
              <w:t>服务；引导手势规范，语言标</w:t>
            </w:r>
            <w:r>
              <w:rPr>
                <w:rFonts w:ascii="宋体" w:hAnsi="宋体" w:cs="宋体" w:hint="eastAsia"/>
                <w:snapToGrid w:val="0"/>
                <w:color w:val="auto"/>
                <w:spacing w:val="-1"/>
                <w:kern w:val="0"/>
                <w:szCs w:val="21"/>
                <w:highlight w:val="none"/>
              </w:rPr>
              <w:t>准。</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6"/>
                <w:kern w:val="0"/>
                <w:szCs w:val="21"/>
                <w:highlight w:val="none"/>
              </w:rPr>
              <w:t>（3）会议中及时做好会务服务：茶水间隔30分钟至少要续水一次；中间休息及时整理好座椅、</w:t>
            </w:r>
            <w:r>
              <w:rPr>
                <w:rFonts w:ascii="宋体" w:hAnsi="宋体" w:cs="宋体" w:hint="eastAsia"/>
                <w:snapToGrid w:val="0"/>
                <w:color w:val="auto"/>
                <w:spacing w:val="10"/>
                <w:kern w:val="0"/>
                <w:szCs w:val="21"/>
                <w:highlight w:val="none"/>
              </w:rPr>
              <w:t>桌面用品；保证会场内（如会议方许可）及会议室外至少各保留1名</w:t>
            </w:r>
            <w:r>
              <w:rPr>
                <w:rFonts w:ascii="宋体" w:hAnsi="宋体" w:cs="宋体" w:hint="eastAsia"/>
                <w:snapToGrid w:val="0"/>
                <w:color w:val="auto"/>
                <w:spacing w:val="9"/>
                <w:kern w:val="0"/>
                <w:szCs w:val="21"/>
                <w:highlight w:val="none"/>
              </w:rPr>
              <w:t>服务人员进行服务，随时解决</w:t>
            </w:r>
            <w:r>
              <w:rPr>
                <w:rFonts w:ascii="宋体" w:hAnsi="宋体" w:cs="宋体" w:hint="eastAsia"/>
                <w:snapToGrid w:val="0"/>
                <w:color w:val="auto"/>
                <w:spacing w:val="11"/>
                <w:kern w:val="0"/>
                <w:szCs w:val="21"/>
                <w:highlight w:val="none"/>
              </w:rPr>
              <w:t>与会人员提出的临时要求。会议结束前，各引导人员迅速抵达</w:t>
            </w:r>
            <w:r>
              <w:rPr>
                <w:rFonts w:ascii="宋体" w:hAnsi="宋体" w:cs="宋体" w:hint="eastAsia"/>
                <w:snapToGrid w:val="0"/>
                <w:color w:val="auto"/>
                <w:spacing w:val="10"/>
                <w:kern w:val="0"/>
                <w:szCs w:val="21"/>
                <w:highlight w:val="none"/>
              </w:rPr>
              <w:t>岗位，进行疏散。做好会前会后的保</w:t>
            </w:r>
            <w:r>
              <w:rPr>
                <w:rFonts w:ascii="宋体" w:hAnsi="宋体" w:cs="宋体" w:hint="eastAsia"/>
                <w:snapToGrid w:val="0"/>
                <w:color w:val="auto"/>
                <w:spacing w:val="9"/>
                <w:kern w:val="0"/>
                <w:szCs w:val="21"/>
                <w:highlight w:val="none"/>
              </w:rPr>
              <w:t>洁工作。若有会议需要，应在会前加强保洁，会后及时清理。</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（4）制定有关会议、活动突发事件的应急预案；对于大型会议，会前应将会议中心疏</w:t>
            </w:r>
            <w:r>
              <w:rPr>
                <w:rFonts w:ascii="宋体" w:hAnsi="宋体" w:cs="宋体" w:hint="eastAsia"/>
                <w:snapToGrid w:val="0"/>
                <w:color w:val="auto"/>
                <w:spacing w:val="7"/>
                <w:kern w:val="0"/>
                <w:szCs w:val="21"/>
                <w:highlight w:val="none"/>
              </w:rPr>
              <w:t>散图、各</w:t>
            </w:r>
            <w:r>
              <w:rPr>
                <w:rFonts w:ascii="宋体" w:hAnsi="宋体" w:cs="宋体" w:hint="eastAsia"/>
                <w:snapToGrid w:val="0"/>
                <w:color w:val="auto"/>
                <w:spacing w:val="11"/>
                <w:kern w:val="0"/>
                <w:szCs w:val="21"/>
                <w:highlight w:val="none"/>
              </w:rPr>
              <w:t>疏散通道位置告知会议方，并提醒会议方有序退场；发生紧急事件时，立</w:t>
            </w:r>
            <w:r>
              <w:rPr>
                <w:rFonts w:ascii="宋体" w:hAnsi="宋体" w:cs="宋体" w:hint="eastAsia"/>
                <w:snapToGrid w:val="0"/>
                <w:color w:val="auto"/>
                <w:spacing w:val="10"/>
                <w:kern w:val="0"/>
                <w:szCs w:val="21"/>
                <w:highlight w:val="none"/>
              </w:rPr>
              <w:t>即组织相关责任人处理，</w:t>
            </w:r>
            <w:r>
              <w:rPr>
                <w:rFonts w:ascii="宋体" w:hAnsi="宋体" w:cs="宋体" w:hint="eastAsia"/>
                <w:snapToGrid w:val="0"/>
                <w:color w:val="auto"/>
                <w:spacing w:val="11"/>
                <w:kern w:val="0"/>
                <w:szCs w:val="21"/>
                <w:highlight w:val="none"/>
              </w:rPr>
              <w:t>按应急方案制定的措施执行，并分析原因，提出整改方案和预防措施；单</w:t>
            </w:r>
            <w:r>
              <w:rPr>
                <w:rFonts w:ascii="宋体" w:hAnsi="宋体" w:cs="宋体" w:hint="eastAsia"/>
                <w:snapToGrid w:val="0"/>
                <w:color w:val="auto"/>
                <w:spacing w:val="10"/>
                <w:kern w:val="0"/>
                <w:szCs w:val="21"/>
                <w:highlight w:val="none"/>
              </w:rPr>
              <w:t>位主要领导召集的会议、</w:t>
            </w:r>
            <w:r>
              <w:rPr>
                <w:rFonts w:ascii="宋体" w:hAnsi="宋体" w:cs="宋体" w:hint="eastAsia"/>
                <w:snapToGrid w:val="0"/>
                <w:color w:val="auto"/>
                <w:spacing w:val="9"/>
                <w:kern w:val="0"/>
                <w:szCs w:val="21"/>
                <w:highlight w:val="none"/>
              </w:rPr>
              <w:t>大型会议，物业服务人员务必提前对水、电、空调</w:t>
            </w:r>
            <w:r>
              <w:rPr>
                <w:rFonts w:ascii="宋体" w:hAnsi="宋体" w:cs="宋体" w:hint="eastAsia"/>
                <w:snapToGrid w:val="0"/>
                <w:color w:val="auto"/>
                <w:spacing w:val="8"/>
                <w:kern w:val="0"/>
                <w:szCs w:val="21"/>
                <w:highlight w:val="none"/>
              </w:rPr>
              <w:t>、电梯等设备的情况进行检查并建立工作台账。</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（5）法定节假日或有重大活动的，按采购人要求协助做好氛围营造工作，如绿化</w:t>
            </w:r>
            <w:r>
              <w:rPr>
                <w:rFonts w:ascii="宋体" w:hAnsi="宋体" w:cs="宋体" w:hint="eastAsia"/>
                <w:snapToGrid w:val="0"/>
                <w:color w:val="auto"/>
                <w:spacing w:val="7"/>
                <w:kern w:val="0"/>
                <w:szCs w:val="21"/>
                <w:highlight w:val="none"/>
              </w:rPr>
              <w:t>、美化、宣传</w:t>
            </w:r>
            <w:r>
              <w:rPr>
                <w:rFonts w:ascii="宋体" w:hAnsi="宋体" w:cs="宋体" w:hint="eastAsia"/>
                <w:snapToGrid w:val="0"/>
                <w:color w:val="auto"/>
                <w:spacing w:val="8"/>
                <w:kern w:val="0"/>
                <w:szCs w:val="21"/>
                <w:highlight w:val="none"/>
              </w:rPr>
              <w:t>布置、垂挂灯笼、大型活动场地布置等。</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spacing w:val="8"/>
                <w:kern w:val="0"/>
                <w:szCs w:val="21"/>
                <w:highlight w:val="none"/>
              </w:rPr>
            </w:pPr>
            <w:r>
              <w:rPr>
                <w:rFonts w:ascii="宋体" w:hAnsi="宋体" w:cs="宋体" w:hint="eastAsia"/>
                <w:snapToGrid w:val="0"/>
                <w:color w:val="auto"/>
                <w:spacing w:val="8"/>
                <w:kern w:val="0"/>
                <w:szCs w:val="21"/>
                <w:highlight w:val="none"/>
              </w:rPr>
              <w:t>（6）每季进行一次专职会务员业务培训。</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spacing w:val="8"/>
                <w:kern w:val="0"/>
                <w:szCs w:val="21"/>
                <w:highlight w:val="none"/>
              </w:rPr>
            </w:pPr>
            <w:r>
              <w:rPr>
                <w:rFonts w:ascii="宋体" w:hAnsi="宋体" w:cs="宋体" w:hint="eastAsia"/>
                <w:snapToGrid w:val="0"/>
                <w:color w:val="auto"/>
                <w:spacing w:val="8"/>
                <w:kern w:val="0"/>
                <w:szCs w:val="21"/>
                <w:highlight w:val="none"/>
              </w:rPr>
              <w:t>9、为柳州市沿江路8号办公区6层、7层提供物业服务。</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spacing w:val="8"/>
                <w:kern w:val="0"/>
                <w:szCs w:val="21"/>
                <w:highlight w:val="none"/>
              </w:rPr>
            </w:pPr>
            <w:r>
              <w:rPr>
                <w:rFonts w:ascii="宋体" w:hAnsi="宋体" w:cs="宋体" w:hint="eastAsia"/>
                <w:snapToGrid w:val="0"/>
                <w:color w:val="auto"/>
                <w:spacing w:val="8"/>
                <w:kern w:val="0"/>
                <w:szCs w:val="21"/>
                <w:highlight w:val="none"/>
              </w:rPr>
              <w:t>（1）清洁卫生：对室内楼梯、台阶、公共通道（走廊）培训接待客房、卫生间、门窗、玻璃、内墙、天花板等所有公共部位的清扫保洁以及垃圾等废物清理。实行标准化清扫保洁，由专人负责检查监督，楼梯扶手、走廊、电梯、卫生间、内外墙面、门窗、玻璃、所有公共区域保持清洁，做到无杂物、无垃圾、无污垢、无污渍、无异味。及时巡回保洁，确保室内卫生责任区明亮整洁。</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spacing w:val="8"/>
                <w:kern w:val="0"/>
                <w:szCs w:val="21"/>
                <w:highlight w:val="none"/>
              </w:rPr>
            </w:pPr>
            <w:r>
              <w:rPr>
                <w:rFonts w:ascii="宋体" w:hAnsi="宋体" w:cs="宋体" w:hint="eastAsia"/>
                <w:snapToGrid w:val="0"/>
                <w:color w:val="auto"/>
                <w:spacing w:val="8"/>
                <w:kern w:val="0"/>
                <w:szCs w:val="21"/>
                <w:highlight w:val="none"/>
              </w:rPr>
              <w:t>（2）客房服务：按照三星级宾馆标准提供客房服务，包括：客房的卫生保洁、布草更换、离房检查、退房后及时保洁，做到客房卫生整洁、物品摆放整齐，严格按（一冲、二洗、三消毒、四保洁）的要求对客房水杯、卫生洁具等进行消毒保洁，每天进房开窗进行通风换气，用干布抹去家具、设备及物品上的浮尘。按要求更换所有床上用品和用具，每天上午、下午分别对客房进行一次保洁及物品的消毒工作。当班期间不定期楼面巡查，注意门、锁情况，随时做好楼面（走廊、外窗玻璃、窗槽等）的公共卫生，保持楼层整洁。负责布草、杯具、用具的清点、保管、交接、送洗、领用等工作。做好设施的日常保养和设备报修工作。</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10、物业管理区域内装饰、装修外部工程施工的行为管理要求：</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（1）制定管理制度，对外部工程人员进出实行分类管理，提前做好报备、签约、</w:t>
            </w:r>
            <w:r>
              <w:rPr>
                <w:rFonts w:ascii="宋体" w:hAnsi="宋体" w:cs="宋体" w:hint="eastAsia"/>
                <w:snapToGrid w:val="0"/>
                <w:color w:val="auto"/>
                <w:spacing w:val="7"/>
                <w:kern w:val="0"/>
                <w:szCs w:val="21"/>
                <w:highlight w:val="none"/>
              </w:rPr>
              <w:t>收取施工押金</w:t>
            </w:r>
            <w:r>
              <w:rPr>
                <w:rFonts w:ascii="宋体" w:hAnsi="宋体" w:cs="宋体" w:hint="eastAsia"/>
                <w:snapToGrid w:val="0"/>
                <w:color w:val="auto"/>
                <w:spacing w:val="8"/>
                <w:kern w:val="0"/>
                <w:szCs w:val="21"/>
                <w:highlight w:val="none"/>
              </w:rPr>
              <w:t>等措施，并指定跟踪管理人员，建立工作台账。</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5"/>
                <w:kern w:val="0"/>
                <w:szCs w:val="21"/>
                <w:highlight w:val="none"/>
              </w:rPr>
              <w:t>（2）明确装修时间及昼夜间噪声控制，不得影响他人；装修施工期间</w:t>
            </w:r>
            <w:r>
              <w:rPr>
                <w:rFonts w:ascii="宋体" w:hAnsi="宋体" w:cs="宋体" w:hint="eastAsia"/>
                <w:snapToGrid w:val="0"/>
                <w:color w:val="auto"/>
                <w:spacing w:val="4"/>
                <w:kern w:val="0"/>
                <w:szCs w:val="21"/>
                <w:highlight w:val="none"/>
              </w:rPr>
              <w:t>，对动火施工及临时用电、</w:t>
            </w:r>
            <w:r>
              <w:rPr>
                <w:rFonts w:ascii="宋体" w:hAnsi="宋体" w:cs="宋体" w:hint="eastAsia"/>
                <w:snapToGrid w:val="0"/>
                <w:color w:val="auto"/>
                <w:spacing w:val="10"/>
                <w:kern w:val="0"/>
                <w:szCs w:val="21"/>
                <w:highlight w:val="none"/>
              </w:rPr>
              <w:t>消防安全情况进行重点巡视检查；对房屋内装修进行严格的监督管理</w:t>
            </w:r>
            <w:r>
              <w:rPr>
                <w:rFonts w:ascii="宋体" w:hAnsi="宋体" w:cs="宋体" w:hint="eastAsia"/>
                <w:snapToGrid w:val="0"/>
                <w:color w:val="auto"/>
                <w:spacing w:val="9"/>
                <w:kern w:val="0"/>
                <w:szCs w:val="21"/>
                <w:highlight w:val="none"/>
              </w:rPr>
              <w:t>，确保不因装修而危及大楼结</w:t>
            </w:r>
            <w:r>
              <w:rPr>
                <w:rFonts w:ascii="宋体" w:hAnsi="宋体" w:cs="宋体" w:hint="eastAsia"/>
                <w:snapToGrid w:val="0"/>
                <w:color w:val="auto"/>
                <w:spacing w:val="10"/>
                <w:kern w:val="0"/>
                <w:szCs w:val="21"/>
                <w:highlight w:val="none"/>
              </w:rPr>
              <w:t>构安全、人身安全和影响正常办公秩序；监督施工单位及时清运建筑</w:t>
            </w:r>
            <w:r>
              <w:rPr>
                <w:rFonts w:ascii="宋体" w:hAnsi="宋体" w:cs="宋体" w:hint="eastAsia"/>
                <w:snapToGrid w:val="0"/>
                <w:color w:val="auto"/>
                <w:spacing w:val="9"/>
                <w:kern w:val="0"/>
                <w:szCs w:val="21"/>
                <w:highlight w:val="none"/>
              </w:rPr>
              <w:t>垃圾；施工期间发现违反装修管理要求、违章搭建等行为、现象及时劝阻、制止并及时向采购人汇报。</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11、应急管理。制定各类突发事件（包括但不限于出现灾害性天气、突发火灾、停电、供水管</w:t>
            </w:r>
            <w:r>
              <w:rPr>
                <w:rFonts w:ascii="宋体" w:hAnsi="宋体" w:cs="宋体" w:hint="eastAsia"/>
                <w:snapToGrid w:val="0"/>
                <w:color w:val="auto"/>
                <w:spacing w:val="10"/>
                <w:kern w:val="0"/>
                <w:szCs w:val="21"/>
                <w:highlight w:val="none"/>
              </w:rPr>
              <w:t>道爆裂、燃气管道泄露、突发治安或刑事事件等）的应急预案。重大事件时</w:t>
            </w:r>
            <w:r>
              <w:rPr>
                <w:rFonts w:ascii="宋体" w:hAnsi="宋体" w:cs="宋体" w:hint="eastAsia"/>
                <w:snapToGrid w:val="0"/>
                <w:color w:val="auto"/>
                <w:spacing w:val="9"/>
                <w:kern w:val="0"/>
                <w:szCs w:val="21"/>
                <w:highlight w:val="none"/>
              </w:rPr>
              <w:t>期、重大自然灾害期间启动应急管理预案，做好定全稳定和防灾减灾工作。市政停电时，办公楼必须5分钟内切换到备用</w:t>
            </w:r>
            <w:r>
              <w:rPr>
                <w:rFonts w:ascii="宋体" w:hAnsi="宋体" w:cs="宋体" w:hint="eastAsia"/>
                <w:snapToGrid w:val="0"/>
                <w:color w:val="auto"/>
                <w:spacing w:val="7"/>
                <w:kern w:val="0"/>
                <w:szCs w:val="21"/>
                <w:highlight w:val="none"/>
              </w:rPr>
              <w:t>电源恢复供电（含计算机房专用电路</w:t>
            </w:r>
            <w:r>
              <w:rPr>
                <w:rFonts w:ascii="宋体" w:hAnsi="宋体" w:cs="宋体" w:hint="eastAsia"/>
                <w:snapToGrid w:val="0"/>
                <w:color w:val="auto"/>
                <w:spacing w:val="-29"/>
                <w:kern w:val="0"/>
                <w:szCs w:val="21"/>
                <w:highlight w:val="none"/>
              </w:rPr>
              <w:t>），</w:t>
            </w:r>
            <w:r>
              <w:rPr>
                <w:rFonts w:ascii="宋体" w:hAnsi="宋体" w:cs="宋体" w:hint="eastAsia"/>
                <w:snapToGrid w:val="0"/>
                <w:color w:val="auto"/>
                <w:spacing w:val="7"/>
                <w:kern w:val="0"/>
                <w:szCs w:val="21"/>
                <w:highlight w:val="none"/>
              </w:rPr>
              <w:t>生活区应在15分钟内恢复供电。</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4"/>
                <w:kern w:val="0"/>
                <w:szCs w:val="21"/>
                <w:highlight w:val="none"/>
              </w:rPr>
              <w:t>12、其他要求：</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lang w:eastAsia="en-US"/>
              </w:rPr>
            </w:pPr>
            <w:r>
              <w:rPr>
                <w:rFonts w:ascii="宋体" w:hAnsi="宋体" w:cs="宋体" w:hint="eastAsia"/>
                <w:snapToGrid w:val="0"/>
                <w:color w:val="auto"/>
                <w:spacing w:val="9"/>
                <w:kern w:val="0"/>
                <w:szCs w:val="21"/>
                <w:highlight w:val="none"/>
              </w:rPr>
              <w:t>根据采购人要求，做好门前三包、综合治理等其他方面</w:t>
            </w:r>
            <w:r>
              <w:rPr>
                <w:rFonts w:ascii="宋体" w:hAnsi="宋体" w:cs="宋体" w:hint="eastAsia"/>
                <w:snapToGrid w:val="0"/>
                <w:color w:val="auto"/>
                <w:spacing w:val="8"/>
                <w:kern w:val="0"/>
                <w:szCs w:val="21"/>
                <w:highlight w:val="none"/>
              </w:rPr>
              <w:t>的工作。</w:t>
            </w:r>
            <w:r>
              <w:rPr>
                <w:rFonts w:ascii="宋体" w:hAnsi="宋体" w:cs="宋体" w:hint="eastAsia"/>
                <w:snapToGrid w:val="0"/>
                <w:color w:val="auto"/>
                <w:spacing w:val="8"/>
                <w:kern w:val="0"/>
                <w:szCs w:val="21"/>
                <w:highlight w:val="none"/>
                <w:lang w:eastAsia="en-US"/>
              </w:rPr>
              <w:t>做到四个“不”：</w:t>
            </w:r>
          </w:p>
          <w:p>
            <w:pPr>
              <w:widowControl/>
              <w:numPr>
                <w:ilvl w:val="0"/>
                <w:numId w:val="4"/>
              </w:numPr>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不发生因管理责任引发的秩序安全事件。（2）不发生因管理责任引发的消防安全事件。（3）不发生因管理责任引发的设备安全事件。（4）不发生因管理责任引发的信息安全事件。</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6"/>
                <w:kern w:val="0"/>
                <w:szCs w:val="21"/>
                <w:highlight w:val="none"/>
              </w:rPr>
              <w:t>13、绿色物业管理：</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绿色物业管理包括但不限于：</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（1）节能：基于办公楼的能耗组成、能耗设备及运行规律、能耗特点等，进行用</w:t>
            </w:r>
            <w:r>
              <w:rPr>
                <w:rFonts w:ascii="宋体" w:hAnsi="宋体" w:cs="宋体" w:hint="eastAsia"/>
                <w:snapToGrid w:val="0"/>
                <w:color w:val="auto"/>
                <w:spacing w:val="7"/>
                <w:kern w:val="0"/>
                <w:szCs w:val="21"/>
                <w:highlight w:val="none"/>
              </w:rPr>
              <w:t>能分析，查找</w:t>
            </w:r>
            <w:r>
              <w:rPr>
                <w:rFonts w:ascii="宋体" w:hAnsi="宋体" w:cs="宋体" w:hint="eastAsia"/>
                <w:snapToGrid w:val="0"/>
                <w:color w:val="auto"/>
                <w:spacing w:val="9"/>
                <w:kern w:val="0"/>
                <w:szCs w:val="21"/>
                <w:highlight w:val="none"/>
              </w:rPr>
              <w:t>存在问题与漏洞，给出针对主要耗能对象制定节能改造方案，报采购人同意后实施。</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7"/>
                <w:kern w:val="0"/>
                <w:szCs w:val="21"/>
                <w:highlight w:val="none"/>
              </w:rPr>
              <w:t>（2）节水：利用节水技术和设施，杜绝“跑、冒、滴、漏”现象，制订节水措施、方案，报采购人同意后实施。</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（3）环境绿化：加强办公区域的绿化施肥、修剪、杀虫等养护工作，为采购人机</w:t>
            </w:r>
            <w:r>
              <w:rPr>
                <w:rFonts w:ascii="宋体" w:hAnsi="宋体" w:cs="宋体" w:hint="eastAsia"/>
                <w:snapToGrid w:val="0"/>
                <w:color w:val="auto"/>
                <w:spacing w:val="7"/>
                <w:kern w:val="0"/>
                <w:szCs w:val="21"/>
                <w:highlight w:val="none"/>
              </w:rPr>
              <w:t>关干部职工营</w:t>
            </w:r>
            <w:r>
              <w:rPr>
                <w:rFonts w:ascii="宋体" w:hAnsi="宋体" w:cs="宋体" w:hint="eastAsia"/>
                <w:snapToGrid w:val="0"/>
                <w:color w:val="auto"/>
                <w:spacing w:val="8"/>
                <w:kern w:val="0"/>
                <w:szCs w:val="21"/>
                <w:highlight w:val="none"/>
              </w:rPr>
              <w:t>造良好的工作和生活环境。</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b/>
                <w:bCs/>
                <w:snapToGrid w:val="0"/>
                <w:color w:val="auto"/>
                <w:kern w:val="0"/>
                <w:szCs w:val="21"/>
                <w:highlight w:val="none"/>
              </w:rPr>
            </w:pPr>
            <w:r>
              <w:rPr>
                <w:rFonts w:ascii="宋体" w:hAnsi="宋体" w:cs="宋体" w:hint="eastAsia"/>
                <w:b/>
                <w:bCs/>
                <w:snapToGrid w:val="0"/>
                <w:color w:val="auto"/>
                <w:spacing w:val="8"/>
                <w:kern w:val="0"/>
                <w:szCs w:val="21"/>
                <w:highlight w:val="none"/>
              </w:rPr>
              <w:t>（三）物业管理服务目标</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5"/>
                <w:kern w:val="0"/>
                <w:szCs w:val="21"/>
                <w:highlight w:val="none"/>
              </w:rPr>
              <w:t>1、服务目标</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0"/>
                <w:kern w:val="0"/>
                <w:szCs w:val="21"/>
                <w:highlight w:val="none"/>
              </w:rPr>
              <w:t>服务目标是：为采购人工作人员创造高效、便捷、安全、卫生的办公</w:t>
            </w:r>
            <w:r>
              <w:rPr>
                <w:rFonts w:ascii="宋体" w:hAnsi="宋体" w:cs="宋体" w:hint="eastAsia"/>
                <w:snapToGrid w:val="0"/>
                <w:color w:val="auto"/>
                <w:spacing w:val="9"/>
                <w:kern w:val="0"/>
                <w:szCs w:val="21"/>
                <w:highlight w:val="none"/>
              </w:rPr>
              <w:t>生活环境，为外来人员创</w:t>
            </w:r>
            <w:r>
              <w:rPr>
                <w:rFonts w:ascii="宋体" w:hAnsi="宋体" w:cs="宋体" w:hint="eastAsia"/>
                <w:snapToGrid w:val="0"/>
                <w:color w:val="auto"/>
                <w:spacing w:val="8"/>
                <w:kern w:val="0"/>
                <w:szCs w:val="21"/>
                <w:highlight w:val="none"/>
              </w:rPr>
              <w:t>造文明、舒适、温馨的办事环境。</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2、服务应达到的各项指标要求，全体物业服务人员须统一着装，佩戴统一标志，仪表端庄、大</w:t>
            </w:r>
            <w:r>
              <w:rPr>
                <w:rFonts w:ascii="宋体" w:hAnsi="宋体" w:cs="宋体" w:hint="eastAsia"/>
                <w:snapToGrid w:val="0"/>
                <w:color w:val="auto"/>
                <w:spacing w:val="10"/>
                <w:kern w:val="0"/>
                <w:szCs w:val="21"/>
                <w:highlight w:val="none"/>
              </w:rPr>
              <w:t>方，衣着整洁，表情自然和蔼、亲切；对业主一视同仁；接待时主动、</w:t>
            </w:r>
            <w:r>
              <w:rPr>
                <w:rFonts w:ascii="宋体" w:hAnsi="宋体" w:cs="宋体" w:hint="eastAsia"/>
                <w:snapToGrid w:val="0"/>
                <w:color w:val="auto"/>
                <w:spacing w:val="9"/>
                <w:kern w:val="0"/>
                <w:szCs w:val="21"/>
                <w:highlight w:val="none"/>
              </w:rPr>
              <w:t>热情、规范；迎送接待业主</w:t>
            </w:r>
            <w:r>
              <w:rPr>
                <w:rFonts w:ascii="宋体" w:hAnsi="宋体" w:cs="宋体" w:hint="eastAsia"/>
                <w:snapToGrid w:val="0"/>
                <w:color w:val="auto"/>
                <w:spacing w:val="10"/>
                <w:kern w:val="0"/>
                <w:szCs w:val="21"/>
                <w:highlight w:val="none"/>
              </w:rPr>
              <w:t>和来访人员时，用语准确，称呼恰当，问候亲切，语气诚恳，耐心细致</w:t>
            </w:r>
            <w:r>
              <w:rPr>
                <w:rFonts w:ascii="宋体" w:hAnsi="宋体" w:cs="宋体" w:hint="eastAsia"/>
                <w:snapToGrid w:val="0"/>
                <w:color w:val="auto"/>
                <w:spacing w:val="9"/>
                <w:kern w:val="0"/>
                <w:szCs w:val="21"/>
                <w:highlight w:val="none"/>
              </w:rPr>
              <w:t>；使用文明用语，不使用服</w:t>
            </w:r>
            <w:r>
              <w:rPr>
                <w:rFonts w:ascii="宋体" w:hAnsi="宋体" w:cs="宋体" w:hint="eastAsia"/>
                <w:snapToGrid w:val="0"/>
                <w:color w:val="auto"/>
                <w:spacing w:val="8"/>
                <w:kern w:val="0"/>
                <w:szCs w:val="21"/>
                <w:highlight w:val="none"/>
              </w:rPr>
              <w:t>务忌语。达到以下指标：</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①杜绝火灾责任事故和其他安全事故；</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1"/>
                <w:kern w:val="0"/>
                <w:szCs w:val="21"/>
                <w:highlight w:val="none"/>
              </w:rPr>
              <w:t>②环境卫生、清洁率达99%；</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6"/>
                <w:kern w:val="0"/>
                <w:szCs w:val="21"/>
                <w:highlight w:val="none"/>
              </w:rPr>
              <w:t>③消防设备设施完好率100%；</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6"/>
                <w:kern w:val="0"/>
                <w:szCs w:val="21"/>
                <w:highlight w:val="none"/>
              </w:rPr>
              <w:t>④房屋、门窗完好率99%；</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1"/>
                <w:kern w:val="0"/>
                <w:szCs w:val="21"/>
                <w:highlight w:val="none"/>
              </w:rPr>
              <w:t>⑤车库设备完好率98%；</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⑥智能化系统运行正常率98%；</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6"/>
                <w:kern w:val="0"/>
                <w:szCs w:val="21"/>
                <w:highlight w:val="none"/>
              </w:rPr>
              <w:t>⑦零星维修、报修及时率100%，返修率≤1%；</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6"/>
                <w:kern w:val="0"/>
                <w:szCs w:val="21"/>
                <w:highlight w:val="none"/>
              </w:rPr>
              <w:t>⑧服务有效投诉≤5%，处理率100%；</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5"/>
                <w:kern w:val="0"/>
                <w:szCs w:val="21"/>
                <w:highlight w:val="none"/>
              </w:rPr>
              <w:t>⑨会议服务及时率100%；</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1"/>
                <w:kern w:val="0"/>
                <w:szCs w:val="21"/>
                <w:highlight w:val="none"/>
              </w:rPr>
              <w:t>⑩每季度对物业管理服务满意度抽样调查，满意率达95%以上，对不满意的情况进行分析并及</w:t>
            </w:r>
            <w:r>
              <w:rPr>
                <w:rFonts w:ascii="宋体" w:hAnsi="宋体" w:cs="宋体" w:hint="eastAsia"/>
                <w:snapToGrid w:val="0"/>
                <w:color w:val="auto"/>
                <w:spacing w:val="2"/>
                <w:kern w:val="0"/>
                <w:szCs w:val="21"/>
                <w:highlight w:val="none"/>
              </w:rPr>
              <w:t>时整改。</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b/>
                <w:bCs/>
                <w:snapToGrid w:val="0"/>
                <w:color w:val="auto"/>
                <w:spacing w:val="7"/>
                <w:kern w:val="0"/>
                <w:szCs w:val="21"/>
                <w:highlight w:val="none"/>
              </w:rPr>
              <w:t>（四）物业管理服务相关制度</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spacing w:val="5"/>
                <w:kern w:val="0"/>
                <w:szCs w:val="21"/>
                <w:highlight w:val="none"/>
              </w:rPr>
            </w:pPr>
            <w:r>
              <w:rPr>
                <w:rFonts w:ascii="宋体" w:hAnsi="宋体" w:cs="宋体" w:hint="eastAsia"/>
                <w:snapToGrid w:val="0"/>
                <w:color w:val="auto"/>
                <w:spacing w:val="11"/>
                <w:kern w:val="0"/>
                <w:szCs w:val="21"/>
                <w:highlight w:val="none"/>
              </w:rPr>
              <w:t>物业服务单位要严格遵守采购人制订的各项管理制度并在此基础上开展</w:t>
            </w:r>
            <w:r>
              <w:rPr>
                <w:rFonts w:ascii="宋体" w:hAnsi="宋体" w:cs="宋体" w:hint="eastAsia"/>
                <w:snapToGrid w:val="0"/>
                <w:color w:val="auto"/>
                <w:spacing w:val="10"/>
                <w:kern w:val="0"/>
                <w:szCs w:val="21"/>
                <w:highlight w:val="none"/>
              </w:rPr>
              <w:t>物业服务，包括但不</w:t>
            </w:r>
            <w:r>
              <w:rPr>
                <w:rFonts w:ascii="宋体" w:hAnsi="宋体" w:cs="宋体" w:hint="eastAsia"/>
                <w:snapToGrid w:val="0"/>
                <w:color w:val="auto"/>
                <w:spacing w:val="11"/>
                <w:kern w:val="0"/>
                <w:szCs w:val="21"/>
                <w:highlight w:val="none"/>
              </w:rPr>
              <w:t>限于柳州市税务局机关大院管理办法、车辆出入停放管理办法</w:t>
            </w:r>
            <w:r>
              <w:rPr>
                <w:rFonts w:ascii="宋体" w:hAnsi="宋体" w:cs="宋体" w:hint="eastAsia"/>
                <w:snapToGrid w:val="0"/>
                <w:color w:val="auto"/>
                <w:spacing w:val="10"/>
                <w:kern w:val="0"/>
                <w:szCs w:val="21"/>
                <w:highlight w:val="none"/>
              </w:rPr>
              <w:t>、消防安全管理办法、</w:t>
            </w:r>
            <w:r>
              <w:rPr>
                <w:rFonts w:ascii="宋体" w:hAnsi="宋体" w:cs="宋体" w:hint="eastAsia"/>
                <w:snapToGrid w:val="0"/>
                <w:color w:val="auto"/>
                <w:spacing w:val="5"/>
                <w:kern w:val="0"/>
                <w:szCs w:val="21"/>
                <w:highlight w:val="none"/>
              </w:rPr>
              <w:t>公共机构节能管理制度等（详见附件三）。</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1"/>
                <w:kern w:val="0"/>
                <w:szCs w:val="21"/>
                <w:highlight w:val="none"/>
              </w:rPr>
              <w:t>投标人应根据本项目物业服务内容及要求提供开展物业服务时的</w:t>
            </w:r>
            <w:r>
              <w:rPr>
                <w:rFonts w:ascii="宋体" w:hAnsi="宋体" w:cs="宋体" w:hint="eastAsia"/>
                <w:snapToGrid w:val="0"/>
                <w:color w:val="auto"/>
                <w:spacing w:val="10"/>
                <w:kern w:val="0"/>
                <w:szCs w:val="21"/>
                <w:highlight w:val="none"/>
              </w:rPr>
              <w:t>服务承诺、职责以及要求等</w:t>
            </w:r>
            <w:r>
              <w:rPr>
                <w:rFonts w:ascii="宋体" w:hAnsi="宋体" w:cs="宋体" w:hint="eastAsia"/>
                <w:snapToGrid w:val="0"/>
                <w:color w:val="auto"/>
                <w:spacing w:val="11"/>
                <w:kern w:val="0"/>
                <w:szCs w:val="21"/>
                <w:highlight w:val="none"/>
              </w:rPr>
              <w:t>物业管理规范性制度。中标人进场服务后，需及时将相关服务承诺、</w:t>
            </w:r>
            <w:r>
              <w:rPr>
                <w:rFonts w:ascii="宋体" w:hAnsi="宋体" w:cs="宋体" w:hint="eastAsia"/>
                <w:snapToGrid w:val="0"/>
                <w:color w:val="auto"/>
                <w:spacing w:val="10"/>
                <w:kern w:val="0"/>
                <w:szCs w:val="21"/>
                <w:highlight w:val="none"/>
              </w:rPr>
              <w:t>职责及管理制度在相应位置明</w:t>
            </w:r>
            <w:r>
              <w:rPr>
                <w:rFonts w:ascii="宋体" w:hAnsi="宋体" w:cs="宋体" w:hint="eastAsia"/>
                <w:snapToGrid w:val="0"/>
                <w:color w:val="auto"/>
                <w:kern w:val="0"/>
                <w:szCs w:val="21"/>
                <w:highlight w:val="none"/>
              </w:rPr>
              <w:t>示。</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b/>
                <w:bCs/>
                <w:snapToGrid w:val="0"/>
                <w:color w:val="auto"/>
                <w:kern w:val="0"/>
                <w:szCs w:val="21"/>
                <w:highlight w:val="none"/>
              </w:rPr>
            </w:pPr>
            <w:r>
              <w:rPr>
                <w:rFonts w:ascii="宋体" w:hAnsi="宋体" w:cs="宋体" w:hint="eastAsia"/>
                <w:b/>
                <w:bCs/>
                <w:snapToGrid w:val="0"/>
                <w:color w:val="auto"/>
                <w:spacing w:val="8"/>
                <w:kern w:val="0"/>
                <w:szCs w:val="21"/>
                <w:highlight w:val="none"/>
              </w:rPr>
              <w:t>（五）物业管理服务组织及人员配置</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1、中标人在项目进场服务前须对所有服务人员进行健康体检，体检合格，无</w:t>
            </w:r>
            <w:r>
              <w:rPr>
                <w:rFonts w:ascii="宋体" w:hAnsi="宋体" w:cs="宋体" w:hint="eastAsia"/>
                <w:snapToGrid w:val="0"/>
                <w:color w:val="auto"/>
                <w:spacing w:val="8"/>
                <w:kern w:val="0"/>
                <w:szCs w:val="21"/>
                <w:highlight w:val="none"/>
              </w:rPr>
              <w:t>传染疾病及精神</w:t>
            </w:r>
            <w:r>
              <w:rPr>
                <w:rFonts w:ascii="宋体" w:hAnsi="宋体" w:cs="宋体" w:hint="eastAsia"/>
                <w:snapToGrid w:val="0"/>
                <w:color w:val="auto"/>
                <w:spacing w:val="16"/>
                <w:kern w:val="0"/>
                <w:szCs w:val="21"/>
                <w:highlight w:val="none"/>
              </w:rPr>
              <w:t>病等不能控制自己行为能力的疾病病史，将体检报告</w:t>
            </w:r>
            <w:r>
              <w:rPr>
                <w:rFonts w:ascii="宋体" w:hAnsi="宋体" w:cs="宋体" w:hint="eastAsia"/>
                <w:snapToGrid w:val="0"/>
                <w:color w:val="auto"/>
                <w:spacing w:val="15"/>
                <w:kern w:val="0"/>
                <w:szCs w:val="21"/>
                <w:highlight w:val="none"/>
              </w:rPr>
              <w:t>交采购人核对无误后，方能进场开展服务。</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10"/>
                <w:kern w:val="0"/>
                <w:szCs w:val="21"/>
                <w:highlight w:val="none"/>
              </w:rPr>
              <w:t>2、所有服务人员要求责任心强，无违法犯罪记录，具备相关专业知识或技能。</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22"/>
                <w:kern w:val="0"/>
                <w:szCs w:val="21"/>
                <w:highlight w:val="none"/>
              </w:rPr>
              <w:t>3、中标人须按国家规定为物业服务人员购买养老保险、医疗保险、失业保险、</w:t>
            </w:r>
            <w:r>
              <w:rPr>
                <w:rFonts w:ascii="宋体" w:hAnsi="宋体" w:cs="宋体" w:hint="eastAsia"/>
                <w:snapToGrid w:val="0"/>
                <w:color w:val="auto"/>
                <w:spacing w:val="21"/>
                <w:kern w:val="0"/>
                <w:szCs w:val="21"/>
                <w:highlight w:val="none"/>
              </w:rPr>
              <w:t>工伤保</w:t>
            </w:r>
            <w:r>
              <w:rPr>
                <w:rFonts w:ascii="宋体" w:hAnsi="宋体" w:cs="宋体" w:hint="eastAsia"/>
                <w:snapToGrid w:val="0"/>
                <w:color w:val="auto"/>
                <w:spacing w:val="15"/>
                <w:kern w:val="0"/>
                <w:szCs w:val="21"/>
                <w:highlight w:val="none"/>
              </w:rPr>
              <w:t>险、生育保险。</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spacing w:val="25"/>
                <w:kern w:val="0"/>
                <w:szCs w:val="21"/>
                <w:highlight w:val="none"/>
              </w:rPr>
            </w:pPr>
            <w:r>
              <w:rPr>
                <w:rFonts w:ascii="宋体" w:hAnsi="宋体" w:cs="宋体" w:hint="eastAsia"/>
                <w:snapToGrid w:val="0"/>
                <w:color w:val="auto"/>
                <w:spacing w:val="25"/>
                <w:kern w:val="0"/>
                <w:szCs w:val="21"/>
                <w:highlight w:val="none"/>
              </w:rPr>
              <w:t>4、物业服务人数不足要求且不及时补充的，采购人有权扣减相应的物业服务费。</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spacing w:val="12"/>
                <w:kern w:val="0"/>
                <w:szCs w:val="21"/>
                <w:highlight w:val="none"/>
              </w:rPr>
            </w:pPr>
            <w:r>
              <w:rPr>
                <w:rFonts w:ascii="宋体" w:hAnsi="宋体" w:cs="宋体" w:hint="eastAsia"/>
                <w:snapToGrid w:val="0"/>
                <w:color w:val="auto"/>
                <w:spacing w:val="4"/>
                <w:kern w:val="0"/>
                <w:szCs w:val="21"/>
                <w:highlight w:val="none"/>
              </w:rPr>
              <w:t>5、服务团队配备需求人数为</w:t>
            </w:r>
            <w:r>
              <w:rPr>
                <w:rFonts w:ascii="宋体" w:hAnsi="宋体" w:cs="宋体" w:hint="eastAsia"/>
                <w:b/>
                <w:bCs/>
                <w:snapToGrid w:val="0"/>
                <w:color w:val="auto"/>
                <w:spacing w:val="4"/>
                <w:kern w:val="0"/>
                <w:szCs w:val="21"/>
                <w:highlight w:val="none"/>
              </w:rPr>
              <w:t>68人以上（本项所称的“以上”、“以下”、“内”、“以</w:t>
            </w:r>
            <w:r>
              <w:rPr>
                <w:rFonts w:ascii="宋体" w:hAnsi="宋体" w:cs="宋体" w:hint="eastAsia"/>
                <w:b/>
                <w:bCs/>
                <w:snapToGrid w:val="0"/>
                <w:color w:val="auto"/>
                <w:spacing w:val="12"/>
                <w:kern w:val="0"/>
                <w:szCs w:val="21"/>
                <w:highlight w:val="none"/>
              </w:rPr>
              <w:t>内”，包括本数；所称的“不足”，不包括本数</w:t>
            </w:r>
            <w:r>
              <w:rPr>
                <w:rFonts w:ascii="宋体" w:hAnsi="宋体" w:cs="宋体" w:hint="eastAsia"/>
                <w:b/>
                <w:bCs/>
                <w:snapToGrid w:val="0"/>
                <w:color w:val="auto"/>
                <w:spacing w:val="-18"/>
                <w:kern w:val="0"/>
                <w:szCs w:val="21"/>
                <w:highlight w:val="none"/>
              </w:rPr>
              <w:t>）</w:t>
            </w:r>
            <w:r>
              <w:rPr>
                <w:rFonts w:ascii="宋体" w:hAnsi="宋体" w:cs="宋体" w:hint="eastAsia"/>
                <w:snapToGrid w:val="0"/>
                <w:color w:val="auto"/>
                <w:spacing w:val="-18"/>
                <w:kern w:val="0"/>
                <w:szCs w:val="21"/>
                <w:highlight w:val="none"/>
              </w:rPr>
              <w:t>，</w:t>
            </w:r>
            <w:r>
              <w:rPr>
                <w:rFonts w:ascii="宋体" w:hAnsi="宋体" w:cs="宋体" w:hint="eastAsia"/>
                <w:snapToGrid w:val="0"/>
                <w:color w:val="auto"/>
                <w:spacing w:val="12"/>
                <w:kern w:val="0"/>
                <w:szCs w:val="21"/>
                <w:highlight w:val="none"/>
              </w:rPr>
              <w:t>具体要求如下：</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spacing w:val="12"/>
                <w:kern w:val="0"/>
                <w:szCs w:val="21"/>
                <w:highlight w:val="none"/>
              </w:rPr>
            </w:pPr>
            <w:r>
              <w:rPr>
                <w:rFonts w:ascii="宋体" w:hAnsi="宋体" w:cs="宋体" w:hint="eastAsia"/>
                <w:snapToGrid w:val="0"/>
                <w:color w:val="auto"/>
                <w:spacing w:val="12"/>
                <w:kern w:val="0"/>
                <w:szCs w:val="21"/>
                <w:highlight w:val="none"/>
              </w:rPr>
              <w:t>（1）潭中东路26号办公区(包括柳州市沿江路8号办公区6层、7层）</w:t>
            </w:r>
          </w:p>
          <w:tbl>
            <w:tblPr>
              <w:tblStyle w:val="TableGrid"/>
              <w:tblW w:w="7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67"/>
              <w:gridCol w:w="1260"/>
              <w:gridCol w:w="680"/>
              <w:gridCol w:w="3929"/>
            </w:tblGrid>
            <w:tr>
              <w:tblPrEx>
                <w:tblW w:w="7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5"/>
                <w:jc w:val="center"/>
              </w:trPr>
              <w:tc>
                <w:tcPr>
                  <w:tcW w:w="1167" w:type="dxa"/>
                  <w:vAlign w:val="center"/>
                </w:tcPr>
                <w:p>
                  <w:pPr>
                    <w:spacing w:line="400" w:lineRule="exact"/>
                    <w:jc w:val="center"/>
                    <w:rPr>
                      <w:rFonts w:ascii="宋体" w:hAnsi="宋体" w:cs="宋体"/>
                      <w:b/>
                      <w:bCs/>
                      <w:snapToGrid w:val="0"/>
                      <w:color w:val="auto"/>
                      <w:kern w:val="0"/>
                      <w:szCs w:val="21"/>
                      <w:highlight w:val="none"/>
                    </w:rPr>
                  </w:pPr>
                  <w:r>
                    <w:rPr>
                      <w:rFonts w:ascii="宋体" w:hAnsi="宋体" w:cs="宋体" w:hint="eastAsia"/>
                      <w:b/>
                      <w:bCs/>
                      <w:snapToGrid w:val="0"/>
                      <w:color w:val="auto"/>
                      <w:kern w:val="0"/>
                      <w:szCs w:val="21"/>
                      <w:highlight w:val="none"/>
                    </w:rPr>
                    <w:t>部门</w:t>
                  </w:r>
                </w:p>
              </w:tc>
              <w:tc>
                <w:tcPr>
                  <w:tcW w:w="1260" w:type="dxa"/>
                  <w:vAlign w:val="center"/>
                </w:tcPr>
                <w:p>
                  <w:pPr>
                    <w:spacing w:line="400" w:lineRule="exact"/>
                    <w:jc w:val="center"/>
                    <w:rPr>
                      <w:rFonts w:ascii="宋体" w:hAnsi="宋体" w:cs="宋体"/>
                      <w:b/>
                      <w:bCs/>
                      <w:snapToGrid w:val="0"/>
                      <w:color w:val="auto"/>
                      <w:kern w:val="0"/>
                      <w:szCs w:val="21"/>
                      <w:highlight w:val="none"/>
                    </w:rPr>
                  </w:pPr>
                  <w:r>
                    <w:rPr>
                      <w:rFonts w:ascii="宋体" w:hAnsi="宋体" w:cs="宋体" w:hint="eastAsia"/>
                      <w:b/>
                      <w:bCs/>
                      <w:snapToGrid w:val="0"/>
                      <w:color w:val="auto"/>
                      <w:kern w:val="0"/>
                      <w:szCs w:val="21"/>
                      <w:highlight w:val="none"/>
                    </w:rPr>
                    <w:t>岗位</w:t>
                  </w:r>
                </w:p>
              </w:tc>
              <w:tc>
                <w:tcPr>
                  <w:tcW w:w="680" w:type="dxa"/>
                  <w:vAlign w:val="center"/>
                </w:tcPr>
                <w:p>
                  <w:pPr>
                    <w:spacing w:line="400" w:lineRule="exact"/>
                    <w:jc w:val="center"/>
                    <w:rPr>
                      <w:rFonts w:ascii="宋体" w:hAnsi="宋体" w:cs="宋体"/>
                      <w:b/>
                      <w:bCs/>
                      <w:snapToGrid w:val="0"/>
                      <w:color w:val="auto"/>
                      <w:kern w:val="0"/>
                      <w:szCs w:val="21"/>
                      <w:highlight w:val="none"/>
                    </w:rPr>
                  </w:pPr>
                  <w:r>
                    <w:rPr>
                      <w:rFonts w:ascii="宋体" w:hAnsi="宋体" w:cs="宋体" w:hint="eastAsia"/>
                      <w:b/>
                      <w:bCs/>
                      <w:snapToGrid w:val="0"/>
                      <w:color w:val="auto"/>
                      <w:kern w:val="0"/>
                      <w:szCs w:val="21"/>
                      <w:highlight w:val="none"/>
                    </w:rPr>
                    <w:t>人数</w:t>
                  </w:r>
                </w:p>
              </w:tc>
              <w:tc>
                <w:tcPr>
                  <w:tcW w:w="3929" w:type="dxa"/>
                  <w:vAlign w:val="center"/>
                </w:tcPr>
                <w:p>
                  <w:pPr>
                    <w:spacing w:line="400" w:lineRule="exact"/>
                    <w:jc w:val="center"/>
                    <w:rPr>
                      <w:rFonts w:ascii="宋体" w:hAnsi="宋体" w:cs="宋体"/>
                      <w:b/>
                      <w:bCs/>
                      <w:snapToGrid w:val="0"/>
                      <w:color w:val="auto"/>
                      <w:kern w:val="0"/>
                      <w:szCs w:val="21"/>
                      <w:highlight w:val="none"/>
                    </w:rPr>
                  </w:pPr>
                  <w:r>
                    <w:rPr>
                      <w:rFonts w:ascii="宋体" w:hAnsi="宋体" w:cs="宋体" w:hint="eastAsia"/>
                      <w:b/>
                      <w:bCs/>
                      <w:snapToGrid w:val="0"/>
                      <w:color w:val="auto"/>
                      <w:kern w:val="0"/>
                      <w:szCs w:val="21"/>
                      <w:highlight w:val="none"/>
                    </w:rPr>
                    <w:t>资历、条件要求</w:t>
                  </w:r>
                </w:p>
              </w:tc>
            </w:tr>
            <w:tr>
              <w:tblPrEx>
                <w:tblW w:w="7036" w:type="dxa"/>
                <w:jc w:val="center"/>
                <w:tblLayout w:type="fixed"/>
                <w:tblCellMar>
                  <w:top w:w="0" w:type="dxa"/>
                  <w:left w:w="108" w:type="dxa"/>
                  <w:bottom w:w="0" w:type="dxa"/>
                  <w:right w:w="108" w:type="dxa"/>
                </w:tblCellMar>
              </w:tblPrEx>
              <w:trPr>
                <w:trHeight w:val="1589"/>
                <w:jc w:val="center"/>
              </w:trPr>
              <w:tc>
                <w:tcPr>
                  <w:tcW w:w="1167" w:type="dxa"/>
                  <w:vMerge w:val="restart"/>
                  <w:vAlign w:val="center"/>
                </w:tcPr>
                <w:p>
                  <w:pPr>
                    <w:spacing w:line="400" w:lineRule="exact"/>
                    <w:jc w:val="center"/>
                    <w:rPr>
                      <w:rFonts w:ascii="宋体" w:hAnsi="宋体" w:cs="宋体"/>
                      <w:b/>
                      <w:bCs/>
                      <w:snapToGrid w:val="0"/>
                      <w:color w:val="auto"/>
                      <w:kern w:val="0"/>
                      <w:szCs w:val="21"/>
                      <w:highlight w:val="none"/>
                    </w:rPr>
                  </w:pPr>
                  <w:r>
                    <w:rPr>
                      <w:rFonts w:ascii="宋体" w:hAnsi="宋体" w:cs="宋体" w:hint="eastAsia"/>
                      <w:b/>
                      <w:bCs/>
                      <w:snapToGrid w:val="0"/>
                      <w:color w:val="auto"/>
                      <w:kern w:val="0"/>
                      <w:szCs w:val="21"/>
                      <w:highlight w:val="none"/>
                    </w:rPr>
                    <w:t>项目管理部（5人）</w:t>
                  </w:r>
                </w:p>
              </w:tc>
              <w:tc>
                <w:tcPr>
                  <w:tcW w:w="1260" w:type="dxa"/>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项目经理</w:t>
                  </w:r>
                </w:p>
              </w:tc>
              <w:tc>
                <w:tcPr>
                  <w:tcW w:w="680" w:type="dxa"/>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1人</w:t>
                  </w:r>
                </w:p>
              </w:tc>
              <w:tc>
                <w:tcPr>
                  <w:tcW w:w="3929" w:type="dxa"/>
                  <w:vAlign w:val="center"/>
                </w:tcPr>
                <w:p>
                  <w:pPr>
                    <w:spacing w:line="400" w:lineRule="exact"/>
                    <w:jc w:val="left"/>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男女不限，55岁以下；有三年项目经理任职经验，具有大专学历，物业管理专业技能熟练，有较强的组织管理能力、协调能力，身体健康，体检合格。</w:t>
                  </w:r>
                </w:p>
              </w:tc>
            </w:tr>
            <w:tr>
              <w:tblPrEx>
                <w:tblW w:w="7036" w:type="dxa"/>
                <w:jc w:val="center"/>
                <w:tblLayout w:type="fixed"/>
                <w:tblCellMar>
                  <w:top w:w="0" w:type="dxa"/>
                  <w:left w:w="108" w:type="dxa"/>
                  <w:bottom w:w="0" w:type="dxa"/>
                  <w:right w:w="108" w:type="dxa"/>
                </w:tblCellMar>
              </w:tblPrEx>
              <w:trPr>
                <w:trHeight w:val="1194"/>
                <w:jc w:val="center"/>
              </w:trPr>
              <w:tc>
                <w:tcPr>
                  <w:tcW w:w="1167" w:type="dxa"/>
                  <w:vMerge/>
                  <w:vAlign w:val="center"/>
                </w:tcPr>
                <w:p>
                  <w:pPr>
                    <w:spacing w:line="400" w:lineRule="exact"/>
                    <w:jc w:val="center"/>
                    <w:rPr>
                      <w:rFonts w:ascii="宋体" w:hAnsi="宋体" w:cs="宋体"/>
                      <w:b/>
                      <w:bCs/>
                      <w:snapToGrid w:val="0"/>
                      <w:color w:val="auto"/>
                      <w:kern w:val="0"/>
                      <w:szCs w:val="21"/>
                      <w:highlight w:val="none"/>
                    </w:rPr>
                  </w:pPr>
                </w:p>
              </w:tc>
              <w:tc>
                <w:tcPr>
                  <w:tcW w:w="1260" w:type="dxa"/>
                  <w:shd w:val="clear" w:color="auto" w:fill="auto"/>
                  <w:vAlign w:val="center"/>
                </w:tcPr>
                <w:p>
                  <w:pPr>
                    <w:spacing w:line="400" w:lineRule="exact"/>
                    <w:jc w:val="center"/>
                    <w:rPr>
                      <w:rFonts w:ascii="宋体" w:hAnsi="宋体" w:cs="宋体"/>
                      <w:snapToGrid w:val="0"/>
                      <w:color w:val="auto"/>
                      <w:szCs w:val="21"/>
                      <w:highlight w:val="none"/>
                    </w:rPr>
                  </w:pPr>
                  <w:r>
                    <w:rPr>
                      <w:rFonts w:ascii="宋体" w:hAnsi="宋体" w:cs="宋体" w:hint="eastAsia"/>
                      <w:snapToGrid w:val="0"/>
                      <w:color w:val="auto"/>
                      <w:kern w:val="0"/>
                      <w:szCs w:val="21"/>
                      <w:highlight w:val="none"/>
                    </w:rPr>
                    <w:t>会议服务员</w:t>
                  </w:r>
                </w:p>
              </w:tc>
              <w:tc>
                <w:tcPr>
                  <w:tcW w:w="680" w:type="dxa"/>
                  <w:shd w:val="clear" w:color="auto" w:fill="auto"/>
                  <w:vAlign w:val="center"/>
                </w:tcPr>
                <w:p>
                  <w:pPr>
                    <w:spacing w:line="400" w:lineRule="exact"/>
                    <w:jc w:val="center"/>
                    <w:rPr>
                      <w:rFonts w:ascii="宋体" w:hAnsi="宋体" w:cs="宋体"/>
                      <w:snapToGrid w:val="0"/>
                      <w:color w:val="auto"/>
                      <w:szCs w:val="21"/>
                      <w:highlight w:val="none"/>
                    </w:rPr>
                  </w:pPr>
                  <w:r>
                    <w:rPr>
                      <w:rFonts w:ascii="宋体" w:hAnsi="宋体" w:cs="宋体" w:hint="eastAsia"/>
                      <w:snapToGrid w:val="0"/>
                      <w:color w:val="auto"/>
                      <w:kern w:val="0"/>
                      <w:szCs w:val="21"/>
                      <w:highlight w:val="none"/>
                    </w:rPr>
                    <w:t>4人</w:t>
                  </w:r>
                </w:p>
              </w:tc>
              <w:tc>
                <w:tcPr>
                  <w:tcW w:w="3929" w:type="dxa"/>
                  <w:shd w:val="clear" w:color="auto" w:fill="auto"/>
                  <w:vAlign w:val="center"/>
                </w:tcPr>
                <w:p>
                  <w:pPr>
                    <w:spacing w:line="400" w:lineRule="exact"/>
                    <w:jc w:val="left"/>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女性，年龄40岁以下，身高1.60米以上，品貌端庄，身体健康，体检合格；具有高中以上学历，能吃苦耐劳。</w:t>
                  </w:r>
                </w:p>
              </w:tc>
            </w:tr>
            <w:tr>
              <w:tblPrEx>
                <w:tblW w:w="7036" w:type="dxa"/>
                <w:jc w:val="center"/>
                <w:tblLayout w:type="fixed"/>
                <w:tblCellMar>
                  <w:top w:w="0" w:type="dxa"/>
                  <w:left w:w="108" w:type="dxa"/>
                  <w:bottom w:w="0" w:type="dxa"/>
                  <w:right w:w="108" w:type="dxa"/>
                </w:tblCellMar>
              </w:tblPrEx>
              <w:trPr>
                <w:trHeight w:val="1589"/>
                <w:jc w:val="center"/>
              </w:trPr>
              <w:tc>
                <w:tcPr>
                  <w:tcW w:w="1167" w:type="dxa"/>
                  <w:vMerge w:val="restart"/>
                  <w:vAlign w:val="center"/>
                </w:tcPr>
                <w:p>
                  <w:pPr>
                    <w:spacing w:line="400" w:lineRule="exact"/>
                    <w:jc w:val="center"/>
                    <w:rPr>
                      <w:rFonts w:ascii="宋体" w:hAnsi="宋体" w:cs="宋体"/>
                      <w:b/>
                      <w:bCs/>
                      <w:snapToGrid w:val="0"/>
                      <w:color w:val="auto"/>
                      <w:kern w:val="0"/>
                      <w:szCs w:val="21"/>
                      <w:highlight w:val="none"/>
                    </w:rPr>
                  </w:pPr>
                  <w:r>
                    <w:rPr>
                      <w:rFonts w:ascii="宋体" w:hAnsi="宋体" w:cs="宋体" w:hint="eastAsia"/>
                      <w:b/>
                      <w:bCs/>
                      <w:snapToGrid w:val="0"/>
                      <w:color w:val="auto"/>
                      <w:kern w:val="0"/>
                      <w:szCs w:val="21"/>
                      <w:highlight w:val="none"/>
                    </w:rPr>
                    <w:t>工程部</w:t>
                  </w:r>
                </w:p>
                <w:p>
                  <w:pPr>
                    <w:spacing w:line="400" w:lineRule="exact"/>
                    <w:jc w:val="center"/>
                    <w:rPr>
                      <w:rFonts w:ascii="宋体" w:hAnsi="宋体" w:cs="宋体"/>
                      <w:b/>
                      <w:bCs/>
                      <w:snapToGrid w:val="0"/>
                      <w:color w:val="auto"/>
                      <w:kern w:val="0"/>
                      <w:szCs w:val="21"/>
                      <w:highlight w:val="none"/>
                    </w:rPr>
                  </w:pPr>
                  <w:r>
                    <w:rPr>
                      <w:rFonts w:ascii="宋体" w:hAnsi="宋体" w:cs="宋体" w:hint="eastAsia"/>
                      <w:b/>
                      <w:bCs/>
                      <w:snapToGrid w:val="0"/>
                      <w:color w:val="auto"/>
                      <w:kern w:val="0"/>
                      <w:szCs w:val="21"/>
                      <w:highlight w:val="none"/>
                    </w:rPr>
                    <w:t xml:space="preserve">（5人）                       </w:t>
                  </w:r>
                </w:p>
              </w:tc>
              <w:tc>
                <w:tcPr>
                  <w:tcW w:w="1260" w:type="dxa"/>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工程主管</w:t>
                  </w:r>
                </w:p>
              </w:tc>
              <w:tc>
                <w:tcPr>
                  <w:tcW w:w="680" w:type="dxa"/>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1人</w:t>
                  </w:r>
                </w:p>
              </w:tc>
              <w:tc>
                <w:tcPr>
                  <w:tcW w:w="3929" w:type="dxa"/>
                  <w:vAlign w:val="center"/>
                </w:tcPr>
                <w:p>
                  <w:pPr>
                    <w:spacing w:line="400" w:lineRule="exact"/>
                    <w:jc w:val="left"/>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男性，年龄55岁以下，身体健康，体检合格，能吃苦耐劳；具有大专学历、持有工程类中级职称证书、并有三年同等岗位的管理经验。</w:t>
                  </w:r>
                </w:p>
              </w:tc>
            </w:tr>
            <w:tr>
              <w:tblPrEx>
                <w:tblW w:w="7036" w:type="dxa"/>
                <w:jc w:val="center"/>
                <w:tblLayout w:type="fixed"/>
                <w:tblCellMar>
                  <w:top w:w="0" w:type="dxa"/>
                  <w:left w:w="108" w:type="dxa"/>
                  <w:bottom w:w="0" w:type="dxa"/>
                  <w:right w:w="108" w:type="dxa"/>
                </w:tblCellMar>
              </w:tblPrEx>
              <w:trPr>
                <w:trHeight w:val="1589"/>
                <w:jc w:val="center"/>
              </w:trPr>
              <w:tc>
                <w:tcPr>
                  <w:tcW w:w="1167" w:type="dxa"/>
                  <w:vMerge/>
                  <w:vAlign w:val="center"/>
                </w:tcPr>
                <w:p>
                  <w:pPr>
                    <w:spacing w:line="400" w:lineRule="exact"/>
                    <w:jc w:val="center"/>
                    <w:rPr>
                      <w:rFonts w:ascii="宋体" w:hAnsi="宋体" w:cs="宋体"/>
                      <w:b/>
                      <w:bCs/>
                      <w:snapToGrid w:val="0"/>
                      <w:color w:val="auto"/>
                      <w:kern w:val="0"/>
                      <w:szCs w:val="21"/>
                      <w:highlight w:val="none"/>
                    </w:rPr>
                  </w:pPr>
                </w:p>
              </w:tc>
              <w:tc>
                <w:tcPr>
                  <w:tcW w:w="1260" w:type="dxa"/>
                  <w:shd w:val="clear" w:color="auto" w:fill="auto"/>
                  <w:vAlign w:val="center"/>
                </w:tcPr>
                <w:p>
                  <w:pPr>
                    <w:spacing w:line="400" w:lineRule="exact"/>
                    <w:jc w:val="center"/>
                    <w:rPr>
                      <w:rFonts w:ascii="宋体" w:hAnsi="宋体" w:cs="宋体"/>
                      <w:snapToGrid w:val="0"/>
                      <w:color w:val="auto"/>
                      <w:szCs w:val="21"/>
                      <w:highlight w:val="none"/>
                    </w:rPr>
                  </w:pPr>
                  <w:r>
                    <w:rPr>
                      <w:rFonts w:ascii="宋体" w:hAnsi="宋体" w:cs="宋体" w:hint="eastAsia"/>
                      <w:snapToGrid w:val="0"/>
                      <w:color w:val="auto"/>
                      <w:kern w:val="0"/>
                      <w:szCs w:val="21"/>
                      <w:highlight w:val="none"/>
                    </w:rPr>
                    <w:t>工程维护员</w:t>
                  </w:r>
                </w:p>
              </w:tc>
              <w:tc>
                <w:tcPr>
                  <w:tcW w:w="680" w:type="dxa"/>
                  <w:shd w:val="clear" w:color="auto" w:fill="auto"/>
                  <w:vAlign w:val="center"/>
                </w:tcPr>
                <w:p>
                  <w:pPr>
                    <w:spacing w:line="400" w:lineRule="exact"/>
                    <w:jc w:val="center"/>
                    <w:rPr>
                      <w:rFonts w:ascii="宋体" w:hAnsi="宋体" w:cs="宋体"/>
                      <w:snapToGrid w:val="0"/>
                      <w:color w:val="auto"/>
                      <w:szCs w:val="21"/>
                      <w:highlight w:val="none"/>
                    </w:rPr>
                  </w:pPr>
                  <w:r>
                    <w:rPr>
                      <w:rFonts w:ascii="宋体" w:hAnsi="宋体" w:cs="宋体" w:hint="eastAsia"/>
                      <w:snapToGrid w:val="0"/>
                      <w:color w:val="auto"/>
                      <w:kern w:val="0"/>
                      <w:szCs w:val="21"/>
                      <w:highlight w:val="none"/>
                    </w:rPr>
                    <w:t>4人</w:t>
                  </w:r>
                </w:p>
              </w:tc>
              <w:tc>
                <w:tcPr>
                  <w:tcW w:w="3929" w:type="dxa"/>
                  <w:shd w:val="clear" w:color="auto" w:fill="auto"/>
                  <w:vAlign w:val="center"/>
                </w:tcPr>
                <w:p>
                  <w:pPr>
                    <w:spacing w:line="400" w:lineRule="exact"/>
                    <w:jc w:val="left"/>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男性，年龄55岁以下，身体健康，体检合格；其中1人同时持有高压电工作业证和特种设备安全管理和作业人员证，其他人员需持电工证上岗。</w:t>
                  </w:r>
                </w:p>
              </w:tc>
            </w:tr>
            <w:tr>
              <w:tblPrEx>
                <w:tblW w:w="7036" w:type="dxa"/>
                <w:jc w:val="center"/>
                <w:tblLayout w:type="fixed"/>
                <w:tblCellMar>
                  <w:top w:w="0" w:type="dxa"/>
                  <w:left w:w="108" w:type="dxa"/>
                  <w:bottom w:w="0" w:type="dxa"/>
                  <w:right w:w="108" w:type="dxa"/>
                </w:tblCellMar>
              </w:tblPrEx>
              <w:trPr>
                <w:trHeight w:val="1194"/>
                <w:jc w:val="center"/>
              </w:trPr>
              <w:tc>
                <w:tcPr>
                  <w:tcW w:w="1167" w:type="dxa"/>
                  <w:vMerge w:val="restart"/>
                  <w:vAlign w:val="center"/>
                </w:tcPr>
                <w:p>
                  <w:pPr>
                    <w:spacing w:line="400" w:lineRule="exact"/>
                    <w:jc w:val="center"/>
                    <w:rPr>
                      <w:rFonts w:ascii="宋体" w:hAnsi="宋体" w:cs="宋体"/>
                      <w:b/>
                      <w:bCs/>
                      <w:snapToGrid w:val="0"/>
                      <w:color w:val="auto"/>
                      <w:kern w:val="0"/>
                      <w:szCs w:val="21"/>
                      <w:highlight w:val="none"/>
                    </w:rPr>
                  </w:pPr>
                  <w:r>
                    <w:rPr>
                      <w:rFonts w:ascii="宋体" w:hAnsi="宋体" w:cs="宋体" w:hint="eastAsia"/>
                      <w:b/>
                      <w:bCs/>
                      <w:snapToGrid w:val="0"/>
                      <w:color w:val="auto"/>
                      <w:kern w:val="0"/>
                      <w:szCs w:val="21"/>
                      <w:highlight w:val="none"/>
                    </w:rPr>
                    <w:t>秩序维护部</w:t>
                  </w:r>
                </w:p>
                <w:p>
                  <w:pPr>
                    <w:spacing w:line="400" w:lineRule="exact"/>
                    <w:jc w:val="center"/>
                    <w:rPr>
                      <w:rFonts w:ascii="宋体" w:hAnsi="宋体" w:cs="宋体"/>
                      <w:b/>
                      <w:bCs/>
                      <w:snapToGrid w:val="0"/>
                      <w:color w:val="auto"/>
                      <w:kern w:val="0"/>
                      <w:szCs w:val="21"/>
                      <w:highlight w:val="none"/>
                    </w:rPr>
                  </w:pPr>
                  <w:r>
                    <w:rPr>
                      <w:rFonts w:ascii="宋体" w:hAnsi="宋体" w:cs="宋体" w:hint="eastAsia"/>
                      <w:b/>
                      <w:bCs/>
                      <w:snapToGrid w:val="0"/>
                      <w:color w:val="auto"/>
                      <w:kern w:val="0"/>
                      <w:szCs w:val="21"/>
                      <w:highlight w:val="none"/>
                    </w:rPr>
                    <w:t>（13人）</w:t>
                  </w:r>
                </w:p>
              </w:tc>
              <w:tc>
                <w:tcPr>
                  <w:tcW w:w="1260" w:type="dxa"/>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秩序维护部长</w:t>
                  </w:r>
                </w:p>
              </w:tc>
              <w:tc>
                <w:tcPr>
                  <w:tcW w:w="680" w:type="dxa"/>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1人</w:t>
                  </w:r>
                </w:p>
              </w:tc>
              <w:tc>
                <w:tcPr>
                  <w:tcW w:w="3929" w:type="dxa"/>
                  <w:vAlign w:val="center"/>
                </w:tcPr>
                <w:p>
                  <w:pPr>
                    <w:spacing w:line="400" w:lineRule="exact"/>
                    <w:jc w:val="left"/>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45岁以下，具有高中学历，持有保安员证优先，有较强的组织协调能力；身体健康，体检合格。</w:t>
                  </w:r>
                </w:p>
              </w:tc>
            </w:tr>
            <w:tr>
              <w:tblPrEx>
                <w:tblW w:w="7036" w:type="dxa"/>
                <w:jc w:val="center"/>
                <w:tblLayout w:type="fixed"/>
                <w:tblCellMar>
                  <w:top w:w="0" w:type="dxa"/>
                  <w:left w:w="108" w:type="dxa"/>
                  <w:bottom w:w="0" w:type="dxa"/>
                  <w:right w:w="108" w:type="dxa"/>
                </w:tblCellMar>
              </w:tblPrEx>
              <w:trPr>
                <w:trHeight w:val="1085"/>
                <w:jc w:val="center"/>
              </w:trPr>
              <w:tc>
                <w:tcPr>
                  <w:tcW w:w="1167" w:type="dxa"/>
                  <w:vMerge/>
                  <w:vAlign w:val="center"/>
                </w:tcPr>
                <w:p>
                  <w:pPr>
                    <w:spacing w:line="400" w:lineRule="exact"/>
                    <w:jc w:val="center"/>
                    <w:rPr>
                      <w:rFonts w:ascii="宋体" w:hAnsi="宋体" w:cs="宋体"/>
                      <w:b/>
                      <w:bCs/>
                      <w:snapToGrid w:val="0"/>
                      <w:color w:val="auto"/>
                      <w:kern w:val="0"/>
                      <w:szCs w:val="21"/>
                      <w:highlight w:val="none"/>
                    </w:rPr>
                  </w:pPr>
                </w:p>
              </w:tc>
              <w:tc>
                <w:tcPr>
                  <w:tcW w:w="1260" w:type="dxa"/>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秩序维护人员</w:t>
                  </w:r>
                </w:p>
              </w:tc>
              <w:tc>
                <w:tcPr>
                  <w:tcW w:w="680" w:type="dxa"/>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12人</w:t>
                  </w:r>
                </w:p>
              </w:tc>
              <w:tc>
                <w:tcPr>
                  <w:tcW w:w="3929" w:type="dxa"/>
                  <w:vAlign w:val="center"/>
                </w:tcPr>
                <w:p>
                  <w:pPr>
                    <w:widowControl/>
                    <w:kinsoku w:val="0"/>
                    <w:autoSpaceDE w:val="0"/>
                    <w:autoSpaceDN w:val="0"/>
                    <w:adjustRightInd w:val="0"/>
                    <w:snapToGrid w:val="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50岁以下，持有保安员证优先，消防监控岗监控员需同时持有消防设施操作员职业资格证书，经过正规培训，有责任心；身体健康，体检合格。</w:t>
                  </w:r>
                </w:p>
              </w:tc>
            </w:tr>
            <w:tr>
              <w:tblPrEx>
                <w:tblW w:w="7036" w:type="dxa"/>
                <w:jc w:val="center"/>
                <w:tblLayout w:type="fixed"/>
                <w:tblCellMar>
                  <w:top w:w="0" w:type="dxa"/>
                  <w:left w:w="108" w:type="dxa"/>
                  <w:bottom w:w="0" w:type="dxa"/>
                  <w:right w:w="108" w:type="dxa"/>
                </w:tblCellMar>
              </w:tblPrEx>
              <w:trPr>
                <w:trHeight w:val="1194"/>
                <w:jc w:val="center"/>
              </w:trPr>
              <w:tc>
                <w:tcPr>
                  <w:tcW w:w="1167" w:type="dxa"/>
                  <w:vAlign w:val="center"/>
                </w:tcPr>
                <w:p>
                  <w:pPr>
                    <w:spacing w:line="400" w:lineRule="exact"/>
                    <w:jc w:val="center"/>
                    <w:rPr>
                      <w:rFonts w:ascii="宋体" w:hAnsi="宋体" w:cs="宋体"/>
                      <w:b/>
                      <w:bCs/>
                      <w:snapToGrid w:val="0"/>
                      <w:color w:val="auto"/>
                      <w:kern w:val="0"/>
                      <w:szCs w:val="21"/>
                      <w:highlight w:val="none"/>
                    </w:rPr>
                  </w:pPr>
                  <w:r>
                    <w:rPr>
                      <w:rFonts w:ascii="宋体" w:hAnsi="宋体" w:cs="宋体" w:hint="eastAsia"/>
                      <w:b/>
                      <w:bCs/>
                      <w:snapToGrid w:val="0"/>
                      <w:color w:val="auto"/>
                      <w:kern w:val="0"/>
                      <w:szCs w:val="21"/>
                      <w:highlight w:val="none"/>
                    </w:rPr>
                    <w:t>保洁部</w:t>
                  </w:r>
                </w:p>
                <w:p>
                  <w:pPr>
                    <w:spacing w:line="400" w:lineRule="exact"/>
                    <w:jc w:val="center"/>
                    <w:rPr>
                      <w:rFonts w:ascii="宋体" w:hAnsi="宋体" w:cs="宋体"/>
                      <w:b/>
                      <w:bCs/>
                      <w:snapToGrid w:val="0"/>
                      <w:color w:val="auto"/>
                      <w:kern w:val="0"/>
                      <w:szCs w:val="21"/>
                      <w:highlight w:val="none"/>
                    </w:rPr>
                  </w:pPr>
                  <w:r>
                    <w:rPr>
                      <w:rFonts w:ascii="宋体" w:hAnsi="宋体" w:cs="宋体" w:hint="eastAsia"/>
                      <w:b/>
                      <w:bCs/>
                      <w:snapToGrid w:val="0"/>
                      <w:color w:val="auto"/>
                      <w:kern w:val="0"/>
                      <w:szCs w:val="21"/>
                      <w:highlight w:val="none"/>
                    </w:rPr>
                    <w:t>（10人）</w:t>
                  </w:r>
                </w:p>
              </w:tc>
              <w:tc>
                <w:tcPr>
                  <w:tcW w:w="1260" w:type="dxa"/>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保洁员</w:t>
                  </w:r>
                </w:p>
              </w:tc>
              <w:tc>
                <w:tcPr>
                  <w:tcW w:w="680" w:type="dxa"/>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10人</w:t>
                  </w:r>
                </w:p>
              </w:tc>
              <w:tc>
                <w:tcPr>
                  <w:tcW w:w="3929" w:type="dxa"/>
                  <w:vAlign w:val="center"/>
                </w:tcPr>
                <w:p>
                  <w:pPr>
                    <w:spacing w:line="400" w:lineRule="exact"/>
                    <w:jc w:val="left"/>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年龄50岁以下，具有一年工作经验，责任心强，身体健康，体检合格；具有初中以上文化，能吃苦耐劳。</w:t>
                  </w:r>
                </w:p>
              </w:tc>
            </w:tr>
            <w:tr>
              <w:tblPrEx>
                <w:tblW w:w="7036" w:type="dxa"/>
                <w:jc w:val="center"/>
                <w:tblLayout w:type="fixed"/>
                <w:tblCellMar>
                  <w:top w:w="0" w:type="dxa"/>
                  <w:left w:w="108" w:type="dxa"/>
                  <w:bottom w:w="0" w:type="dxa"/>
                  <w:right w:w="108" w:type="dxa"/>
                </w:tblCellMar>
              </w:tblPrEx>
              <w:trPr>
                <w:trHeight w:val="1194"/>
                <w:jc w:val="center"/>
              </w:trPr>
              <w:tc>
                <w:tcPr>
                  <w:tcW w:w="1167" w:type="dxa"/>
                  <w:vAlign w:val="center"/>
                </w:tcPr>
                <w:p>
                  <w:pPr>
                    <w:spacing w:line="400" w:lineRule="exact"/>
                    <w:jc w:val="center"/>
                    <w:rPr>
                      <w:rFonts w:ascii="宋体" w:hAnsi="宋体" w:cs="宋体"/>
                      <w:b/>
                      <w:bCs/>
                      <w:snapToGrid w:val="0"/>
                      <w:color w:val="auto"/>
                      <w:kern w:val="0"/>
                      <w:szCs w:val="21"/>
                      <w:highlight w:val="none"/>
                    </w:rPr>
                  </w:pPr>
                  <w:r>
                    <w:rPr>
                      <w:rFonts w:ascii="宋体" w:hAnsi="宋体" w:cs="宋体" w:hint="eastAsia"/>
                      <w:b/>
                      <w:bCs/>
                      <w:snapToGrid w:val="0"/>
                      <w:color w:val="auto"/>
                      <w:kern w:val="0"/>
                      <w:szCs w:val="21"/>
                      <w:highlight w:val="none"/>
                    </w:rPr>
                    <w:t>绿化部</w:t>
                  </w:r>
                </w:p>
                <w:p>
                  <w:pPr>
                    <w:spacing w:line="400" w:lineRule="exact"/>
                    <w:jc w:val="center"/>
                    <w:rPr>
                      <w:rFonts w:ascii="宋体" w:hAnsi="宋体" w:cs="宋体"/>
                      <w:b/>
                      <w:bCs/>
                      <w:snapToGrid w:val="0"/>
                      <w:color w:val="auto"/>
                      <w:kern w:val="0"/>
                      <w:szCs w:val="21"/>
                      <w:highlight w:val="none"/>
                    </w:rPr>
                  </w:pPr>
                  <w:r>
                    <w:rPr>
                      <w:rFonts w:ascii="宋体" w:hAnsi="宋体" w:cs="宋体" w:hint="eastAsia"/>
                      <w:b/>
                      <w:bCs/>
                      <w:snapToGrid w:val="0"/>
                      <w:color w:val="auto"/>
                      <w:kern w:val="0"/>
                      <w:szCs w:val="21"/>
                      <w:highlight w:val="none"/>
                    </w:rPr>
                    <w:t>（2人）</w:t>
                  </w:r>
                </w:p>
              </w:tc>
              <w:tc>
                <w:tcPr>
                  <w:tcW w:w="1260" w:type="dxa"/>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绿化员</w:t>
                  </w:r>
                </w:p>
              </w:tc>
              <w:tc>
                <w:tcPr>
                  <w:tcW w:w="680" w:type="dxa"/>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2人</w:t>
                  </w:r>
                </w:p>
              </w:tc>
              <w:tc>
                <w:tcPr>
                  <w:tcW w:w="3929" w:type="dxa"/>
                  <w:vAlign w:val="center"/>
                </w:tcPr>
                <w:p>
                  <w:pPr>
                    <w:spacing w:line="400" w:lineRule="exact"/>
                    <w:jc w:val="left"/>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年龄52岁以下，具有一年工作经验，责任心强，身体健康，体检合格；具有初中以上文化，能吃苦耐劳。</w:t>
                  </w:r>
                </w:p>
              </w:tc>
            </w:tr>
            <w:tr>
              <w:tblPrEx>
                <w:tblW w:w="7036" w:type="dxa"/>
                <w:jc w:val="center"/>
                <w:tblLayout w:type="fixed"/>
                <w:tblCellMar>
                  <w:top w:w="0" w:type="dxa"/>
                  <w:left w:w="108" w:type="dxa"/>
                  <w:bottom w:w="0" w:type="dxa"/>
                  <w:right w:w="108" w:type="dxa"/>
                </w:tblCellMar>
              </w:tblPrEx>
              <w:trPr>
                <w:trHeight w:val="415"/>
                <w:jc w:val="center"/>
              </w:trPr>
              <w:tc>
                <w:tcPr>
                  <w:tcW w:w="2427" w:type="dxa"/>
                  <w:gridSpan w:val="2"/>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合计</w:t>
                  </w:r>
                </w:p>
              </w:tc>
              <w:tc>
                <w:tcPr>
                  <w:tcW w:w="680" w:type="dxa"/>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35人</w:t>
                  </w:r>
                </w:p>
              </w:tc>
              <w:tc>
                <w:tcPr>
                  <w:tcW w:w="3929" w:type="dxa"/>
                  <w:vAlign w:val="center"/>
                </w:tcPr>
                <w:p>
                  <w:pPr>
                    <w:spacing w:line="400" w:lineRule="exact"/>
                    <w:jc w:val="center"/>
                    <w:rPr>
                      <w:rFonts w:ascii="宋体" w:hAnsi="宋体" w:cs="宋体"/>
                      <w:snapToGrid w:val="0"/>
                      <w:color w:val="auto"/>
                      <w:kern w:val="0"/>
                      <w:szCs w:val="21"/>
                      <w:highlight w:val="none"/>
                    </w:rPr>
                  </w:pPr>
                </w:p>
              </w:tc>
            </w:tr>
          </w:tbl>
          <w:p>
            <w:pPr>
              <w:widowControl/>
              <w:wordWrap w:val="0"/>
              <w:autoSpaceDE w:val="0"/>
              <w:autoSpaceDN w:val="0"/>
              <w:adjustRightInd w:val="0"/>
              <w:snapToGrid w:val="0"/>
              <w:spacing w:line="131" w:lineRule="exact"/>
              <w:jc w:val="left"/>
              <w:textAlignment w:val="baseline"/>
              <w:rPr>
                <w:rFonts w:ascii="宋体" w:hAnsi="宋体" w:cs="宋体"/>
                <w:snapToGrid w:val="0"/>
                <w:color w:val="auto"/>
                <w:kern w:val="0"/>
                <w:szCs w:val="21"/>
                <w:highlight w:val="none"/>
              </w:rPr>
            </w:pPr>
          </w:p>
          <w:p>
            <w:pPr>
              <w:spacing w:after="120" w:afterLines="50"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（2）潭中东路14号办公区</w:t>
            </w:r>
          </w:p>
          <w:tbl>
            <w:tblPr>
              <w:tblStyle w:val="TableNormal"/>
              <w:tblW w:w="7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019"/>
              <w:gridCol w:w="868"/>
              <w:gridCol w:w="790"/>
              <w:gridCol w:w="4330"/>
            </w:tblGrid>
            <w:tr>
              <w:tblPrEx>
                <w:tblW w:w="7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52"/>
                <w:jc w:val="center"/>
              </w:trPr>
              <w:tc>
                <w:tcPr>
                  <w:tcW w:w="1019" w:type="dxa"/>
                  <w:vAlign w:val="center"/>
                </w:tcPr>
                <w:p>
                  <w:pPr>
                    <w:widowControl/>
                    <w:wordWrap w:val="0"/>
                    <w:autoSpaceDE w:val="0"/>
                    <w:autoSpaceDN w:val="0"/>
                    <w:adjustRightInd w:val="0"/>
                    <w:snapToGrid w:val="0"/>
                    <w:spacing w:before="35" w:line="228" w:lineRule="auto"/>
                    <w:jc w:val="center"/>
                    <w:textAlignment w:val="baseline"/>
                    <w:rPr>
                      <w:rFonts w:ascii="宋体" w:hAnsi="宋体" w:cs="宋体"/>
                      <w:b/>
                      <w:bCs/>
                      <w:snapToGrid w:val="0"/>
                      <w:color w:val="auto"/>
                      <w:spacing w:val="2"/>
                      <w:kern w:val="0"/>
                      <w:szCs w:val="21"/>
                      <w:highlight w:val="none"/>
                    </w:rPr>
                  </w:pPr>
                  <w:r>
                    <w:rPr>
                      <w:rFonts w:ascii="宋体" w:hAnsi="宋体" w:cs="宋体" w:hint="eastAsia"/>
                      <w:b/>
                      <w:bCs/>
                      <w:snapToGrid w:val="0"/>
                      <w:color w:val="auto"/>
                      <w:spacing w:val="2"/>
                      <w:kern w:val="0"/>
                      <w:szCs w:val="21"/>
                      <w:highlight w:val="none"/>
                    </w:rPr>
                    <w:t>部门</w:t>
                  </w:r>
                </w:p>
              </w:tc>
              <w:tc>
                <w:tcPr>
                  <w:tcW w:w="868" w:type="dxa"/>
                  <w:vAlign w:val="center"/>
                </w:tcPr>
                <w:p>
                  <w:pPr>
                    <w:widowControl/>
                    <w:wordWrap w:val="0"/>
                    <w:autoSpaceDE w:val="0"/>
                    <w:autoSpaceDN w:val="0"/>
                    <w:adjustRightInd w:val="0"/>
                    <w:snapToGrid w:val="0"/>
                    <w:spacing w:before="35" w:line="228" w:lineRule="auto"/>
                    <w:jc w:val="center"/>
                    <w:textAlignment w:val="baseline"/>
                    <w:rPr>
                      <w:rFonts w:ascii="宋体" w:hAnsi="宋体" w:cs="宋体"/>
                      <w:b/>
                      <w:bCs/>
                      <w:snapToGrid w:val="0"/>
                      <w:color w:val="auto"/>
                      <w:spacing w:val="2"/>
                      <w:kern w:val="0"/>
                      <w:szCs w:val="21"/>
                      <w:highlight w:val="none"/>
                    </w:rPr>
                  </w:pPr>
                  <w:r>
                    <w:rPr>
                      <w:rFonts w:ascii="宋体" w:hAnsi="宋体" w:cs="宋体" w:hint="eastAsia"/>
                      <w:b/>
                      <w:bCs/>
                      <w:snapToGrid w:val="0"/>
                      <w:color w:val="auto"/>
                      <w:spacing w:val="2"/>
                      <w:kern w:val="0"/>
                      <w:szCs w:val="21"/>
                      <w:highlight w:val="none"/>
                    </w:rPr>
                    <w:t>岗位</w:t>
                  </w:r>
                </w:p>
              </w:tc>
              <w:tc>
                <w:tcPr>
                  <w:tcW w:w="790" w:type="dxa"/>
                  <w:vAlign w:val="center"/>
                </w:tcPr>
                <w:p>
                  <w:pPr>
                    <w:widowControl/>
                    <w:wordWrap w:val="0"/>
                    <w:autoSpaceDE w:val="0"/>
                    <w:autoSpaceDN w:val="0"/>
                    <w:adjustRightInd w:val="0"/>
                    <w:snapToGrid w:val="0"/>
                    <w:spacing w:before="35" w:line="228" w:lineRule="auto"/>
                    <w:jc w:val="center"/>
                    <w:textAlignment w:val="baseline"/>
                    <w:rPr>
                      <w:rFonts w:ascii="宋体" w:hAnsi="宋体" w:cs="宋体"/>
                      <w:b/>
                      <w:bCs/>
                      <w:snapToGrid w:val="0"/>
                      <w:color w:val="auto"/>
                      <w:spacing w:val="2"/>
                      <w:kern w:val="0"/>
                      <w:szCs w:val="21"/>
                      <w:highlight w:val="none"/>
                    </w:rPr>
                  </w:pPr>
                  <w:r>
                    <w:rPr>
                      <w:rFonts w:ascii="宋体" w:hAnsi="宋体" w:cs="宋体" w:hint="eastAsia"/>
                      <w:b/>
                      <w:bCs/>
                      <w:snapToGrid w:val="0"/>
                      <w:color w:val="auto"/>
                      <w:spacing w:val="2"/>
                      <w:kern w:val="0"/>
                      <w:szCs w:val="21"/>
                      <w:highlight w:val="none"/>
                    </w:rPr>
                    <w:t>人数</w:t>
                  </w:r>
                </w:p>
              </w:tc>
              <w:tc>
                <w:tcPr>
                  <w:tcW w:w="4330" w:type="dxa"/>
                  <w:vAlign w:val="center"/>
                </w:tcPr>
                <w:p>
                  <w:pPr>
                    <w:widowControl/>
                    <w:wordWrap w:val="0"/>
                    <w:autoSpaceDE w:val="0"/>
                    <w:autoSpaceDN w:val="0"/>
                    <w:adjustRightInd w:val="0"/>
                    <w:snapToGrid w:val="0"/>
                    <w:spacing w:before="35" w:line="228" w:lineRule="auto"/>
                    <w:jc w:val="center"/>
                    <w:textAlignment w:val="baseline"/>
                    <w:rPr>
                      <w:rFonts w:ascii="宋体" w:hAnsi="宋体" w:cs="宋体"/>
                      <w:b/>
                      <w:bCs/>
                      <w:snapToGrid w:val="0"/>
                      <w:color w:val="auto"/>
                      <w:spacing w:val="2"/>
                      <w:kern w:val="0"/>
                      <w:szCs w:val="21"/>
                      <w:highlight w:val="none"/>
                      <w:lang w:eastAsia="en-US"/>
                    </w:rPr>
                  </w:pPr>
                  <w:r>
                    <w:rPr>
                      <w:rFonts w:ascii="宋体" w:hAnsi="宋体" w:cs="宋体" w:hint="eastAsia"/>
                      <w:b/>
                      <w:bCs/>
                      <w:snapToGrid w:val="0"/>
                      <w:color w:val="auto"/>
                      <w:spacing w:val="2"/>
                      <w:kern w:val="0"/>
                      <w:szCs w:val="21"/>
                      <w:highlight w:val="none"/>
                    </w:rPr>
                    <w:t>资历、条件要求</w:t>
                  </w:r>
                </w:p>
              </w:tc>
            </w:tr>
            <w:tr>
              <w:tblPrEx>
                <w:tblW w:w="7007" w:type="dxa"/>
                <w:jc w:val="center"/>
                <w:tblLayout w:type="fixed"/>
                <w:tblCellMar>
                  <w:top w:w="0" w:type="dxa"/>
                  <w:left w:w="108" w:type="dxa"/>
                  <w:bottom w:w="0" w:type="dxa"/>
                  <w:right w:w="108" w:type="dxa"/>
                </w:tblCellMar>
              </w:tblPrEx>
              <w:trPr>
                <w:trHeight w:val="1708"/>
                <w:jc w:val="center"/>
              </w:trPr>
              <w:tc>
                <w:tcPr>
                  <w:tcW w:w="1019" w:type="dxa"/>
                  <w:vMerge w:val="restart"/>
                  <w:vAlign w:val="center"/>
                </w:tcPr>
                <w:p>
                  <w:pPr>
                    <w:wordWrap w:val="0"/>
                    <w:spacing w:line="440" w:lineRule="exact"/>
                    <w:jc w:val="center"/>
                    <w:rPr>
                      <w:rFonts w:ascii="宋体" w:hAnsi="宋体" w:cs="宋体"/>
                      <w:snapToGrid w:val="0"/>
                      <w:color w:val="auto"/>
                      <w:kern w:val="0"/>
                      <w:szCs w:val="21"/>
                      <w:highlight w:val="none"/>
                    </w:rPr>
                  </w:pPr>
                  <w:r>
                    <w:rPr>
                      <w:rFonts w:ascii="宋体" w:hAnsi="宋体" w:cs="宋体" w:hint="eastAsia"/>
                      <w:b/>
                      <w:bCs/>
                      <w:snapToGrid w:val="0"/>
                      <w:color w:val="auto"/>
                      <w:spacing w:val="2"/>
                      <w:kern w:val="0"/>
                      <w:szCs w:val="21"/>
                      <w:highlight w:val="none"/>
                    </w:rPr>
                    <w:t>项目管理部</w:t>
                  </w:r>
                </w:p>
              </w:tc>
              <w:tc>
                <w:tcPr>
                  <w:tcW w:w="868" w:type="dxa"/>
                  <w:vAlign w:val="center"/>
                </w:tcPr>
                <w:p>
                  <w:pPr>
                    <w:widowControl/>
                    <w:wordWrap w:val="0"/>
                    <w:autoSpaceDE w:val="0"/>
                    <w:autoSpaceDN w:val="0"/>
                    <w:adjustRightInd w:val="0"/>
                    <w:snapToGrid w:val="0"/>
                    <w:spacing w:before="238" w:line="228"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项目经理</w:t>
                  </w:r>
                </w:p>
              </w:tc>
              <w:tc>
                <w:tcPr>
                  <w:tcW w:w="790" w:type="dxa"/>
                  <w:vAlign w:val="center"/>
                </w:tcPr>
                <w:p>
                  <w:pPr>
                    <w:wordWrap w:val="0"/>
                    <w:spacing w:line="440" w:lineRule="exact"/>
                    <w:jc w:val="center"/>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1人</w:t>
                  </w:r>
                </w:p>
              </w:tc>
              <w:tc>
                <w:tcPr>
                  <w:tcW w:w="4330" w:type="dxa"/>
                </w:tcPr>
                <w:p>
                  <w:pPr>
                    <w:wordWrap w:val="0"/>
                    <w:spacing w:line="360" w:lineRule="auto"/>
                    <w:jc w:val="left"/>
                    <w:rPr>
                      <w:rFonts w:ascii="宋体" w:hAnsi="宋体" w:cs="宋体"/>
                      <w:color w:val="auto"/>
                      <w:szCs w:val="21"/>
                      <w:highlight w:val="none"/>
                    </w:rPr>
                  </w:pPr>
                  <w:r>
                    <w:rPr>
                      <w:rFonts w:ascii="宋体" w:hAnsi="宋体" w:cs="宋体" w:hint="eastAsia"/>
                      <w:snapToGrid w:val="0"/>
                      <w:color w:val="auto"/>
                      <w:kern w:val="0"/>
                      <w:szCs w:val="21"/>
                      <w:highlight w:val="none"/>
                    </w:rPr>
                    <w:t>男女不限，55岁以下；有三年项目经理任职经验，具有大专学历，物业管理专业技能熟练，有较强的组织管理能力、协调能力，身体健康，体检合格。</w:t>
                  </w:r>
                </w:p>
              </w:tc>
            </w:tr>
            <w:tr>
              <w:tblPrEx>
                <w:tblW w:w="7007" w:type="dxa"/>
                <w:jc w:val="center"/>
                <w:tblLayout w:type="fixed"/>
                <w:tblCellMar>
                  <w:top w:w="0" w:type="dxa"/>
                  <w:left w:w="108" w:type="dxa"/>
                  <w:bottom w:w="0" w:type="dxa"/>
                  <w:right w:w="108" w:type="dxa"/>
                </w:tblCellMar>
              </w:tblPrEx>
              <w:trPr>
                <w:trHeight w:val="1337"/>
                <w:jc w:val="center"/>
              </w:trPr>
              <w:tc>
                <w:tcPr>
                  <w:tcW w:w="1019" w:type="dxa"/>
                  <w:vMerge/>
                  <w:vAlign w:val="center"/>
                </w:tcPr>
                <w:p>
                  <w:pPr>
                    <w:wordWrap w:val="0"/>
                    <w:spacing w:line="440" w:lineRule="exact"/>
                    <w:jc w:val="center"/>
                    <w:rPr>
                      <w:rFonts w:ascii="宋体" w:hAnsi="宋体" w:cs="宋体"/>
                      <w:b/>
                      <w:bCs/>
                      <w:snapToGrid w:val="0"/>
                      <w:color w:val="auto"/>
                      <w:spacing w:val="2"/>
                      <w:kern w:val="0"/>
                      <w:szCs w:val="21"/>
                      <w:highlight w:val="none"/>
                    </w:rPr>
                  </w:pPr>
                </w:p>
              </w:tc>
              <w:tc>
                <w:tcPr>
                  <w:tcW w:w="868" w:type="dxa"/>
                  <w:vAlign w:val="center"/>
                </w:tcPr>
                <w:p>
                  <w:pPr>
                    <w:widowControl/>
                    <w:wordWrap w:val="0"/>
                    <w:autoSpaceDE w:val="0"/>
                    <w:autoSpaceDN w:val="0"/>
                    <w:adjustRightInd w:val="0"/>
                    <w:snapToGrid w:val="0"/>
                    <w:spacing w:before="238" w:line="228"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会议服务员</w:t>
                  </w:r>
                </w:p>
              </w:tc>
              <w:tc>
                <w:tcPr>
                  <w:tcW w:w="790" w:type="dxa"/>
                  <w:vAlign w:val="center"/>
                </w:tcPr>
                <w:p>
                  <w:pPr>
                    <w:widowControl/>
                    <w:wordWrap w:val="0"/>
                    <w:autoSpaceDE w:val="0"/>
                    <w:autoSpaceDN w:val="0"/>
                    <w:adjustRightInd w:val="0"/>
                    <w:snapToGrid w:val="0"/>
                    <w:spacing w:before="238" w:line="228"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1人</w:t>
                  </w:r>
                </w:p>
              </w:tc>
              <w:tc>
                <w:tcPr>
                  <w:tcW w:w="4330" w:type="dxa"/>
                  <w:vAlign w:val="center"/>
                </w:tcPr>
                <w:p>
                  <w:pPr>
                    <w:widowControl/>
                    <w:wordWrap w:val="0"/>
                    <w:autoSpaceDE w:val="0"/>
                    <w:autoSpaceDN w:val="0"/>
                    <w:adjustRightInd w:val="0"/>
                    <w:snapToGrid w:val="0"/>
                    <w:spacing w:before="238" w:line="360" w:lineRule="auto"/>
                    <w:jc w:val="left"/>
                    <w:textAlignment w:val="baseline"/>
                    <w:rPr>
                      <w:rFonts w:ascii="宋体" w:hAnsi="宋体" w:cs="宋体"/>
                      <w:color w:val="auto"/>
                      <w:szCs w:val="21"/>
                      <w:highlight w:val="none"/>
                    </w:rPr>
                  </w:pPr>
                  <w:r>
                    <w:rPr>
                      <w:rFonts w:ascii="宋体" w:hAnsi="宋体" w:cs="宋体" w:hint="eastAsia"/>
                      <w:snapToGrid w:val="0"/>
                      <w:color w:val="auto"/>
                      <w:kern w:val="0"/>
                      <w:szCs w:val="21"/>
                      <w:highlight w:val="none"/>
                    </w:rPr>
                    <w:t>女性，年龄40岁以下，身高1.60米以上，品貌端庄，身体健康，体检合格；具有高中以上学历，能吃苦耐劳。</w:t>
                  </w:r>
                </w:p>
              </w:tc>
            </w:tr>
            <w:tr>
              <w:tblPrEx>
                <w:tblW w:w="7007" w:type="dxa"/>
                <w:jc w:val="center"/>
                <w:tblLayout w:type="fixed"/>
                <w:tblCellMar>
                  <w:top w:w="0" w:type="dxa"/>
                  <w:left w:w="108" w:type="dxa"/>
                  <w:bottom w:w="0" w:type="dxa"/>
                  <w:right w:w="108" w:type="dxa"/>
                </w:tblCellMar>
              </w:tblPrEx>
              <w:trPr>
                <w:trHeight w:val="1811"/>
                <w:jc w:val="center"/>
              </w:trPr>
              <w:tc>
                <w:tcPr>
                  <w:tcW w:w="1019" w:type="dxa"/>
                  <w:vMerge w:val="restart"/>
                  <w:vAlign w:val="center"/>
                </w:tcPr>
                <w:p>
                  <w:pPr>
                    <w:wordWrap w:val="0"/>
                    <w:spacing w:line="440" w:lineRule="exact"/>
                    <w:jc w:val="center"/>
                    <w:rPr>
                      <w:rFonts w:ascii="宋体" w:hAnsi="宋体" w:cs="宋体"/>
                      <w:snapToGrid w:val="0"/>
                      <w:color w:val="auto"/>
                      <w:kern w:val="0"/>
                      <w:szCs w:val="21"/>
                      <w:highlight w:val="none"/>
                    </w:rPr>
                  </w:pPr>
                  <w:r>
                    <w:rPr>
                      <w:rFonts w:ascii="宋体" w:hAnsi="宋体" w:cs="宋体" w:hint="eastAsia"/>
                      <w:b/>
                      <w:bCs/>
                      <w:snapToGrid w:val="0"/>
                      <w:color w:val="auto"/>
                      <w:spacing w:val="2"/>
                      <w:kern w:val="0"/>
                      <w:szCs w:val="21"/>
                      <w:highlight w:val="none"/>
                    </w:rPr>
                    <w:t>工程部</w:t>
                  </w:r>
                </w:p>
              </w:tc>
              <w:tc>
                <w:tcPr>
                  <w:tcW w:w="868" w:type="dxa"/>
                  <w:vAlign w:val="center"/>
                </w:tcPr>
                <w:p>
                  <w:pPr>
                    <w:widowControl/>
                    <w:wordWrap w:val="0"/>
                    <w:autoSpaceDE w:val="0"/>
                    <w:autoSpaceDN w:val="0"/>
                    <w:adjustRightInd w:val="0"/>
                    <w:snapToGrid w:val="0"/>
                    <w:spacing w:before="238" w:line="228"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kern w:val="0"/>
                      <w:szCs w:val="21"/>
                      <w:highlight w:val="none"/>
                    </w:rPr>
                    <w:t>工程主管</w:t>
                  </w:r>
                </w:p>
              </w:tc>
              <w:tc>
                <w:tcPr>
                  <w:tcW w:w="790" w:type="dxa"/>
                  <w:vAlign w:val="center"/>
                </w:tcPr>
                <w:p>
                  <w:pPr>
                    <w:widowControl/>
                    <w:wordWrap w:val="0"/>
                    <w:autoSpaceDE w:val="0"/>
                    <w:autoSpaceDN w:val="0"/>
                    <w:adjustRightInd w:val="0"/>
                    <w:snapToGrid w:val="0"/>
                    <w:spacing w:before="238" w:line="228"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kern w:val="0"/>
                      <w:szCs w:val="21"/>
                      <w:highlight w:val="none"/>
                    </w:rPr>
                    <w:t>1人</w:t>
                  </w:r>
                </w:p>
              </w:tc>
              <w:tc>
                <w:tcPr>
                  <w:tcW w:w="4330" w:type="dxa"/>
                  <w:vMerge w:val="restart"/>
                  <w:vAlign w:val="center"/>
                </w:tcPr>
                <w:p>
                  <w:pPr>
                    <w:wordWrap w:val="0"/>
                    <w:autoSpaceDE w:val="0"/>
                    <w:autoSpaceDN w:val="0"/>
                    <w:adjustRightInd w:val="0"/>
                    <w:snapToGrid w:val="0"/>
                    <w:spacing w:before="37" w:line="360" w:lineRule="auto"/>
                    <w:textAlignment w:val="baseline"/>
                    <w:rPr>
                      <w:rFonts w:ascii="宋体" w:hAnsi="宋体" w:cs="宋体"/>
                      <w:color w:val="auto"/>
                      <w:szCs w:val="21"/>
                      <w:highlight w:val="none"/>
                    </w:rPr>
                  </w:pPr>
                  <w:r>
                    <w:rPr>
                      <w:rFonts w:ascii="宋体" w:hAnsi="宋体" w:cs="宋体" w:hint="eastAsia"/>
                      <w:b/>
                      <w:bCs/>
                      <w:color w:val="auto"/>
                      <w:szCs w:val="21"/>
                      <w:highlight w:val="none"/>
                    </w:rPr>
                    <w:t>工程主管：</w:t>
                  </w:r>
                  <w:r>
                    <w:rPr>
                      <w:rFonts w:ascii="宋体" w:hAnsi="宋体" w:cs="宋体" w:hint="eastAsia"/>
                      <w:snapToGrid w:val="0"/>
                      <w:color w:val="auto"/>
                      <w:kern w:val="0"/>
                      <w:szCs w:val="21"/>
                      <w:highlight w:val="none"/>
                    </w:rPr>
                    <w:t>男性，年龄55岁以下，身体健康，体检合格，能吃苦耐劳；具有大专学历、持有工程类中级职称证书、并有三年同等岗位的管理经验。</w:t>
                  </w:r>
                </w:p>
                <w:p>
                  <w:pPr>
                    <w:wordWrap w:val="0"/>
                    <w:spacing w:line="360" w:lineRule="auto"/>
                    <w:rPr>
                      <w:rFonts w:ascii="宋体" w:hAnsi="宋体" w:cs="宋体"/>
                      <w:color w:val="auto"/>
                      <w:szCs w:val="21"/>
                      <w:highlight w:val="none"/>
                    </w:rPr>
                  </w:pPr>
                  <w:r>
                    <w:rPr>
                      <w:rFonts w:ascii="宋体" w:hAnsi="宋体" w:cs="宋体" w:hint="eastAsia"/>
                      <w:b/>
                      <w:bCs/>
                      <w:color w:val="auto"/>
                      <w:szCs w:val="21"/>
                      <w:highlight w:val="none"/>
                    </w:rPr>
                    <w:t>工程维护员：</w:t>
                  </w:r>
                  <w:r>
                    <w:rPr>
                      <w:rFonts w:ascii="宋体" w:hAnsi="宋体" w:cs="宋体" w:hint="eastAsia"/>
                      <w:snapToGrid w:val="0"/>
                      <w:color w:val="auto"/>
                      <w:kern w:val="0"/>
                      <w:szCs w:val="21"/>
                      <w:highlight w:val="none"/>
                    </w:rPr>
                    <w:t>男性，年龄55岁以下，身体健康，体检合格；其中1人同时持有高压电工作业证和特种设备安全管理和作业人员证，其他人员需持电工证上岗。</w:t>
                  </w:r>
                </w:p>
              </w:tc>
            </w:tr>
            <w:tr>
              <w:tblPrEx>
                <w:tblW w:w="7007" w:type="dxa"/>
                <w:jc w:val="center"/>
                <w:tblLayout w:type="fixed"/>
                <w:tblCellMar>
                  <w:top w:w="0" w:type="dxa"/>
                  <w:left w:w="108" w:type="dxa"/>
                  <w:bottom w:w="0" w:type="dxa"/>
                  <w:right w:w="108" w:type="dxa"/>
                </w:tblCellMar>
              </w:tblPrEx>
              <w:trPr>
                <w:trHeight w:val="1413"/>
                <w:jc w:val="center"/>
              </w:trPr>
              <w:tc>
                <w:tcPr>
                  <w:tcW w:w="1019" w:type="dxa"/>
                  <w:vMerge/>
                  <w:vAlign w:val="center"/>
                </w:tcPr>
                <w:p>
                  <w:pPr>
                    <w:wordWrap w:val="0"/>
                    <w:spacing w:line="440" w:lineRule="exact"/>
                    <w:jc w:val="center"/>
                    <w:rPr>
                      <w:rFonts w:ascii="宋体" w:hAnsi="宋体" w:cs="宋体"/>
                      <w:snapToGrid w:val="0"/>
                      <w:color w:val="auto"/>
                      <w:kern w:val="0"/>
                      <w:szCs w:val="21"/>
                      <w:highlight w:val="none"/>
                    </w:rPr>
                  </w:pPr>
                </w:p>
              </w:tc>
              <w:tc>
                <w:tcPr>
                  <w:tcW w:w="868" w:type="dxa"/>
                  <w:vAlign w:val="center"/>
                </w:tcPr>
                <w:p>
                  <w:pPr>
                    <w:widowControl/>
                    <w:wordWrap w:val="0"/>
                    <w:autoSpaceDE w:val="0"/>
                    <w:autoSpaceDN w:val="0"/>
                    <w:adjustRightInd w:val="0"/>
                    <w:snapToGrid w:val="0"/>
                    <w:spacing w:before="238" w:line="228"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kern w:val="0"/>
                      <w:szCs w:val="21"/>
                      <w:highlight w:val="none"/>
                    </w:rPr>
                    <w:t>工程维护员</w:t>
                  </w:r>
                </w:p>
              </w:tc>
              <w:tc>
                <w:tcPr>
                  <w:tcW w:w="790" w:type="dxa"/>
                  <w:vAlign w:val="center"/>
                </w:tcPr>
                <w:p>
                  <w:pPr>
                    <w:wordWrap w:val="0"/>
                    <w:spacing w:line="440" w:lineRule="exact"/>
                    <w:jc w:val="center"/>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2人</w:t>
                  </w:r>
                </w:p>
              </w:tc>
              <w:tc>
                <w:tcPr>
                  <w:tcW w:w="4330" w:type="dxa"/>
                  <w:vMerge/>
                </w:tcPr>
                <w:p>
                  <w:pPr>
                    <w:wordWrap w:val="0"/>
                    <w:spacing w:line="440" w:lineRule="exact"/>
                    <w:rPr>
                      <w:rFonts w:ascii="宋体" w:hAnsi="宋体" w:cs="宋体"/>
                      <w:color w:val="auto"/>
                      <w:szCs w:val="21"/>
                      <w:highlight w:val="none"/>
                      <w:lang w:eastAsia="en-US"/>
                    </w:rPr>
                  </w:pPr>
                </w:p>
              </w:tc>
            </w:tr>
            <w:tr>
              <w:tblPrEx>
                <w:tblW w:w="7007" w:type="dxa"/>
                <w:jc w:val="center"/>
                <w:tblLayout w:type="fixed"/>
                <w:tblCellMar>
                  <w:top w:w="0" w:type="dxa"/>
                  <w:left w:w="108" w:type="dxa"/>
                  <w:bottom w:w="0" w:type="dxa"/>
                  <w:right w:w="108" w:type="dxa"/>
                </w:tblCellMar>
              </w:tblPrEx>
              <w:trPr>
                <w:trHeight w:val="1140"/>
                <w:jc w:val="center"/>
              </w:trPr>
              <w:tc>
                <w:tcPr>
                  <w:tcW w:w="1019" w:type="dxa"/>
                  <w:vMerge w:val="restart"/>
                  <w:vAlign w:val="center"/>
                </w:tcPr>
                <w:p>
                  <w:pPr>
                    <w:wordWrap w:val="0"/>
                    <w:spacing w:line="440" w:lineRule="exact"/>
                    <w:jc w:val="center"/>
                    <w:rPr>
                      <w:rFonts w:ascii="宋体" w:hAnsi="宋体" w:cs="宋体"/>
                      <w:b/>
                      <w:bCs/>
                      <w:snapToGrid w:val="0"/>
                      <w:color w:val="auto"/>
                      <w:spacing w:val="2"/>
                      <w:kern w:val="0"/>
                      <w:szCs w:val="21"/>
                      <w:highlight w:val="none"/>
                    </w:rPr>
                  </w:pPr>
                  <w:r>
                    <w:rPr>
                      <w:rFonts w:ascii="宋体" w:hAnsi="宋体" w:cs="宋体" w:hint="eastAsia"/>
                      <w:b/>
                      <w:bCs/>
                      <w:snapToGrid w:val="0"/>
                      <w:color w:val="auto"/>
                      <w:kern w:val="0"/>
                      <w:szCs w:val="21"/>
                      <w:highlight w:val="none"/>
                    </w:rPr>
                    <w:t>秩序维护部</w:t>
                  </w:r>
                </w:p>
              </w:tc>
              <w:tc>
                <w:tcPr>
                  <w:tcW w:w="868" w:type="dxa"/>
                  <w:vAlign w:val="center"/>
                </w:tcPr>
                <w:p>
                  <w:pPr>
                    <w:spacing w:line="400" w:lineRule="exact"/>
                    <w:jc w:val="center"/>
                    <w:rPr>
                      <w:rFonts w:ascii="宋体" w:hAnsi="宋体" w:cs="宋体"/>
                      <w:snapToGrid w:val="0"/>
                      <w:color w:val="auto"/>
                      <w:spacing w:val="7"/>
                      <w:kern w:val="0"/>
                      <w:szCs w:val="21"/>
                      <w:highlight w:val="none"/>
                    </w:rPr>
                  </w:pPr>
                  <w:r>
                    <w:rPr>
                      <w:rFonts w:ascii="宋体" w:hAnsi="宋体" w:cs="宋体" w:hint="eastAsia"/>
                      <w:snapToGrid w:val="0"/>
                      <w:color w:val="auto"/>
                      <w:kern w:val="0"/>
                      <w:szCs w:val="21"/>
                      <w:highlight w:val="none"/>
                    </w:rPr>
                    <w:t>秩序维护部长</w:t>
                  </w:r>
                </w:p>
              </w:tc>
              <w:tc>
                <w:tcPr>
                  <w:tcW w:w="790" w:type="dxa"/>
                  <w:vAlign w:val="center"/>
                </w:tcPr>
                <w:p>
                  <w:pPr>
                    <w:wordWrap w:val="0"/>
                    <w:autoSpaceDE w:val="0"/>
                    <w:autoSpaceDN w:val="0"/>
                    <w:adjustRightInd w:val="0"/>
                    <w:snapToGrid w:val="0"/>
                    <w:spacing w:before="52" w:line="222"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1人</w:t>
                  </w:r>
                </w:p>
              </w:tc>
              <w:tc>
                <w:tcPr>
                  <w:tcW w:w="4330" w:type="dxa"/>
                  <w:tcBorders>
                    <w:bottom w:val="single" w:sz="4" w:space="0" w:color="auto"/>
                  </w:tcBorders>
                </w:tcPr>
                <w:p>
                  <w:pPr>
                    <w:wordWrap w:val="0"/>
                    <w:autoSpaceDE w:val="0"/>
                    <w:autoSpaceDN w:val="0"/>
                    <w:adjustRightInd w:val="0"/>
                    <w:snapToGrid w:val="0"/>
                    <w:spacing w:before="21" w:line="360" w:lineRule="auto"/>
                    <w:ind w:right="93"/>
                    <w:textAlignment w:val="baseline"/>
                    <w:rPr>
                      <w:rFonts w:ascii="宋体" w:hAnsi="宋体" w:cs="宋体"/>
                      <w:snapToGrid w:val="0"/>
                      <w:color w:val="auto"/>
                      <w:kern w:val="0"/>
                      <w:szCs w:val="21"/>
                      <w:highlight w:val="none"/>
                    </w:rPr>
                  </w:pPr>
                  <w:r>
                    <w:rPr>
                      <w:rFonts w:ascii="宋体" w:hAnsi="宋体" w:cs="宋体" w:hint="eastAsia"/>
                      <w:b/>
                      <w:bCs/>
                      <w:snapToGrid w:val="0"/>
                      <w:color w:val="auto"/>
                      <w:spacing w:val="-1"/>
                      <w:kern w:val="0"/>
                      <w:szCs w:val="21"/>
                      <w:highlight w:val="none"/>
                    </w:rPr>
                    <w:t>保安班长</w:t>
                  </w:r>
                  <w:r>
                    <w:rPr>
                      <w:rFonts w:ascii="宋体" w:hAnsi="宋体" w:cs="宋体" w:hint="eastAsia"/>
                      <w:snapToGrid w:val="0"/>
                      <w:color w:val="auto"/>
                      <w:spacing w:val="-1"/>
                      <w:kern w:val="0"/>
                      <w:szCs w:val="21"/>
                      <w:highlight w:val="none"/>
                    </w:rPr>
                    <w:t>：</w:t>
                  </w:r>
                  <w:r>
                    <w:rPr>
                      <w:rFonts w:ascii="宋体" w:hAnsi="宋体" w:cs="宋体" w:hint="eastAsia"/>
                      <w:snapToGrid w:val="0"/>
                      <w:color w:val="auto"/>
                      <w:kern w:val="0"/>
                      <w:szCs w:val="21"/>
                      <w:highlight w:val="none"/>
                    </w:rPr>
                    <w:t>45岁以下，具有高中学历，持有保安员证优先，有较强的组织协调能力；身体健康，体检合格。</w:t>
                  </w:r>
                </w:p>
              </w:tc>
            </w:tr>
            <w:tr>
              <w:tblPrEx>
                <w:tblW w:w="7007" w:type="dxa"/>
                <w:jc w:val="center"/>
                <w:tblLayout w:type="fixed"/>
                <w:tblCellMar>
                  <w:top w:w="0" w:type="dxa"/>
                  <w:left w:w="108" w:type="dxa"/>
                  <w:bottom w:w="0" w:type="dxa"/>
                  <w:right w:w="108" w:type="dxa"/>
                </w:tblCellMar>
              </w:tblPrEx>
              <w:trPr>
                <w:trHeight w:val="1708"/>
                <w:jc w:val="center"/>
              </w:trPr>
              <w:tc>
                <w:tcPr>
                  <w:tcW w:w="1019" w:type="dxa"/>
                  <w:vMerge/>
                  <w:vAlign w:val="center"/>
                </w:tcPr>
                <w:p>
                  <w:pPr>
                    <w:wordWrap w:val="0"/>
                    <w:spacing w:line="440" w:lineRule="exact"/>
                    <w:jc w:val="center"/>
                    <w:rPr>
                      <w:rFonts w:ascii="宋体" w:hAnsi="宋体" w:cs="宋体"/>
                      <w:b/>
                      <w:bCs/>
                      <w:snapToGrid w:val="0"/>
                      <w:color w:val="auto"/>
                      <w:spacing w:val="2"/>
                      <w:kern w:val="0"/>
                      <w:szCs w:val="21"/>
                      <w:highlight w:val="none"/>
                    </w:rPr>
                  </w:pPr>
                </w:p>
              </w:tc>
              <w:tc>
                <w:tcPr>
                  <w:tcW w:w="868" w:type="dxa"/>
                  <w:vAlign w:val="center"/>
                </w:tcPr>
                <w:p>
                  <w:pPr>
                    <w:spacing w:line="400" w:lineRule="exact"/>
                    <w:jc w:val="center"/>
                    <w:rPr>
                      <w:rFonts w:ascii="宋体" w:hAnsi="宋体" w:cs="宋体"/>
                      <w:snapToGrid w:val="0"/>
                      <w:color w:val="auto"/>
                      <w:spacing w:val="7"/>
                      <w:kern w:val="0"/>
                      <w:szCs w:val="21"/>
                      <w:highlight w:val="none"/>
                    </w:rPr>
                  </w:pPr>
                  <w:r>
                    <w:rPr>
                      <w:rFonts w:ascii="宋体" w:hAnsi="宋体" w:cs="宋体" w:hint="eastAsia"/>
                      <w:snapToGrid w:val="0"/>
                      <w:color w:val="auto"/>
                      <w:kern w:val="0"/>
                      <w:szCs w:val="21"/>
                      <w:highlight w:val="none"/>
                    </w:rPr>
                    <w:t>秩序维护人员</w:t>
                  </w:r>
                </w:p>
              </w:tc>
              <w:tc>
                <w:tcPr>
                  <w:tcW w:w="790" w:type="dxa"/>
                  <w:vAlign w:val="center"/>
                </w:tcPr>
                <w:p>
                  <w:pPr>
                    <w:wordWrap w:val="0"/>
                    <w:autoSpaceDE w:val="0"/>
                    <w:autoSpaceDN w:val="0"/>
                    <w:adjustRightInd w:val="0"/>
                    <w:snapToGrid w:val="0"/>
                    <w:spacing w:before="52" w:line="222"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7人</w:t>
                  </w:r>
                </w:p>
              </w:tc>
              <w:tc>
                <w:tcPr>
                  <w:tcW w:w="4330" w:type="dxa"/>
                  <w:tcBorders>
                    <w:top w:val="single" w:sz="4" w:space="0" w:color="auto"/>
                  </w:tcBorders>
                </w:tcPr>
                <w:p>
                  <w:pPr>
                    <w:wordWrap w:val="0"/>
                    <w:spacing w:line="360" w:lineRule="auto"/>
                    <w:rPr>
                      <w:rFonts w:ascii="宋体" w:hAnsi="宋体" w:cs="宋体"/>
                      <w:snapToGrid w:val="0"/>
                      <w:color w:val="auto"/>
                      <w:kern w:val="0"/>
                      <w:szCs w:val="21"/>
                      <w:highlight w:val="none"/>
                    </w:rPr>
                  </w:pPr>
                  <w:r>
                    <w:rPr>
                      <w:rFonts w:ascii="宋体" w:hAnsi="宋体" w:cs="宋体" w:hint="eastAsia"/>
                      <w:b/>
                      <w:bCs/>
                      <w:snapToGrid w:val="0"/>
                      <w:color w:val="auto"/>
                      <w:spacing w:val="-1"/>
                      <w:kern w:val="0"/>
                      <w:szCs w:val="21"/>
                      <w:highlight w:val="none"/>
                    </w:rPr>
                    <w:t>保安员：</w:t>
                  </w:r>
                  <w:r>
                    <w:rPr>
                      <w:rFonts w:ascii="宋体" w:hAnsi="宋体" w:cs="宋体" w:hint="eastAsia"/>
                      <w:snapToGrid w:val="0"/>
                      <w:color w:val="auto"/>
                      <w:kern w:val="0"/>
                      <w:szCs w:val="21"/>
                      <w:highlight w:val="none"/>
                    </w:rPr>
                    <w:t>50岁以下，持有保安员证优先，消防监控岗监控员需同时持有消防设施操作员职业资格证书，经过正规培训，有责任心；身体健康，体检合格。</w:t>
                  </w:r>
                </w:p>
              </w:tc>
            </w:tr>
            <w:tr>
              <w:tblPrEx>
                <w:tblW w:w="7007" w:type="dxa"/>
                <w:jc w:val="center"/>
                <w:tblLayout w:type="fixed"/>
                <w:tblCellMar>
                  <w:top w:w="0" w:type="dxa"/>
                  <w:left w:w="108" w:type="dxa"/>
                  <w:bottom w:w="0" w:type="dxa"/>
                  <w:right w:w="108" w:type="dxa"/>
                </w:tblCellMar>
              </w:tblPrEx>
              <w:trPr>
                <w:trHeight w:val="1156"/>
                <w:jc w:val="center"/>
              </w:trPr>
              <w:tc>
                <w:tcPr>
                  <w:tcW w:w="1019" w:type="dxa"/>
                  <w:vAlign w:val="center"/>
                </w:tcPr>
                <w:p>
                  <w:pPr>
                    <w:wordWrap w:val="0"/>
                    <w:spacing w:line="440" w:lineRule="exact"/>
                    <w:jc w:val="center"/>
                    <w:rPr>
                      <w:rFonts w:ascii="宋体" w:hAnsi="宋体" w:cs="宋体"/>
                      <w:b/>
                      <w:bCs/>
                      <w:snapToGrid w:val="0"/>
                      <w:color w:val="auto"/>
                      <w:spacing w:val="2"/>
                      <w:kern w:val="0"/>
                      <w:szCs w:val="21"/>
                      <w:highlight w:val="none"/>
                    </w:rPr>
                  </w:pPr>
                  <w:r>
                    <w:rPr>
                      <w:rFonts w:ascii="宋体" w:hAnsi="宋体" w:cs="宋体" w:hint="eastAsia"/>
                      <w:b/>
                      <w:bCs/>
                      <w:snapToGrid w:val="0"/>
                      <w:color w:val="auto"/>
                      <w:spacing w:val="2"/>
                      <w:kern w:val="0"/>
                      <w:szCs w:val="21"/>
                      <w:highlight w:val="none"/>
                    </w:rPr>
                    <w:t>保洁部</w:t>
                  </w:r>
                </w:p>
              </w:tc>
              <w:tc>
                <w:tcPr>
                  <w:tcW w:w="868" w:type="dxa"/>
                  <w:vAlign w:val="center"/>
                </w:tcPr>
                <w:p>
                  <w:pPr>
                    <w:wordWrap w:val="0"/>
                    <w:autoSpaceDE w:val="0"/>
                    <w:autoSpaceDN w:val="0"/>
                    <w:adjustRightInd w:val="0"/>
                    <w:snapToGrid w:val="0"/>
                    <w:spacing w:before="52" w:line="220"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kern w:val="0"/>
                      <w:szCs w:val="21"/>
                      <w:highlight w:val="none"/>
                    </w:rPr>
                    <w:t>保洁员</w:t>
                  </w:r>
                </w:p>
              </w:tc>
              <w:tc>
                <w:tcPr>
                  <w:tcW w:w="790" w:type="dxa"/>
                  <w:vAlign w:val="center"/>
                </w:tcPr>
                <w:p>
                  <w:pPr>
                    <w:wordWrap w:val="0"/>
                    <w:autoSpaceDE w:val="0"/>
                    <w:autoSpaceDN w:val="0"/>
                    <w:adjustRightInd w:val="0"/>
                    <w:snapToGrid w:val="0"/>
                    <w:spacing w:before="52" w:line="222"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6人</w:t>
                  </w:r>
                </w:p>
              </w:tc>
              <w:tc>
                <w:tcPr>
                  <w:tcW w:w="4330" w:type="dxa"/>
                </w:tcPr>
                <w:p>
                  <w:pPr>
                    <w:wordWrap w:val="0"/>
                    <w:autoSpaceDE w:val="0"/>
                    <w:autoSpaceDN w:val="0"/>
                    <w:adjustRightInd w:val="0"/>
                    <w:snapToGrid w:val="0"/>
                    <w:spacing w:before="21" w:line="360" w:lineRule="auto"/>
                    <w:ind w:right="93"/>
                    <w:textAlignment w:val="baseline"/>
                    <w:rPr>
                      <w:rFonts w:ascii="宋体" w:hAnsi="宋体" w:cs="宋体"/>
                      <w:snapToGrid w:val="0"/>
                      <w:color w:val="auto"/>
                      <w:kern w:val="0"/>
                      <w:szCs w:val="21"/>
                      <w:highlight w:val="none"/>
                    </w:rPr>
                  </w:pPr>
                  <w:r>
                    <w:rPr>
                      <w:rFonts w:ascii="宋体" w:hAnsi="宋体" w:cs="宋体" w:hint="eastAsia"/>
                      <w:b/>
                      <w:bCs/>
                      <w:snapToGrid w:val="0"/>
                      <w:color w:val="auto"/>
                      <w:spacing w:val="-1"/>
                      <w:kern w:val="0"/>
                      <w:szCs w:val="21"/>
                      <w:highlight w:val="none"/>
                    </w:rPr>
                    <w:t>保洁</w:t>
                  </w:r>
                  <w:r>
                    <w:rPr>
                      <w:rFonts w:ascii="宋体" w:hAnsi="宋体" w:cs="宋体" w:hint="eastAsia"/>
                      <w:snapToGrid w:val="0"/>
                      <w:color w:val="auto"/>
                      <w:spacing w:val="-1"/>
                      <w:kern w:val="0"/>
                      <w:szCs w:val="21"/>
                      <w:highlight w:val="none"/>
                    </w:rPr>
                    <w:t>：</w:t>
                  </w:r>
                  <w:r>
                    <w:rPr>
                      <w:rFonts w:ascii="宋体" w:hAnsi="宋体" w:cs="宋体" w:hint="eastAsia"/>
                      <w:snapToGrid w:val="0"/>
                      <w:color w:val="auto"/>
                      <w:kern w:val="0"/>
                      <w:szCs w:val="21"/>
                      <w:highlight w:val="none"/>
                    </w:rPr>
                    <w:t>年龄50岁以下，具有一年工作经验，责任心强，身体健康，体检合格；具有初中以上文化，能吃苦耐劳。</w:t>
                  </w:r>
                </w:p>
              </w:tc>
            </w:tr>
            <w:tr>
              <w:tblPrEx>
                <w:tblW w:w="7007" w:type="dxa"/>
                <w:jc w:val="center"/>
                <w:tblLayout w:type="fixed"/>
                <w:tblCellMar>
                  <w:top w:w="0" w:type="dxa"/>
                  <w:left w:w="108" w:type="dxa"/>
                  <w:bottom w:w="0" w:type="dxa"/>
                  <w:right w:w="108" w:type="dxa"/>
                </w:tblCellMar>
              </w:tblPrEx>
              <w:trPr>
                <w:trHeight w:val="355"/>
                <w:jc w:val="center"/>
              </w:trPr>
              <w:tc>
                <w:tcPr>
                  <w:tcW w:w="1887" w:type="dxa"/>
                  <w:gridSpan w:val="2"/>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合计</w:t>
                  </w:r>
                </w:p>
              </w:tc>
              <w:tc>
                <w:tcPr>
                  <w:tcW w:w="790" w:type="dxa"/>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19人</w:t>
                  </w:r>
                </w:p>
              </w:tc>
              <w:tc>
                <w:tcPr>
                  <w:tcW w:w="4330" w:type="dxa"/>
                </w:tcPr>
                <w:p>
                  <w:pPr>
                    <w:spacing w:line="400" w:lineRule="exact"/>
                    <w:jc w:val="center"/>
                    <w:rPr>
                      <w:rFonts w:ascii="宋体" w:hAnsi="宋体" w:cs="宋体"/>
                      <w:snapToGrid w:val="0"/>
                      <w:color w:val="auto"/>
                      <w:kern w:val="0"/>
                      <w:szCs w:val="21"/>
                      <w:highlight w:val="none"/>
                    </w:rPr>
                  </w:pPr>
                </w:p>
              </w:tc>
            </w:tr>
          </w:tbl>
          <w:p>
            <w:pPr>
              <w:spacing w:after="120" w:afterLines="50"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（3）三中路第一稽查局办公区</w:t>
            </w:r>
          </w:p>
          <w:tbl>
            <w:tblPr>
              <w:tblStyle w:val="TableNormal"/>
              <w:tblW w:w="6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996"/>
              <w:gridCol w:w="849"/>
              <w:gridCol w:w="772"/>
              <w:gridCol w:w="4358"/>
            </w:tblGrid>
            <w:tr>
              <w:tblPrEx>
                <w:tblW w:w="6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53"/>
                <w:jc w:val="center"/>
              </w:trPr>
              <w:tc>
                <w:tcPr>
                  <w:tcW w:w="996" w:type="dxa"/>
                  <w:vAlign w:val="center"/>
                </w:tcPr>
                <w:p>
                  <w:pPr>
                    <w:widowControl/>
                    <w:overflowPunct w:val="0"/>
                    <w:autoSpaceDE w:val="0"/>
                    <w:autoSpaceDN w:val="0"/>
                    <w:adjustRightInd w:val="0"/>
                    <w:snapToGrid w:val="0"/>
                    <w:spacing w:before="35" w:line="360" w:lineRule="auto"/>
                    <w:jc w:val="center"/>
                    <w:textAlignment w:val="baseline"/>
                    <w:rPr>
                      <w:rFonts w:ascii="宋体" w:hAnsi="宋体" w:cs="宋体"/>
                      <w:b/>
                      <w:bCs/>
                      <w:snapToGrid w:val="0"/>
                      <w:color w:val="auto"/>
                      <w:spacing w:val="2"/>
                      <w:kern w:val="0"/>
                      <w:szCs w:val="21"/>
                      <w:highlight w:val="none"/>
                    </w:rPr>
                  </w:pPr>
                  <w:r>
                    <w:rPr>
                      <w:rFonts w:ascii="宋体" w:hAnsi="宋体" w:cs="宋体" w:hint="eastAsia"/>
                      <w:b/>
                      <w:bCs/>
                      <w:snapToGrid w:val="0"/>
                      <w:color w:val="auto"/>
                      <w:spacing w:val="2"/>
                      <w:kern w:val="0"/>
                      <w:szCs w:val="21"/>
                      <w:highlight w:val="none"/>
                    </w:rPr>
                    <w:t>部门</w:t>
                  </w:r>
                </w:p>
              </w:tc>
              <w:tc>
                <w:tcPr>
                  <w:tcW w:w="849" w:type="dxa"/>
                  <w:vAlign w:val="center"/>
                </w:tcPr>
                <w:p>
                  <w:pPr>
                    <w:widowControl/>
                    <w:overflowPunct w:val="0"/>
                    <w:autoSpaceDE w:val="0"/>
                    <w:autoSpaceDN w:val="0"/>
                    <w:adjustRightInd w:val="0"/>
                    <w:snapToGrid w:val="0"/>
                    <w:spacing w:before="35" w:line="360" w:lineRule="auto"/>
                    <w:jc w:val="center"/>
                    <w:textAlignment w:val="baseline"/>
                    <w:rPr>
                      <w:rFonts w:ascii="宋体" w:hAnsi="宋体" w:cs="宋体"/>
                      <w:b/>
                      <w:bCs/>
                      <w:snapToGrid w:val="0"/>
                      <w:color w:val="auto"/>
                      <w:spacing w:val="2"/>
                      <w:kern w:val="0"/>
                      <w:szCs w:val="21"/>
                      <w:highlight w:val="none"/>
                    </w:rPr>
                  </w:pPr>
                  <w:r>
                    <w:rPr>
                      <w:rFonts w:ascii="宋体" w:hAnsi="宋体" w:cs="宋体" w:hint="eastAsia"/>
                      <w:b/>
                      <w:bCs/>
                      <w:snapToGrid w:val="0"/>
                      <w:color w:val="auto"/>
                      <w:spacing w:val="2"/>
                      <w:kern w:val="0"/>
                      <w:szCs w:val="21"/>
                      <w:highlight w:val="none"/>
                    </w:rPr>
                    <w:t>岗位</w:t>
                  </w:r>
                </w:p>
              </w:tc>
              <w:tc>
                <w:tcPr>
                  <w:tcW w:w="772" w:type="dxa"/>
                  <w:vAlign w:val="center"/>
                </w:tcPr>
                <w:p>
                  <w:pPr>
                    <w:widowControl/>
                    <w:overflowPunct w:val="0"/>
                    <w:autoSpaceDE w:val="0"/>
                    <w:autoSpaceDN w:val="0"/>
                    <w:adjustRightInd w:val="0"/>
                    <w:snapToGrid w:val="0"/>
                    <w:spacing w:before="35" w:line="360" w:lineRule="auto"/>
                    <w:jc w:val="center"/>
                    <w:textAlignment w:val="baseline"/>
                    <w:rPr>
                      <w:rFonts w:ascii="宋体" w:hAnsi="宋体" w:cs="宋体"/>
                      <w:b/>
                      <w:bCs/>
                      <w:snapToGrid w:val="0"/>
                      <w:color w:val="auto"/>
                      <w:spacing w:val="2"/>
                      <w:kern w:val="0"/>
                      <w:szCs w:val="21"/>
                      <w:highlight w:val="none"/>
                    </w:rPr>
                  </w:pPr>
                  <w:r>
                    <w:rPr>
                      <w:rFonts w:ascii="宋体" w:hAnsi="宋体" w:cs="宋体" w:hint="eastAsia"/>
                      <w:b/>
                      <w:bCs/>
                      <w:snapToGrid w:val="0"/>
                      <w:color w:val="auto"/>
                      <w:spacing w:val="2"/>
                      <w:kern w:val="0"/>
                      <w:szCs w:val="21"/>
                      <w:highlight w:val="none"/>
                    </w:rPr>
                    <w:t>人数</w:t>
                  </w:r>
                </w:p>
              </w:tc>
              <w:tc>
                <w:tcPr>
                  <w:tcW w:w="4358" w:type="dxa"/>
                  <w:vAlign w:val="center"/>
                </w:tcPr>
                <w:p>
                  <w:pPr>
                    <w:widowControl/>
                    <w:overflowPunct w:val="0"/>
                    <w:autoSpaceDE w:val="0"/>
                    <w:autoSpaceDN w:val="0"/>
                    <w:adjustRightInd w:val="0"/>
                    <w:snapToGrid w:val="0"/>
                    <w:spacing w:before="35" w:line="360" w:lineRule="auto"/>
                    <w:jc w:val="center"/>
                    <w:textAlignment w:val="baseline"/>
                    <w:rPr>
                      <w:rFonts w:ascii="宋体" w:hAnsi="宋体" w:cs="宋体"/>
                      <w:b/>
                      <w:bCs/>
                      <w:snapToGrid w:val="0"/>
                      <w:color w:val="auto"/>
                      <w:spacing w:val="2"/>
                      <w:kern w:val="0"/>
                      <w:szCs w:val="21"/>
                      <w:highlight w:val="none"/>
                      <w:lang w:eastAsia="en-US"/>
                    </w:rPr>
                  </w:pPr>
                  <w:r>
                    <w:rPr>
                      <w:rFonts w:ascii="宋体" w:hAnsi="宋体" w:cs="宋体" w:hint="eastAsia"/>
                      <w:b/>
                      <w:bCs/>
                      <w:snapToGrid w:val="0"/>
                      <w:color w:val="auto"/>
                      <w:spacing w:val="2"/>
                      <w:kern w:val="0"/>
                      <w:szCs w:val="21"/>
                      <w:highlight w:val="none"/>
                    </w:rPr>
                    <w:t>资历、条件要求</w:t>
                  </w:r>
                </w:p>
              </w:tc>
            </w:tr>
            <w:tr>
              <w:tblPrEx>
                <w:tblW w:w="6975" w:type="dxa"/>
                <w:jc w:val="center"/>
                <w:tblLayout w:type="fixed"/>
                <w:tblCellMar>
                  <w:top w:w="0" w:type="dxa"/>
                  <w:left w:w="108" w:type="dxa"/>
                  <w:bottom w:w="0" w:type="dxa"/>
                  <w:right w:w="108" w:type="dxa"/>
                </w:tblCellMar>
              </w:tblPrEx>
              <w:trPr>
                <w:trHeight w:val="1454"/>
                <w:jc w:val="center"/>
              </w:trPr>
              <w:tc>
                <w:tcPr>
                  <w:tcW w:w="996" w:type="dxa"/>
                  <w:vAlign w:val="center"/>
                </w:tcPr>
                <w:p>
                  <w:pPr>
                    <w:overflowPunct w:val="0"/>
                    <w:spacing w:line="360" w:lineRule="auto"/>
                    <w:jc w:val="center"/>
                    <w:rPr>
                      <w:rFonts w:ascii="宋体" w:hAnsi="宋体" w:cs="宋体"/>
                      <w:snapToGrid w:val="0"/>
                      <w:color w:val="auto"/>
                      <w:kern w:val="0"/>
                      <w:szCs w:val="21"/>
                      <w:highlight w:val="none"/>
                    </w:rPr>
                  </w:pPr>
                  <w:r>
                    <w:rPr>
                      <w:rFonts w:ascii="宋体" w:hAnsi="宋体" w:cs="宋体" w:hint="eastAsia"/>
                      <w:b/>
                      <w:bCs/>
                      <w:snapToGrid w:val="0"/>
                      <w:color w:val="auto"/>
                      <w:kern w:val="0"/>
                      <w:szCs w:val="21"/>
                      <w:highlight w:val="none"/>
                    </w:rPr>
                    <w:t>秩序维护部</w:t>
                  </w:r>
                </w:p>
              </w:tc>
              <w:tc>
                <w:tcPr>
                  <w:tcW w:w="849" w:type="dxa"/>
                  <w:vAlign w:val="center"/>
                </w:tcPr>
                <w:p>
                  <w:pPr>
                    <w:widowControl/>
                    <w:overflowPunct w:val="0"/>
                    <w:autoSpaceDE w:val="0"/>
                    <w:autoSpaceDN w:val="0"/>
                    <w:adjustRightInd w:val="0"/>
                    <w:snapToGrid w:val="0"/>
                    <w:spacing w:before="238" w:line="360"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秩序维护人员</w:t>
                  </w:r>
                </w:p>
              </w:tc>
              <w:tc>
                <w:tcPr>
                  <w:tcW w:w="772" w:type="dxa"/>
                  <w:vAlign w:val="center"/>
                </w:tcPr>
                <w:p>
                  <w:pPr>
                    <w:widowControl/>
                    <w:overflowPunct w:val="0"/>
                    <w:autoSpaceDE w:val="0"/>
                    <w:autoSpaceDN w:val="0"/>
                    <w:adjustRightInd w:val="0"/>
                    <w:snapToGrid w:val="0"/>
                    <w:spacing w:before="238" w:line="360"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4人</w:t>
                  </w:r>
                </w:p>
              </w:tc>
              <w:tc>
                <w:tcPr>
                  <w:tcW w:w="4358" w:type="dxa"/>
                </w:tcPr>
                <w:p>
                  <w:pPr>
                    <w:overflowPunct w:val="0"/>
                    <w:spacing w:line="360" w:lineRule="auto"/>
                    <w:jc w:val="left"/>
                    <w:rPr>
                      <w:rFonts w:ascii="宋体" w:hAnsi="宋体" w:cs="宋体"/>
                      <w:color w:val="auto"/>
                      <w:szCs w:val="21"/>
                      <w:highlight w:val="none"/>
                    </w:rPr>
                  </w:pPr>
                  <w:r>
                    <w:rPr>
                      <w:rFonts w:ascii="宋体" w:hAnsi="宋体" w:cs="宋体" w:hint="eastAsia"/>
                      <w:snapToGrid w:val="0"/>
                      <w:color w:val="auto"/>
                      <w:kern w:val="0"/>
                      <w:szCs w:val="21"/>
                      <w:highlight w:val="none"/>
                    </w:rPr>
                    <w:t>50岁以下，持有保安员证优先，经过正规培训，有责任心；身体健康，体检合格。</w:t>
                  </w:r>
                </w:p>
              </w:tc>
            </w:tr>
            <w:tr>
              <w:tblPrEx>
                <w:tblW w:w="6975" w:type="dxa"/>
                <w:jc w:val="center"/>
                <w:tblLayout w:type="fixed"/>
                <w:tblCellMar>
                  <w:top w:w="0" w:type="dxa"/>
                  <w:left w:w="108" w:type="dxa"/>
                  <w:bottom w:w="0" w:type="dxa"/>
                  <w:right w:w="108" w:type="dxa"/>
                </w:tblCellMar>
              </w:tblPrEx>
              <w:trPr>
                <w:trHeight w:val="844"/>
                <w:jc w:val="center"/>
              </w:trPr>
              <w:tc>
                <w:tcPr>
                  <w:tcW w:w="996" w:type="dxa"/>
                  <w:vAlign w:val="center"/>
                </w:tcPr>
                <w:p>
                  <w:pPr>
                    <w:overflowPunct w:val="0"/>
                    <w:spacing w:line="360" w:lineRule="auto"/>
                    <w:jc w:val="center"/>
                    <w:rPr>
                      <w:rFonts w:ascii="宋体" w:hAnsi="宋体" w:cs="宋体"/>
                      <w:snapToGrid w:val="0"/>
                      <w:color w:val="auto"/>
                      <w:kern w:val="0"/>
                      <w:szCs w:val="21"/>
                      <w:highlight w:val="none"/>
                    </w:rPr>
                  </w:pPr>
                  <w:r>
                    <w:rPr>
                      <w:rFonts w:ascii="宋体" w:hAnsi="宋体" w:cs="宋体" w:hint="eastAsia"/>
                      <w:b/>
                      <w:bCs/>
                      <w:snapToGrid w:val="0"/>
                      <w:color w:val="auto"/>
                      <w:spacing w:val="2"/>
                      <w:kern w:val="0"/>
                      <w:szCs w:val="21"/>
                      <w:highlight w:val="none"/>
                    </w:rPr>
                    <w:t>保洁部</w:t>
                  </w:r>
                </w:p>
              </w:tc>
              <w:tc>
                <w:tcPr>
                  <w:tcW w:w="849" w:type="dxa"/>
                  <w:vAlign w:val="center"/>
                </w:tcPr>
                <w:p>
                  <w:pPr>
                    <w:widowControl/>
                    <w:overflowPunct w:val="0"/>
                    <w:autoSpaceDE w:val="0"/>
                    <w:autoSpaceDN w:val="0"/>
                    <w:adjustRightInd w:val="0"/>
                    <w:snapToGrid w:val="0"/>
                    <w:spacing w:before="238" w:line="360"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保洁员</w:t>
                  </w:r>
                </w:p>
              </w:tc>
              <w:tc>
                <w:tcPr>
                  <w:tcW w:w="772" w:type="dxa"/>
                  <w:vAlign w:val="center"/>
                </w:tcPr>
                <w:p>
                  <w:pPr>
                    <w:widowControl/>
                    <w:overflowPunct w:val="0"/>
                    <w:autoSpaceDE w:val="0"/>
                    <w:autoSpaceDN w:val="0"/>
                    <w:adjustRightInd w:val="0"/>
                    <w:snapToGrid w:val="0"/>
                    <w:spacing w:before="238" w:line="360"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2人</w:t>
                  </w:r>
                </w:p>
              </w:tc>
              <w:tc>
                <w:tcPr>
                  <w:tcW w:w="4358" w:type="dxa"/>
                </w:tcPr>
                <w:p>
                  <w:pPr>
                    <w:overflowPunct w:val="0"/>
                    <w:spacing w:line="360" w:lineRule="auto"/>
                    <w:rPr>
                      <w:rFonts w:ascii="宋体" w:hAnsi="宋体" w:cs="宋体"/>
                      <w:color w:val="auto"/>
                      <w:szCs w:val="21"/>
                      <w:highlight w:val="none"/>
                    </w:rPr>
                  </w:pPr>
                  <w:r>
                    <w:rPr>
                      <w:rFonts w:ascii="宋体" w:hAnsi="宋体" w:cs="宋体" w:hint="eastAsia"/>
                      <w:snapToGrid w:val="0"/>
                      <w:color w:val="auto"/>
                      <w:kern w:val="0"/>
                      <w:szCs w:val="21"/>
                      <w:highlight w:val="none"/>
                    </w:rPr>
                    <w:t>年龄50岁以下，具有一年工作经验，责任心强，身体健康，体检合格；具有初中以上文化，能吃苦耐劳。</w:t>
                  </w:r>
                </w:p>
              </w:tc>
            </w:tr>
            <w:tr>
              <w:tblPrEx>
                <w:tblW w:w="6975" w:type="dxa"/>
                <w:jc w:val="center"/>
                <w:tblLayout w:type="fixed"/>
                <w:tblCellMar>
                  <w:top w:w="0" w:type="dxa"/>
                  <w:left w:w="108" w:type="dxa"/>
                  <w:bottom w:w="0" w:type="dxa"/>
                  <w:right w:w="108" w:type="dxa"/>
                </w:tblCellMar>
              </w:tblPrEx>
              <w:trPr>
                <w:trHeight w:val="430"/>
                <w:jc w:val="center"/>
              </w:trPr>
              <w:tc>
                <w:tcPr>
                  <w:tcW w:w="1845" w:type="dxa"/>
                  <w:gridSpan w:val="2"/>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合计</w:t>
                  </w:r>
                </w:p>
              </w:tc>
              <w:tc>
                <w:tcPr>
                  <w:tcW w:w="772" w:type="dxa"/>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6人</w:t>
                  </w:r>
                </w:p>
              </w:tc>
              <w:tc>
                <w:tcPr>
                  <w:tcW w:w="4358" w:type="dxa"/>
                </w:tcPr>
                <w:p>
                  <w:pPr>
                    <w:spacing w:line="400" w:lineRule="exact"/>
                    <w:jc w:val="center"/>
                    <w:rPr>
                      <w:rFonts w:ascii="宋体" w:hAnsi="宋体" w:cs="宋体"/>
                      <w:snapToGrid w:val="0"/>
                      <w:color w:val="auto"/>
                      <w:kern w:val="0"/>
                      <w:szCs w:val="21"/>
                      <w:highlight w:val="none"/>
                    </w:rPr>
                  </w:pPr>
                </w:p>
              </w:tc>
            </w:tr>
          </w:tbl>
          <w:p>
            <w:pPr>
              <w:spacing w:after="120" w:afterLines="50" w:line="360" w:lineRule="auto"/>
              <w:ind w:firstLine="420" w:firstLineChars="200"/>
              <w:rPr>
                <w:rFonts w:ascii="宋体" w:hAnsi="宋体" w:cs="宋体"/>
                <w:color w:val="auto"/>
                <w:szCs w:val="21"/>
                <w:highlight w:val="none"/>
              </w:rPr>
            </w:pPr>
            <w:r>
              <w:rPr>
                <w:rFonts w:ascii="宋体" w:hAnsi="宋体" w:cs="宋体" w:hint="eastAsia"/>
                <w:color w:val="auto"/>
                <w:szCs w:val="21"/>
                <w:highlight w:val="none"/>
              </w:rPr>
              <w:t>（4）屏山大道第三稽查局办公区</w:t>
            </w:r>
          </w:p>
          <w:tbl>
            <w:tblPr>
              <w:tblStyle w:val="TableNormal"/>
              <w:tblW w:w="6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069"/>
              <w:gridCol w:w="800"/>
              <w:gridCol w:w="760"/>
              <w:gridCol w:w="4336"/>
            </w:tblGrid>
            <w:tr>
              <w:tblPrEx>
                <w:tblW w:w="6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58"/>
                <w:jc w:val="center"/>
              </w:trPr>
              <w:tc>
                <w:tcPr>
                  <w:tcW w:w="1069" w:type="dxa"/>
                  <w:vAlign w:val="center"/>
                </w:tcPr>
                <w:p>
                  <w:pPr>
                    <w:widowControl/>
                    <w:overflowPunct w:val="0"/>
                    <w:autoSpaceDE w:val="0"/>
                    <w:autoSpaceDN w:val="0"/>
                    <w:adjustRightInd w:val="0"/>
                    <w:snapToGrid w:val="0"/>
                    <w:spacing w:before="35" w:line="228" w:lineRule="auto"/>
                    <w:jc w:val="center"/>
                    <w:textAlignment w:val="baseline"/>
                    <w:rPr>
                      <w:rFonts w:ascii="宋体" w:hAnsi="宋体" w:cs="宋体"/>
                      <w:b/>
                      <w:bCs/>
                      <w:snapToGrid w:val="0"/>
                      <w:color w:val="auto"/>
                      <w:spacing w:val="2"/>
                      <w:kern w:val="0"/>
                      <w:szCs w:val="21"/>
                      <w:highlight w:val="none"/>
                    </w:rPr>
                  </w:pPr>
                  <w:r>
                    <w:rPr>
                      <w:rFonts w:ascii="宋体" w:hAnsi="宋体" w:cs="宋体" w:hint="eastAsia"/>
                      <w:b/>
                      <w:bCs/>
                      <w:snapToGrid w:val="0"/>
                      <w:color w:val="auto"/>
                      <w:spacing w:val="2"/>
                      <w:kern w:val="0"/>
                      <w:szCs w:val="21"/>
                      <w:highlight w:val="none"/>
                    </w:rPr>
                    <w:t>部门</w:t>
                  </w:r>
                </w:p>
              </w:tc>
              <w:tc>
                <w:tcPr>
                  <w:tcW w:w="800" w:type="dxa"/>
                  <w:vAlign w:val="center"/>
                </w:tcPr>
                <w:p>
                  <w:pPr>
                    <w:widowControl/>
                    <w:overflowPunct w:val="0"/>
                    <w:autoSpaceDE w:val="0"/>
                    <w:autoSpaceDN w:val="0"/>
                    <w:adjustRightInd w:val="0"/>
                    <w:snapToGrid w:val="0"/>
                    <w:spacing w:before="35" w:line="228" w:lineRule="auto"/>
                    <w:jc w:val="center"/>
                    <w:textAlignment w:val="baseline"/>
                    <w:rPr>
                      <w:rFonts w:ascii="宋体" w:hAnsi="宋体" w:cs="宋体"/>
                      <w:b/>
                      <w:bCs/>
                      <w:snapToGrid w:val="0"/>
                      <w:color w:val="auto"/>
                      <w:spacing w:val="2"/>
                      <w:kern w:val="0"/>
                      <w:szCs w:val="21"/>
                      <w:highlight w:val="none"/>
                    </w:rPr>
                  </w:pPr>
                  <w:r>
                    <w:rPr>
                      <w:rFonts w:ascii="宋体" w:hAnsi="宋体" w:cs="宋体" w:hint="eastAsia"/>
                      <w:b/>
                      <w:bCs/>
                      <w:snapToGrid w:val="0"/>
                      <w:color w:val="auto"/>
                      <w:spacing w:val="2"/>
                      <w:kern w:val="0"/>
                      <w:szCs w:val="21"/>
                      <w:highlight w:val="none"/>
                    </w:rPr>
                    <w:t>岗位</w:t>
                  </w:r>
                </w:p>
              </w:tc>
              <w:tc>
                <w:tcPr>
                  <w:tcW w:w="760" w:type="dxa"/>
                  <w:vAlign w:val="center"/>
                </w:tcPr>
                <w:p>
                  <w:pPr>
                    <w:widowControl/>
                    <w:overflowPunct w:val="0"/>
                    <w:autoSpaceDE w:val="0"/>
                    <w:autoSpaceDN w:val="0"/>
                    <w:adjustRightInd w:val="0"/>
                    <w:snapToGrid w:val="0"/>
                    <w:spacing w:before="35" w:line="228" w:lineRule="auto"/>
                    <w:jc w:val="center"/>
                    <w:textAlignment w:val="baseline"/>
                    <w:rPr>
                      <w:rFonts w:ascii="宋体" w:hAnsi="宋体" w:cs="宋体"/>
                      <w:b/>
                      <w:bCs/>
                      <w:snapToGrid w:val="0"/>
                      <w:color w:val="auto"/>
                      <w:spacing w:val="2"/>
                      <w:kern w:val="0"/>
                      <w:szCs w:val="21"/>
                      <w:highlight w:val="none"/>
                    </w:rPr>
                  </w:pPr>
                  <w:r>
                    <w:rPr>
                      <w:rFonts w:ascii="宋体" w:hAnsi="宋体" w:cs="宋体" w:hint="eastAsia"/>
                      <w:b/>
                      <w:bCs/>
                      <w:snapToGrid w:val="0"/>
                      <w:color w:val="auto"/>
                      <w:spacing w:val="2"/>
                      <w:kern w:val="0"/>
                      <w:szCs w:val="21"/>
                      <w:highlight w:val="none"/>
                    </w:rPr>
                    <w:t>人数</w:t>
                  </w:r>
                </w:p>
              </w:tc>
              <w:tc>
                <w:tcPr>
                  <w:tcW w:w="4336" w:type="dxa"/>
                  <w:vAlign w:val="center"/>
                </w:tcPr>
                <w:p>
                  <w:pPr>
                    <w:widowControl/>
                    <w:overflowPunct w:val="0"/>
                    <w:autoSpaceDE w:val="0"/>
                    <w:autoSpaceDN w:val="0"/>
                    <w:adjustRightInd w:val="0"/>
                    <w:snapToGrid w:val="0"/>
                    <w:spacing w:before="35" w:line="228" w:lineRule="auto"/>
                    <w:jc w:val="center"/>
                    <w:textAlignment w:val="baseline"/>
                    <w:rPr>
                      <w:rFonts w:ascii="宋体" w:hAnsi="宋体" w:cs="宋体"/>
                      <w:b/>
                      <w:bCs/>
                      <w:snapToGrid w:val="0"/>
                      <w:color w:val="auto"/>
                      <w:spacing w:val="2"/>
                      <w:kern w:val="0"/>
                      <w:szCs w:val="21"/>
                      <w:highlight w:val="none"/>
                      <w:lang w:eastAsia="en-US"/>
                    </w:rPr>
                  </w:pPr>
                  <w:r>
                    <w:rPr>
                      <w:rFonts w:ascii="宋体" w:hAnsi="宋体" w:cs="宋体" w:hint="eastAsia"/>
                      <w:b/>
                      <w:bCs/>
                      <w:snapToGrid w:val="0"/>
                      <w:color w:val="auto"/>
                      <w:spacing w:val="2"/>
                      <w:kern w:val="0"/>
                      <w:szCs w:val="21"/>
                      <w:highlight w:val="none"/>
                    </w:rPr>
                    <w:t>资历、条件要求</w:t>
                  </w:r>
                </w:p>
              </w:tc>
            </w:tr>
            <w:tr>
              <w:tblPrEx>
                <w:tblW w:w="6965" w:type="dxa"/>
                <w:jc w:val="center"/>
                <w:tblLayout w:type="fixed"/>
                <w:tblCellMar>
                  <w:top w:w="0" w:type="dxa"/>
                  <w:left w:w="108" w:type="dxa"/>
                  <w:bottom w:w="0" w:type="dxa"/>
                  <w:right w:w="108" w:type="dxa"/>
                </w:tblCellMar>
              </w:tblPrEx>
              <w:trPr>
                <w:trHeight w:val="1465"/>
                <w:jc w:val="center"/>
              </w:trPr>
              <w:tc>
                <w:tcPr>
                  <w:tcW w:w="1069" w:type="dxa"/>
                  <w:vAlign w:val="center"/>
                </w:tcPr>
                <w:p>
                  <w:pPr>
                    <w:overflowPunct w:val="0"/>
                    <w:spacing w:line="440" w:lineRule="exact"/>
                    <w:jc w:val="center"/>
                    <w:rPr>
                      <w:rFonts w:ascii="宋体" w:hAnsi="宋体" w:cs="宋体"/>
                      <w:snapToGrid w:val="0"/>
                      <w:color w:val="auto"/>
                      <w:kern w:val="0"/>
                      <w:szCs w:val="21"/>
                      <w:highlight w:val="none"/>
                    </w:rPr>
                  </w:pPr>
                  <w:r>
                    <w:rPr>
                      <w:rFonts w:ascii="宋体" w:hAnsi="宋体" w:cs="宋体" w:hint="eastAsia"/>
                      <w:b/>
                      <w:bCs/>
                      <w:snapToGrid w:val="0"/>
                      <w:color w:val="auto"/>
                      <w:spacing w:val="2"/>
                      <w:kern w:val="0"/>
                      <w:szCs w:val="21"/>
                      <w:highlight w:val="none"/>
                    </w:rPr>
                    <w:t>项目管理部</w:t>
                  </w:r>
                </w:p>
              </w:tc>
              <w:tc>
                <w:tcPr>
                  <w:tcW w:w="800" w:type="dxa"/>
                  <w:vAlign w:val="center"/>
                </w:tcPr>
                <w:p>
                  <w:pPr>
                    <w:widowControl/>
                    <w:overflowPunct w:val="0"/>
                    <w:autoSpaceDE w:val="0"/>
                    <w:autoSpaceDN w:val="0"/>
                    <w:adjustRightInd w:val="0"/>
                    <w:snapToGrid w:val="0"/>
                    <w:spacing w:before="238" w:line="360"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项目经理</w:t>
                  </w:r>
                </w:p>
              </w:tc>
              <w:tc>
                <w:tcPr>
                  <w:tcW w:w="760" w:type="dxa"/>
                  <w:vAlign w:val="center"/>
                </w:tcPr>
                <w:p>
                  <w:pPr>
                    <w:widowControl/>
                    <w:overflowPunct w:val="0"/>
                    <w:autoSpaceDE w:val="0"/>
                    <w:autoSpaceDN w:val="0"/>
                    <w:adjustRightInd w:val="0"/>
                    <w:snapToGrid w:val="0"/>
                    <w:spacing w:before="238" w:line="360"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1人</w:t>
                  </w:r>
                </w:p>
              </w:tc>
              <w:tc>
                <w:tcPr>
                  <w:tcW w:w="4336" w:type="dxa"/>
                </w:tcPr>
                <w:p>
                  <w:pPr>
                    <w:overflowPunct w:val="0"/>
                    <w:spacing w:line="440" w:lineRule="exact"/>
                    <w:jc w:val="left"/>
                    <w:rPr>
                      <w:rFonts w:ascii="宋体" w:hAnsi="宋体" w:cs="宋体"/>
                      <w:color w:val="auto"/>
                      <w:szCs w:val="21"/>
                      <w:highlight w:val="none"/>
                    </w:rPr>
                  </w:pPr>
                  <w:r>
                    <w:rPr>
                      <w:rFonts w:ascii="宋体" w:hAnsi="宋体" w:cs="宋体" w:hint="eastAsia"/>
                      <w:snapToGrid w:val="0"/>
                      <w:color w:val="auto"/>
                      <w:kern w:val="0"/>
                      <w:szCs w:val="21"/>
                      <w:highlight w:val="none"/>
                    </w:rPr>
                    <w:t>男女不限，55岁以下；有三年项目经理任职经验，具有大专学历，物业管理专业技能熟练，有较强的组织管理能力、协调能力，身体健康，体检合格。</w:t>
                  </w:r>
                </w:p>
              </w:tc>
            </w:tr>
            <w:tr>
              <w:tblPrEx>
                <w:tblW w:w="6965" w:type="dxa"/>
                <w:jc w:val="center"/>
                <w:tblLayout w:type="fixed"/>
                <w:tblCellMar>
                  <w:top w:w="0" w:type="dxa"/>
                  <w:left w:w="108" w:type="dxa"/>
                  <w:bottom w:w="0" w:type="dxa"/>
                  <w:right w:w="108" w:type="dxa"/>
                </w:tblCellMar>
              </w:tblPrEx>
              <w:trPr>
                <w:trHeight w:val="800"/>
                <w:jc w:val="center"/>
              </w:trPr>
              <w:tc>
                <w:tcPr>
                  <w:tcW w:w="1069" w:type="dxa"/>
                  <w:vAlign w:val="center"/>
                </w:tcPr>
                <w:p>
                  <w:pPr>
                    <w:overflowPunct w:val="0"/>
                    <w:spacing w:line="440" w:lineRule="exact"/>
                    <w:jc w:val="center"/>
                    <w:rPr>
                      <w:rFonts w:ascii="宋体" w:hAnsi="宋体" w:cs="宋体"/>
                      <w:snapToGrid w:val="0"/>
                      <w:color w:val="auto"/>
                      <w:kern w:val="0"/>
                      <w:szCs w:val="21"/>
                      <w:highlight w:val="none"/>
                    </w:rPr>
                  </w:pPr>
                  <w:r>
                    <w:rPr>
                      <w:rFonts w:ascii="宋体" w:hAnsi="宋体" w:cs="宋体" w:hint="eastAsia"/>
                      <w:b/>
                      <w:bCs/>
                      <w:snapToGrid w:val="0"/>
                      <w:color w:val="auto"/>
                      <w:spacing w:val="2"/>
                      <w:kern w:val="0"/>
                      <w:szCs w:val="21"/>
                      <w:highlight w:val="none"/>
                    </w:rPr>
                    <w:t>工程部</w:t>
                  </w:r>
                </w:p>
              </w:tc>
              <w:tc>
                <w:tcPr>
                  <w:tcW w:w="800" w:type="dxa"/>
                  <w:vAlign w:val="center"/>
                </w:tcPr>
                <w:p>
                  <w:pPr>
                    <w:widowControl/>
                    <w:overflowPunct w:val="0"/>
                    <w:autoSpaceDE w:val="0"/>
                    <w:autoSpaceDN w:val="0"/>
                    <w:adjustRightInd w:val="0"/>
                    <w:snapToGrid w:val="0"/>
                    <w:spacing w:before="238" w:line="360"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工程维护员</w:t>
                  </w:r>
                </w:p>
              </w:tc>
              <w:tc>
                <w:tcPr>
                  <w:tcW w:w="760" w:type="dxa"/>
                  <w:vAlign w:val="center"/>
                </w:tcPr>
                <w:p>
                  <w:pPr>
                    <w:widowControl/>
                    <w:overflowPunct w:val="0"/>
                    <w:autoSpaceDE w:val="0"/>
                    <w:autoSpaceDN w:val="0"/>
                    <w:adjustRightInd w:val="0"/>
                    <w:snapToGrid w:val="0"/>
                    <w:spacing w:before="238" w:line="360"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1人</w:t>
                  </w:r>
                </w:p>
              </w:tc>
              <w:tc>
                <w:tcPr>
                  <w:tcW w:w="4336" w:type="dxa"/>
                </w:tcPr>
                <w:p>
                  <w:pPr>
                    <w:overflowPunct w:val="0"/>
                    <w:spacing w:line="440" w:lineRule="exact"/>
                    <w:rPr>
                      <w:rFonts w:ascii="宋体" w:hAnsi="宋体" w:cs="宋体"/>
                      <w:color w:val="auto"/>
                      <w:szCs w:val="21"/>
                      <w:highlight w:val="none"/>
                    </w:rPr>
                  </w:pPr>
                  <w:r>
                    <w:rPr>
                      <w:rFonts w:ascii="宋体" w:hAnsi="宋体" w:cs="宋体" w:hint="eastAsia"/>
                      <w:snapToGrid w:val="0"/>
                      <w:color w:val="auto"/>
                      <w:kern w:val="0"/>
                      <w:szCs w:val="21"/>
                      <w:highlight w:val="none"/>
                    </w:rPr>
                    <w:t>男性，年龄55岁以下，身体健康，体检合格，持电工证上岗。</w:t>
                  </w:r>
                </w:p>
              </w:tc>
            </w:tr>
            <w:tr>
              <w:tblPrEx>
                <w:tblW w:w="6965" w:type="dxa"/>
                <w:jc w:val="center"/>
                <w:tblLayout w:type="fixed"/>
                <w:tblCellMar>
                  <w:top w:w="0" w:type="dxa"/>
                  <w:left w:w="108" w:type="dxa"/>
                  <w:bottom w:w="0" w:type="dxa"/>
                  <w:right w:w="108" w:type="dxa"/>
                </w:tblCellMar>
              </w:tblPrEx>
              <w:trPr>
                <w:trHeight w:val="800"/>
                <w:jc w:val="center"/>
              </w:trPr>
              <w:tc>
                <w:tcPr>
                  <w:tcW w:w="1069" w:type="dxa"/>
                  <w:vAlign w:val="center"/>
                </w:tcPr>
                <w:p>
                  <w:pPr>
                    <w:overflowPunct w:val="0"/>
                    <w:spacing w:line="440" w:lineRule="exact"/>
                    <w:jc w:val="center"/>
                    <w:rPr>
                      <w:rFonts w:ascii="宋体" w:hAnsi="宋体" w:cs="宋体"/>
                      <w:b/>
                      <w:bCs/>
                      <w:snapToGrid w:val="0"/>
                      <w:color w:val="auto"/>
                      <w:spacing w:val="2"/>
                      <w:kern w:val="0"/>
                      <w:szCs w:val="21"/>
                      <w:highlight w:val="none"/>
                    </w:rPr>
                  </w:pPr>
                  <w:r>
                    <w:rPr>
                      <w:rFonts w:ascii="宋体" w:hAnsi="宋体" w:cs="宋体" w:hint="eastAsia"/>
                      <w:b/>
                      <w:bCs/>
                      <w:snapToGrid w:val="0"/>
                      <w:color w:val="auto"/>
                      <w:kern w:val="0"/>
                      <w:szCs w:val="21"/>
                      <w:highlight w:val="none"/>
                    </w:rPr>
                    <w:t>秩序维护部</w:t>
                  </w:r>
                </w:p>
              </w:tc>
              <w:tc>
                <w:tcPr>
                  <w:tcW w:w="800" w:type="dxa"/>
                  <w:vAlign w:val="center"/>
                </w:tcPr>
                <w:p>
                  <w:pPr>
                    <w:widowControl/>
                    <w:overflowPunct w:val="0"/>
                    <w:autoSpaceDE w:val="0"/>
                    <w:autoSpaceDN w:val="0"/>
                    <w:adjustRightInd w:val="0"/>
                    <w:snapToGrid w:val="0"/>
                    <w:spacing w:before="238" w:line="360"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秩序维护人员</w:t>
                  </w:r>
                </w:p>
              </w:tc>
              <w:tc>
                <w:tcPr>
                  <w:tcW w:w="760" w:type="dxa"/>
                  <w:vAlign w:val="center"/>
                </w:tcPr>
                <w:p>
                  <w:pPr>
                    <w:widowControl/>
                    <w:overflowPunct w:val="0"/>
                    <w:autoSpaceDE w:val="0"/>
                    <w:autoSpaceDN w:val="0"/>
                    <w:adjustRightInd w:val="0"/>
                    <w:snapToGrid w:val="0"/>
                    <w:spacing w:before="238" w:line="360"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4人</w:t>
                  </w:r>
                </w:p>
              </w:tc>
              <w:tc>
                <w:tcPr>
                  <w:tcW w:w="4336" w:type="dxa"/>
                </w:tcPr>
                <w:p>
                  <w:pPr>
                    <w:overflowPunct w:val="0"/>
                    <w:spacing w:line="440" w:lineRule="exact"/>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50岁以下，持有保安员证优先，经过正规培训，有责任心；身体健康，体检合格。</w:t>
                  </w:r>
                </w:p>
              </w:tc>
            </w:tr>
            <w:tr>
              <w:tblPrEx>
                <w:tblW w:w="6965" w:type="dxa"/>
                <w:jc w:val="center"/>
                <w:tblLayout w:type="fixed"/>
                <w:tblCellMar>
                  <w:top w:w="0" w:type="dxa"/>
                  <w:left w:w="108" w:type="dxa"/>
                  <w:bottom w:w="0" w:type="dxa"/>
                  <w:right w:w="108" w:type="dxa"/>
                </w:tblCellMar>
              </w:tblPrEx>
              <w:trPr>
                <w:trHeight w:val="800"/>
                <w:jc w:val="center"/>
              </w:trPr>
              <w:tc>
                <w:tcPr>
                  <w:tcW w:w="1069" w:type="dxa"/>
                  <w:vAlign w:val="center"/>
                </w:tcPr>
                <w:p>
                  <w:pPr>
                    <w:overflowPunct w:val="0"/>
                    <w:spacing w:line="440" w:lineRule="exact"/>
                    <w:jc w:val="center"/>
                    <w:rPr>
                      <w:rFonts w:ascii="宋体" w:hAnsi="宋体" w:cs="宋体"/>
                      <w:b/>
                      <w:bCs/>
                      <w:snapToGrid w:val="0"/>
                      <w:color w:val="auto"/>
                      <w:spacing w:val="2"/>
                      <w:kern w:val="0"/>
                      <w:szCs w:val="21"/>
                      <w:highlight w:val="none"/>
                    </w:rPr>
                  </w:pPr>
                  <w:r>
                    <w:rPr>
                      <w:rFonts w:ascii="宋体" w:hAnsi="宋体" w:cs="宋体" w:hint="eastAsia"/>
                      <w:b/>
                      <w:bCs/>
                      <w:snapToGrid w:val="0"/>
                      <w:color w:val="auto"/>
                      <w:spacing w:val="2"/>
                      <w:kern w:val="0"/>
                      <w:szCs w:val="21"/>
                      <w:highlight w:val="none"/>
                    </w:rPr>
                    <w:t>保洁部</w:t>
                  </w:r>
                </w:p>
              </w:tc>
              <w:tc>
                <w:tcPr>
                  <w:tcW w:w="800" w:type="dxa"/>
                  <w:vAlign w:val="center"/>
                </w:tcPr>
                <w:p>
                  <w:pPr>
                    <w:widowControl/>
                    <w:overflowPunct w:val="0"/>
                    <w:autoSpaceDE w:val="0"/>
                    <w:autoSpaceDN w:val="0"/>
                    <w:adjustRightInd w:val="0"/>
                    <w:snapToGrid w:val="0"/>
                    <w:spacing w:before="238" w:line="360"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保洁员</w:t>
                  </w:r>
                </w:p>
              </w:tc>
              <w:tc>
                <w:tcPr>
                  <w:tcW w:w="760" w:type="dxa"/>
                  <w:vAlign w:val="center"/>
                </w:tcPr>
                <w:p>
                  <w:pPr>
                    <w:widowControl/>
                    <w:overflowPunct w:val="0"/>
                    <w:autoSpaceDE w:val="0"/>
                    <w:autoSpaceDN w:val="0"/>
                    <w:adjustRightInd w:val="0"/>
                    <w:snapToGrid w:val="0"/>
                    <w:spacing w:before="238" w:line="360" w:lineRule="auto"/>
                    <w:jc w:val="center"/>
                    <w:textAlignment w:val="baseline"/>
                    <w:rPr>
                      <w:rFonts w:ascii="宋体" w:hAnsi="宋体" w:cs="宋体"/>
                      <w:snapToGrid w:val="0"/>
                      <w:color w:val="auto"/>
                      <w:spacing w:val="7"/>
                      <w:kern w:val="0"/>
                      <w:szCs w:val="21"/>
                      <w:highlight w:val="none"/>
                    </w:rPr>
                  </w:pPr>
                  <w:r>
                    <w:rPr>
                      <w:rFonts w:ascii="宋体" w:hAnsi="宋体" w:cs="宋体" w:hint="eastAsia"/>
                      <w:snapToGrid w:val="0"/>
                      <w:color w:val="auto"/>
                      <w:spacing w:val="7"/>
                      <w:kern w:val="0"/>
                      <w:szCs w:val="21"/>
                      <w:highlight w:val="none"/>
                    </w:rPr>
                    <w:t>2人</w:t>
                  </w:r>
                </w:p>
              </w:tc>
              <w:tc>
                <w:tcPr>
                  <w:tcW w:w="4336" w:type="dxa"/>
                </w:tcPr>
                <w:p>
                  <w:pPr>
                    <w:overflowPunct w:val="0"/>
                    <w:spacing w:line="440" w:lineRule="exact"/>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年龄50岁以下，具有一年工作经验，责任心强，身体健康，体检合格；具有初中以上文化，能吃苦耐劳。</w:t>
                  </w:r>
                </w:p>
              </w:tc>
            </w:tr>
            <w:tr>
              <w:tblPrEx>
                <w:tblW w:w="6965" w:type="dxa"/>
                <w:jc w:val="center"/>
                <w:tblLayout w:type="fixed"/>
                <w:tblCellMar>
                  <w:top w:w="0" w:type="dxa"/>
                  <w:left w:w="108" w:type="dxa"/>
                  <w:bottom w:w="0" w:type="dxa"/>
                  <w:right w:w="108" w:type="dxa"/>
                </w:tblCellMar>
              </w:tblPrEx>
              <w:trPr>
                <w:trHeight w:val="449"/>
                <w:jc w:val="center"/>
              </w:trPr>
              <w:tc>
                <w:tcPr>
                  <w:tcW w:w="1869" w:type="dxa"/>
                  <w:gridSpan w:val="2"/>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合计</w:t>
                  </w:r>
                </w:p>
              </w:tc>
              <w:tc>
                <w:tcPr>
                  <w:tcW w:w="760" w:type="dxa"/>
                  <w:vAlign w:val="center"/>
                </w:tcPr>
                <w:p>
                  <w:pPr>
                    <w:spacing w:line="400" w:lineRule="exact"/>
                    <w:jc w:val="center"/>
                    <w:rPr>
                      <w:rFonts w:ascii="宋体" w:hAnsi="宋体" w:cs="宋体"/>
                      <w:snapToGrid w:val="0"/>
                      <w:color w:val="auto"/>
                      <w:kern w:val="0"/>
                      <w:szCs w:val="21"/>
                      <w:highlight w:val="none"/>
                    </w:rPr>
                  </w:pPr>
                  <w:r>
                    <w:rPr>
                      <w:rFonts w:ascii="宋体" w:hAnsi="宋体" w:cs="宋体" w:hint="eastAsia"/>
                      <w:snapToGrid w:val="0"/>
                      <w:color w:val="auto"/>
                      <w:kern w:val="0"/>
                      <w:szCs w:val="21"/>
                      <w:highlight w:val="none"/>
                    </w:rPr>
                    <w:t>8人</w:t>
                  </w:r>
                </w:p>
              </w:tc>
              <w:tc>
                <w:tcPr>
                  <w:tcW w:w="4336" w:type="dxa"/>
                </w:tcPr>
                <w:p>
                  <w:pPr>
                    <w:spacing w:line="400" w:lineRule="exact"/>
                    <w:jc w:val="center"/>
                    <w:rPr>
                      <w:rFonts w:ascii="宋体" w:hAnsi="宋体" w:cs="宋体"/>
                      <w:snapToGrid w:val="0"/>
                      <w:color w:val="auto"/>
                      <w:kern w:val="0"/>
                      <w:szCs w:val="21"/>
                      <w:highlight w:val="none"/>
                    </w:rPr>
                  </w:pPr>
                </w:p>
              </w:tc>
            </w:tr>
          </w:tbl>
          <w:p>
            <w:pPr>
              <w:widowControl/>
              <w:wordWrap w:val="0"/>
              <w:autoSpaceDE w:val="0"/>
              <w:autoSpaceDN w:val="0"/>
              <w:adjustRightInd w:val="0"/>
              <w:snapToGrid w:val="0"/>
              <w:spacing w:line="360" w:lineRule="auto"/>
              <w:ind w:firstLine="420" w:firstLineChars="200"/>
              <w:jc w:val="left"/>
              <w:textAlignment w:val="baseline"/>
              <w:rPr>
                <w:rFonts w:ascii="宋体" w:hAnsi="宋体" w:cs="宋体"/>
                <w:b/>
                <w:bCs/>
                <w:snapToGrid w:val="0"/>
                <w:color w:val="auto"/>
                <w:spacing w:val="8"/>
                <w:kern w:val="0"/>
                <w:szCs w:val="21"/>
                <w:highlight w:val="none"/>
              </w:rPr>
            </w:pPr>
            <w:r>
              <w:rPr>
                <w:rFonts w:ascii="宋体" w:hAnsi="宋体" w:cs="宋体" w:hint="eastAsia"/>
                <w:b/>
                <w:bCs/>
                <w:snapToGrid w:val="0"/>
                <w:color w:val="auto"/>
                <w:spacing w:val="8"/>
                <w:kern w:val="0"/>
                <w:szCs w:val="21"/>
                <w:highlight w:val="none"/>
              </w:rPr>
              <w:t>（六）物业管理服务条件保障</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潭中东路26号办公区条件保障：采购人配备物业管理服务办公室1间，位于潭中东路26号办公</w:t>
            </w:r>
            <w:r>
              <w:rPr>
                <w:rFonts w:ascii="宋体" w:hAnsi="宋体" w:cs="宋体" w:hint="eastAsia"/>
                <w:snapToGrid w:val="0"/>
                <w:color w:val="auto"/>
                <w:spacing w:val="7"/>
                <w:kern w:val="0"/>
                <w:szCs w:val="21"/>
                <w:highlight w:val="none"/>
              </w:rPr>
              <w:t>楼4楼</w:t>
            </w:r>
            <w:r>
              <w:rPr>
                <w:rFonts w:ascii="宋体" w:hAnsi="宋体" w:cs="宋体" w:hint="eastAsia"/>
                <w:snapToGrid w:val="0"/>
                <w:color w:val="auto"/>
                <w:spacing w:val="11"/>
                <w:kern w:val="0"/>
                <w:szCs w:val="21"/>
                <w:highlight w:val="none"/>
              </w:rPr>
              <w:t>；工程部办公室一间，位于潭中东路26号办公楼负一楼；绿化工具室一间，位于潭中东路26号办公楼负一楼</w:t>
            </w:r>
            <w:r>
              <w:rPr>
                <w:rFonts w:ascii="宋体" w:hAnsi="宋体" w:cs="宋体" w:hint="eastAsia"/>
                <w:snapToGrid w:val="0"/>
                <w:color w:val="auto"/>
                <w:kern w:val="0"/>
                <w:szCs w:val="21"/>
                <w:highlight w:val="none"/>
              </w:rPr>
              <w:t>。</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潭中东路14号办公区条件保障：采购人配备物业管理服务办公室1间，位于潭中东路14号附楼2楼</w:t>
            </w:r>
            <w:r>
              <w:rPr>
                <w:rFonts w:ascii="宋体" w:hAnsi="宋体" w:cs="宋体" w:hint="eastAsia"/>
                <w:snapToGrid w:val="0"/>
                <w:color w:val="auto"/>
                <w:kern w:val="0"/>
                <w:szCs w:val="21"/>
                <w:highlight w:val="none"/>
              </w:rPr>
              <w:t>。</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b/>
                <w:bCs/>
                <w:snapToGrid w:val="0"/>
                <w:color w:val="auto"/>
                <w:spacing w:val="7"/>
                <w:kern w:val="0"/>
                <w:szCs w:val="21"/>
                <w:highlight w:val="none"/>
              </w:rPr>
              <w:t>（七）物业管理服务考核办法</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9"/>
                <w:kern w:val="0"/>
                <w:szCs w:val="21"/>
                <w:highlight w:val="none"/>
              </w:rPr>
              <w:t>（本办法所称的“以上”、“以下”、“内”、“以内”，包</w:t>
            </w:r>
            <w:r>
              <w:rPr>
                <w:rFonts w:ascii="宋体" w:hAnsi="宋体" w:cs="宋体" w:hint="eastAsia"/>
                <w:snapToGrid w:val="0"/>
                <w:color w:val="auto"/>
                <w:spacing w:val="8"/>
                <w:kern w:val="0"/>
                <w:szCs w:val="21"/>
                <w:highlight w:val="none"/>
              </w:rPr>
              <w:t>括本数；所称的“不足”，</w:t>
            </w:r>
            <w:r>
              <w:rPr>
                <w:rFonts w:ascii="宋体" w:hAnsi="宋体" w:cs="宋体" w:hint="eastAsia"/>
                <w:snapToGrid w:val="0"/>
                <w:color w:val="auto"/>
                <w:spacing w:val="19"/>
                <w:kern w:val="0"/>
                <w:szCs w:val="21"/>
                <w:highlight w:val="none"/>
              </w:rPr>
              <w:t>不包括本数）</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1、采购人采取每月定期（详见附件一：物业服务月度考核评分表）及不定</w:t>
            </w:r>
            <w:r>
              <w:rPr>
                <w:rFonts w:ascii="宋体" w:hAnsi="宋体" w:cs="宋体" w:hint="eastAsia"/>
                <w:snapToGrid w:val="0"/>
                <w:color w:val="auto"/>
                <w:spacing w:val="7"/>
                <w:kern w:val="0"/>
                <w:szCs w:val="21"/>
                <w:highlight w:val="none"/>
              </w:rPr>
              <w:t>期（详见附件二：物</w:t>
            </w:r>
            <w:r>
              <w:rPr>
                <w:rFonts w:ascii="宋体" w:hAnsi="宋体" w:cs="宋体" w:hint="eastAsia"/>
                <w:snapToGrid w:val="0"/>
                <w:color w:val="auto"/>
                <w:spacing w:val="9"/>
                <w:kern w:val="0"/>
                <w:szCs w:val="21"/>
                <w:highlight w:val="none"/>
              </w:rPr>
              <w:t>业服务日常工作考核评分表）方式对中标人进行考核。</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3"/>
                <w:kern w:val="0"/>
                <w:szCs w:val="21"/>
                <w:highlight w:val="none"/>
              </w:rPr>
              <w:t>2、采购人于每月末最后一个工作日对本月物业服务进行定期考核，考核结论分“优”、“良”、</w:t>
            </w:r>
            <w:r>
              <w:rPr>
                <w:rFonts w:ascii="宋体" w:hAnsi="宋体" w:cs="宋体" w:hint="eastAsia"/>
                <w:snapToGrid w:val="0"/>
                <w:color w:val="auto"/>
                <w:spacing w:val="5"/>
                <w:kern w:val="0"/>
                <w:szCs w:val="21"/>
                <w:highlight w:val="none"/>
              </w:rPr>
              <w:t>“中”、“差”四档。其中：“优”为总分达95分以上，“良”为总分在90分以上不足95分，</w:t>
            </w:r>
            <w:r>
              <w:rPr>
                <w:rFonts w:ascii="宋体" w:hAnsi="宋体" w:cs="宋体" w:hint="eastAsia"/>
                <w:snapToGrid w:val="0"/>
                <w:color w:val="auto"/>
                <w:spacing w:val="4"/>
                <w:kern w:val="0"/>
                <w:szCs w:val="21"/>
                <w:highlight w:val="none"/>
              </w:rPr>
              <w:t>“中”为总分在85分以上不足90分，“差”为总分不足</w:t>
            </w:r>
            <w:r>
              <w:rPr>
                <w:rFonts w:ascii="宋体" w:hAnsi="宋体" w:cs="宋体" w:hint="eastAsia"/>
                <w:snapToGrid w:val="0"/>
                <w:color w:val="auto"/>
                <w:spacing w:val="3"/>
                <w:kern w:val="0"/>
                <w:szCs w:val="21"/>
                <w:highlight w:val="none"/>
              </w:rPr>
              <w:t>85分。</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考核结论为“优”的，不扣所属月份的物业服务费用；考核结论为“良”的，扣所属月份应付</w:t>
            </w:r>
            <w:r>
              <w:rPr>
                <w:rFonts w:ascii="宋体" w:hAnsi="宋体" w:cs="宋体" w:hint="eastAsia"/>
                <w:snapToGrid w:val="0"/>
                <w:color w:val="auto"/>
                <w:spacing w:val="4"/>
                <w:kern w:val="0"/>
                <w:szCs w:val="21"/>
                <w:highlight w:val="none"/>
              </w:rPr>
              <w:t>物业服务费的1%（取整到元</w:t>
            </w:r>
            <w:r>
              <w:rPr>
                <w:rFonts w:ascii="宋体" w:hAnsi="宋体" w:cs="宋体" w:hint="eastAsia"/>
                <w:snapToGrid w:val="0"/>
                <w:color w:val="auto"/>
                <w:spacing w:val="-50"/>
                <w:w w:val="93"/>
                <w:kern w:val="0"/>
                <w:szCs w:val="21"/>
                <w:highlight w:val="none"/>
              </w:rPr>
              <w:t>）；</w:t>
            </w:r>
            <w:r>
              <w:rPr>
                <w:rFonts w:ascii="宋体" w:hAnsi="宋体" w:cs="宋体" w:hint="eastAsia"/>
                <w:snapToGrid w:val="0"/>
                <w:color w:val="auto"/>
                <w:spacing w:val="4"/>
                <w:kern w:val="0"/>
                <w:szCs w:val="21"/>
                <w:highlight w:val="none"/>
              </w:rPr>
              <w:t>考核结论为“中”的，扣所属月份应付物业</w:t>
            </w:r>
            <w:r>
              <w:rPr>
                <w:rFonts w:ascii="宋体" w:hAnsi="宋体" w:cs="宋体" w:hint="eastAsia"/>
                <w:snapToGrid w:val="0"/>
                <w:color w:val="auto"/>
                <w:spacing w:val="3"/>
                <w:kern w:val="0"/>
                <w:szCs w:val="21"/>
                <w:highlight w:val="none"/>
              </w:rPr>
              <w:t>服务费的2%（取整到元</w:t>
            </w:r>
            <w:r>
              <w:rPr>
                <w:rFonts w:ascii="宋体" w:hAnsi="宋体" w:cs="宋体" w:hint="eastAsia"/>
                <w:snapToGrid w:val="0"/>
                <w:color w:val="auto"/>
                <w:spacing w:val="-50"/>
                <w:w w:val="93"/>
                <w:kern w:val="0"/>
                <w:szCs w:val="21"/>
                <w:highlight w:val="none"/>
              </w:rPr>
              <w:t>）；</w:t>
            </w:r>
            <w:r>
              <w:rPr>
                <w:rFonts w:ascii="宋体" w:hAnsi="宋体" w:cs="宋体" w:hint="eastAsia"/>
                <w:snapToGrid w:val="0"/>
                <w:color w:val="auto"/>
                <w:spacing w:val="6"/>
                <w:kern w:val="0"/>
                <w:szCs w:val="21"/>
                <w:highlight w:val="none"/>
              </w:rPr>
              <w:t>考核结论为“差”的，扣所属月份应付物业服务费的5%（取整到元</w:t>
            </w:r>
            <w:r>
              <w:rPr>
                <w:rFonts w:ascii="宋体" w:hAnsi="宋体" w:cs="宋体" w:hint="eastAsia"/>
                <w:snapToGrid w:val="0"/>
                <w:color w:val="auto"/>
                <w:spacing w:val="-41"/>
                <w:kern w:val="0"/>
                <w:szCs w:val="21"/>
                <w:highlight w:val="none"/>
              </w:rPr>
              <w:t>）；</w:t>
            </w:r>
            <w:r>
              <w:rPr>
                <w:rFonts w:ascii="宋体" w:hAnsi="宋体" w:cs="宋体" w:hint="eastAsia"/>
                <w:snapToGrid w:val="0"/>
                <w:color w:val="auto"/>
                <w:spacing w:val="6"/>
                <w:kern w:val="0"/>
                <w:szCs w:val="21"/>
                <w:highlight w:val="none"/>
              </w:rPr>
              <w:t>累计三次考核结论为“差”，</w:t>
            </w:r>
            <w:r>
              <w:rPr>
                <w:rFonts w:ascii="宋体" w:hAnsi="宋体" w:cs="宋体" w:hint="eastAsia"/>
                <w:snapToGrid w:val="0"/>
                <w:color w:val="auto"/>
                <w:spacing w:val="11"/>
                <w:kern w:val="0"/>
                <w:szCs w:val="21"/>
                <w:highlight w:val="none"/>
              </w:rPr>
              <w:t>或由于中标人责任，在合同履行期间发生安全责任事故造成人员或财产损失</w:t>
            </w:r>
            <w:r>
              <w:rPr>
                <w:rFonts w:ascii="宋体" w:hAnsi="宋体" w:cs="宋体" w:hint="eastAsia"/>
                <w:snapToGrid w:val="0"/>
                <w:color w:val="auto"/>
                <w:spacing w:val="10"/>
                <w:kern w:val="0"/>
                <w:szCs w:val="21"/>
                <w:highlight w:val="none"/>
              </w:rPr>
              <w:t>的，采购人有权单方面</w:t>
            </w:r>
            <w:r>
              <w:rPr>
                <w:rFonts w:ascii="宋体" w:hAnsi="宋体" w:cs="宋体" w:hint="eastAsia"/>
                <w:snapToGrid w:val="0"/>
                <w:color w:val="auto"/>
                <w:spacing w:val="8"/>
                <w:kern w:val="0"/>
                <w:szCs w:val="21"/>
                <w:highlight w:val="none"/>
              </w:rPr>
              <w:t>解除合同，并不退还履约保证金。</w:t>
            </w:r>
          </w:p>
          <w:p>
            <w:pPr>
              <w:widowControl/>
              <w:wordWrap w:val="0"/>
              <w:autoSpaceDE w:val="0"/>
              <w:autoSpaceDN w:val="0"/>
              <w:adjustRightInd w:val="0"/>
              <w:snapToGrid w:val="0"/>
              <w:spacing w:line="360" w:lineRule="auto"/>
              <w:ind w:firstLine="420" w:firstLineChars="200"/>
              <w:jc w:val="left"/>
              <w:textAlignment w:val="baseline"/>
              <w:rPr>
                <w:rFonts w:ascii="宋体" w:hAnsi="宋体" w:cs="宋体"/>
                <w:snapToGrid w:val="0"/>
                <w:color w:val="auto"/>
                <w:kern w:val="0"/>
                <w:szCs w:val="21"/>
                <w:highlight w:val="none"/>
              </w:rPr>
            </w:pPr>
            <w:r>
              <w:rPr>
                <w:rFonts w:ascii="宋体" w:hAnsi="宋体" w:cs="宋体" w:hint="eastAsia"/>
                <w:snapToGrid w:val="0"/>
                <w:color w:val="auto"/>
                <w:spacing w:val="8"/>
                <w:kern w:val="0"/>
                <w:szCs w:val="21"/>
                <w:highlight w:val="none"/>
              </w:rPr>
              <w:t>3、采购人对中标人的服务质量不定期抽查，检查记录经双方签字确认后保存在采购人处。采购</w:t>
            </w:r>
            <w:r>
              <w:rPr>
                <w:rFonts w:ascii="宋体" w:hAnsi="宋体" w:cs="宋体" w:hint="eastAsia"/>
                <w:snapToGrid w:val="0"/>
                <w:color w:val="auto"/>
                <w:spacing w:val="11"/>
                <w:kern w:val="0"/>
                <w:szCs w:val="21"/>
                <w:highlight w:val="none"/>
              </w:rPr>
              <w:t>人有权根据检查结果，按物业服务日常工作考核评分表（详见附件二）对</w:t>
            </w:r>
            <w:r>
              <w:rPr>
                <w:rFonts w:ascii="宋体" w:hAnsi="宋体" w:cs="宋体" w:hint="eastAsia"/>
                <w:snapToGrid w:val="0"/>
                <w:color w:val="auto"/>
                <w:spacing w:val="10"/>
                <w:kern w:val="0"/>
                <w:szCs w:val="21"/>
                <w:highlight w:val="none"/>
              </w:rPr>
              <w:t>中标人实施扣款，并下达</w:t>
            </w:r>
            <w:r>
              <w:rPr>
                <w:rFonts w:ascii="宋体" w:hAnsi="宋体" w:cs="宋体" w:hint="eastAsia"/>
                <w:snapToGrid w:val="0"/>
                <w:color w:val="auto"/>
                <w:spacing w:val="11"/>
                <w:kern w:val="0"/>
                <w:szCs w:val="21"/>
                <w:highlight w:val="none"/>
              </w:rPr>
              <w:t>书面整改通知责令中标人限期整改。中标人应派人参加每月考核，采购人</w:t>
            </w:r>
            <w:r>
              <w:rPr>
                <w:rFonts w:ascii="宋体" w:hAnsi="宋体" w:cs="宋体" w:hint="eastAsia"/>
                <w:snapToGrid w:val="0"/>
                <w:color w:val="auto"/>
                <w:spacing w:val="10"/>
                <w:kern w:val="0"/>
                <w:szCs w:val="21"/>
                <w:highlight w:val="none"/>
              </w:rPr>
              <w:t>发现问题则当场告知。中</w:t>
            </w:r>
            <w:r>
              <w:rPr>
                <w:rFonts w:ascii="宋体" w:hAnsi="宋体" w:cs="宋体" w:hint="eastAsia"/>
                <w:snapToGrid w:val="0"/>
                <w:color w:val="auto"/>
                <w:spacing w:val="8"/>
                <w:kern w:val="0"/>
                <w:szCs w:val="21"/>
                <w:highlight w:val="none"/>
              </w:rPr>
              <w:t>标人应根据考核发现问题，自采购人当场告知后5个工作日内提出</w:t>
            </w:r>
            <w:r>
              <w:rPr>
                <w:rFonts w:ascii="宋体" w:hAnsi="宋体" w:cs="宋体" w:hint="eastAsia"/>
                <w:snapToGrid w:val="0"/>
                <w:color w:val="auto"/>
                <w:spacing w:val="7"/>
                <w:kern w:val="0"/>
                <w:szCs w:val="21"/>
                <w:highlight w:val="none"/>
              </w:rPr>
              <w:t>整改意见，及时落实整改。</w:t>
            </w:r>
          </w:p>
          <w:p>
            <w:pPr>
              <w:widowControl/>
              <w:overflowPunct w:val="0"/>
              <w:autoSpaceDE w:val="0"/>
              <w:autoSpaceDN w:val="0"/>
              <w:adjustRightInd w:val="0"/>
              <w:snapToGrid w:val="0"/>
              <w:spacing w:line="360" w:lineRule="auto"/>
              <w:ind w:firstLine="420" w:firstLineChars="200"/>
              <w:jc w:val="left"/>
              <w:textAlignment w:val="baseline"/>
              <w:rPr>
                <w:rFonts w:ascii="宋体" w:hAnsi="宋体" w:cstheme="minorBidi"/>
                <w:color w:val="auto"/>
                <w:szCs w:val="21"/>
                <w:highlight w:val="none"/>
              </w:rPr>
            </w:pPr>
            <w:r>
              <w:rPr>
                <w:rFonts w:ascii="宋体" w:hAnsi="宋体" w:cs="宋体" w:hint="eastAsia"/>
                <w:snapToGrid w:val="0"/>
                <w:color w:val="auto"/>
                <w:spacing w:val="9"/>
                <w:kern w:val="0"/>
                <w:szCs w:val="21"/>
                <w:highlight w:val="none"/>
              </w:rPr>
              <w:t>4、</w:t>
            </w:r>
            <w:r>
              <w:rPr>
                <w:rFonts w:ascii="宋体" w:hAnsi="宋体" w:cs="宋体" w:hint="eastAsia"/>
                <w:snapToGrid w:val="0"/>
                <w:color w:val="auto"/>
                <w:spacing w:val="6"/>
                <w:kern w:val="0"/>
                <w:szCs w:val="21"/>
                <w:highlight w:val="none"/>
              </w:rPr>
              <w:t>物业管理服务费按月支付，考核结果经采购人、中标人双方确认后的10个工作日内，中标人根据考核结果将请款函以及</w:t>
            </w:r>
            <w:r>
              <w:rPr>
                <w:rFonts w:ascii="宋体" w:hAnsi="宋体" w:cs="宋体" w:hint="eastAsia"/>
                <w:snapToGrid w:val="0"/>
                <w:color w:val="auto"/>
                <w:spacing w:val="10"/>
                <w:kern w:val="0"/>
                <w:szCs w:val="21"/>
                <w:highlight w:val="none"/>
              </w:rPr>
              <w:t>同等金额、合法有效的增值税普通发票开具给采购人，采购人在收齐以上请款材料的</w:t>
            </w:r>
            <w:r>
              <w:rPr>
                <w:rFonts w:ascii="宋体" w:hAnsi="宋体" w:cs="宋体" w:hint="eastAsia"/>
                <w:snapToGrid w:val="0"/>
                <w:color w:val="auto"/>
                <w:spacing w:val="6"/>
                <w:kern w:val="0"/>
                <w:szCs w:val="21"/>
                <w:highlight w:val="none"/>
              </w:rPr>
              <w:t>10个工作日内支付上月物业服务费。当月</w:t>
            </w:r>
            <w:r>
              <w:rPr>
                <w:rFonts w:ascii="宋体" w:hAnsi="宋体" w:cs="宋体" w:hint="eastAsia"/>
                <w:snapToGrid w:val="0"/>
                <w:color w:val="auto"/>
                <w:spacing w:val="9"/>
                <w:kern w:val="0"/>
                <w:szCs w:val="21"/>
                <w:highlight w:val="none"/>
              </w:rPr>
              <w:t>实际支付物业服务费=应付上月物业服务费</w:t>
            </w:r>
            <w:r>
              <w:rPr>
                <w:rFonts w:ascii="宋体" w:hAnsi="宋体" w:cs="宋体" w:hint="eastAsia"/>
                <w:snapToGrid w:val="0"/>
                <w:color w:val="auto"/>
                <w:spacing w:val="8"/>
                <w:kern w:val="0"/>
                <w:szCs w:val="21"/>
                <w:highlight w:val="none"/>
              </w:rPr>
              <w:t>-上月定期考核扣款</w:t>
            </w:r>
            <w:r>
              <w:rPr>
                <w:rFonts w:ascii="宋体" w:hAnsi="宋体" w:cs="宋体" w:hint="eastAsia"/>
                <w:snapToGrid w:val="0"/>
                <w:color w:val="auto"/>
                <w:spacing w:val="9"/>
                <w:kern w:val="0"/>
                <w:szCs w:val="21"/>
                <w:highlight w:val="none"/>
              </w:rPr>
              <w:t>-未支付的不定期考核</w:t>
            </w:r>
            <w:r>
              <w:rPr>
                <w:rFonts w:ascii="宋体" w:hAnsi="宋体" w:cs="宋体" w:hint="eastAsia"/>
                <w:snapToGrid w:val="0"/>
                <w:color w:val="auto"/>
                <w:spacing w:val="8"/>
                <w:kern w:val="0"/>
                <w:szCs w:val="21"/>
                <w:highlight w:val="none"/>
              </w:rPr>
              <w:t>扣款。</w:t>
            </w:r>
          </w:p>
        </w:tc>
      </w:tr>
      <w:tr>
        <w:tblPrEx>
          <w:tblW w:w="5138" w:type="pct"/>
          <w:tblInd w:w="-256" w:type="dxa"/>
          <w:tblLayout w:type="fixed"/>
          <w:tblCellMar>
            <w:top w:w="0" w:type="dxa"/>
            <w:left w:w="0" w:type="dxa"/>
            <w:bottom w:w="0" w:type="dxa"/>
            <w:right w:w="0" w:type="dxa"/>
          </w:tblCellMar>
        </w:tblPrEx>
        <w:trPr>
          <w:trHeight w:val="340"/>
        </w:trPr>
        <w:tc>
          <w:tcPr>
            <w:tcW w:w="5000" w:type="pct"/>
            <w:gridSpan w:val="7"/>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pPr>
              <w:spacing w:line="380" w:lineRule="exact"/>
              <w:jc w:val="left"/>
              <w:rPr>
                <w:rFonts w:ascii="宋体" w:hAnsi="宋体" w:cs="宋体"/>
                <w:b/>
                <w:color w:val="auto"/>
                <w:szCs w:val="21"/>
                <w:highlight w:val="none"/>
              </w:rPr>
            </w:pPr>
            <w:r>
              <w:rPr>
                <w:rFonts w:ascii="宋体" w:hAnsi="宋体" w:cs="宋体" w:hint="eastAsia"/>
                <w:b/>
                <w:color w:val="auto"/>
                <w:szCs w:val="21"/>
                <w:highlight w:val="none"/>
              </w:rPr>
              <w:t>二、商务要求</w:t>
            </w:r>
          </w:p>
        </w:tc>
      </w:tr>
      <w:tr>
        <w:tblPrEx>
          <w:tblW w:w="5138" w:type="pct"/>
          <w:tblInd w:w="-256" w:type="dxa"/>
          <w:tblLayout w:type="fixed"/>
          <w:tblCellMar>
            <w:top w:w="0" w:type="dxa"/>
            <w:left w:w="0" w:type="dxa"/>
            <w:bottom w:w="0" w:type="dxa"/>
            <w:right w:w="0" w:type="dxa"/>
          </w:tblCellMar>
        </w:tblPrEx>
        <w:trPr>
          <w:trHeight w:val="567"/>
        </w:trPr>
        <w:tc>
          <w:tcPr>
            <w:tcW w:w="28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pPr>
              <w:spacing w:line="380" w:lineRule="exact"/>
              <w:jc w:val="center"/>
              <w:rPr>
                <w:rFonts w:ascii="宋体" w:hAnsi="宋体" w:cs="宋体"/>
                <w:color w:val="auto"/>
                <w:szCs w:val="21"/>
                <w:highlight w:val="none"/>
              </w:rPr>
            </w:pPr>
            <w:r>
              <w:rPr>
                <w:rFonts w:ascii="宋体" w:hAnsi="宋体" w:cs="宋体" w:hint="eastAsia"/>
                <w:color w:val="auto"/>
                <w:szCs w:val="21"/>
                <w:highlight w:val="none"/>
              </w:rPr>
              <w:t>1</w:t>
            </w:r>
          </w:p>
        </w:tc>
        <w:tc>
          <w:tcPr>
            <w:tcW w:w="574" w:type="pct"/>
            <w:gridSpan w:val="4"/>
            <w:tcBorders>
              <w:top w:val="single" w:sz="4" w:space="0" w:color="auto"/>
              <w:left w:val="single" w:sz="4" w:space="0" w:color="auto"/>
              <w:bottom w:val="single" w:sz="4" w:space="0" w:color="auto"/>
              <w:right w:val="single" w:sz="4" w:space="0" w:color="auto"/>
            </w:tcBorders>
            <w:vAlign w:val="center"/>
          </w:tcPr>
          <w:p>
            <w:pPr>
              <w:snapToGrid w:val="0"/>
              <w:spacing w:line="380" w:lineRule="exact"/>
              <w:rPr>
                <w:rFonts w:ascii="宋体" w:hAnsi="宋体" w:cs="Calibri"/>
                <w:color w:val="auto"/>
                <w:szCs w:val="21"/>
                <w:highlight w:val="none"/>
              </w:rPr>
            </w:pPr>
            <w:r>
              <w:rPr>
                <w:rFonts w:ascii="宋体" w:hAnsi="宋体" w:cs="Arial" w:hint="eastAsia"/>
                <w:color w:val="auto"/>
                <w:szCs w:val="21"/>
                <w:highlight w:val="none"/>
              </w:rPr>
              <w:t>合同签订日期</w:t>
            </w:r>
          </w:p>
        </w:tc>
        <w:tc>
          <w:tcPr>
            <w:tcW w:w="4138" w:type="pct"/>
            <w:gridSpan w:val="2"/>
            <w:tcBorders>
              <w:top w:val="single" w:sz="4" w:space="0" w:color="auto"/>
              <w:left w:val="single" w:sz="4" w:space="0" w:color="auto"/>
              <w:bottom w:val="single" w:sz="4" w:space="0" w:color="auto"/>
              <w:right w:val="single" w:sz="4" w:space="0" w:color="auto"/>
            </w:tcBorders>
            <w:vAlign w:val="center"/>
          </w:tcPr>
          <w:p>
            <w:pPr>
              <w:spacing w:line="380" w:lineRule="exact"/>
              <w:jc w:val="left"/>
              <w:rPr>
                <w:rFonts w:ascii="宋体" w:hAnsi="宋体" w:cs="Calibri"/>
                <w:color w:val="auto"/>
                <w:szCs w:val="21"/>
                <w:highlight w:val="none"/>
              </w:rPr>
            </w:pPr>
            <w:r>
              <w:rPr>
                <w:rFonts w:ascii="宋体" w:hAnsi="宋体" w:cs="Arial"/>
                <w:color w:val="auto"/>
                <w:szCs w:val="21"/>
                <w:highlight w:val="none"/>
              </w:rPr>
              <w:t>中标</w:t>
            </w:r>
            <w:r>
              <w:rPr>
                <w:rFonts w:ascii="宋体" w:hAnsi="宋体" w:cs="Arial" w:hint="eastAsia"/>
                <w:color w:val="auto"/>
                <w:szCs w:val="21"/>
                <w:highlight w:val="none"/>
              </w:rPr>
              <w:t>通知书发出后30日内。</w:t>
            </w:r>
          </w:p>
        </w:tc>
      </w:tr>
      <w:tr>
        <w:tblPrEx>
          <w:tblW w:w="5138" w:type="pct"/>
          <w:tblInd w:w="-256" w:type="dxa"/>
          <w:tblLayout w:type="fixed"/>
          <w:tblCellMar>
            <w:top w:w="0" w:type="dxa"/>
            <w:left w:w="0" w:type="dxa"/>
            <w:bottom w:w="0" w:type="dxa"/>
            <w:right w:w="0" w:type="dxa"/>
          </w:tblCellMar>
        </w:tblPrEx>
        <w:trPr>
          <w:trHeight w:val="1499"/>
        </w:trPr>
        <w:tc>
          <w:tcPr>
            <w:tcW w:w="28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pPr>
              <w:spacing w:line="380" w:lineRule="exact"/>
              <w:jc w:val="center"/>
              <w:rPr>
                <w:rFonts w:ascii="宋体" w:hAnsi="宋体" w:cs="宋体"/>
                <w:color w:val="auto"/>
                <w:szCs w:val="21"/>
                <w:highlight w:val="none"/>
              </w:rPr>
            </w:pPr>
            <w:r>
              <w:rPr>
                <w:rFonts w:ascii="宋体" w:hAnsi="宋体" w:cs="宋体" w:hint="eastAsia"/>
                <w:color w:val="auto"/>
                <w:szCs w:val="21"/>
                <w:highlight w:val="none"/>
              </w:rPr>
              <w:t>2</w:t>
            </w:r>
          </w:p>
        </w:tc>
        <w:tc>
          <w:tcPr>
            <w:tcW w:w="574" w:type="pct"/>
            <w:gridSpan w:val="4"/>
            <w:tcBorders>
              <w:top w:val="single" w:sz="4" w:space="0" w:color="auto"/>
              <w:left w:val="single" w:sz="4" w:space="0" w:color="auto"/>
              <w:bottom w:val="single" w:sz="4" w:space="0" w:color="auto"/>
              <w:right w:val="single" w:sz="4" w:space="0" w:color="auto"/>
            </w:tcBorders>
            <w:vAlign w:val="center"/>
          </w:tcPr>
          <w:p>
            <w:pPr>
              <w:snapToGrid w:val="0"/>
              <w:spacing w:line="380" w:lineRule="exact"/>
              <w:rPr>
                <w:rFonts w:ascii="宋体" w:hAnsi="宋体" w:cs="Calibri"/>
                <w:color w:val="auto"/>
                <w:szCs w:val="21"/>
                <w:highlight w:val="none"/>
              </w:rPr>
            </w:pPr>
            <w:r>
              <w:rPr>
                <w:rFonts w:ascii="宋体" w:hAnsi="宋体" w:cs="Calibri" w:hint="eastAsia"/>
                <w:color w:val="auto"/>
                <w:szCs w:val="21"/>
                <w:highlight w:val="none"/>
              </w:rPr>
              <w:t>★合同履约时间、服务地点</w:t>
            </w:r>
          </w:p>
        </w:tc>
        <w:tc>
          <w:tcPr>
            <w:tcW w:w="4138" w:type="pct"/>
            <w:gridSpan w:val="2"/>
            <w:tcBorders>
              <w:top w:val="single" w:sz="4" w:space="0" w:color="auto"/>
              <w:left w:val="single" w:sz="4" w:space="0" w:color="auto"/>
              <w:bottom w:val="single" w:sz="4" w:space="0" w:color="auto"/>
              <w:right w:val="single" w:sz="4" w:space="0" w:color="auto"/>
            </w:tcBorders>
            <w:vAlign w:val="center"/>
          </w:tcPr>
          <w:p>
            <w:pPr>
              <w:spacing w:line="380" w:lineRule="exact"/>
              <w:rPr>
                <w:rFonts w:ascii="宋体" w:hAnsi="宋体"/>
                <w:color w:val="auto"/>
                <w:szCs w:val="21"/>
                <w:highlight w:val="none"/>
              </w:rPr>
            </w:pPr>
            <w:r>
              <w:rPr>
                <w:rFonts w:ascii="宋体" w:hAnsi="宋体" w:cs="Calibri" w:hint="eastAsia"/>
                <w:color w:val="auto"/>
                <w:szCs w:val="21"/>
                <w:highlight w:val="none"/>
              </w:rPr>
              <w:t>1、合同履约时间：自2025年1月1日至2026年12月31日止，合同期限为2年</w:t>
            </w:r>
            <w:r>
              <w:rPr>
                <w:rFonts w:ascii="宋体" w:hAnsi="宋体" w:hint="eastAsia"/>
                <w:color w:val="auto"/>
                <w:szCs w:val="21"/>
                <w:highlight w:val="none"/>
              </w:rPr>
              <w:t>。</w:t>
            </w:r>
          </w:p>
          <w:p>
            <w:pPr>
              <w:spacing w:line="380" w:lineRule="exact"/>
              <w:rPr>
                <w:rFonts w:ascii="宋体" w:hAnsi="宋体" w:cs="Calibri"/>
                <w:color w:val="auto"/>
                <w:szCs w:val="21"/>
                <w:highlight w:val="none"/>
              </w:rPr>
            </w:pPr>
            <w:r>
              <w:rPr>
                <w:rFonts w:ascii="宋体" w:hAnsi="宋体" w:cs="Calibri" w:hint="eastAsia"/>
                <w:color w:val="auto"/>
                <w:szCs w:val="21"/>
                <w:highlight w:val="none"/>
              </w:rPr>
              <w:t>2、服务地点：国家税务总局柳州市税务局（潭中东路26号、潭中东路14号、第一稽查局、第三稽查局办公区）。</w:t>
            </w:r>
          </w:p>
        </w:tc>
      </w:tr>
      <w:tr>
        <w:tblPrEx>
          <w:tblW w:w="5138" w:type="pct"/>
          <w:tblInd w:w="-256" w:type="dxa"/>
          <w:tblLayout w:type="fixed"/>
          <w:tblCellMar>
            <w:top w:w="0" w:type="dxa"/>
            <w:left w:w="0" w:type="dxa"/>
            <w:bottom w:w="0" w:type="dxa"/>
            <w:right w:w="0" w:type="dxa"/>
          </w:tblCellMar>
        </w:tblPrEx>
        <w:trPr>
          <w:trHeight w:val="567"/>
        </w:trPr>
        <w:tc>
          <w:tcPr>
            <w:tcW w:w="28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pPr>
              <w:spacing w:line="380" w:lineRule="exact"/>
              <w:jc w:val="center"/>
              <w:rPr>
                <w:rFonts w:ascii="宋体" w:hAnsi="宋体" w:cs="宋体"/>
                <w:color w:val="auto"/>
                <w:szCs w:val="21"/>
                <w:highlight w:val="none"/>
              </w:rPr>
            </w:pPr>
            <w:r>
              <w:rPr>
                <w:rFonts w:ascii="宋体" w:hAnsi="宋体" w:cs="宋体" w:hint="eastAsia"/>
                <w:color w:val="auto"/>
                <w:szCs w:val="21"/>
                <w:highlight w:val="none"/>
              </w:rPr>
              <w:t>3</w:t>
            </w:r>
          </w:p>
        </w:tc>
        <w:tc>
          <w:tcPr>
            <w:tcW w:w="574" w:type="pct"/>
            <w:gridSpan w:val="4"/>
            <w:tcBorders>
              <w:top w:val="single" w:sz="4" w:space="0" w:color="auto"/>
              <w:left w:val="single" w:sz="4" w:space="0" w:color="auto"/>
              <w:bottom w:val="single" w:sz="4" w:space="0" w:color="auto"/>
              <w:right w:val="single" w:sz="4" w:space="0" w:color="auto"/>
            </w:tcBorders>
            <w:vAlign w:val="center"/>
          </w:tcPr>
          <w:p>
            <w:pPr>
              <w:spacing w:line="380" w:lineRule="exact"/>
              <w:jc w:val="center"/>
              <w:rPr>
                <w:rFonts w:ascii="宋体" w:hAnsi="宋体" w:cs="Calibri"/>
                <w:color w:val="auto"/>
                <w:szCs w:val="21"/>
                <w:highlight w:val="none"/>
              </w:rPr>
            </w:pPr>
            <w:r>
              <w:rPr>
                <w:rFonts w:ascii="宋体" w:hAnsi="宋体" w:cs="Calibri" w:hint="eastAsia"/>
                <w:color w:val="auto"/>
                <w:szCs w:val="21"/>
                <w:highlight w:val="none"/>
              </w:rPr>
              <w:t>报价要求</w:t>
            </w:r>
          </w:p>
        </w:tc>
        <w:tc>
          <w:tcPr>
            <w:tcW w:w="4138" w:type="pct"/>
            <w:gridSpan w:val="2"/>
            <w:tcBorders>
              <w:top w:val="single" w:sz="4" w:space="0" w:color="auto"/>
              <w:left w:val="single" w:sz="4" w:space="0" w:color="auto"/>
              <w:bottom w:val="single" w:sz="4" w:space="0" w:color="auto"/>
              <w:right w:val="single" w:sz="4" w:space="0" w:color="auto"/>
            </w:tcBorders>
            <w:vAlign w:val="center"/>
          </w:tcPr>
          <w:p>
            <w:pPr>
              <w:widowControl/>
              <w:spacing w:line="380" w:lineRule="exact"/>
              <w:ind w:firstLine="420" w:firstLineChars="200"/>
              <w:jc w:val="left"/>
              <w:rPr>
                <w:color w:val="auto"/>
                <w:highlight w:val="none"/>
              </w:rPr>
            </w:pPr>
            <w:r>
              <w:rPr>
                <w:rFonts w:hint="eastAsia"/>
                <w:color w:val="auto"/>
                <w:highlight w:val="none"/>
              </w:rPr>
              <w:t>1.物业管理服务费包含以下1至11所列项目费用及物业管理所发生的一切成本利润的总和：</w:t>
            </w:r>
          </w:p>
          <w:p>
            <w:pPr>
              <w:widowControl/>
              <w:spacing w:line="380" w:lineRule="exact"/>
              <w:ind w:firstLine="420" w:firstLineChars="200"/>
              <w:jc w:val="left"/>
              <w:rPr>
                <w:color w:val="auto"/>
                <w:highlight w:val="none"/>
              </w:rPr>
            </w:pPr>
            <w:r>
              <w:rPr>
                <w:color w:val="auto"/>
                <w:highlight w:val="none"/>
              </w:rPr>
              <w:t>1</w:t>
            </w:r>
            <w:r>
              <w:rPr>
                <w:rFonts w:hint="eastAsia"/>
                <w:color w:val="auto"/>
                <w:highlight w:val="none"/>
              </w:rPr>
              <w:t>）员工工资。</w:t>
            </w:r>
          </w:p>
          <w:p>
            <w:pPr>
              <w:widowControl/>
              <w:spacing w:line="380" w:lineRule="exact"/>
              <w:ind w:firstLine="420" w:firstLineChars="200"/>
              <w:jc w:val="left"/>
              <w:rPr>
                <w:color w:val="auto"/>
                <w:highlight w:val="none"/>
              </w:rPr>
            </w:pPr>
            <w:r>
              <w:rPr>
                <w:rFonts w:hint="eastAsia"/>
                <w:color w:val="auto"/>
                <w:highlight w:val="none"/>
              </w:rPr>
              <w:t>2）行政办公费用。</w:t>
            </w:r>
          </w:p>
          <w:p>
            <w:pPr>
              <w:widowControl/>
              <w:spacing w:line="380" w:lineRule="exact"/>
              <w:ind w:firstLine="420" w:firstLineChars="200"/>
              <w:jc w:val="left"/>
              <w:rPr>
                <w:color w:val="auto"/>
                <w:highlight w:val="none"/>
              </w:rPr>
            </w:pPr>
            <w:r>
              <w:rPr>
                <w:rFonts w:hint="eastAsia"/>
                <w:color w:val="auto"/>
                <w:highlight w:val="none"/>
              </w:rPr>
              <w:t>3）服装费用。</w:t>
            </w:r>
          </w:p>
          <w:p>
            <w:pPr>
              <w:widowControl/>
              <w:spacing w:line="380" w:lineRule="exact"/>
              <w:ind w:firstLine="420" w:firstLineChars="200"/>
              <w:jc w:val="left"/>
              <w:rPr>
                <w:color w:val="auto"/>
                <w:highlight w:val="none"/>
              </w:rPr>
            </w:pPr>
            <w:r>
              <w:rPr>
                <w:rFonts w:hint="eastAsia"/>
                <w:color w:val="auto"/>
                <w:highlight w:val="none"/>
              </w:rPr>
              <w:t>4）公共清洁卫生管理和耗品费。</w:t>
            </w:r>
          </w:p>
          <w:p>
            <w:pPr>
              <w:widowControl/>
              <w:spacing w:line="380" w:lineRule="exact"/>
              <w:ind w:firstLine="420" w:firstLineChars="200"/>
              <w:jc w:val="left"/>
              <w:rPr>
                <w:color w:val="auto"/>
                <w:highlight w:val="none"/>
              </w:rPr>
            </w:pPr>
            <w:r>
              <w:rPr>
                <w:rFonts w:hint="eastAsia"/>
                <w:color w:val="auto"/>
                <w:highlight w:val="none"/>
              </w:rPr>
              <w:t>5）公共设施、设备运行、维修、维护费用。</w:t>
            </w:r>
          </w:p>
          <w:p>
            <w:pPr>
              <w:widowControl/>
              <w:spacing w:line="380" w:lineRule="exact"/>
              <w:ind w:firstLine="420" w:firstLineChars="200"/>
              <w:jc w:val="left"/>
              <w:rPr>
                <w:color w:val="auto"/>
                <w:highlight w:val="none"/>
              </w:rPr>
            </w:pPr>
            <w:r>
              <w:rPr>
                <w:rFonts w:hint="eastAsia"/>
                <w:color w:val="auto"/>
                <w:highlight w:val="none"/>
              </w:rPr>
              <w:t>6）绿化管理和养护费。</w:t>
            </w:r>
          </w:p>
          <w:p>
            <w:pPr>
              <w:widowControl/>
              <w:spacing w:line="380" w:lineRule="exact"/>
              <w:ind w:firstLine="420" w:firstLineChars="200"/>
              <w:jc w:val="left"/>
              <w:rPr>
                <w:color w:val="auto"/>
                <w:highlight w:val="none"/>
              </w:rPr>
            </w:pPr>
            <w:r>
              <w:rPr>
                <w:rFonts w:hint="eastAsia"/>
                <w:color w:val="auto"/>
                <w:highlight w:val="none"/>
              </w:rPr>
              <w:t>7）保险（公众责任险等）。</w:t>
            </w:r>
          </w:p>
          <w:p>
            <w:pPr>
              <w:widowControl/>
              <w:spacing w:line="380" w:lineRule="exact"/>
              <w:ind w:firstLine="420" w:firstLineChars="200"/>
              <w:jc w:val="left"/>
              <w:rPr>
                <w:color w:val="auto"/>
                <w:highlight w:val="none"/>
              </w:rPr>
            </w:pPr>
            <w:r>
              <w:rPr>
                <w:rFonts w:hint="eastAsia"/>
                <w:color w:val="auto"/>
                <w:highlight w:val="none"/>
              </w:rPr>
              <w:t>8）利润。</w:t>
            </w:r>
          </w:p>
          <w:p>
            <w:pPr>
              <w:widowControl/>
              <w:spacing w:line="380" w:lineRule="exact"/>
              <w:ind w:firstLine="420" w:firstLineChars="200"/>
              <w:jc w:val="left"/>
              <w:rPr>
                <w:color w:val="auto"/>
                <w:highlight w:val="none"/>
              </w:rPr>
            </w:pPr>
            <w:r>
              <w:rPr>
                <w:rFonts w:hint="eastAsia"/>
                <w:color w:val="auto"/>
                <w:highlight w:val="none"/>
              </w:rPr>
              <w:t>9）国家法定税费。</w:t>
            </w:r>
          </w:p>
          <w:p>
            <w:pPr>
              <w:widowControl/>
              <w:spacing w:line="380" w:lineRule="exact"/>
              <w:ind w:firstLine="420" w:firstLineChars="200"/>
              <w:jc w:val="left"/>
              <w:rPr>
                <w:color w:val="auto"/>
                <w:highlight w:val="none"/>
              </w:rPr>
            </w:pPr>
            <w:r>
              <w:rPr>
                <w:rFonts w:hint="eastAsia"/>
                <w:color w:val="auto"/>
                <w:highlight w:val="none"/>
              </w:rPr>
              <w:t>10）其他不可预见费。</w:t>
            </w:r>
          </w:p>
          <w:p>
            <w:pPr>
              <w:widowControl/>
              <w:spacing w:line="380" w:lineRule="exact"/>
              <w:ind w:firstLine="420" w:firstLineChars="200"/>
              <w:jc w:val="left"/>
              <w:rPr>
                <w:color w:val="auto"/>
                <w:highlight w:val="none"/>
              </w:rPr>
            </w:pPr>
            <w:r>
              <w:rPr>
                <w:rFonts w:hint="eastAsia"/>
                <w:color w:val="auto"/>
                <w:highlight w:val="none"/>
              </w:rPr>
              <w:t>11）其他投标人认为需要列入的费用。</w:t>
            </w:r>
          </w:p>
          <w:p>
            <w:pPr>
              <w:widowControl/>
              <w:spacing w:line="380" w:lineRule="exact"/>
              <w:ind w:firstLine="420" w:firstLineChars="200"/>
              <w:jc w:val="left"/>
              <w:rPr>
                <w:color w:val="auto"/>
                <w:highlight w:val="none"/>
              </w:rPr>
            </w:pPr>
            <w:r>
              <w:rPr>
                <w:rFonts w:hint="eastAsia"/>
                <w:color w:val="auto"/>
                <w:highlight w:val="none"/>
              </w:rPr>
              <w:t>2</w:t>
            </w:r>
            <w:r>
              <w:rPr>
                <w:color w:val="auto"/>
                <w:highlight w:val="none"/>
              </w:rPr>
              <w:t>.</w:t>
            </w:r>
            <w:r>
              <w:rPr>
                <w:rFonts w:hint="eastAsia"/>
                <w:color w:val="auto"/>
                <w:highlight w:val="none"/>
              </w:rPr>
              <w:t>其他报价说明</w:t>
            </w:r>
          </w:p>
          <w:p>
            <w:pPr>
              <w:widowControl/>
              <w:spacing w:line="380" w:lineRule="exact"/>
              <w:ind w:firstLine="420" w:firstLineChars="200"/>
              <w:rPr>
                <w:color w:val="auto"/>
                <w:highlight w:val="none"/>
              </w:rPr>
            </w:pPr>
            <w:r>
              <w:rPr>
                <w:rFonts w:hint="eastAsia"/>
                <w:color w:val="auto"/>
                <w:highlight w:val="none"/>
              </w:rPr>
              <w:t>电</w:t>
            </w:r>
            <w:r>
              <w:rPr>
                <w:rFonts w:ascii="宋体" w:hAnsi="宋体" w:cs="Arial" w:hint="eastAsia"/>
                <w:color w:val="auto"/>
                <w:szCs w:val="21"/>
                <w:highlight w:val="none"/>
              </w:rPr>
              <w:t>梯运维费用补充说明：本次物业管理服务采购共包括7台电梯运行维护服务，均为10层及以上电梯，电梯运行维护费标准为3万元/台，单年费用小计21万元，两年费用合记42万元，电梯运行维护费需单独报价。</w:t>
            </w:r>
            <w:r>
              <w:rPr>
                <w:rFonts w:ascii="宋体" w:hAnsi="宋体" w:cs="Arial" w:hint="eastAsia"/>
                <w:color w:val="auto"/>
                <w:szCs w:val="21"/>
                <w:highlight w:val="none"/>
                <w:lang w:eastAsia="zh-CN"/>
              </w:rPr>
              <w:t>如果</w:t>
            </w:r>
            <w:r>
              <w:rPr>
                <w:rFonts w:ascii="宋体" w:hAnsi="宋体" w:cs="Arial" w:hint="eastAsia"/>
                <w:color w:val="auto"/>
                <w:szCs w:val="21"/>
                <w:highlight w:val="none"/>
              </w:rPr>
              <w:t>采购人更换部分电梯，电梯投入使用后，若质保期内出现质量问题由电梯供应商免费维修，因此质保期内的电梯运维费用应在物业服务费据实核减。综上所述，若实际提供运行维护服务的电梯不足</w:t>
            </w:r>
            <w:r>
              <w:rPr>
                <w:rFonts w:ascii="宋体" w:hAnsi="宋体" w:cs="Arial"/>
                <w:color w:val="auto"/>
                <w:szCs w:val="21"/>
                <w:highlight w:val="none"/>
              </w:rPr>
              <w:t>7</w:t>
            </w:r>
            <w:r>
              <w:rPr>
                <w:rFonts w:ascii="宋体" w:hAnsi="宋体" w:cs="Arial" w:hint="eastAsia"/>
                <w:color w:val="auto"/>
                <w:szCs w:val="21"/>
                <w:highlight w:val="none"/>
              </w:rPr>
              <w:t>台，则按月扣减未运维电梯费用（每台电梯每月运维费用*未运维电梯台数）。</w:t>
            </w:r>
          </w:p>
        </w:tc>
      </w:tr>
      <w:tr>
        <w:tblPrEx>
          <w:tblW w:w="5138" w:type="pct"/>
          <w:tblInd w:w="-256" w:type="dxa"/>
          <w:tblLayout w:type="fixed"/>
          <w:tblCellMar>
            <w:top w:w="0" w:type="dxa"/>
            <w:left w:w="0" w:type="dxa"/>
            <w:bottom w:w="0" w:type="dxa"/>
            <w:right w:w="0" w:type="dxa"/>
          </w:tblCellMar>
        </w:tblPrEx>
        <w:trPr>
          <w:trHeight w:val="567"/>
        </w:trPr>
        <w:tc>
          <w:tcPr>
            <w:tcW w:w="28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pPr>
              <w:spacing w:line="380" w:lineRule="exact"/>
              <w:jc w:val="center"/>
              <w:rPr>
                <w:rFonts w:ascii="宋体" w:hAnsi="宋体" w:cs="宋体"/>
                <w:color w:val="auto"/>
                <w:szCs w:val="21"/>
                <w:highlight w:val="none"/>
              </w:rPr>
            </w:pPr>
            <w:r>
              <w:rPr>
                <w:rFonts w:ascii="宋体" w:hAnsi="宋体" w:cs="宋体" w:hint="eastAsia"/>
                <w:color w:val="auto"/>
                <w:szCs w:val="21"/>
                <w:highlight w:val="none"/>
              </w:rPr>
              <w:t>4</w:t>
            </w:r>
          </w:p>
        </w:tc>
        <w:tc>
          <w:tcPr>
            <w:tcW w:w="574" w:type="pct"/>
            <w:gridSpan w:val="4"/>
            <w:tcBorders>
              <w:top w:val="single" w:sz="4" w:space="0" w:color="auto"/>
              <w:left w:val="single" w:sz="4" w:space="0" w:color="auto"/>
              <w:bottom w:val="single" w:sz="4" w:space="0" w:color="auto"/>
              <w:right w:val="single" w:sz="4" w:space="0" w:color="auto"/>
            </w:tcBorders>
            <w:vAlign w:val="center"/>
          </w:tcPr>
          <w:p>
            <w:pPr>
              <w:spacing w:line="380" w:lineRule="exact"/>
              <w:jc w:val="center"/>
              <w:rPr>
                <w:rFonts w:ascii="宋体" w:hAnsi="宋体" w:cs="Calibri"/>
                <w:color w:val="auto"/>
                <w:szCs w:val="21"/>
                <w:highlight w:val="none"/>
              </w:rPr>
            </w:pPr>
            <w:r>
              <w:rPr>
                <w:rFonts w:ascii="宋体" w:hAnsi="宋体" w:cs="Arial" w:hint="eastAsia"/>
                <w:color w:val="auto"/>
                <w:szCs w:val="21"/>
                <w:highlight w:val="none"/>
              </w:rPr>
              <w:t>付款方式</w:t>
            </w:r>
          </w:p>
        </w:tc>
        <w:tc>
          <w:tcPr>
            <w:tcW w:w="4138" w:type="pct"/>
            <w:gridSpan w:val="2"/>
            <w:tcBorders>
              <w:top w:val="single" w:sz="4" w:space="0" w:color="auto"/>
              <w:left w:val="single" w:sz="4" w:space="0" w:color="auto"/>
              <w:bottom w:val="single" w:sz="4" w:space="0" w:color="auto"/>
              <w:right w:val="single" w:sz="4" w:space="0" w:color="auto"/>
            </w:tcBorders>
            <w:vAlign w:val="center"/>
          </w:tcPr>
          <w:p>
            <w:pPr>
              <w:widowControl/>
              <w:spacing w:line="380" w:lineRule="exact"/>
              <w:ind w:firstLine="420" w:firstLineChars="200"/>
              <w:jc w:val="left"/>
              <w:rPr>
                <w:rFonts w:ascii="宋体" w:hAnsi="宋体" w:cs="Calibri"/>
                <w:color w:val="auto"/>
                <w:szCs w:val="21"/>
                <w:highlight w:val="none"/>
              </w:rPr>
            </w:pPr>
            <w:r>
              <w:rPr>
                <w:rFonts w:ascii="宋体" w:hAnsi="宋体" w:cs="Calibri" w:hint="eastAsia"/>
                <w:color w:val="auto"/>
                <w:szCs w:val="21"/>
                <w:highlight w:val="none"/>
              </w:rPr>
              <w:t>（1）采购人采取每月定期（详见附件一：物业服务月度考核评分表）及不定期（详见附件二：物业服务日常工作考核评分表）方式对中标人进行考核。</w:t>
            </w:r>
          </w:p>
          <w:p>
            <w:pPr>
              <w:widowControl/>
              <w:spacing w:line="380" w:lineRule="exact"/>
              <w:ind w:firstLine="420" w:firstLineChars="200"/>
              <w:jc w:val="left"/>
              <w:rPr>
                <w:rFonts w:ascii="宋体" w:hAnsi="宋体" w:cs="Calibri"/>
                <w:color w:val="auto"/>
                <w:szCs w:val="21"/>
                <w:highlight w:val="none"/>
              </w:rPr>
            </w:pPr>
            <w:r>
              <w:rPr>
                <w:rFonts w:ascii="宋体" w:hAnsi="宋体" w:cs="Calibri" w:hint="eastAsia"/>
                <w:color w:val="auto"/>
                <w:szCs w:val="21"/>
                <w:highlight w:val="none"/>
              </w:rPr>
              <w:t>（2）采购人于每月末最后一个工作日对本月物业服务进行定期考核，考核结论分“优”、“良”、“中”、“差”四档。其中：“优”为总分达95分以上，“良”为总分在90分以上不足95分，“中”为总分在85分以上不足90分，“差”为总分不足85分。</w:t>
            </w:r>
          </w:p>
          <w:p>
            <w:pPr>
              <w:widowControl/>
              <w:spacing w:line="380" w:lineRule="exact"/>
              <w:ind w:firstLine="420" w:firstLineChars="200"/>
              <w:jc w:val="left"/>
              <w:rPr>
                <w:rFonts w:ascii="宋体" w:hAnsi="宋体" w:cs="Calibri"/>
                <w:color w:val="auto"/>
                <w:szCs w:val="21"/>
                <w:highlight w:val="none"/>
              </w:rPr>
            </w:pPr>
            <w:r>
              <w:rPr>
                <w:rFonts w:ascii="宋体" w:hAnsi="宋体" w:cs="Calibri" w:hint="eastAsia"/>
                <w:color w:val="auto"/>
                <w:szCs w:val="21"/>
                <w:highlight w:val="none"/>
              </w:rPr>
              <w:t>考核结论为“优”的，不扣所属月份的物业服务费用；考核结论为“良”的，扣所属月份应付物业服务费的1%（取整到元）；考核结论为“中”的，扣所属月份应付物业服务费的2%（取整到元）；考核结论为“差”的，扣所属月份应付物业服务费的5%（取整到元）；累计三次考核结论为“差”，或由于中标人责任，在合同履行期间发生安全责任事故造成人员或财产损失的，采购人有权单方面解除合同，并不退还履约保证金。</w:t>
            </w:r>
          </w:p>
          <w:p>
            <w:pPr>
              <w:widowControl/>
              <w:spacing w:line="380" w:lineRule="exact"/>
              <w:ind w:firstLine="420" w:firstLineChars="200"/>
              <w:jc w:val="left"/>
              <w:rPr>
                <w:rFonts w:ascii="宋体" w:hAnsi="宋体" w:cs="Calibri"/>
                <w:color w:val="auto"/>
                <w:szCs w:val="21"/>
                <w:highlight w:val="none"/>
              </w:rPr>
            </w:pPr>
            <w:r>
              <w:rPr>
                <w:rFonts w:ascii="宋体" w:hAnsi="宋体" w:cs="Calibri" w:hint="eastAsia"/>
                <w:color w:val="auto"/>
                <w:szCs w:val="21"/>
                <w:highlight w:val="none"/>
              </w:rPr>
              <w:t>（3）采购人对中标人的服务质量不定期抽查，检查记录经双方签字确认后保存在采购人处。采购人有权根据检查结果，按物业服务日常工作考核评分表（详见附件二）对中标人实施扣款，并下达书面整改通知责令中标人限期整改。中标人应派人参加每月考核，采购人发现问题则当场告知。中标人应根据考核发现问题，自采购人当场告知后5个工作日内提出整改意见，及时落实整改。</w:t>
            </w:r>
          </w:p>
          <w:p>
            <w:pPr>
              <w:widowControl/>
              <w:spacing w:line="380" w:lineRule="exact"/>
              <w:ind w:firstLine="420" w:firstLineChars="200"/>
              <w:jc w:val="left"/>
              <w:rPr>
                <w:rFonts w:ascii="宋体" w:hAnsi="宋体" w:cs="Calibri"/>
                <w:color w:val="auto"/>
                <w:szCs w:val="21"/>
                <w:highlight w:val="none"/>
              </w:rPr>
            </w:pPr>
            <w:r>
              <w:rPr>
                <w:rFonts w:ascii="宋体" w:hAnsi="宋体" w:cs="Calibri" w:hint="eastAsia"/>
                <w:color w:val="auto"/>
                <w:szCs w:val="21"/>
                <w:highlight w:val="none"/>
              </w:rPr>
              <w:t>（4）物业管理服务费按月支付，考核结果经采购人、中标人双方确认后的10个工作日内，中标人根据考核结果将请款函以及同等金额、合法有效的增值税普通发票开具给采购人，采购人在收齐以上请款材料的10个工作日内支付上月物业服务费。当月实际支付物业服务费=应付上月物业服务费-上月定期考核扣款-未支付的不定期考核扣款。</w:t>
            </w:r>
          </w:p>
        </w:tc>
      </w:tr>
      <w:tr>
        <w:tblPrEx>
          <w:tblW w:w="5138" w:type="pct"/>
          <w:tblInd w:w="-256" w:type="dxa"/>
          <w:tblLayout w:type="fixed"/>
          <w:tblCellMar>
            <w:top w:w="0" w:type="dxa"/>
            <w:left w:w="0" w:type="dxa"/>
            <w:bottom w:w="0" w:type="dxa"/>
            <w:right w:w="0" w:type="dxa"/>
          </w:tblCellMar>
        </w:tblPrEx>
        <w:trPr>
          <w:trHeight w:val="567"/>
        </w:trPr>
        <w:tc>
          <w:tcPr>
            <w:tcW w:w="28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pPr>
              <w:spacing w:line="380" w:lineRule="exact"/>
              <w:jc w:val="center"/>
              <w:rPr>
                <w:rFonts w:ascii="宋体" w:hAnsi="宋体" w:cs="宋体"/>
                <w:color w:val="auto"/>
                <w:szCs w:val="21"/>
                <w:highlight w:val="none"/>
              </w:rPr>
            </w:pPr>
            <w:r>
              <w:rPr>
                <w:rFonts w:ascii="宋体" w:hAnsi="宋体" w:cs="宋体" w:hint="eastAsia"/>
                <w:color w:val="auto"/>
                <w:szCs w:val="21"/>
                <w:highlight w:val="none"/>
              </w:rPr>
              <w:t>5</w:t>
            </w:r>
          </w:p>
        </w:tc>
        <w:tc>
          <w:tcPr>
            <w:tcW w:w="574" w:type="pct"/>
            <w:gridSpan w:val="4"/>
            <w:tcBorders>
              <w:top w:val="single" w:sz="4" w:space="0" w:color="auto"/>
              <w:left w:val="single" w:sz="4" w:space="0" w:color="auto"/>
              <w:bottom w:val="single" w:sz="4" w:space="0" w:color="auto"/>
              <w:right w:val="single" w:sz="4" w:space="0" w:color="auto"/>
            </w:tcBorders>
            <w:vAlign w:val="center"/>
          </w:tcPr>
          <w:p>
            <w:pPr>
              <w:spacing w:line="380" w:lineRule="exact"/>
              <w:jc w:val="center"/>
              <w:rPr>
                <w:rFonts w:ascii="宋体" w:hAnsi="宋体" w:cs="Arial"/>
                <w:color w:val="auto"/>
                <w:szCs w:val="21"/>
                <w:highlight w:val="none"/>
              </w:rPr>
            </w:pPr>
            <w:r>
              <w:rPr>
                <w:rFonts w:ascii="宋体" w:hAnsi="宋体" w:cstheme="minorBidi" w:hint="eastAsia"/>
                <w:color w:val="auto"/>
                <w:szCs w:val="21"/>
                <w:highlight w:val="none"/>
              </w:rPr>
              <w:t>验收方式及标准</w:t>
            </w:r>
          </w:p>
        </w:tc>
        <w:tc>
          <w:tcPr>
            <w:tcW w:w="4138" w:type="pct"/>
            <w:gridSpan w:val="2"/>
            <w:tcBorders>
              <w:top w:val="single" w:sz="4" w:space="0" w:color="auto"/>
              <w:left w:val="single" w:sz="4" w:space="0" w:color="auto"/>
              <w:bottom w:val="single" w:sz="4" w:space="0" w:color="auto"/>
              <w:right w:val="single" w:sz="4" w:space="0" w:color="auto"/>
            </w:tcBorders>
          </w:tcPr>
          <w:p>
            <w:pPr>
              <w:widowControl/>
              <w:spacing w:line="380" w:lineRule="exact"/>
              <w:ind w:firstLine="420" w:firstLineChars="200"/>
              <w:jc w:val="left"/>
              <w:rPr>
                <w:rFonts w:ascii="宋体" w:hAnsi="宋体" w:cs="Arial"/>
                <w:color w:val="auto"/>
                <w:szCs w:val="21"/>
                <w:highlight w:val="none"/>
              </w:rPr>
            </w:pPr>
            <w:r>
              <w:rPr>
                <w:rFonts w:ascii="宋体" w:hAnsi="宋体" w:cs="Arial" w:hint="eastAsia"/>
                <w:color w:val="auto"/>
                <w:szCs w:val="21"/>
                <w:highlight w:val="none"/>
              </w:rPr>
              <w:t>项目验收工作由采购人按照内部验收的有关制度和流程组织开展。</w:t>
            </w:r>
          </w:p>
          <w:p>
            <w:pPr>
              <w:widowControl/>
              <w:spacing w:line="380" w:lineRule="exact"/>
              <w:ind w:firstLine="420" w:firstLineChars="200"/>
              <w:jc w:val="left"/>
              <w:rPr>
                <w:rFonts w:ascii="宋体" w:hAnsi="宋体" w:cs="Arial"/>
                <w:color w:val="auto"/>
                <w:szCs w:val="21"/>
                <w:highlight w:val="none"/>
              </w:rPr>
            </w:pPr>
            <w:r>
              <w:rPr>
                <w:rFonts w:ascii="宋体" w:hAnsi="宋体" w:cs="Arial" w:hint="eastAsia"/>
                <w:color w:val="auto"/>
                <w:szCs w:val="21"/>
                <w:highlight w:val="none"/>
              </w:rPr>
              <w:t>中标人在服务期结束后5个工作日内向采购人提出验收申请，采购人负责审核是否满足项目验收条件。满足验收条件后，予以启动项目验收程序。</w:t>
            </w:r>
          </w:p>
          <w:p>
            <w:pPr>
              <w:widowControl/>
              <w:spacing w:line="380" w:lineRule="exact"/>
              <w:ind w:firstLine="420" w:firstLineChars="200"/>
              <w:jc w:val="left"/>
              <w:rPr>
                <w:rFonts w:ascii="宋体" w:hAnsi="宋体" w:cs="Arial"/>
                <w:color w:val="auto"/>
                <w:szCs w:val="21"/>
                <w:highlight w:val="none"/>
              </w:rPr>
            </w:pPr>
            <w:r>
              <w:rPr>
                <w:rFonts w:ascii="宋体" w:hAnsi="宋体" w:cs="Arial" w:hint="eastAsia"/>
                <w:color w:val="auto"/>
                <w:szCs w:val="21"/>
                <w:highlight w:val="none"/>
              </w:rPr>
              <w:t>（1）项目验收条件</w:t>
            </w:r>
          </w:p>
          <w:p>
            <w:pPr>
              <w:widowControl/>
              <w:spacing w:line="380" w:lineRule="exact"/>
              <w:ind w:firstLine="420" w:firstLineChars="200"/>
              <w:jc w:val="left"/>
              <w:rPr>
                <w:rFonts w:ascii="宋体" w:hAnsi="宋体" w:cs="Arial"/>
                <w:color w:val="auto"/>
                <w:szCs w:val="21"/>
                <w:highlight w:val="none"/>
              </w:rPr>
            </w:pPr>
            <w:r>
              <w:rPr>
                <w:rFonts w:ascii="宋体" w:hAnsi="宋体" w:cs="Arial" w:hint="eastAsia"/>
                <w:color w:val="auto"/>
                <w:szCs w:val="21"/>
                <w:highlight w:val="none"/>
              </w:rPr>
              <w:t>本招标文件中包含的服务需求内容按期完成。</w:t>
            </w:r>
          </w:p>
          <w:p>
            <w:pPr>
              <w:widowControl/>
              <w:spacing w:line="380" w:lineRule="exact"/>
              <w:ind w:firstLine="420" w:firstLineChars="200"/>
              <w:jc w:val="left"/>
              <w:rPr>
                <w:rFonts w:ascii="宋体" w:hAnsi="宋体" w:cs="Arial"/>
                <w:color w:val="auto"/>
                <w:szCs w:val="21"/>
                <w:highlight w:val="none"/>
              </w:rPr>
            </w:pPr>
            <w:r>
              <w:rPr>
                <w:rFonts w:ascii="宋体" w:hAnsi="宋体" w:cs="Arial" w:hint="eastAsia"/>
                <w:color w:val="auto"/>
                <w:szCs w:val="21"/>
                <w:highlight w:val="none"/>
              </w:rPr>
              <w:t>服务响应、服务流程、服务质量、服务成果以及组织管理和项目文档满足本招标文件的规定要求。</w:t>
            </w:r>
          </w:p>
          <w:p>
            <w:pPr>
              <w:widowControl/>
              <w:spacing w:line="380" w:lineRule="exact"/>
              <w:ind w:firstLine="420" w:firstLineChars="200"/>
              <w:jc w:val="left"/>
              <w:rPr>
                <w:rFonts w:ascii="宋体" w:hAnsi="宋体" w:cs="Arial"/>
                <w:color w:val="auto"/>
                <w:szCs w:val="21"/>
                <w:highlight w:val="none"/>
              </w:rPr>
            </w:pPr>
            <w:r>
              <w:rPr>
                <w:rFonts w:ascii="宋体" w:hAnsi="宋体" w:cs="Arial" w:hint="eastAsia"/>
                <w:color w:val="auto"/>
                <w:szCs w:val="21"/>
                <w:highlight w:val="none"/>
              </w:rPr>
              <w:t>（2）项目验收标准</w:t>
            </w:r>
          </w:p>
          <w:p>
            <w:pPr>
              <w:widowControl/>
              <w:spacing w:line="380" w:lineRule="exact"/>
              <w:ind w:firstLine="420" w:firstLineChars="200"/>
              <w:jc w:val="left"/>
              <w:rPr>
                <w:rFonts w:ascii="宋体" w:hAnsi="宋体" w:cs="Arial"/>
                <w:color w:val="auto"/>
                <w:szCs w:val="21"/>
                <w:highlight w:val="none"/>
              </w:rPr>
            </w:pPr>
            <w:r>
              <w:rPr>
                <w:rFonts w:ascii="宋体" w:hAnsi="宋体" w:cs="Arial" w:hint="eastAsia"/>
                <w:color w:val="auto"/>
                <w:szCs w:val="21"/>
                <w:highlight w:val="none"/>
              </w:rPr>
              <w:t>采购人以本招标文件中相关内容为依据，作为项目验收标准。中标人是否按照本招标需求书中定义的各项服务内容和服务管理开展各项工作，工作流程和结果是否符合采购人质量管理要求，是否在规定时间内提交相关工作文档。</w:t>
            </w:r>
          </w:p>
          <w:p>
            <w:pPr>
              <w:widowControl/>
              <w:spacing w:line="380" w:lineRule="exact"/>
              <w:ind w:firstLine="420" w:firstLineChars="200"/>
              <w:jc w:val="left"/>
              <w:rPr>
                <w:rFonts w:ascii="宋体" w:hAnsi="宋体" w:cstheme="minorBidi"/>
                <w:color w:val="auto"/>
                <w:szCs w:val="21"/>
                <w:highlight w:val="none"/>
              </w:rPr>
            </w:pPr>
            <w:r>
              <w:rPr>
                <w:rFonts w:ascii="宋体" w:hAnsi="宋体" w:cstheme="minorBidi" w:hint="eastAsia"/>
                <w:color w:val="auto"/>
                <w:szCs w:val="21"/>
                <w:highlight w:val="none"/>
              </w:rPr>
              <w:t>（3）交付物</w:t>
            </w:r>
          </w:p>
          <w:p>
            <w:pPr>
              <w:widowControl/>
              <w:spacing w:line="380" w:lineRule="exact"/>
              <w:ind w:firstLine="630" w:firstLineChars="300"/>
              <w:jc w:val="left"/>
              <w:rPr>
                <w:rFonts w:ascii="宋体" w:hAnsi="宋体" w:cstheme="minorBidi"/>
                <w:color w:val="auto"/>
                <w:szCs w:val="21"/>
                <w:highlight w:val="none"/>
              </w:rPr>
            </w:pPr>
            <w:r>
              <w:rPr>
                <w:rFonts w:ascii="宋体" w:hAnsi="宋体" w:cstheme="minorBidi" w:hint="eastAsia"/>
                <w:color w:val="auto"/>
                <w:szCs w:val="21"/>
                <w:highlight w:val="none"/>
              </w:rPr>
              <w:t>1.工作月报：电子、纸质；</w:t>
            </w:r>
          </w:p>
          <w:p>
            <w:pPr>
              <w:widowControl/>
              <w:spacing w:line="380" w:lineRule="exact"/>
              <w:ind w:firstLine="630" w:firstLineChars="300"/>
              <w:jc w:val="left"/>
              <w:rPr>
                <w:rFonts w:ascii="宋体" w:hAnsi="宋体" w:cstheme="minorBidi"/>
                <w:color w:val="auto"/>
                <w:szCs w:val="21"/>
                <w:highlight w:val="none"/>
              </w:rPr>
            </w:pPr>
            <w:r>
              <w:rPr>
                <w:rFonts w:ascii="宋体" w:hAnsi="宋体" w:cstheme="minorBidi" w:hint="eastAsia"/>
                <w:color w:val="auto"/>
                <w:szCs w:val="21"/>
                <w:highlight w:val="none"/>
              </w:rPr>
              <w:t>2.问题受理处理记录明细：电子、纸质；</w:t>
            </w:r>
          </w:p>
          <w:p>
            <w:pPr>
              <w:widowControl/>
              <w:spacing w:line="380" w:lineRule="exact"/>
              <w:ind w:firstLine="630" w:firstLineChars="300"/>
              <w:jc w:val="left"/>
              <w:rPr>
                <w:rFonts w:ascii="宋体" w:hAnsi="宋体" w:cstheme="minorBidi"/>
                <w:color w:val="auto"/>
                <w:szCs w:val="21"/>
                <w:highlight w:val="none"/>
              </w:rPr>
            </w:pPr>
            <w:r>
              <w:rPr>
                <w:rFonts w:ascii="宋体" w:hAnsi="宋体" w:cstheme="minorBidi" w:hint="eastAsia"/>
                <w:color w:val="auto"/>
                <w:szCs w:val="21"/>
                <w:highlight w:val="none"/>
              </w:rPr>
              <w:t>3.应急预案：电子、纸质。</w:t>
            </w:r>
          </w:p>
          <w:p>
            <w:pPr>
              <w:widowControl/>
              <w:spacing w:line="380" w:lineRule="exact"/>
              <w:ind w:firstLine="420" w:firstLineChars="200"/>
              <w:jc w:val="left"/>
              <w:rPr>
                <w:rFonts w:ascii="宋体" w:hAnsi="宋体" w:cstheme="minorBidi"/>
                <w:color w:val="auto"/>
                <w:szCs w:val="21"/>
                <w:highlight w:val="none"/>
              </w:rPr>
            </w:pPr>
            <w:r>
              <w:rPr>
                <w:rFonts w:ascii="宋体" w:hAnsi="宋体" w:cstheme="minorBidi" w:hint="eastAsia"/>
                <w:color w:val="auto"/>
                <w:szCs w:val="21"/>
                <w:highlight w:val="none"/>
              </w:rPr>
              <w:t>（4）交付物标准</w:t>
            </w:r>
          </w:p>
          <w:p>
            <w:pPr>
              <w:widowControl/>
              <w:spacing w:line="380" w:lineRule="exact"/>
              <w:ind w:firstLine="420" w:firstLineChars="200"/>
              <w:jc w:val="left"/>
              <w:rPr>
                <w:rFonts w:ascii="宋体" w:hAnsi="宋体" w:cs="Arial"/>
                <w:color w:val="auto"/>
                <w:szCs w:val="21"/>
                <w:highlight w:val="none"/>
              </w:rPr>
            </w:pPr>
            <w:r>
              <w:rPr>
                <w:rFonts w:ascii="宋体" w:hAnsi="宋体" w:cstheme="minorBidi" w:hint="eastAsia"/>
                <w:color w:val="auto"/>
                <w:szCs w:val="21"/>
                <w:highlight w:val="none"/>
              </w:rPr>
              <w:t>中标人需要按照采购人要求，提交相应文档，并保证文档质量。所有文档必须符合文档管理规范。</w:t>
            </w:r>
          </w:p>
        </w:tc>
      </w:tr>
      <w:tr>
        <w:tblPrEx>
          <w:tblW w:w="5138" w:type="pct"/>
          <w:tblInd w:w="-256" w:type="dxa"/>
          <w:tblLayout w:type="fixed"/>
          <w:tblCellMar>
            <w:top w:w="0" w:type="dxa"/>
            <w:left w:w="0" w:type="dxa"/>
            <w:bottom w:w="0" w:type="dxa"/>
            <w:right w:w="0" w:type="dxa"/>
          </w:tblCellMar>
        </w:tblPrEx>
        <w:trPr>
          <w:trHeight w:val="567"/>
        </w:trPr>
        <w:tc>
          <w:tcPr>
            <w:tcW w:w="5000" w:type="pct"/>
            <w:gridSpan w:val="7"/>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pPr>
              <w:autoSpaceDE w:val="0"/>
              <w:autoSpaceDN w:val="0"/>
              <w:adjustRightInd w:val="0"/>
              <w:spacing w:line="380" w:lineRule="exact"/>
              <w:rPr>
                <w:rFonts w:ascii="宋体" w:hAnsi="宋体" w:cs="宋体"/>
                <w:b/>
                <w:color w:val="auto"/>
                <w:szCs w:val="21"/>
                <w:highlight w:val="none"/>
              </w:rPr>
            </w:pPr>
            <w:r>
              <w:rPr>
                <w:rFonts w:ascii="宋体" w:hAnsi="宋体" w:cs="宋体"/>
                <w:b/>
                <w:color w:val="auto"/>
                <w:szCs w:val="21"/>
                <w:highlight w:val="none"/>
              </w:rPr>
              <w:t>三、其他要求</w:t>
            </w:r>
          </w:p>
        </w:tc>
      </w:tr>
      <w:tr>
        <w:tblPrEx>
          <w:tblW w:w="5138" w:type="pct"/>
          <w:tblInd w:w="-256" w:type="dxa"/>
          <w:tblLayout w:type="fixed"/>
          <w:tblCellMar>
            <w:top w:w="0" w:type="dxa"/>
            <w:left w:w="0" w:type="dxa"/>
            <w:bottom w:w="0" w:type="dxa"/>
            <w:right w:w="0" w:type="dxa"/>
          </w:tblCellMar>
        </w:tblPrEx>
        <w:trPr>
          <w:trHeight w:val="567"/>
        </w:trPr>
        <w:tc>
          <w:tcPr>
            <w:tcW w:w="307" w:type="pct"/>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pPr>
              <w:autoSpaceDE w:val="0"/>
              <w:autoSpaceDN w:val="0"/>
              <w:adjustRightInd w:val="0"/>
              <w:spacing w:line="380" w:lineRule="exact"/>
              <w:rPr>
                <w:rFonts w:ascii="宋体" w:hAnsi="宋体" w:cs="宋体"/>
                <w:b/>
                <w:color w:val="auto"/>
                <w:szCs w:val="21"/>
                <w:highlight w:val="none"/>
              </w:rPr>
            </w:pPr>
            <w:r>
              <w:rPr>
                <w:rFonts w:ascii="宋体" w:hAnsi="宋体" w:cs="宋体"/>
                <w:color w:val="auto"/>
                <w:szCs w:val="21"/>
                <w:highlight w:val="none"/>
              </w:rPr>
              <w:t>1</w:t>
            </w:r>
          </w:p>
        </w:tc>
        <w:tc>
          <w:tcPr>
            <w:tcW w:w="542" w:type="pct"/>
            <w:gridSpan w:val="2"/>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380" w:lineRule="exact"/>
              <w:rPr>
                <w:rFonts w:ascii="宋体" w:hAnsi="宋体" w:cs="宋体"/>
                <w:b/>
                <w:color w:val="auto"/>
                <w:szCs w:val="21"/>
                <w:highlight w:val="none"/>
              </w:rPr>
            </w:pPr>
            <w:r>
              <w:rPr>
                <w:rFonts w:ascii="宋体" w:hAnsi="宋体" w:cstheme="minorBidi" w:hint="eastAsia"/>
                <w:color w:val="auto"/>
                <w:szCs w:val="21"/>
                <w:highlight w:val="none"/>
              </w:rPr>
              <w:t>其他要求</w:t>
            </w:r>
          </w:p>
        </w:tc>
        <w:tc>
          <w:tcPr>
            <w:tcW w:w="4149" w:type="pct"/>
            <w:gridSpan w:val="3"/>
            <w:tcBorders>
              <w:top w:val="single" w:sz="4" w:space="0" w:color="auto"/>
              <w:left w:val="single" w:sz="4" w:space="0" w:color="auto"/>
              <w:bottom w:val="single" w:sz="4" w:space="0" w:color="auto"/>
              <w:right w:val="single" w:sz="4" w:space="0" w:color="auto"/>
            </w:tcBorders>
          </w:tcPr>
          <w:p>
            <w:pPr>
              <w:autoSpaceDE w:val="0"/>
              <w:autoSpaceDN w:val="0"/>
              <w:adjustRightInd w:val="0"/>
              <w:spacing w:line="380" w:lineRule="exact"/>
              <w:rPr>
                <w:rFonts w:ascii="宋体" w:hAnsi="宋体" w:cs="宋体"/>
                <w:color w:val="auto"/>
                <w:szCs w:val="21"/>
                <w:highlight w:val="none"/>
              </w:rPr>
            </w:pPr>
            <w:r>
              <w:rPr>
                <w:rFonts w:ascii="宋体" w:hAnsi="宋体" w:cs="宋体" w:hint="eastAsia"/>
                <w:color w:val="auto"/>
                <w:szCs w:val="21"/>
                <w:highlight w:val="none"/>
              </w:rPr>
              <w:t>（一）投标人建立相关的标准化管理体系、创建绿色企业、提供绿色物业管理服务、切实保护企业从业人员的职业健康、职业安全等合法权益，采用标准化的管理方式为采购人提供优质的物业管理服务，节能减排，同时确保对采购人、社会更负责任。</w:t>
            </w:r>
          </w:p>
          <w:p>
            <w:pPr>
              <w:autoSpaceDE w:val="0"/>
              <w:autoSpaceDN w:val="0"/>
              <w:adjustRightInd w:val="0"/>
              <w:spacing w:line="380" w:lineRule="exact"/>
              <w:rPr>
                <w:rFonts w:ascii="宋体" w:hAnsi="宋体" w:cs="宋体"/>
                <w:color w:val="auto"/>
                <w:szCs w:val="21"/>
                <w:highlight w:val="none"/>
              </w:rPr>
            </w:pPr>
            <w:r>
              <w:rPr>
                <w:rFonts w:ascii="宋体" w:hAnsi="宋体" w:cs="宋体" w:hint="eastAsia"/>
                <w:color w:val="auto"/>
                <w:szCs w:val="21"/>
                <w:highlight w:val="none"/>
              </w:rPr>
              <w:t>（二）投标人近三年内具有综合性物业管理服务的经验。</w:t>
            </w:r>
          </w:p>
          <w:p>
            <w:pPr>
              <w:autoSpaceDE w:val="0"/>
              <w:autoSpaceDN w:val="0"/>
              <w:adjustRightInd w:val="0"/>
              <w:spacing w:line="380" w:lineRule="exact"/>
              <w:rPr>
                <w:rFonts w:ascii="宋体" w:hAnsi="宋体" w:cs="宋体"/>
                <w:color w:val="auto"/>
                <w:szCs w:val="21"/>
                <w:highlight w:val="none"/>
              </w:rPr>
            </w:pPr>
            <w:r>
              <w:rPr>
                <w:rFonts w:ascii="宋体" w:hAnsi="宋体" w:cs="宋体" w:hint="eastAsia"/>
                <w:color w:val="auto"/>
                <w:szCs w:val="21"/>
                <w:highlight w:val="none"/>
              </w:rPr>
              <w:t>（三）如中标人对“电梯运行维护”的服务内容不进行分包的，中标人具有以下资质之一：</w:t>
            </w:r>
          </w:p>
          <w:p>
            <w:pPr>
              <w:autoSpaceDE w:val="0"/>
              <w:autoSpaceDN w:val="0"/>
              <w:adjustRightInd w:val="0"/>
              <w:spacing w:line="380" w:lineRule="exact"/>
              <w:ind w:firstLine="210" w:firstLineChars="100"/>
              <w:rPr>
                <w:rFonts w:ascii="宋体" w:hAnsi="宋体" w:cs="宋体"/>
                <w:color w:val="auto"/>
                <w:szCs w:val="21"/>
                <w:highlight w:val="none"/>
              </w:rPr>
            </w:pPr>
            <w:r>
              <w:rPr>
                <w:rFonts w:ascii="宋体" w:hAnsi="宋体" w:cs="宋体" w:hint="eastAsia"/>
                <w:color w:val="auto"/>
                <w:szCs w:val="21"/>
                <w:highlight w:val="none"/>
              </w:rPr>
              <w:t>1.具有有效的行政主管部门颁发的《中华人民共和国特种设备生产许可证》[许可项目：电梯制造（含安装、修理、改造），许可子项目：曳引驱动乘客电梯（B级或以上）]；</w:t>
            </w:r>
          </w:p>
          <w:p>
            <w:pPr>
              <w:autoSpaceDE w:val="0"/>
              <w:autoSpaceDN w:val="0"/>
              <w:adjustRightInd w:val="0"/>
              <w:spacing w:line="380" w:lineRule="exact"/>
              <w:ind w:firstLine="210" w:firstLineChars="100"/>
              <w:rPr>
                <w:rFonts w:ascii="宋体" w:hAnsi="宋体" w:cs="宋体"/>
                <w:color w:val="auto"/>
                <w:szCs w:val="21"/>
                <w:highlight w:val="none"/>
              </w:rPr>
            </w:pPr>
            <w:r>
              <w:rPr>
                <w:rFonts w:ascii="宋体" w:hAnsi="宋体" w:cs="宋体" w:hint="eastAsia"/>
                <w:color w:val="auto"/>
                <w:szCs w:val="21"/>
                <w:highlight w:val="none"/>
              </w:rPr>
              <w:t>2.具有有效的行政主管部门颁发的《中华人民共和国特种设备生产许可证》[许可项目：电梯安装（含修理），许可子项目：曳引驱动乘客电梯（B级或以上）]；</w:t>
            </w:r>
          </w:p>
          <w:p>
            <w:pPr>
              <w:autoSpaceDE w:val="0"/>
              <w:autoSpaceDN w:val="0"/>
              <w:adjustRightInd w:val="0"/>
              <w:spacing w:line="380" w:lineRule="exact"/>
              <w:ind w:firstLine="210" w:firstLineChars="100"/>
              <w:rPr>
                <w:rFonts w:ascii="宋体" w:hAnsi="宋体" w:cs="宋体"/>
                <w:color w:val="auto"/>
                <w:szCs w:val="21"/>
                <w:highlight w:val="none"/>
              </w:rPr>
            </w:pPr>
            <w:r>
              <w:rPr>
                <w:rFonts w:ascii="宋体" w:hAnsi="宋体" w:cs="宋体" w:hint="eastAsia"/>
                <w:color w:val="auto"/>
                <w:szCs w:val="21"/>
                <w:highlight w:val="none"/>
              </w:rPr>
              <w:t>3.具有有效的行政主管部门颁发的《中华人民共和国特种设备制造许可证》（电梯）（旧证）或《中华人民共和国特种设备安装改造维修许可证》（电梯）（旧证）,且许可范围满足第1或2点要求。</w:t>
            </w:r>
          </w:p>
          <w:p>
            <w:pPr>
              <w:autoSpaceDE w:val="0"/>
              <w:autoSpaceDN w:val="0"/>
              <w:adjustRightInd w:val="0"/>
              <w:spacing w:line="380" w:lineRule="exact"/>
              <w:ind w:firstLine="210" w:firstLineChars="100"/>
              <w:rPr>
                <w:rFonts w:ascii="宋体" w:hAnsi="宋体" w:cs="宋体"/>
                <w:b/>
                <w:bCs/>
                <w:color w:val="auto"/>
                <w:szCs w:val="21"/>
                <w:highlight w:val="none"/>
              </w:rPr>
            </w:pPr>
            <w:r>
              <w:rPr>
                <w:rFonts w:ascii="宋体" w:hAnsi="宋体" w:cs="宋体" w:hint="eastAsia"/>
                <w:b/>
                <w:bCs/>
                <w:color w:val="auto"/>
                <w:szCs w:val="21"/>
                <w:highlight w:val="none"/>
              </w:rPr>
              <w:t>注：须在投标文件“商务部分”中“三、其他文件及资料”提供以上证书扫描件；未按要求提供者，响应文件无效。</w:t>
            </w:r>
          </w:p>
          <w:p>
            <w:pPr>
              <w:autoSpaceDE w:val="0"/>
              <w:autoSpaceDN w:val="0"/>
              <w:adjustRightInd w:val="0"/>
              <w:spacing w:line="380" w:lineRule="exact"/>
              <w:ind w:firstLine="210" w:firstLineChars="100"/>
              <w:rPr>
                <w:rFonts w:ascii="宋体" w:hAnsi="宋体" w:cs="宋体"/>
                <w:color w:val="auto"/>
                <w:szCs w:val="21"/>
                <w:highlight w:val="none"/>
              </w:rPr>
            </w:pPr>
            <w:r>
              <w:rPr>
                <w:rFonts w:ascii="宋体" w:hAnsi="宋体" w:cs="宋体" w:hint="eastAsia"/>
                <w:color w:val="auto"/>
                <w:szCs w:val="21"/>
                <w:highlight w:val="none"/>
              </w:rPr>
              <w:t>(四)如中标人对“电梯运行维护”的服务内容进行分包：</w:t>
            </w:r>
          </w:p>
          <w:p>
            <w:pPr>
              <w:autoSpaceDE w:val="0"/>
              <w:autoSpaceDN w:val="0"/>
              <w:adjustRightInd w:val="0"/>
              <w:spacing w:line="380" w:lineRule="exact"/>
              <w:ind w:firstLine="210" w:firstLineChars="100"/>
              <w:rPr>
                <w:rFonts w:ascii="宋体" w:hAnsi="宋体" w:cs="宋体"/>
                <w:color w:val="auto"/>
                <w:szCs w:val="21"/>
                <w:highlight w:val="none"/>
              </w:rPr>
            </w:pPr>
            <w:r>
              <w:rPr>
                <w:rFonts w:ascii="宋体" w:hAnsi="宋体" w:cs="宋体" w:hint="eastAsia"/>
                <w:color w:val="auto"/>
                <w:szCs w:val="21"/>
                <w:highlight w:val="none"/>
              </w:rPr>
              <w:t>（1）分包供应商是符合政策要求的中小微企业或监狱企业或残疾人福利性单位；如中标人为小微企业，不得将合同分包给大中型企业。</w:t>
            </w:r>
          </w:p>
          <w:p>
            <w:pPr>
              <w:autoSpaceDE w:val="0"/>
              <w:autoSpaceDN w:val="0"/>
              <w:adjustRightInd w:val="0"/>
              <w:spacing w:line="380" w:lineRule="exact"/>
              <w:ind w:firstLine="210" w:firstLineChars="100"/>
              <w:rPr>
                <w:rFonts w:ascii="宋体" w:hAnsi="宋体" w:cs="宋体"/>
                <w:color w:val="auto"/>
                <w:szCs w:val="21"/>
                <w:highlight w:val="none"/>
              </w:rPr>
            </w:pPr>
            <w:r>
              <w:rPr>
                <w:rFonts w:ascii="宋体" w:hAnsi="宋体" w:cs="宋体" w:hint="eastAsia"/>
                <w:color w:val="auto"/>
                <w:szCs w:val="21"/>
                <w:highlight w:val="none"/>
              </w:rPr>
              <w:t>（2）分包供应商具有以下资质之一：①具有有效的行政主管部门颁发的《中华人民共和国特种设备生产许可证》[许可项目：电梯制造（含安装、修理、改造），许可子项目：曳引驱动乘客电梯（B级或以上）]；②具有有效的行政主管部门颁发的《中华人民共和国特种设备生产许可证》[许可项目：电梯安装（含修理），许可子项目：曳引驱动乘客电梯（B级或以上）]；③具有有效的行政主管部门颁发的《中华人民共和国特种设备制造许可证》（电梯）（旧证）或《中华人民共和国特种设备安装改造维修许可证》（电梯）（旧证）,且许可范围满足第①或②点要求；</w:t>
            </w:r>
          </w:p>
          <w:p>
            <w:pPr>
              <w:autoSpaceDE w:val="0"/>
              <w:autoSpaceDN w:val="0"/>
              <w:adjustRightInd w:val="0"/>
              <w:spacing w:line="380" w:lineRule="exact"/>
              <w:ind w:firstLine="210" w:firstLineChars="100"/>
              <w:rPr>
                <w:rFonts w:ascii="宋体" w:hAnsi="宋体" w:cs="宋体"/>
                <w:b/>
                <w:bCs/>
                <w:color w:val="auto"/>
                <w:szCs w:val="21"/>
                <w:highlight w:val="none"/>
              </w:rPr>
            </w:pPr>
            <w:r>
              <w:rPr>
                <w:rFonts w:ascii="宋体" w:hAnsi="宋体" w:cs="宋体" w:hint="eastAsia"/>
                <w:b/>
                <w:bCs/>
                <w:color w:val="auto"/>
                <w:szCs w:val="21"/>
                <w:highlight w:val="none"/>
              </w:rPr>
              <w:t>注：如投标人对“电梯运行维护”的服务内容进行分包，须在响应文件“商务部分”中“三、其他文件及资料”提供拟分包的公司营业执照复印件，改公司以上证书复印件（其中一个证书即可）；未按要求提供者，投标无效。</w:t>
            </w:r>
          </w:p>
          <w:p>
            <w:pPr>
              <w:autoSpaceDE w:val="0"/>
              <w:autoSpaceDN w:val="0"/>
              <w:adjustRightInd w:val="0"/>
              <w:spacing w:line="380" w:lineRule="exact"/>
              <w:ind w:firstLine="210" w:firstLineChars="100"/>
              <w:rPr>
                <w:rFonts w:ascii="宋体" w:hAnsi="宋体" w:cs="宋体"/>
                <w:b/>
                <w:color w:val="auto"/>
                <w:szCs w:val="21"/>
                <w:highlight w:val="none"/>
              </w:rPr>
            </w:pPr>
            <w:r>
              <w:rPr>
                <w:rFonts w:ascii="宋体" w:hAnsi="宋体" w:cs="宋体" w:hint="eastAsia"/>
                <w:color w:val="auto"/>
                <w:szCs w:val="21"/>
                <w:highlight w:val="none"/>
              </w:rPr>
              <w:t>（五）投标人可以根据项目要求，在投标文件中提供包括但不限于：</w:t>
            </w:r>
            <w:r>
              <w:rPr>
                <w:rFonts w:ascii="宋体" w:hAnsi="宋体" w:cs="宋体" w:hint="eastAsia"/>
                <w:color w:val="auto"/>
                <w:szCs w:val="21"/>
                <w:highlight w:val="none"/>
                <w:lang w:val="zh-CN"/>
              </w:rPr>
              <w:t>综合服务及会议服务方案、房屋的日常养护及</w:t>
            </w:r>
            <w:r>
              <w:rPr>
                <w:rFonts w:ascii="宋体" w:hAnsi="宋体" w:cs="宋体" w:hint="eastAsia"/>
                <w:color w:val="auto"/>
                <w:szCs w:val="21"/>
                <w:highlight w:val="none"/>
              </w:rPr>
              <w:t>公共设施设备的日常清洁、养护及管理</w:t>
            </w:r>
            <w:r>
              <w:rPr>
                <w:rFonts w:ascii="宋体" w:hAnsi="宋体" w:cs="宋体" w:hint="eastAsia"/>
                <w:color w:val="auto"/>
                <w:szCs w:val="21"/>
                <w:highlight w:val="none"/>
                <w:lang w:val="zh-CN"/>
              </w:rPr>
              <w:t>方案、</w:t>
            </w:r>
            <w:r>
              <w:rPr>
                <w:rFonts w:ascii="宋体" w:hAnsi="宋体" w:cs="宋体" w:hint="eastAsia"/>
                <w:color w:val="auto"/>
                <w:szCs w:val="21"/>
                <w:highlight w:val="none"/>
              </w:rPr>
              <w:t>保洁、绿化服务方案、秩序维护</w:t>
            </w:r>
            <w:r>
              <w:rPr>
                <w:rFonts w:ascii="宋体" w:hAnsi="宋体" w:cs="宋体" w:hint="eastAsia"/>
                <w:color w:val="auto"/>
                <w:szCs w:val="21"/>
                <w:highlight w:val="none"/>
                <w:lang w:val="zh-CN"/>
              </w:rPr>
              <w:t>服务方</w:t>
            </w:r>
            <w:r>
              <w:rPr>
                <w:rFonts w:ascii="宋体" w:hAnsi="宋体" w:cs="宋体" w:hint="eastAsia"/>
                <w:color w:val="auto"/>
                <w:szCs w:val="21"/>
                <w:highlight w:val="none"/>
              </w:rPr>
              <w:t>案、</w:t>
            </w:r>
            <w:r>
              <w:rPr>
                <w:rFonts w:ascii="宋体" w:hAnsi="宋体" w:cs="宋体" w:hint="eastAsia"/>
                <w:color w:val="auto"/>
                <w:szCs w:val="21"/>
                <w:highlight w:val="none"/>
                <w:lang w:val="zh-CN"/>
              </w:rPr>
              <w:t>突发事件应急预案、相关证书、成功案例、技术力量</w:t>
            </w:r>
            <w:r>
              <w:rPr>
                <w:rFonts w:ascii="宋体" w:hAnsi="宋体" w:cs="宋体" w:hint="eastAsia"/>
                <w:color w:val="auto"/>
                <w:szCs w:val="21"/>
                <w:highlight w:val="none"/>
              </w:rPr>
              <w:t>等。</w:t>
            </w:r>
          </w:p>
        </w:tc>
      </w:tr>
      <w:tr>
        <w:tblPrEx>
          <w:tblW w:w="5138" w:type="pct"/>
          <w:tblInd w:w="-256" w:type="dxa"/>
          <w:tblLayout w:type="fixed"/>
          <w:tblCellMar>
            <w:top w:w="0" w:type="dxa"/>
            <w:left w:w="0" w:type="dxa"/>
            <w:bottom w:w="0" w:type="dxa"/>
            <w:right w:w="0" w:type="dxa"/>
          </w:tblCellMar>
        </w:tblPrEx>
        <w:trPr>
          <w:trHeight w:val="567"/>
        </w:trPr>
        <w:tc>
          <w:tcPr>
            <w:tcW w:w="307" w:type="pct"/>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pPr>
              <w:autoSpaceDE w:val="0"/>
              <w:autoSpaceDN w:val="0"/>
              <w:adjustRightInd w:val="0"/>
              <w:spacing w:line="380" w:lineRule="exact"/>
              <w:rPr>
                <w:rFonts w:ascii="宋体" w:hAnsi="宋体" w:cs="宋体"/>
                <w:color w:val="auto"/>
                <w:szCs w:val="21"/>
                <w:highlight w:val="none"/>
              </w:rPr>
            </w:pPr>
            <w:r>
              <w:rPr>
                <w:rFonts w:ascii="宋体" w:hAnsi="宋体" w:cs="宋体" w:hint="eastAsia"/>
                <w:color w:val="auto"/>
                <w:szCs w:val="21"/>
                <w:highlight w:val="none"/>
              </w:rPr>
              <w:t>2</w:t>
            </w:r>
          </w:p>
        </w:tc>
        <w:tc>
          <w:tcPr>
            <w:tcW w:w="542" w:type="pct"/>
            <w:gridSpan w:val="2"/>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line="380" w:lineRule="exact"/>
              <w:rPr>
                <w:rFonts w:ascii="宋体" w:hAnsi="宋体" w:cstheme="minorBidi"/>
                <w:color w:val="auto"/>
                <w:szCs w:val="21"/>
                <w:highlight w:val="none"/>
              </w:rPr>
            </w:pPr>
            <w:r>
              <w:rPr>
                <w:rFonts w:ascii="宋体" w:hAnsi="宋体" w:cstheme="minorBidi" w:hint="eastAsia"/>
                <w:color w:val="auto"/>
                <w:szCs w:val="21"/>
                <w:highlight w:val="none"/>
              </w:rPr>
              <w:t>★分包</w:t>
            </w:r>
          </w:p>
        </w:tc>
        <w:tc>
          <w:tcPr>
            <w:tcW w:w="4149" w:type="pct"/>
            <w:gridSpan w:val="3"/>
            <w:tcBorders>
              <w:top w:val="single" w:sz="4" w:space="0" w:color="auto"/>
              <w:left w:val="single" w:sz="4" w:space="0" w:color="auto"/>
              <w:bottom w:val="single" w:sz="4" w:space="0" w:color="auto"/>
              <w:right w:val="single" w:sz="4" w:space="0" w:color="auto"/>
            </w:tcBorders>
          </w:tcPr>
          <w:p>
            <w:pPr>
              <w:autoSpaceDE w:val="0"/>
              <w:autoSpaceDN w:val="0"/>
              <w:adjustRightInd w:val="0"/>
              <w:spacing w:line="380" w:lineRule="exact"/>
              <w:ind w:firstLine="420" w:firstLineChars="200"/>
              <w:rPr>
                <w:rFonts w:ascii="宋体" w:hAnsi="宋体" w:cs="宋体"/>
                <w:color w:val="auto"/>
                <w:szCs w:val="21"/>
                <w:highlight w:val="none"/>
              </w:rPr>
            </w:pPr>
            <w:r>
              <w:rPr>
                <w:rFonts w:ascii="宋体" w:hAnsi="宋体" w:cs="宋体" w:hint="eastAsia"/>
                <w:color w:val="auto"/>
                <w:szCs w:val="21"/>
                <w:highlight w:val="none"/>
              </w:rPr>
              <w:t>1、如中标人为大、中型企业，需将本项目中不得低于合同金额的35%分包给小微企业或监狱企业或残疾人福利性单位。</w:t>
            </w:r>
          </w:p>
          <w:p>
            <w:pPr>
              <w:autoSpaceDE w:val="0"/>
              <w:autoSpaceDN w:val="0"/>
              <w:adjustRightInd w:val="0"/>
              <w:spacing w:line="380" w:lineRule="exact"/>
              <w:ind w:firstLine="420" w:firstLineChars="200"/>
              <w:rPr>
                <w:rFonts w:ascii="宋体" w:hAnsi="宋体" w:cs="宋体"/>
                <w:color w:val="auto"/>
                <w:szCs w:val="21"/>
                <w:highlight w:val="none"/>
              </w:rPr>
            </w:pPr>
            <w:r>
              <w:rPr>
                <w:rFonts w:ascii="宋体" w:hAnsi="宋体" w:cs="宋体" w:hint="eastAsia"/>
                <w:color w:val="auto"/>
                <w:szCs w:val="21"/>
                <w:highlight w:val="none"/>
              </w:rPr>
              <w:t>2、可以分包的内容：</w:t>
            </w:r>
          </w:p>
          <w:p>
            <w:pPr>
              <w:autoSpaceDE w:val="0"/>
              <w:autoSpaceDN w:val="0"/>
              <w:adjustRightInd w:val="0"/>
              <w:spacing w:line="380" w:lineRule="exact"/>
              <w:ind w:firstLine="420" w:firstLineChars="200"/>
              <w:rPr>
                <w:rFonts w:ascii="宋体" w:hAnsi="宋体" w:cs="宋体"/>
                <w:color w:val="auto"/>
                <w:szCs w:val="21"/>
                <w:highlight w:val="none"/>
              </w:rPr>
            </w:pPr>
            <w:r>
              <w:rPr>
                <w:rFonts w:ascii="宋体" w:hAnsi="宋体" w:cs="宋体" w:hint="eastAsia"/>
                <w:color w:val="auto"/>
                <w:szCs w:val="21"/>
                <w:highlight w:val="none"/>
              </w:rPr>
              <w:t>（1）本章节“一、项目服务方式及要求→（二）物业管理服务要求→4.公共设施设备的日常清洁、养护及管理→（4）电梯运行维护”的服务内容可以分包；如中标人拟对以上内容进行分包的，需满足以下要求：</w:t>
            </w:r>
          </w:p>
          <w:p>
            <w:pPr>
              <w:autoSpaceDE w:val="0"/>
              <w:autoSpaceDN w:val="0"/>
              <w:adjustRightInd w:val="0"/>
              <w:spacing w:line="380" w:lineRule="exact"/>
              <w:ind w:firstLine="420" w:firstLineChars="200"/>
              <w:rPr>
                <w:rFonts w:ascii="宋体" w:hAnsi="宋体" w:cs="宋体"/>
                <w:color w:val="auto"/>
                <w:szCs w:val="21"/>
                <w:highlight w:val="none"/>
              </w:rPr>
            </w:pPr>
            <w:r>
              <w:rPr>
                <w:rFonts w:ascii="宋体" w:hAnsi="宋体" w:cs="宋体" w:hint="eastAsia"/>
                <w:color w:val="auto"/>
                <w:szCs w:val="21"/>
                <w:highlight w:val="none"/>
              </w:rPr>
              <w:t>①分包供应商是符合政策要求的中小微企业或监狱企业或残疾人福利性单位；如中标人为小微企业，不得将合同分包给大中型企业。</w:t>
            </w:r>
          </w:p>
          <w:p>
            <w:pPr>
              <w:autoSpaceDE w:val="0"/>
              <w:autoSpaceDN w:val="0"/>
              <w:adjustRightInd w:val="0"/>
              <w:spacing w:line="380" w:lineRule="exact"/>
              <w:ind w:firstLine="420" w:firstLineChars="200"/>
              <w:rPr>
                <w:rFonts w:ascii="宋体" w:hAnsi="宋体" w:cs="宋体"/>
                <w:color w:val="auto"/>
                <w:szCs w:val="21"/>
                <w:highlight w:val="none"/>
              </w:rPr>
            </w:pPr>
            <w:r>
              <w:rPr>
                <w:rFonts w:ascii="宋体" w:hAnsi="宋体" w:cs="宋体" w:hint="eastAsia"/>
                <w:color w:val="auto"/>
                <w:szCs w:val="21"/>
                <w:highlight w:val="none"/>
              </w:rPr>
              <w:t>②分包供应商具有以下资质之一：①具有有效的行政主管部门颁发的《中华人民共和国特种设备生产许可证》[许可项目：电梯制造（含安装、修理、改造），许可子项目：曳引驱动乘客电梯（B级或以上）]；②具有有效的行政主管部门颁发的《中华人民共和国特种设备生产许可证》[许可项目：电梯安装（含修理），许可子项目：曳引驱动乘客电梯（B级或以上）]；③具有有效的行政主管部门颁发的《中华人民共和国特种设备制造许可证》（电梯）（旧证）或《中华人民共和国特种设备安装改造维修许可证》（电梯）（旧证）,且许可范围满足第①或②点要求；</w:t>
            </w:r>
          </w:p>
          <w:p>
            <w:pPr>
              <w:autoSpaceDE w:val="0"/>
              <w:autoSpaceDN w:val="0"/>
              <w:adjustRightInd w:val="0"/>
              <w:spacing w:line="380" w:lineRule="exact"/>
              <w:ind w:firstLine="420" w:firstLineChars="200"/>
              <w:rPr>
                <w:rFonts w:ascii="宋体" w:hAnsi="宋体" w:cs="宋体"/>
                <w:color w:val="auto"/>
                <w:szCs w:val="21"/>
                <w:highlight w:val="none"/>
              </w:rPr>
            </w:pPr>
            <w:r>
              <w:rPr>
                <w:rFonts w:ascii="宋体" w:hAnsi="宋体" w:cs="宋体" w:hint="eastAsia"/>
                <w:color w:val="auto"/>
                <w:szCs w:val="21"/>
                <w:highlight w:val="none"/>
              </w:rPr>
              <w:t>（2）本章节“一、项目服务方式及要求→（二）物业管理服务要求→5.保洁服务、6.绿化服务、8.秩序维护服务”的服务内容可以分包；</w:t>
            </w:r>
          </w:p>
          <w:p>
            <w:pPr>
              <w:autoSpaceDE w:val="0"/>
              <w:autoSpaceDN w:val="0"/>
              <w:adjustRightInd w:val="0"/>
              <w:spacing w:line="380" w:lineRule="exact"/>
              <w:ind w:firstLine="420" w:firstLineChars="200"/>
              <w:rPr>
                <w:rFonts w:ascii="宋体" w:hAnsi="宋体" w:cs="宋体"/>
                <w:color w:val="auto"/>
                <w:szCs w:val="21"/>
                <w:highlight w:val="none"/>
              </w:rPr>
            </w:pPr>
            <w:r>
              <w:rPr>
                <w:rFonts w:ascii="宋体" w:hAnsi="宋体" w:cs="宋体" w:hint="eastAsia"/>
                <w:color w:val="auto"/>
                <w:szCs w:val="21"/>
                <w:highlight w:val="none"/>
              </w:rPr>
              <w:t>3、分包供应商不得再次分包；</w:t>
            </w:r>
          </w:p>
          <w:p>
            <w:pPr>
              <w:autoSpaceDE w:val="0"/>
              <w:autoSpaceDN w:val="0"/>
              <w:adjustRightInd w:val="0"/>
              <w:spacing w:line="380" w:lineRule="exact"/>
              <w:ind w:firstLine="420" w:firstLineChars="200"/>
              <w:rPr>
                <w:rFonts w:ascii="宋体" w:hAnsi="宋体"/>
                <w:color w:val="auto"/>
                <w:szCs w:val="21"/>
                <w:highlight w:val="none"/>
              </w:rPr>
            </w:pPr>
            <w:r>
              <w:rPr>
                <w:rFonts w:ascii="宋体" w:hAnsi="宋体" w:cs="宋体" w:hint="eastAsia"/>
                <w:color w:val="auto"/>
                <w:szCs w:val="21"/>
                <w:highlight w:val="none"/>
              </w:rPr>
              <w:t>4、中标人应就分包内容向采购人负责，并与分包供应商就分包内容向采购人承担连带责任。</w:t>
            </w:r>
          </w:p>
        </w:tc>
      </w:tr>
    </w:tbl>
    <w:p>
      <w:pPr>
        <w:wordWrap w:val="0"/>
        <w:autoSpaceDE w:val="0"/>
        <w:autoSpaceDN w:val="0"/>
        <w:adjustRightInd w:val="0"/>
        <w:snapToGrid w:val="0"/>
        <w:spacing w:before="149" w:line="355" w:lineRule="auto"/>
        <w:ind w:left="8" w:firstLine="431"/>
        <w:jc w:val="left"/>
        <w:textAlignment w:val="baseline"/>
        <w:rPr>
          <w:rFonts w:ascii="仿宋" w:eastAsia="仿宋" w:hAnsi="仿宋" w:cs="仿宋"/>
          <w:b/>
          <w:bCs/>
          <w:snapToGrid w:val="0"/>
          <w:color w:val="auto"/>
          <w:spacing w:val="8"/>
          <w:kern w:val="0"/>
          <w:sz w:val="24"/>
          <w:szCs w:val="24"/>
          <w:highlight w:val="none"/>
        </w:rPr>
      </w:pPr>
      <w:r>
        <w:rPr>
          <w:rFonts w:ascii="仿宋" w:eastAsia="仿宋" w:hAnsi="仿宋" w:cs="仿宋"/>
          <w:b/>
          <w:bCs/>
          <w:snapToGrid w:val="0"/>
          <w:color w:val="auto"/>
          <w:spacing w:val="8"/>
          <w:kern w:val="0"/>
          <w:sz w:val="24"/>
          <w:szCs w:val="24"/>
          <w:highlight w:val="none"/>
        </w:rPr>
        <w:br w:type="page"/>
      </w:r>
    </w:p>
    <w:p>
      <w:pPr>
        <w:wordWrap w:val="0"/>
        <w:autoSpaceDE w:val="0"/>
        <w:autoSpaceDN w:val="0"/>
        <w:adjustRightInd w:val="0"/>
        <w:snapToGrid w:val="0"/>
        <w:spacing w:before="149" w:line="355" w:lineRule="auto"/>
        <w:ind w:left="8" w:firstLine="431"/>
        <w:jc w:val="left"/>
        <w:textAlignment w:val="baseline"/>
        <w:rPr>
          <w:rFonts w:ascii="仿宋" w:eastAsia="仿宋" w:hAnsi="仿宋" w:cs="仿宋"/>
          <w:snapToGrid w:val="0"/>
          <w:color w:val="auto"/>
          <w:kern w:val="0"/>
          <w:sz w:val="28"/>
          <w:szCs w:val="28"/>
          <w:highlight w:val="none"/>
          <w:lang w:eastAsia="en-US"/>
        </w:rPr>
      </w:pPr>
      <w:r>
        <w:rPr>
          <w:rFonts w:ascii="仿宋" w:eastAsia="仿宋" w:hAnsi="仿宋" w:cs="仿宋" w:hint="eastAsia"/>
          <w:b/>
          <w:bCs/>
          <w:snapToGrid w:val="0"/>
          <w:color w:val="auto"/>
          <w:spacing w:val="8"/>
          <w:kern w:val="0"/>
          <w:sz w:val="24"/>
          <w:szCs w:val="24"/>
          <w:highlight w:val="none"/>
        </w:rPr>
        <w:t>附件一：物业服务月度考核评分表（如中标人投标承诺的考核评分表优于本表，合同履约时将</w:t>
      </w:r>
      <w:r>
        <w:rPr>
          <w:rFonts w:ascii="仿宋" w:eastAsia="仿宋" w:hAnsi="仿宋" w:cs="仿宋" w:hint="eastAsia"/>
          <w:b/>
          <w:bCs/>
          <w:snapToGrid w:val="0"/>
          <w:color w:val="auto"/>
          <w:spacing w:val="6"/>
          <w:kern w:val="0"/>
          <w:sz w:val="24"/>
          <w:szCs w:val="24"/>
          <w:highlight w:val="none"/>
        </w:rPr>
        <w:t>结合中标人投标承诺的考核评分表及采购人制订的考核评分表进行履</w:t>
      </w:r>
      <w:r>
        <w:rPr>
          <w:rFonts w:ascii="仿宋" w:eastAsia="仿宋" w:hAnsi="仿宋" w:cs="仿宋" w:hint="eastAsia"/>
          <w:b/>
          <w:bCs/>
          <w:snapToGrid w:val="0"/>
          <w:color w:val="auto"/>
          <w:spacing w:val="5"/>
          <w:kern w:val="0"/>
          <w:sz w:val="24"/>
          <w:szCs w:val="24"/>
          <w:highlight w:val="none"/>
        </w:rPr>
        <w:t>约考核。</w:t>
      </w:r>
      <w:r>
        <w:rPr>
          <w:rFonts w:ascii="仿宋" w:eastAsia="仿宋" w:hAnsi="仿宋" w:cs="仿宋" w:hint="eastAsia"/>
          <w:b/>
          <w:bCs/>
          <w:snapToGrid w:val="0"/>
          <w:color w:val="auto"/>
          <w:spacing w:val="5"/>
          <w:kern w:val="0"/>
          <w:sz w:val="24"/>
          <w:szCs w:val="24"/>
          <w:highlight w:val="none"/>
          <w:lang w:eastAsia="en-US"/>
        </w:rPr>
        <w:t>）</w:t>
      </w:r>
    </w:p>
    <w:p>
      <w:pPr>
        <w:wordWrap w:val="0"/>
        <w:autoSpaceDE w:val="0"/>
        <w:autoSpaceDN w:val="0"/>
        <w:adjustRightInd w:val="0"/>
        <w:snapToGrid w:val="0"/>
        <w:spacing w:before="65" w:line="228" w:lineRule="auto"/>
        <w:ind w:left="3380"/>
        <w:jc w:val="left"/>
        <w:textAlignment w:val="baseline"/>
        <w:rPr>
          <w:rFonts w:ascii="仿宋" w:eastAsia="仿宋" w:hAnsi="仿宋" w:cs="仿宋"/>
          <w:snapToGrid w:val="0"/>
          <w:color w:val="auto"/>
          <w:kern w:val="0"/>
          <w:sz w:val="28"/>
          <w:szCs w:val="28"/>
          <w:highlight w:val="none"/>
        </w:rPr>
      </w:pPr>
      <w:r>
        <w:rPr>
          <w:rFonts w:ascii="仿宋" w:eastAsia="仿宋" w:hAnsi="仿宋" w:cs="仿宋" w:hint="eastAsia"/>
          <w:b/>
          <w:bCs/>
          <w:snapToGrid w:val="0"/>
          <w:color w:val="auto"/>
          <w:spacing w:val="7"/>
          <w:kern w:val="0"/>
          <w:sz w:val="28"/>
          <w:szCs w:val="28"/>
          <w:highlight w:val="none"/>
        </w:rPr>
        <w:t>物业服务月度考核评分表</w:t>
      </w:r>
    </w:p>
    <w:p>
      <w:pPr>
        <w:wordWrap w:val="0"/>
        <w:autoSpaceDE w:val="0"/>
        <w:autoSpaceDN w:val="0"/>
        <w:adjustRightInd w:val="0"/>
        <w:snapToGrid w:val="0"/>
        <w:spacing w:before="153" w:line="228" w:lineRule="auto"/>
        <w:ind w:left="6016"/>
        <w:jc w:val="left"/>
        <w:textAlignment w:val="baseline"/>
        <w:rPr>
          <w:rFonts w:ascii="仿宋" w:eastAsia="仿宋" w:hAnsi="仿宋" w:cs="仿宋"/>
          <w:snapToGrid w:val="0"/>
          <w:color w:val="auto"/>
          <w:kern w:val="0"/>
          <w:sz w:val="28"/>
          <w:szCs w:val="28"/>
          <w:highlight w:val="none"/>
          <w:lang w:eastAsia="en-US"/>
        </w:rPr>
      </w:pPr>
      <w:r>
        <w:rPr>
          <w:rFonts w:ascii="仿宋" w:eastAsia="仿宋" w:hAnsi="仿宋" w:cs="仿宋" w:hint="eastAsia"/>
          <w:b/>
          <w:bCs/>
          <w:snapToGrid w:val="0"/>
          <w:color w:val="auto"/>
          <w:spacing w:val="-4"/>
          <w:kern w:val="0"/>
          <w:sz w:val="28"/>
          <w:szCs w:val="28"/>
          <w:highlight w:val="none"/>
          <w:lang w:eastAsia="en-US"/>
        </w:rPr>
        <w:t>年月日</w:t>
      </w:r>
    </w:p>
    <w:p>
      <w:pPr>
        <w:widowControl/>
        <w:wordWrap w:val="0"/>
        <w:autoSpaceDE w:val="0"/>
        <w:autoSpaceDN w:val="0"/>
        <w:adjustRightInd w:val="0"/>
        <w:snapToGrid w:val="0"/>
        <w:spacing w:line="124" w:lineRule="auto"/>
        <w:jc w:val="left"/>
        <w:textAlignment w:val="baseline"/>
        <w:rPr>
          <w:rFonts w:ascii="仿宋" w:eastAsia="仿宋" w:hAnsi="仿宋" w:cs="仿宋"/>
          <w:snapToGrid w:val="0"/>
          <w:color w:val="auto"/>
          <w:kern w:val="0"/>
          <w:sz w:val="28"/>
          <w:szCs w:val="28"/>
          <w:highlight w:val="none"/>
          <w:lang w:eastAsia="en-US"/>
        </w:rPr>
      </w:pPr>
    </w:p>
    <w:tbl>
      <w:tblPr>
        <w:tblStyle w:val="TableNormal0"/>
        <w:tblW w:w="904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557"/>
        <w:gridCol w:w="3663"/>
        <w:gridCol w:w="690"/>
        <w:gridCol w:w="3498"/>
        <w:gridCol w:w="636"/>
      </w:tblGrid>
      <w:tr>
        <w:tblPrEx>
          <w:tblW w:w="9044"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Ex>
        <w:trPr>
          <w:trHeight w:val="729"/>
        </w:trPr>
        <w:tc>
          <w:tcPr>
            <w:tcW w:w="557" w:type="dxa"/>
            <w:textDirection w:val="tbRlV"/>
            <w:vAlign w:val="center"/>
          </w:tcPr>
          <w:p>
            <w:pPr>
              <w:widowControl/>
              <w:wordWrap w:val="0"/>
              <w:autoSpaceDE w:val="0"/>
              <w:autoSpaceDN w:val="0"/>
              <w:adjustRightInd w:val="0"/>
              <w:snapToGrid w:val="0"/>
              <w:spacing w:before="179"/>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8"/>
                <w:kern w:val="0"/>
                <w:sz w:val="24"/>
                <w:szCs w:val="24"/>
                <w:highlight w:val="none"/>
                <w:lang w:eastAsia="en-US"/>
              </w:rPr>
              <w:t>序号</w:t>
            </w:r>
          </w:p>
        </w:tc>
        <w:tc>
          <w:tcPr>
            <w:tcW w:w="3663" w:type="dxa"/>
          </w:tcPr>
          <w:p>
            <w:pPr>
              <w:widowControl/>
              <w:wordWrap w:val="0"/>
              <w:autoSpaceDE w:val="0"/>
              <w:autoSpaceDN w:val="0"/>
              <w:adjustRightInd w:val="0"/>
              <w:snapToGrid w:val="0"/>
              <w:spacing w:before="179"/>
              <w:jc w:val="center"/>
              <w:textAlignment w:val="baseline"/>
              <w:rPr>
                <w:rFonts w:ascii="仿宋" w:eastAsia="仿宋" w:hAnsi="仿宋" w:cs="仿宋"/>
                <w:b/>
                <w:bCs/>
                <w:snapToGrid w:val="0"/>
                <w:color w:val="auto"/>
                <w:spacing w:val="8"/>
                <w:kern w:val="0"/>
                <w:sz w:val="24"/>
                <w:szCs w:val="24"/>
                <w:highlight w:val="none"/>
                <w:lang w:eastAsia="en-US"/>
              </w:rPr>
            </w:pPr>
            <w:r>
              <w:rPr>
                <w:rFonts w:ascii="仿宋" w:eastAsia="仿宋" w:hAnsi="仿宋" w:cs="仿宋" w:hint="eastAsia"/>
                <w:b/>
                <w:bCs/>
                <w:snapToGrid w:val="0"/>
                <w:color w:val="auto"/>
                <w:spacing w:val="8"/>
                <w:kern w:val="0"/>
                <w:sz w:val="24"/>
                <w:szCs w:val="24"/>
                <w:highlight w:val="none"/>
                <w:lang w:eastAsia="en-US"/>
              </w:rPr>
              <w:t>标准内容</w:t>
            </w:r>
          </w:p>
        </w:tc>
        <w:tc>
          <w:tcPr>
            <w:tcW w:w="690" w:type="dxa"/>
          </w:tcPr>
          <w:p>
            <w:pPr>
              <w:widowControl/>
              <w:wordWrap w:val="0"/>
              <w:autoSpaceDE w:val="0"/>
              <w:autoSpaceDN w:val="0"/>
              <w:adjustRightInd w:val="0"/>
              <w:snapToGrid w:val="0"/>
              <w:spacing w:before="179"/>
              <w:jc w:val="center"/>
              <w:textAlignment w:val="baseline"/>
              <w:rPr>
                <w:rFonts w:ascii="仿宋" w:eastAsia="仿宋" w:hAnsi="仿宋" w:cs="仿宋"/>
                <w:b/>
                <w:bCs/>
                <w:snapToGrid w:val="0"/>
                <w:color w:val="auto"/>
                <w:spacing w:val="8"/>
                <w:kern w:val="0"/>
                <w:sz w:val="24"/>
                <w:szCs w:val="24"/>
                <w:highlight w:val="none"/>
                <w:lang w:eastAsia="en-US"/>
              </w:rPr>
            </w:pPr>
            <w:r>
              <w:rPr>
                <w:rFonts w:ascii="仿宋" w:eastAsia="仿宋" w:hAnsi="仿宋" w:cs="仿宋" w:hint="eastAsia"/>
                <w:b/>
                <w:bCs/>
                <w:snapToGrid w:val="0"/>
                <w:color w:val="auto"/>
                <w:spacing w:val="8"/>
                <w:kern w:val="0"/>
                <w:sz w:val="24"/>
                <w:szCs w:val="24"/>
                <w:highlight w:val="none"/>
                <w:lang w:eastAsia="en-US"/>
              </w:rPr>
              <w:t>分值</w:t>
            </w:r>
          </w:p>
        </w:tc>
        <w:tc>
          <w:tcPr>
            <w:tcW w:w="3498" w:type="dxa"/>
          </w:tcPr>
          <w:p>
            <w:pPr>
              <w:widowControl/>
              <w:wordWrap w:val="0"/>
              <w:autoSpaceDE w:val="0"/>
              <w:autoSpaceDN w:val="0"/>
              <w:adjustRightInd w:val="0"/>
              <w:snapToGrid w:val="0"/>
              <w:spacing w:before="179"/>
              <w:jc w:val="center"/>
              <w:textAlignment w:val="baseline"/>
              <w:rPr>
                <w:rFonts w:ascii="仿宋" w:eastAsia="仿宋" w:hAnsi="仿宋" w:cs="仿宋"/>
                <w:b/>
                <w:bCs/>
                <w:snapToGrid w:val="0"/>
                <w:color w:val="auto"/>
                <w:spacing w:val="8"/>
                <w:kern w:val="0"/>
                <w:sz w:val="24"/>
                <w:szCs w:val="24"/>
                <w:highlight w:val="none"/>
                <w:lang w:eastAsia="en-US"/>
              </w:rPr>
            </w:pPr>
            <w:r>
              <w:rPr>
                <w:rFonts w:ascii="仿宋" w:eastAsia="仿宋" w:hAnsi="仿宋" w:cs="仿宋" w:hint="eastAsia"/>
                <w:b/>
                <w:bCs/>
                <w:snapToGrid w:val="0"/>
                <w:color w:val="auto"/>
                <w:spacing w:val="8"/>
                <w:kern w:val="0"/>
                <w:sz w:val="24"/>
                <w:szCs w:val="24"/>
                <w:highlight w:val="none"/>
                <w:lang w:eastAsia="en-US"/>
              </w:rPr>
              <w:t>考核细则</w:t>
            </w:r>
          </w:p>
        </w:tc>
        <w:tc>
          <w:tcPr>
            <w:tcW w:w="636" w:type="dxa"/>
            <w:textDirection w:val="tbRlV"/>
          </w:tcPr>
          <w:p>
            <w:pPr>
              <w:widowControl/>
              <w:wordWrap w:val="0"/>
              <w:autoSpaceDE w:val="0"/>
              <w:autoSpaceDN w:val="0"/>
              <w:adjustRightInd w:val="0"/>
              <w:snapToGrid w:val="0"/>
              <w:spacing w:before="179" w:line="218" w:lineRule="auto"/>
              <w:jc w:val="center"/>
              <w:textAlignment w:val="baseline"/>
              <w:rPr>
                <w:rFonts w:ascii="仿宋" w:eastAsia="仿宋" w:hAnsi="仿宋" w:cs="仿宋"/>
                <w:b/>
                <w:bCs/>
                <w:snapToGrid w:val="0"/>
                <w:color w:val="auto"/>
                <w:spacing w:val="8"/>
                <w:kern w:val="0"/>
                <w:sz w:val="24"/>
                <w:szCs w:val="24"/>
                <w:highlight w:val="none"/>
                <w:lang w:eastAsia="en-US"/>
              </w:rPr>
            </w:pPr>
            <w:r>
              <w:rPr>
                <w:rFonts w:ascii="仿宋" w:eastAsia="仿宋" w:hAnsi="仿宋" w:cs="仿宋" w:hint="eastAsia"/>
                <w:b/>
                <w:bCs/>
                <w:snapToGrid w:val="0"/>
                <w:color w:val="auto"/>
                <w:spacing w:val="8"/>
                <w:kern w:val="0"/>
                <w:sz w:val="24"/>
                <w:szCs w:val="24"/>
                <w:highlight w:val="none"/>
                <w:lang w:eastAsia="en-US"/>
              </w:rPr>
              <w:t>得分</w:t>
            </w:r>
          </w:p>
        </w:tc>
      </w:tr>
      <w:tr>
        <w:tblPrEx>
          <w:tblW w:w="9044" w:type="dxa"/>
          <w:tblInd w:w="17" w:type="dxa"/>
          <w:tblLayout w:type="fixed"/>
          <w:tblCellMar>
            <w:top w:w="0" w:type="dxa"/>
            <w:left w:w="0" w:type="dxa"/>
            <w:bottom w:w="0" w:type="dxa"/>
            <w:right w:w="0" w:type="dxa"/>
          </w:tblCellMar>
        </w:tblPrEx>
        <w:trPr>
          <w:trHeight w:val="365"/>
        </w:trPr>
        <w:tc>
          <w:tcPr>
            <w:tcW w:w="557" w:type="dxa"/>
            <w:tcBorders>
              <w:bottom w:val="nil"/>
            </w:tcBorders>
            <w:vAlign w:val="center"/>
          </w:tcPr>
          <w:p>
            <w:pPr>
              <w:widowControl/>
              <w:wordWrap w:val="0"/>
              <w:autoSpaceDE w:val="0"/>
              <w:autoSpaceDN w:val="0"/>
              <w:adjustRightInd w:val="0"/>
              <w:snapToGrid w:val="0"/>
              <w:jc w:val="center"/>
              <w:textAlignment w:val="baseline"/>
              <w:rPr>
                <w:rFonts w:ascii="仿宋" w:eastAsia="仿宋" w:hAnsi="仿宋" w:cs="仿宋"/>
                <w:snapToGrid w:val="0"/>
                <w:color w:val="auto"/>
                <w:spacing w:val="8"/>
                <w:kern w:val="0"/>
                <w:sz w:val="24"/>
                <w:szCs w:val="24"/>
                <w:highlight w:val="none"/>
                <w:lang w:eastAsia="en-US"/>
              </w:rPr>
            </w:pPr>
          </w:p>
        </w:tc>
        <w:tc>
          <w:tcPr>
            <w:tcW w:w="3663" w:type="dxa"/>
            <w:shd w:val="clear" w:color="auto" w:fill="D9D9D9"/>
          </w:tcPr>
          <w:p>
            <w:pPr>
              <w:widowControl/>
              <w:wordWrap w:val="0"/>
              <w:autoSpaceDE w:val="0"/>
              <w:autoSpaceDN w:val="0"/>
              <w:adjustRightInd w:val="0"/>
              <w:snapToGrid w:val="0"/>
              <w:spacing w:before="109"/>
              <w:ind w:left="110"/>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6"/>
                <w:kern w:val="0"/>
                <w:sz w:val="24"/>
                <w:szCs w:val="24"/>
                <w:highlight w:val="none"/>
                <w:lang w:eastAsia="en-US"/>
              </w:rPr>
              <w:t>基础管理</w:t>
            </w:r>
          </w:p>
        </w:tc>
        <w:tc>
          <w:tcPr>
            <w:tcW w:w="690" w:type="dxa"/>
            <w:shd w:val="clear" w:color="auto" w:fill="D9D9D9"/>
          </w:tcPr>
          <w:p>
            <w:pPr>
              <w:widowControl/>
              <w:wordWrap w:val="0"/>
              <w:autoSpaceDE w:val="0"/>
              <w:autoSpaceDN w:val="0"/>
              <w:adjustRightInd w:val="0"/>
              <w:snapToGrid w:val="0"/>
              <w:spacing w:before="141"/>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3"/>
                <w:kern w:val="0"/>
                <w:sz w:val="24"/>
                <w:szCs w:val="24"/>
                <w:highlight w:val="none"/>
                <w:lang w:eastAsia="en-US"/>
              </w:rPr>
              <w:t>22</w:t>
            </w:r>
          </w:p>
        </w:tc>
        <w:tc>
          <w:tcPr>
            <w:tcW w:w="3498" w:type="dxa"/>
            <w:shd w:val="clear" w:color="auto" w:fill="D9D9D9"/>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636" w:type="dxa"/>
            <w:shd w:val="clear" w:color="auto" w:fill="D9D9D9"/>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1085"/>
        </w:trPr>
        <w:tc>
          <w:tcPr>
            <w:tcW w:w="557" w:type="dxa"/>
            <w:vMerge w:val="restart"/>
            <w:tcBorders>
              <w:top w:val="nil"/>
              <w:bottom w:val="nil"/>
            </w:tcBorders>
            <w:vAlign w:val="center"/>
          </w:tcPr>
          <w:p>
            <w:pPr>
              <w:widowControl/>
              <w:wordWrap w:val="0"/>
              <w:autoSpaceDE w:val="0"/>
              <w:autoSpaceDN w:val="0"/>
              <w:adjustRightInd w:val="0"/>
              <w:snapToGrid w:val="0"/>
              <w:jc w:val="center"/>
              <w:textAlignment w:val="baseline"/>
              <w:rPr>
                <w:rFonts w:ascii="仿宋" w:eastAsia="仿宋" w:hAnsi="仿宋" w:cs="仿宋"/>
                <w:snapToGrid w:val="0"/>
                <w:color w:val="auto"/>
                <w:spacing w:val="8"/>
                <w:kern w:val="0"/>
                <w:sz w:val="24"/>
                <w:szCs w:val="24"/>
                <w:highlight w:val="none"/>
                <w:lang w:eastAsia="en-US"/>
              </w:rPr>
            </w:pPr>
            <w:r>
              <w:rPr>
                <w:rFonts w:ascii="仿宋" w:eastAsia="仿宋" w:hAnsi="仿宋" w:cs="仿宋" w:hint="eastAsia"/>
                <w:snapToGrid w:val="0"/>
                <w:color w:val="auto"/>
                <w:spacing w:val="8"/>
                <w:kern w:val="0"/>
                <w:sz w:val="24"/>
                <w:szCs w:val="24"/>
                <w:highlight w:val="none"/>
                <w:lang w:eastAsia="en-US"/>
              </w:rPr>
              <w:t>一</w:t>
            </w:r>
          </w:p>
          <w:p>
            <w:pPr>
              <w:widowControl/>
              <w:wordWrap w:val="0"/>
              <w:autoSpaceDE w:val="0"/>
              <w:autoSpaceDN w:val="0"/>
              <w:adjustRightInd w:val="0"/>
              <w:snapToGrid w:val="0"/>
              <w:jc w:val="center"/>
              <w:textAlignment w:val="baseline"/>
              <w:rPr>
                <w:rFonts w:ascii="仿宋" w:eastAsia="仿宋" w:hAnsi="仿宋" w:cs="仿宋"/>
                <w:snapToGrid w:val="0"/>
                <w:color w:val="auto"/>
                <w:spacing w:val="8"/>
                <w:kern w:val="0"/>
                <w:sz w:val="24"/>
                <w:szCs w:val="24"/>
                <w:highlight w:val="none"/>
                <w:lang w:eastAsia="en-US"/>
              </w:rPr>
            </w:pPr>
          </w:p>
          <w:p>
            <w:pPr>
              <w:widowControl/>
              <w:wordWrap w:val="0"/>
              <w:autoSpaceDE w:val="0"/>
              <w:autoSpaceDN w:val="0"/>
              <w:adjustRightInd w:val="0"/>
              <w:snapToGrid w:val="0"/>
              <w:jc w:val="center"/>
              <w:textAlignment w:val="baseline"/>
              <w:rPr>
                <w:rFonts w:ascii="仿宋" w:eastAsia="仿宋" w:hAnsi="仿宋" w:cs="仿宋"/>
                <w:snapToGrid w:val="0"/>
                <w:color w:val="auto"/>
                <w:spacing w:val="8"/>
                <w:kern w:val="0"/>
                <w:sz w:val="24"/>
                <w:szCs w:val="24"/>
                <w:highlight w:val="none"/>
                <w:lang w:eastAsia="en-US"/>
              </w:rPr>
            </w:pPr>
          </w:p>
          <w:p>
            <w:pPr>
              <w:widowControl/>
              <w:wordWrap w:val="0"/>
              <w:autoSpaceDE w:val="0"/>
              <w:autoSpaceDN w:val="0"/>
              <w:adjustRightInd w:val="0"/>
              <w:snapToGrid w:val="0"/>
              <w:jc w:val="center"/>
              <w:textAlignment w:val="baseline"/>
              <w:rPr>
                <w:rFonts w:ascii="仿宋" w:eastAsia="仿宋" w:hAnsi="仿宋" w:cs="仿宋"/>
                <w:snapToGrid w:val="0"/>
                <w:color w:val="auto"/>
                <w:spacing w:val="8"/>
                <w:kern w:val="0"/>
                <w:sz w:val="24"/>
                <w:szCs w:val="24"/>
                <w:highlight w:val="none"/>
                <w:lang w:eastAsia="en-US"/>
              </w:rPr>
            </w:pPr>
          </w:p>
          <w:p>
            <w:pPr>
              <w:widowControl/>
              <w:wordWrap w:val="0"/>
              <w:autoSpaceDE w:val="0"/>
              <w:autoSpaceDN w:val="0"/>
              <w:adjustRightInd w:val="0"/>
              <w:snapToGrid w:val="0"/>
              <w:jc w:val="center"/>
              <w:textAlignment w:val="baseline"/>
              <w:rPr>
                <w:rFonts w:ascii="仿宋" w:eastAsia="仿宋" w:hAnsi="仿宋" w:cs="仿宋"/>
                <w:snapToGrid w:val="0"/>
                <w:color w:val="auto"/>
                <w:spacing w:val="8"/>
                <w:kern w:val="0"/>
                <w:sz w:val="24"/>
                <w:szCs w:val="24"/>
                <w:highlight w:val="none"/>
                <w:lang w:eastAsia="en-US"/>
              </w:rPr>
            </w:pPr>
          </w:p>
          <w:p>
            <w:pPr>
              <w:widowControl/>
              <w:wordWrap w:val="0"/>
              <w:autoSpaceDE w:val="0"/>
              <w:autoSpaceDN w:val="0"/>
              <w:adjustRightInd w:val="0"/>
              <w:snapToGrid w:val="0"/>
              <w:jc w:val="center"/>
              <w:textAlignment w:val="baseline"/>
              <w:rPr>
                <w:rFonts w:ascii="仿宋" w:eastAsia="仿宋" w:hAnsi="仿宋" w:cs="仿宋"/>
                <w:snapToGrid w:val="0"/>
                <w:color w:val="auto"/>
                <w:spacing w:val="8"/>
                <w:kern w:val="0"/>
                <w:sz w:val="24"/>
                <w:szCs w:val="24"/>
                <w:highlight w:val="none"/>
                <w:lang w:eastAsia="en-US"/>
              </w:rPr>
            </w:pPr>
          </w:p>
          <w:p>
            <w:pPr>
              <w:widowControl/>
              <w:wordWrap w:val="0"/>
              <w:autoSpaceDE w:val="0"/>
              <w:autoSpaceDN w:val="0"/>
              <w:adjustRightInd w:val="0"/>
              <w:snapToGrid w:val="0"/>
              <w:jc w:val="center"/>
              <w:textAlignment w:val="baseline"/>
              <w:rPr>
                <w:rFonts w:ascii="仿宋" w:eastAsia="仿宋" w:hAnsi="仿宋" w:cs="仿宋"/>
                <w:snapToGrid w:val="0"/>
                <w:color w:val="auto"/>
                <w:spacing w:val="8"/>
                <w:kern w:val="0"/>
                <w:sz w:val="24"/>
                <w:szCs w:val="24"/>
                <w:highlight w:val="none"/>
                <w:lang w:eastAsia="en-US"/>
              </w:rPr>
            </w:pPr>
          </w:p>
          <w:p>
            <w:pPr>
              <w:widowControl/>
              <w:wordWrap w:val="0"/>
              <w:autoSpaceDE w:val="0"/>
              <w:autoSpaceDN w:val="0"/>
              <w:adjustRightInd w:val="0"/>
              <w:snapToGrid w:val="0"/>
              <w:jc w:val="center"/>
              <w:textAlignment w:val="baseline"/>
              <w:rPr>
                <w:rFonts w:ascii="仿宋" w:eastAsia="仿宋" w:hAnsi="仿宋" w:cs="仿宋"/>
                <w:snapToGrid w:val="0"/>
                <w:color w:val="auto"/>
                <w:spacing w:val="8"/>
                <w:kern w:val="0"/>
                <w:sz w:val="24"/>
                <w:szCs w:val="24"/>
                <w:highlight w:val="none"/>
                <w:lang w:eastAsia="en-US"/>
              </w:rPr>
            </w:pPr>
          </w:p>
          <w:p>
            <w:pPr>
              <w:widowControl/>
              <w:wordWrap w:val="0"/>
              <w:autoSpaceDE w:val="0"/>
              <w:autoSpaceDN w:val="0"/>
              <w:adjustRightInd w:val="0"/>
              <w:snapToGrid w:val="0"/>
              <w:jc w:val="center"/>
              <w:textAlignment w:val="baseline"/>
              <w:rPr>
                <w:rFonts w:ascii="仿宋" w:eastAsia="仿宋" w:hAnsi="仿宋" w:cs="仿宋"/>
                <w:snapToGrid w:val="0"/>
                <w:color w:val="auto"/>
                <w:spacing w:val="8"/>
                <w:kern w:val="0"/>
                <w:sz w:val="24"/>
                <w:szCs w:val="24"/>
                <w:highlight w:val="none"/>
                <w:lang w:eastAsia="en-US"/>
              </w:rPr>
            </w:pPr>
          </w:p>
          <w:p>
            <w:pPr>
              <w:widowControl/>
              <w:wordWrap w:val="0"/>
              <w:autoSpaceDE w:val="0"/>
              <w:autoSpaceDN w:val="0"/>
              <w:adjustRightInd w:val="0"/>
              <w:snapToGrid w:val="0"/>
              <w:jc w:val="center"/>
              <w:textAlignment w:val="baseline"/>
              <w:rPr>
                <w:rFonts w:ascii="仿宋" w:eastAsia="仿宋" w:hAnsi="仿宋" w:cs="仿宋"/>
                <w:snapToGrid w:val="0"/>
                <w:color w:val="auto"/>
                <w:spacing w:val="8"/>
                <w:kern w:val="0"/>
                <w:sz w:val="24"/>
                <w:szCs w:val="24"/>
                <w:highlight w:val="none"/>
                <w:lang w:eastAsia="en-US"/>
              </w:rPr>
            </w:pPr>
          </w:p>
          <w:p>
            <w:pPr>
              <w:widowControl/>
              <w:wordWrap w:val="0"/>
              <w:autoSpaceDE w:val="0"/>
              <w:autoSpaceDN w:val="0"/>
              <w:adjustRightInd w:val="0"/>
              <w:snapToGrid w:val="0"/>
              <w:spacing w:before="65"/>
              <w:textAlignment w:val="baseline"/>
              <w:rPr>
                <w:rFonts w:ascii="仿宋" w:eastAsia="仿宋" w:hAnsi="仿宋" w:cs="仿宋"/>
                <w:snapToGrid w:val="0"/>
                <w:color w:val="auto"/>
                <w:spacing w:val="8"/>
                <w:kern w:val="0"/>
                <w:sz w:val="24"/>
                <w:szCs w:val="24"/>
                <w:highlight w:val="none"/>
                <w:lang w:eastAsia="en-US"/>
              </w:rPr>
            </w:pPr>
          </w:p>
        </w:tc>
        <w:tc>
          <w:tcPr>
            <w:tcW w:w="3663" w:type="dxa"/>
          </w:tcPr>
          <w:p>
            <w:pPr>
              <w:widowControl/>
              <w:wordWrap w:val="0"/>
              <w:autoSpaceDE w:val="0"/>
              <w:autoSpaceDN w:val="0"/>
              <w:adjustRightInd w:val="0"/>
              <w:snapToGrid w:val="0"/>
              <w:spacing w:before="109"/>
              <w:ind w:left="111"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2"/>
                <w:kern w:val="0"/>
                <w:sz w:val="24"/>
                <w:szCs w:val="24"/>
                <w:highlight w:val="none"/>
                <w:lang w:eastAsia="en-US"/>
              </w:rPr>
              <w:t>1、物业管理企业的管理人员和专业技术</w:t>
            </w:r>
            <w:r>
              <w:rPr>
                <w:rFonts w:ascii="仿宋" w:eastAsia="仿宋" w:hAnsi="仿宋" w:cs="仿宋" w:hint="eastAsia"/>
                <w:snapToGrid w:val="0"/>
                <w:color w:val="auto"/>
                <w:spacing w:val="7"/>
                <w:kern w:val="0"/>
                <w:sz w:val="24"/>
                <w:szCs w:val="24"/>
                <w:highlight w:val="none"/>
                <w:lang w:eastAsia="en-US"/>
              </w:rPr>
              <w:t>人员持证上岗：员工着装规范，佩戴明显</w:t>
            </w:r>
            <w:r>
              <w:rPr>
                <w:rFonts w:ascii="仿宋" w:eastAsia="仿宋" w:hAnsi="仿宋" w:cs="仿宋" w:hint="eastAsia"/>
                <w:snapToGrid w:val="0"/>
                <w:color w:val="auto"/>
                <w:spacing w:val="9"/>
                <w:kern w:val="0"/>
                <w:sz w:val="24"/>
                <w:szCs w:val="24"/>
                <w:highlight w:val="none"/>
                <w:lang w:eastAsia="en-US"/>
              </w:rPr>
              <w:t>标志，工作规范、作风严谨</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3</w:t>
            </w:r>
          </w:p>
        </w:tc>
        <w:tc>
          <w:tcPr>
            <w:tcW w:w="3498" w:type="dxa"/>
          </w:tcPr>
          <w:p>
            <w:pPr>
              <w:widowControl/>
              <w:wordWrap w:val="0"/>
              <w:autoSpaceDE w:val="0"/>
              <w:autoSpaceDN w:val="0"/>
              <w:adjustRightInd w:val="0"/>
              <w:snapToGrid w:val="0"/>
              <w:spacing w:before="109"/>
              <w:ind w:right="106"/>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8"/>
                <w:kern w:val="0"/>
                <w:sz w:val="24"/>
                <w:szCs w:val="24"/>
                <w:highlight w:val="none"/>
                <w:lang w:eastAsia="en-US"/>
              </w:rPr>
              <w:t>管理人员、专业技术人员每发现</w:t>
            </w:r>
            <w:r>
              <w:rPr>
                <w:rFonts w:ascii="仿宋" w:eastAsia="仿宋" w:hAnsi="仿宋" w:cs="仿宋" w:hint="eastAsia"/>
                <w:snapToGrid w:val="0"/>
                <w:color w:val="auto"/>
                <w:spacing w:val="9"/>
                <w:kern w:val="0"/>
                <w:sz w:val="24"/>
                <w:szCs w:val="24"/>
                <w:highlight w:val="none"/>
                <w:lang w:eastAsia="en-US"/>
              </w:rPr>
              <w:t>1人无上岗证书扣0.4分；着装</w:t>
            </w:r>
            <w:r>
              <w:rPr>
                <w:rFonts w:ascii="仿宋" w:eastAsia="仿宋" w:hAnsi="仿宋" w:cs="仿宋" w:hint="eastAsia"/>
                <w:snapToGrid w:val="0"/>
                <w:color w:val="auto"/>
                <w:spacing w:val="5"/>
                <w:kern w:val="0"/>
                <w:sz w:val="24"/>
                <w:szCs w:val="24"/>
                <w:highlight w:val="none"/>
                <w:lang w:eastAsia="en-US"/>
              </w:rPr>
              <w:t>及标志一次不符合扣0.2分；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1857"/>
        </w:trPr>
        <w:tc>
          <w:tcPr>
            <w:tcW w:w="557" w:type="dxa"/>
            <w:vMerge/>
            <w:tcBorders>
              <w:top w:val="nil"/>
              <w:bottom w:val="nil"/>
            </w:tcBorders>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spacing w:before="66"/>
              <w:ind w:left="113" w:right="53"/>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5"/>
                <w:kern w:val="0"/>
                <w:sz w:val="24"/>
                <w:szCs w:val="24"/>
                <w:highlight w:val="none"/>
                <w:lang w:eastAsia="en-US"/>
              </w:rPr>
              <w:t>2、房屋及其共用设施设备档案资料齐全，</w:t>
            </w:r>
            <w:r>
              <w:rPr>
                <w:rFonts w:ascii="仿宋" w:eastAsia="仿宋" w:hAnsi="仿宋" w:cs="仿宋" w:hint="eastAsia"/>
                <w:snapToGrid w:val="0"/>
                <w:color w:val="auto"/>
                <w:spacing w:val="9"/>
                <w:kern w:val="0"/>
                <w:sz w:val="24"/>
                <w:szCs w:val="24"/>
                <w:highlight w:val="none"/>
                <w:lang w:eastAsia="en-US"/>
              </w:rPr>
              <w:t>分类成册、管理完善，查阅方便</w:t>
            </w:r>
          </w:p>
        </w:tc>
        <w:tc>
          <w:tcPr>
            <w:tcW w:w="690" w:type="dxa"/>
            <w:vAlign w:val="center"/>
          </w:tcPr>
          <w:p>
            <w:pPr>
              <w:widowControl/>
              <w:wordWrap w:val="0"/>
              <w:autoSpaceDE w:val="0"/>
              <w:autoSpaceDN w:val="0"/>
              <w:adjustRightInd w:val="0"/>
              <w:snapToGrid w:val="0"/>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5</w:t>
            </w:r>
          </w:p>
          <w:p>
            <w:pPr>
              <w:widowControl/>
              <w:wordWrap w:val="0"/>
              <w:autoSpaceDE w:val="0"/>
              <w:autoSpaceDN w:val="0"/>
              <w:adjustRightInd w:val="0"/>
              <w:snapToGrid w:val="0"/>
              <w:spacing w:before="65"/>
              <w:ind w:left="312"/>
              <w:jc w:val="center"/>
              <w:textAlignment w:val="baseline"/>
              <w:rPr>
                <w:rFonts w:ascii="仿宋" w:eastAsia="仿宋" w:hAnsi="仿宋" w:cs="仿宋"/>
                <w:snapToGrid w:val="0"/>
                <w:color w:val="auto"/>
                <w:kern w:val="0"/>
                <w:sz w:val="24"/>
                <w:szCs w:val="24"/>
                <w:highlight w:val="none"/>
                <w:lang w:eastAsia="en-US"/>
              </w:rPr>
            </w:pPr>
          </w:p>
        </w:tc>
        <w:tc>
          <w:tcPr>
            <w:tcW w:w="3498" w:type="dxa"/>
          </w:tcPr>
          <w:p>
            <w:pPr>
              <w:widowControl/>
              <w:wordWrap w:val="0"/>
              <w:autoSpaceDE w:val="0"/>
              <w:autoSpaceDN w:val="0"/>
              <w:adjustRightInd w:val="0"/>
              <w:snapToGrid w:val="0"/>
              <w:spacing w:before="113"/>
              <w:ind w:right="49"/>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包括房屋总平面图、地下管网图，</w:t>
            </w:r>
            <w:r>
              <w:rPr>
                <w:rFonts w:ascii="仿宋" w:eastAsia="仿宋" w:hAnsi="仿宋" w:cs="仿宋" w:hint="eastAsia"/>
                <w:snapToGrid w:val="0"/>
                <w:color w:val="auto"/>
                <w:spacing w:val="3"/>
                <w:kern w:val="0"/>
                <w:sz w:val="24"/>
                <w:szCs w:val="24"/>
                <w:highlight w:val="none"/>
                <w:lang w:eastAsia="en-US"/>
              </w:rPr>
              <w:t>房屋数量、种类、用途分类统计成册、房屋及共用设施设备大中</w:t>
            </w:r>
            <w:r>
              <w:rPr>
                <w:rFonts w:ascii="仿宋" w:eastAsia="仿宋" w:hAnsi="仿宋" w:cs="仿宋" w:hint="eastAsia"/>
                <w:snapToGrid w:val="0"/>
                <w:color w:val="auto"/>
                <w:spacing w:val="10"/>
                <w:kern w:val="0"/>
                <w:sz w:val="24"/>
                <w:szCs w:val="24"/>
                <w:highlight w:val="none"/>
                <w:lang w:eastAsia="en-US"/>
              </w:rPr>
              <w:t>修记录。共用设施设备的设计安</w:t>
            </w:r>
            <w:r>
              <w:rPr>
                <w:rFonts w:ascii="仿宋" w:eastAsia="仿宋" w:hAnsi="仿宋" w:cs="仿宋" w:hint="eastAsia"/>
                <w:snapToGrid w:val="0"/>
                <w:color w:val="auto"/>
                <w:spacing w:val="3"/>
                <w:kern w:val="0"/>
                <w:sz w:val="24"/>
                <w:szCs w:val="24"/>
                <w:highlight w:val="none"/>
                <w:lang w:eastAsia="en-US"/>
              </w:rPr>
              <w:t>装图纸资料和台账：每发现一项</w:t>
            </w:r>
            <w:r>
              <w:rPr>
                <w:rFonts w:ascii="仿宋" w:eastAsia="仿宋" w:hAnsi="仿宋" w:cs="仿宋" w:hint="eastAsia"/>
                <w:snapToGrid w:val="0"/>
                <w:color w:val="auto"/>
                <w:spacing w:val="6"/>
                <w:kern w:val="0"/>
                <w:sz w:val="24"/>
                <w:szCs w:val="24"/>
                <w:highlight w:val="none"/>
                <w:lang w:eastAsia="en-US"/>
              </w:rPr>
              <w:t>不齐全或不完善扣0.5分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1521"/>
        </w:trPr>
        <w:tc>
          <w:tcPr>
            <w:tcW w:w="557" w:type="dxa"/>
            <w:vMerge/>
            <w:tcBorders>
              <w:top w:val="nil"/>
              <w:bottom w:val="nil"/>
            </w:tcBorders>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09"/>
              <w:ind w:left="110" w:right="37"/>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2"/>
                <w:kern w:val="0"/>
                <w:sz w:val="24"/>
                <w:szCs w:val="24"/>
                <w:highlight w:val="none"/>
                <w:lang w:eastAsia="en-US"/>
              </w:rPr>
              <w:t>3、建立24小时值班制度，设立服务电话、</w:t>
            </w:r>
            <w:r>
              <w:rPr>
                <w:rFonts w:ascii="仿宋" w:eastAsia="仿宋" w:hAnsi="仿宋" w:cs="仿宋" w:hint="eastAsia"/>
                <w:snapToGrid w:val="0"/>
                <w:color w:val="auto"/>
                <w:spacing w:val="10"/>
                <w:kern w:val="0"/>
                <w:sz w:val="24"/>
                <w:szCs w:val="24"/>
                <w:highlight w:val="none"/>
                <w:lang w:eastAsia="en-US"/>
              </w:rPr>
              <w:t>接受业主和使用人对物业管理服务报修、</w:t>
            </w:r>
            <w:r>
              <w:rPr>
                <w:rFonts w:ascii="仿宋" w:eastAsia="仿宋" w:hAnsi="仿宋" w:cs="仿宋" w:hint="eastAsia"/>
                <w:snapToGrid w:val="0"/>
                <w:color w:val="auto"/>
                <w:spacing w:val="8"/>
                <w:kern w:val="0"/>
                <w:sz w:val="24"/>
                <w:szCs w:val="24"/>
                <w:highlight w:val="none"/>
                <w:lang w:eastAsia="en-US"/>
              </w:rPr>
              <w:t>求助、建议、问询、质疑、投诉等各类信息的收集和反馈，并及时处理，有回访制</w:t>
            </w:r>
            <w:r>
              <w:rPr>
                <w:rFonts w:ascii="仿宋" w:eastAsia="仿宋" w:hAnsi="仿宋" w:cs="仿宋" w:hint="eastAsia"/>
                <w:snapToGrid w:val="0"/>
                <w:color w:val="auto"/>
                <w:spacing w:val="7"/>
                <w:kern w:val="0"/>
                <w:sz w:val="24"/>
                <w:szCs w:val="24"/>
                <w:highlight w:val="none"/>
                <w:lang w:eastAsia="en-US"/>
              </w:rPr>
              <w:t>度和记录</w:t>
            </w:r>
          </w:p>
        </w:tc>
        <w:tc>
          <w:tcPr>
            <w:tcW w:w="690" w:type="dxa"/>
            <w:vAlign w:val="center"/>
          </w:tcPr>
          <w:p>
            <w:pPr>
              <w:widowControl/>
              <w:wordWrap w:val="0"/>
              <w:autoSpaceDE w:val="0"/>
              <w:autoSpaceDN w:val="0"/>
              <w:adjustRightInd w:val="0"/>
              <w:snapToGrid w:val="0"/>
              <w:spacing w:before="65"/>
              <w:ind w:left="309"/>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6</w:t>
            </w:r>
          </w:p>
        </w:tc>
        <w:tc>
          <w:tcPr>
            <w:tcW w:w="3498" w:type="dxa"/>
          </w:tcPr>
          <w:p>
            <w:pPr>
              <w:widowControl/>
              <w:wordWrap w:val="0"/>
              <w:autoSpaceDE w:val="0"/>
              <w:autoSpaceDN w:val="0"/>
              <w:adjustRightInd w:val="0"/>
              <w:snapToGrid w:val="0"/>
              <w:spacing w:before="290"/>
              <w:ind w:right="49"/>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4"/>
                <w:kern w:val="0"/>
                <w:sz w:val="24"/>
                <w:szCs w:val="24"/>
                <w:highlight w:val="none"/>
                <w:lang w:eastAsia="en-US"/>
              </w:rPr>
              <w:t>符合6分，没有值班制度扣2分，</w:t>
            </w:r>
            <w:r>
              <w:rPr>
                <w:rFonts w:ascii="仿宋" w:eastAsia="仿宋" w:hAnsi="仿宋" w:cs="仿宋" w:hint="eastAsia"/>
                <w:snapToGrid w:val="0"/>
                <w:color w:val="auto"/>
                <w:kern w:val="0"/>
                <w:sz w:val="24"/>
                <w:szCs w:val="24"/>
                <w:highlight w:val="none"/>
                <w:lang w:eastAsia="en-US"/>
              </w:rPr>
              <w:t>末设服务电话扣1分，发现一处</w:t>
            </w:r>
            <w:r>
              <w:rPr>
                <w:rFonts w:ascii="仿宋" w:eastAsia="仿宋" w:hAnsi="仿宋" w:cs="仿宋" w:hint="eastAsia"/>
                <w:snapToGrid w:val="0"/>
                <w:color w:val="auto"/>
                <w:spacing w:val="8"/>
                <w:kern w:val="0"/>
                <w:sz w:val="24"/>
                <w:szCs w:val="24"/>
                <w:highlight w:val="none"/>
                <w:lang w:eastAsia="en-US"/>
              </w:rPr>
              <w:t>处理不及时扣0.5分，没有回访</w:t>
            </w:r>
            <w:r>
              <w:rPr>
                <w:rFonts w:ascii="仿宋" w:eastAsia="仿宋" w:hAnsi="仿宋" w:cs="仿宋" w:hint="eastAsia"/>
                <w:snapToGrid w:val="0"/>
                <w:color w:val="auto"/>
                <w:spacing w:val="3"/>
                <w:kern w:val="0"/>
                <w:sz w:val="24"/>
                <w:szCs w:val="24"/>
                <w:highlight w:val="none"/>
                <w:lang w:eastAsia="en-US"/>
              </w:rPr>
              <w:t>记录每次扣1分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1084"/>
        </w:trPr>
        <w:tc>
          <w:tcPr>
            <w:tcW w:w="557" w:type="dxa"/>
            <w:vMerge/>
            <w:tcBorders>
              <w:top w:val="nil"/>
              <w:bottom w:val="nil"/>
            </w:tcBorders>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left="112"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4、定期向业主和使用人发放物业管理服</w:t>
            </w:r>
            <w:r>
              <w:rPr>
                <w:rFonts w:ascii="仿宋" w:eastAsia="仿宋" w:hAnsi="仿宋" w:cs="仿宋" w:hint="eastAsia"/>
                <w:snapToGrid w:val="0"/>
                <w:color w:val="auto"/>
                <w:spacing w:val="7"/>
                <w:kern w:val="0"/>
                <w:sz w:val="24"/>
                <w:szCs w:val="24"/>
                <w:highlight w:val="none"/>
                <w:lang w:eastAsia="en-US"/>
              </w:rPr>
              <w:t>务工作征求意见单，对合理的建议及时整</w:t>
            </w:r>
            <w:r>
              <w:rPr>
                <w:rFonts w:ascii="仿宋" w:eastAsia="仿宋" w:hAnsi="仿宋" w:cs="仿宋" w:hint="eastAsia"/>
                <w:snapToGrid w:val="0"/>
                <w:color w:val="auto"/>
                <w:spacing w:val="6"/>
                <w:kern w:val="0"/>
                <w:sz w:val="24"/>
                <w:szCs w:val="24"/>
                <w:highlight w:val="none"/>
                <w:lang w:eastAsia="en-US"/>
              </w:rPr>
              <w:t>改满意率达90%以上</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val="en" w:eastAsia="en-US"/>
              </w:rPr>
            </w:pPr>
            <w:r>
              <w:rPr>
                <w:rFonts w:ascii="仿宋" w:eastAsia="仿宋" w:hAnsi="仿宋" w:cs="仿宋" w:hint="eastAsia"/>
                <w:snapToGrid w:val="0"/>
                <w:color w:val="auto"/>
                <w:kern w:val="0"/>
                <w:sz w:val="24"/>
                <w:szCs w:val="24"/>
                <w:highlight w:val="none"/>
                <w:lang w:val="en" w:eastAsia="en-US"/>
              </w:rPr>
              <w:t>5</w:t>
            </w:r>
          </w:p>
        </w:tc>
        <w:tc>
          <w:tcPr>
            <w:tcW w:w="3498" w:type="dxa"/>
          </w:tcPr>
          <w:p>
            <w:pPr>
              <w:widowControl/>
              <w:wordWrap w:val="0"/>
              <w:autoSpaceDE w:val="0"/>
              <w:autoSpaceDN w:val="0"/>
              <w:adjustRightInd w:val="0"/>
              <w:snapToGrid w:val="0"/>
              <w:spacing w:before="291"/>
              <w:ind w:right="106"/>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6"/>
                <w:kern w:val="0"/>
                <w:sz w:val="24"/>
                <w:szCs w:val="24"/>
                <w:highlight w:val="none"/>
                <w:lang w:eastAsia="en-US"/>
              </w:rPr>
              <w:t>符合3分，基本符合2分，不符</w:t>
            </w:r>
            <w:r>
              <w:rPr>
                <w:rFonts w:ascii="仿宋" w:eastAsia="仿宋" w:hAnsi="仿宋" w:cs="仿宋" w:hint="eastAsia"/>
                <w:snapToGrid w:val="0"/>
                <w:color w:val="auto"/>
                <w:spacing w:val="-2"/>
                <w:kern w:val="0"/>
                <w:sz w:val="24"/>
                <w:szCs w:val="24"/>
                <w:highlight w:val="none"/>
                <w:lang w:eastAsia="en-US"/>
              </w:rPr>
              <w:t>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1806"/>
        </w:trPr>
        <w:tc>
          <w:tcPr>
            <w:tcW w:w="557" w:type="dxa"/>
            <w:vMerge/>
            <w:tcBorders>
              <w:top w:val="nil"/>
            </w:tcBorders>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spacing w:before="65"/>
              <w:ind w:left="110"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5、建立并落实便民维修服务承诺制、零</w:t>
            </w:r>
            <w:r>
              <w:rPr>
                <w:rFonts w:ascii="仿宋" w:eastAsia="仿宋" w:hAnsi="仿宋" w:cs="仿宋" w:hint="eastAsia"/>
                <w:snapToGrid w:val="0"/>
                <w:color w:val="auto"/>
                <w:spacing w:val="3"/>
                <w:kern w:val="0"/>
                <w:sz w:val="24"/>
                <w:szCs w:val="24"/>
                <w:highlight w:val="none"/>
                <w:lang w:eastAsia="en-US"/>
              </w:rPr>
              <w:t>修急修及时率99%，返修率不高于1%，并</w:t>
            </w:r>
            <w:r>
              <w:rPr>
                <w:rFonts w:ascii="仿宋" w:eastAsia="仿宋" w:hAnsi="仿宋" w:cs="仿宋" w:hint="eastAsia"/>
                <w:snapToGrid w:val="0"/>
                <w:color w:val="auto"/>
                <w:spacing w:val="8"/>
                <w:kern w:val="0"/>
                <w:sz w:val="24"/>
                <w:szCs w:val="24"/>
                <w:highlight w:val="none"/>
                <w:lang w:eastAsia="en-US"/>
              </w:rPr>
              <w:t>有回访记录</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3</w:t>
            </w:r>
          </w:p>
        </w:tc>
        <w:tc>
          <w:tcPr>
            <w:tcW w:w="3498" w:type="dxa"/>
          </w:tcPr>
          <w:p>
            <w:pPr>
              <w:widowControl/>
              <w:wordWrap w:val="0"/>
              <w:autoSpaceDE w:val="0"/>
              <w:autoSpaceDN w:val="0"/>
              <w:adjustRightInd w:val="0"/>
              <w:snapToGrid w:val="0"/>
              <w:spacing w:before="113"/>
              <w:ind w:right="91"/>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4"/>
                <w:kern w:val="0"/>
                <w:sz w:val="24"/>
                <w:szCs w:val="24"/>
                <w:highlight w:val="none"/>
                <w:lang w:eastAsia="en-US"/>
              </w:rPr>
              <w:t>建立并落实1分，建立但未落实扣</w:t>
            </w:r>
            <w:r>
              <w:rPr>
                <w:rFonts w:ascii="仿宋" w:eastAsia="仿宋" w:hAnsi="仿宋" w:cs="仿宋" w:hint="eastAsia"/>
                <w:snapToGrid w:val="0"/>
                <w:color w:val="auto"/>
                <w:spacing w:val="-5"/>
                <w:kern w:val="0"/>
                <w:sz w:val="24"/>
                <w:szCs w:val="24"/>
                <w:highlight w:val="none"/>
                <w:lang w:eastAsia="en-US"/>
              </w:rPr>
              <w:t>0.4分，末建立扣0.6分；及时率</w:t>
            </w:r>
            <w:r>
              <w:rPr>
                <w:rFonts w:ascii="仿宋" w:eastAsia="仿宋" w:hAnsi="仿宋" w:cs="仿宋" w:hint="eastAsia"/>
                <w:snapToGrid w:val="0"/>
                <w:color w:val="auto"/>
                <w:spacing w:val="5"/>
                <w:kern w:val="0"/>
                <w:sz w:val="24"/>
                <w:szCs w:val="24"/>
                <w:highlight w:val="none"/>
                <w:lang w:eastAsia="en-US"/>
              </w:rPr>
              <w:t>符合1分，每降低1个百分点扣</w:t>
            </w:r>
            <w:r>
              <w:rPr>
                <w:rFonts w:ascii="仿宋" w:eastAsia="仿宋" w:hAnsi="仿宋" w:cs="仿宋" w:hint="eastAsia"/>
                <w:snapToGrid w:val="0"/>
                <w:color w:val="auto"/>
                <w:kern w:val="0"/>
                <w:sz w:val="24"/>
                <w:szCs w:val="24"/>
                <w:highlight w:val="none"/>
                <w:lang w:eastAsia="en-US"/>
              </w:rPr>
              <w:t>0.3分；返修率符合0.6分，不符</w:t>
            </w:r>
            <w:r>
              <w:rPr>
                <w:rFonts w:ascii="仿宋" w:eastAsia="仿宋" w:hAnsi="仿宋" w:cs="仿宋" w:hint="eastAsia"/>
                <w:snapToGrid w:val="0"/>
                <w:color w:val="auto"/>
                <w:spacing w:val="-6"/>
                <w:kern w:val="0"/>
                <w:sz w:val="24"/>
                <w:szCs w:val="24"/>
                <w:highlight w:val="none"/>
                <w:lang w:eastAsia="en-US"/>
              </w:rPr>
              <w:t>合0分：问访记录完整0.4分，记</w:t>
            </w:r>
            <w:r>
              <w:rPr>
                <w:rFonts w:ascii="仿宋" w:eastAsia="仿宋" w:hAnsi="仿宋" w:cs="仿宋" w:hint="eastAsia"/>
                <w:snapToGrid w:val="0"/>
                <w:color w:val="auto"/>
                <w:spacing w:val="-3"/>
                <w:kern w:val="0"/>
                <w:sz w:val="24"/>
                <w:szCs w:val="24"/>
                <w:highlight w:val="none"/>
                <w:lang w:eastAsia="en-US"/>
              </w:rPr>
              <w:t>录不完整或无回访记录0分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365"/>
        </w:trPr>
        <w:tc>
          <w:tcPr>
            <w:tcW w:w="557" w:type="dxa"/>
            <w:vMerge w:val="restart"/>
            <w:vAlign w:val="center"/>
          </w:tcPr>
          <w:p>
            <w:pPr>
              <w:widowControl/>
              <w:wordWrap w:val="0"/>
              <w:autoSpaceDE w:val="0"/>
              <w:autoSpaceDN w:val="0"/>
              <w:adjustRightInd w:val="0"/>
              <w:snapToGrid w:val="0"/>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二</w:t>
            </w:r>
          </w:p>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shd w:val="clear" w:color="auto" w:fill="D9D9D9"/>
          </w:tcPr>
          <w:p>
            <w:pPr>
              <w:widowControl/>
              <w:wordWrap w:val="0"/>
              <w:autoSpaceDE w:val="0"/>
              <w:autoSpaceDN w:val="0"/>
              <w:adjustRightInd w:val="0"/>
              <w:snapToGrid w:val="0"/>
              <w:spacing w:before="112"/>
              <w:ind w:left="111"/>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7"/>
                <w:kern w:val="0"/>
                <w:sz w:val="24"/>
                <w:szCs w:val="24"/>
                <w:highlight w:val="none"/>
                <w:lang w:eastAsia="en-US"/>
              </w:rPr>
              <w:t>房屋管理与维修养护</w:t>
            </w:r>
          </w:p>
        </w:tc>
        <w:tc>
          <w:tcPr>
            <w:tcW w:w="690" w:type="dxa"/>
            <w:shd w:val="clear" w:color="auto" w:fill="D9D9D9"/>
            <w:vAlign w:val="center"/>
          </w:tcPr>
          <w:p>
            <w:pPr>
              <w:widowControl/>
              <w:wordWrap w:val="0"/>
              <w:autoSpaceDE w:val="0"/>
              <w:autoSpaceDN w:val="0"/>
              <w:adjustRightInd w:val="0"/>
              <w:snapToGrid w:val="0"/>
              <w:spacing w:before="14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3"/>
                <w:kern w:val="0"/>
                <w:sz w:val="24"/>
                <w:szCs w:val="24"/>
                <w:highlight w:val="none"/>
                <w:lang w:eastAsia="en-US"/>
              </w:rPr>
              <w:t>11</w:t>
            </w:r>
          </w:p>
        </w:tc>
        <w:tc>
          <w:tcPr>
            <w:tcW w:w="3498" w:type="dxa"/>
            <w:shd w:val="clear" w:color="auto" w:fill="D9D9D9"/>
          </w:tcPr>
          <w:p>
            <w:pPr>
              <w:widowControl/>
              <w:wordWrap w:val="0"/>
              <w:autoSpaceDE w:val="0"/>
              <w:autoSpaceDN w:val="0"/>
              <w:adjustRightInd w:val="0"/>
              <w:snapToGrid w:val="0"/>
              <w:textAlignment w:val="baseline"/>
              <w:rPr>
                <w:rFonts w:ascii="仿宋" w:eastAsia="仿宋" w:hAnsi="仿宋" w:cs="仿宋"/>
                <w:snapToGrid w:val="0"/>
                <w:color w:val="auto"/>
                <w:kern w:val="0"/>
                <w:sz w:val="24"/>
                <w:szCs w:val="24"/>
                <w:highlight w:val="none"/>
                <w:lang w:eastAsia="en-US"/>
              </w:rPr>
            </w:pPr>
          </w:p>
        </w:tc>
        <w:tc>
          <w:tcPr>
            <w:tcW w:w="636" w:type="dxa"/>
            <w:shd w:val="clear" w:color="auto" w:fill="D9D9D9"/>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1085"/>
        </w:trPr>
        <w:tc>
          <w:tcPr>
            <w:tcW w:w="557" w:type="dxa"/>
            <w:vMerge/>
            <w:vAlign w:val="center"/>
          </w:tcPr>
          <w:p>
            <w:pPr>
              <w:widowControl/>
              <w:wordWrap w:val="0"/>
              <w:autoSpaceDE w:val="0"/>
              <w:autoSpaceDN w:val="0"/>
              <w:adjustRightInd w:val="0"/>
              <w:snapToGrid w:val="0"/>
              <w:spacing w:before="65"/>
              <w:ind w:left="189"/>
              <w:jc w:val="center"/>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2"/>
                <w:kern w:val="0"/>
                <w:sz w:val="24"/>
                <w:szCs w:val="24"/>
                <w:highlight w:val="none"/>
                <w:lang w:eastAsia="en-US"/>
              </w:rPr>
              <w:t>1、区内各建筑物标志明显、设立引路方</w:t>
            </w:r>
            <w:r>
              <w:rPr>
                <w:rFonts w:ascii="仿宋" w:eastAsia="仿宋" w:hAnsi="仿宋" w:cs="仿宋" w:hint="eastAsia"/>
                <w:snapToGrid w:val="0"/>
                <w:color w:val="auto"/>
                <w:spacing w:val="7"/>
                <w:kern w:val="0"/>
                <w:sz w:val="24"/>
                <w:szCs w:val="24"/>
                <w:highlight w:val="none"/>
                <w:lang w:eastAsia="en-US"/>
              </w:rPr>
              <w:t>向平面图和路标、单位名录标识在区内明</w:t>
            </w:r>
            <w:r>
              <w:rPr>
                <w:rFonts w:ascii="仿宋" w:eastAsia="仿宋" w:hAnsi="仿宋" w:cs="仿宋" w:hint="eastAsia"/>
                <w:snapToGrid w:val="0"/>
                <w:color w:val="auto"/>
                <w:spacing w:val="8"/>
                <w:kern w:val="0"/>
                <w:sz w:val="24"/>
                <w:szCs w:val="24"/>
                <w:highlight w:val="none"/>
                <w:lang w:eastAsia="en-US"/>
              </w:rPr>
              <w:t>显位置.铭牌及各类标识牌统一有序</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292"/>
              <w:ind w:right="106"/>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符合1分，发现一处标志不清或</w:t>
            </w:r>
            <w:r>
              <w:rPr>
                <w:rFonts w:ascii="仿宋" w:eastAsia="仿宋" w:hAnsi="仿宋" w:cs="仿宋" w:hint="eastAsia"/>
                <w:snapToGrid w:val="0"/>
                <w:color w:val="auto"/>
                <w:spacing w:val="4"/>
                <w:kern w:val="0"/>
                <w:sz w:val="24"/>
                <w:szCs w:val="24"/>
                <w:highlight w:val="none"/>
                <w:lang w:eastAsia="en-US"/>
              </w:rPr>
              <w:t>没有标志扣0.2分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4"/>
              <w:ind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2、无违反规划私搭乱建，无擅自改变房</w:t>
            </w:r>
            <w:r>
              <w:rPr>
                <w:rFonts w:ascii="仿宋" w:eastAsia="仿宋" w:hAnsi="仿宋" w:cs="仿宋" w:hint="eastAsia"/>
                <w:snapToGrid w:val="0"/>
                <w:color w:val="auto"/>
                <w:spacing w:val="7"/>
                <w:kern w:val="0"/>
                <w:sz w:val="24"/>
                <w:szCs w:val="24"/>
                <w:highlight w:val="none"/>
                <w:lang w:eastAsia="en-US"/>
              </w:rPr>
              <w:t>屋用途现象</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4"/>
              <w:ind w:right="105"/>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符合1分，每发现一处私搭乱建</w:t>
            </w:r>
            <w:r>
              <w:rPr>
                <w:rFonts w:ascii="仿宋" w:eastAsia="仿宋" w:hAnsi="仿宋" w:cs="仿宋" w:hint="eastAsia"/>
                <w:snapToGrid w:val="0"/>
                <w:color w:val="auto"/>
                <w:spacing w:val="11"/>
                <w:kern w:val="0"/>
                <w:sz w:val="24"/>
                <w:szCs w:val="24"/>
                <w:highlight w:val="none"/>
                <w:lang w:eastAsia="en-US"/>
              </w:rPr>
              <w:t>或擅自改变房屋使用用途扣0.5分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331"/>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65"/>
              <w:ind w:right="37"/>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3、房屋外观完好、整洁，外墙是建材贴</w:t>
            </w:r>
            <w:r>
              <w:rPr>
                <w:rFonts w:ascii="仿宋" w:eastAsia="仿宋" w:hAnsi="仿宋" w:cs="仿宋" w:hint="eastAsia"/>
                <w:snapToGrid w:val="0"/>
                <w:color w:val="auto"/>
                <w:kern w:val="0"/>
                <w:sz w:val="24"/>
                <w:szCs w:val="24"/>
                <w:highlight w:val="none"/>
                <w:lang w:eastAsia="en-US"/>
              </w:rPr>
              <w:t>面的、无脱落；是玻璃幕墙的。清洁明亮、</w:t>
            </w:r>
            <w:r>
              <w:rPr>
                <w:rFonts w:ascii="仿宋" w:eastAsia="仿宋" w:hAnsi="仿宋" w:cs="仿宋" w:hint="eastAsia"/>
                <w:snapToGrid w:val="0"/>
                <w:color w:val="auto"/>
                <w:spacing w:val="2"/>
                <w:kern w:val="0"/>
                <w:sz w:val="24"/>
                <w:szCs w:val="24"/>
                <w:highlight w:val="none"/>
                <w:lang w:eastAsia="en-US"/>
              </w:rPr>
              <w:t>无破损；是涂料的，无脱落、无污渍：无</w:t>
            </w:r>
            <w:r>
              <w:rPr>
                <w:rFonts w:ascii="仿宋" w:eastAsia="仿宋" w:hAnsi="仿宋" w:cs="仿宋" w:hint="eastAsia"/>
                <w:snapToGrid w:val="0"/>
                <w:color w:val="auto"/>
                <w:spacing w:val="9"/>
                <w:kern w:val="0"/>
                <w:sz w:val="24"/>
                <w:szCs w:val="24"/>
                <w:highlight w:val="none"/>
                <w:lang w:eastAsia="en-US"/>
              </w:rPr>
              <w:t>纸张乱贴、乱涂、乱画和乱悬挂现象</w:t>
            </w:r>
          </w:p>
        </w:tc>
        <w:tc>
          <w:tcPr>
            <w:tcW w:w="690" w:type="dxa"/>
            <w:vAlign w:val="center"/>
          </w:tcPr>
          <w:p>
            <w:pPr>
              <w:widowControl/>
              <w:wordWrap w:val="0"/>
              <w:autoSpaceDE w:val="0"/>
              <w:autoSpaceDN w:val="0"/>
              <w:adjustRightInd w:val="0"/>
              <w:snapToGrid w:val="0"/>
              <w:jc w:val="center"/>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2</w:t>
            </w:r>
          </w:p>
        </w:tc>
        <w:tc>
          <w:tcPr>
            <w:tcW w:w="3498" w:type="dxa"/>
          </w:tcPr>
          <w:p>
            <w:pPr>
              <w:widowControl/>
              <w:wordWrap w:val="0"/>
              <w:autoSpaceDE w:val="0"/>
              <w:autoSpaceDN w:val="0"/>
              <w:adjustRightInd w:val="0"/>
              <w:snapToGrid w:val="0"/>
              <w:spacing w:before="110"/>
              <w:ind w:right="103"/>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8"/>
                <w:kern w:val="0"/>
                <w:sz w:val="24"/>
                <w:szCs w:val="24"/>
                <w:highlight w:val="none"/>
                <w:lang w:eastAsia="en-US"/>
              </w:rPr>
              <w:t>符合2分，房屋外墙是建材贴用</w:t>
            </w:r>
            <w:r>
              <w:rPr>
                <w:rFonts w:ascii="仿宋" w:eastAsia="仿宋" w:hAnsi="仿宋" w:cs="仿宋" w:hint="eastAsia"/>
                <w:snapToGrid w:val="0"/>
                <w:color w:val="auto"/>
                <w:spacing w:val="7"/>
                <w:kern w:val="0"/>
                <w:sz w:val="24"/>
                <w:szCs w:val="24"/>
                <w:highlight w:val="none"/>
                <w:lang w:eastAsia="en-US"/>
              </w:rPr>
              <w:t>的每发现一处脱落扣0.2分，是</w:t>
            </w:r>
            <w:r>
              <w:rPr>
                <w:rFonts w:ascii="仿宋" w:eastAsia="仿宋" w:hAnsi="仿宋" w:cs="仿宋" w:hint="eastAsia"/>
                <w:snapToGrid w:val="0"/>
                <w:color w:val="auto"/>
                <w:spacing w:val="10"/>
                <w:kern w:val="0"/>
                <w:sz w:val="24"/>
                <w:szCs w:val="24"/>
                <w:highlight w:val="none"/>
                <w:lang w:eastAsia="en-US"/>
              </w:rPr>
              <w:t>玻璃幕墙的每发现一处破损或洁</w:t>
            </w:r>
            <w:r>
              <w:rPr>
                <w:rFonts w:ascii="仿宋" w:eastAsia="仿宋" w:hAnsi="仿宋" w:cs="仿宋" w:hint="eastAsia"/>
                <w:snapToGrid w:val="0"/>
                <w:color w:val="auto"/>
                <w:spacing w:val="8"/>
                <w:kern w:val="0"/>
                <w:sz w:val="24"/>
                <w:szCs w:val="24"/>
                <w:highlight w:val="none"/>
                <w:lang w:eastAsia="en-US"/>
              </w:rPr>
              <w:t>扣0.2分，是涂料的每发现一处褪色不一致扣0.2分；每发现一</w:t>
            </w:r>
            <w:r>
              <w:rPr>
                <w:rFonts w:ascii="仿宋" w:eastAsia="仿宋" w:hAnsi="仿宋" w:cs="仿宋" w:hint="eastAsia"/>
                <w:snapToGrid w:val="0"/>
                <w:color w:val="auto"/>
                <w:spacing w:val="10"/>
                <w:kern w:val="0"/>
                <w:sz w:val="24"/>
                <w:szCs w:val="24"/>
                <w:highlight w:val="none"/>
                <w:lang w:eastAsia="en-US"/>
              </w:rPr>
              <w:t>处纸张乱贴、乱涂、乱画和乱悬</w:t>
            </w:r>
            <w:r>
              <w:rPr>
                <w:rFonts w:ascii="仿宋" w:eastAsia="仿宋" w:hAnsi="仿宋" w:cs="仿宋" w:hint="eastAsia"/>
                <w:snapToGrid w:val="0"/>
                <w:color w:val="auto"/>
                <w:spacing w:val="2"/>
                <w:kern w:val="0"/>
                <w:sz w:val="24"/>
                <w:szCs w:val="24"/>
                <w:highlight w:val="none"/>
                <w:lang w:eastAsia="en-US"/>
              </w:rPr>
              <w:t>挂扣0.2分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spacing w:before="65"/>
              <w:ind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4、室外招牌、按规定设置，保持整洁统</w:t>
            </w:r>
            <w:r>
              <w:rPr>
                <w:rFonts w:ascii="仿宋" w:eastAsia="仿宋" w:hAnsi="仿宋" w:cs="仿宋" w:hint="eastAsia"/>
                <w:snapToGrid w:val="0"/>
                <w:color w:val="auto"/>
                <w:spacing w:val="8"/>
                <w:kern w:val="0"/>
                <w:sz w:val="24"/>
                <w:szCs w:val="24"/>
                <w:highlight w:val="none"/>
                <w:lang w:eastAsia="en-US"/>
              </w:rPr>
              <w:t>一美观，无安全隐患或破损</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08"/>
              <w:ind w:right="103"/>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5"/>
                <w:kern w:val="0"/>
                <w:sz w:val="24"/>
                <w:szCs w:val="24"/>
                <w:highlight w:val="none"/>
                <w:lang w:eastAsia="en-US"/>
              </w:rPr>
              <w:t>符合1分，未按规定设置0分；</w:t>
            </w:r>
            <w:r>
              <w:rPr>
                <w:rFonts w:ascii="仿宋" w:eastAsia="仿宋" w:hAnsi="仿宋" w:cs="仿宋" w:hint="eastAsia"/>
                <w:snapToGrid w:val="0"/>
                <w:color w:val="auto"/>
                <w:spacing w:val="10"/>
                <w:kern w:val="0"/>
                <w:sz w:val="24"/>
                <w:szCs w:val="24"/>
                <w:highlight w:val="none"/>
                <w:lang w:eastAsia="en-US"/>
              </w:rPr>
              <w:t>按规定设置，但不整齐或有破损</w:t>
            </w:r>
            <w:r>
              <w:rPr>
                <w:rFonts w:ascii="仿宋" w:eastAsia="仿宋" w:hAnsi="仿宋" w:cs="仿宋" w:hint="eastAsia"/>
                <w:snapToGrid w:val="0"/>
                <w:color w:val="auto"/>
                <w:spacing w:val="7"/>
                <w:kern w:val="0"/>
                <w:sz w:val="24"/>
                <w:szCs w:val="24"/>
                <w:highlight w:val="none"/>
                <w:lang w:eastAsia="en-US"/>
              </w:rPr>
              <w:t>每处扣0.1分，有安全隐患每处</w:t>
            </w:r>
            <w:r>
              <w:rPr>
                <w:rFonts w:ascii="仿宋" w:eastAsia="仿宋" w:hAnsi="仿宋" w:cs="仿宋" w:hint="eastAsia"/>
                <w:snapToGrid w:val="0"/>
                <w:color w:val="auto"/>
                <w:spacing w:val="1"/>
                <w:kern w:val="0"/>
                <w:sz w:val="24"/>
                <w:szCs w:val="24"/>
                <w:highlight w:val="none"/>
                <w:lang w:eastAsia="en-US"/>
              </w:rPr>
              <w:t>扣0.5分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289"/>
              <w:ind w:right="11"/>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5、空调安装位置统一，冷凝水集中收集。</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0"/>
              <w:ind w:right="125"/>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6"/>
                <w:kern w:val="0"/>
                <w:sz w:val="24"/>
                <w:szCs w:val="24"/>
                <w:highlight w:val="none"/>
                <w:lang w:eastAsia="en-US"/>
              </w:rPr>
              <w:t>符合1分，每发现一处不符合扣</w:t>
            </w:r>
            <w:r>
              <w:rPr>
                <w:rFonts w:ascii="仿宋" w:eastAsia="仿宋" w:hAnsi="仿宋" w:cs="仿宋" w:hint="eastAsia"/>
                <w:snapToGrid w:val="0"/>
                <w:color w:val="auto"/>
                <w:spacing w:val="1"/>
                <w:kern w:val="0"/>
                <w:sz w:val="24"/>
                <w:szCs w:val="24"/>
                <w:highlight w:val="none"/>
                <w:lang w:eastAsia="en-US"/>
              </w:rPr>
              <w:t>0.1分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08"/>
              <w:ind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6、楼宇内楼梯、走道、扶手、天花板、</w:t>
            </w:r>
            <w:r>
              <w:rPr>
                <w:rFonts w:ascii="仿宋" w:eastAsia="仿宋" w:hAnsi="仿宋" w:cs="仿宋" w:hint="eastAsia"/>
                <w:snapToGrid w:val="0"/>
                <w:color w:val="auto"/>
                <w:spacing w:val="7"/>
                <w:kern w:val="0"/>
                <w:sz w:val="24"/>
                <w:szCs w:val="24"/>
                <w:highlight w:val="none"/>
                <w:lang w:eastAsia="en-US"/>
              </w:rPr>
              <w:t>吊顶等无破损；墙体整洁，无乱张贴；共用部位门窗、灯具、开关等功能良好；卫</w:t>
            </w:r>
            <w:r>
              <w:rPr>
                <w:rFonts w:ascii="仿宋" w:eastAsia="仿宋" w:hAnsi="仿宋" w:cs="仿宋" w:hint="eastAsia"/>
                <w:snapToGrid w:val="0"/>
                <w:color w:val="auto"/>
                <w:spacing w:val="6"/>
                <w:kern w:val="0"/>
                <w:sz w:val="24"/>
                <w:szCs w:val="24"/>
                <w:highlight w:val="none"/>
                <w:lang w:eastAsia="en-US"/>
              </w:rPr>
              <w:t>生间、水房等管理完好</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2</w:t>
            </w:r>
          </w:p>
        </w:tc>
        <w:tc>
          <w:tcPr>
            <w:tcW w:w="3498" w:type="dxa"/>
          </w:tcPr>
          <w:p>
            <w:pPr>
              <w:widowControl/>
              <w:wordWrap w:val="0"/>
              <w:autoSpaceDE w:val="0"/>
              <w:autoSpaceDN w:val="0"/>
              <w:adjustRightInd w:val="0"/>
              <w:snapToGrid w:val="0"/>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spacing w:before="65"/>
              <w:ind w:right="125"/>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符合2分，如发现一处不符合扣</w:t>
            </w:r>
            <w:r>
              <w:rPr>
                <w:rFonts w:ascii="仿宋" w:eastAsia="仿宋" w:hAnsi="仿宋" w:cs="仿宋" w:hint="eastAsia"/>
                <w:snapToGrid w:val="0"/>
                <w:color w:val="auto"/>
                <w:spacing w:val="1"/>
                <w:kern w:val="0"/>
                <w:sz w:val="24"/>
                <w:szCs w:val="24"/>
                <w:highlight w:val="none"/>
                <w:lang w:eastAsia="en-US"/>
              </w:rPr>
              <w:t>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7、共用楼梯、天台、通道、平台等处无</w:t>
            </w:r>
            <w:r>
              <w:rPr>
                <w:rFonts w:ascii="仿宋" w:eastAsia="仿宋" w:hAnsi="仿宋" w:cs="仿宋" w:hint="eastAsia"/>
                <w:snapToGrid w:val="0"/>
                <w:color w:val="auto"/>
                <w:spacing w:val="7"/>
                <w:kern w:val="0"/>
                <w:sz w:val="24"/>
                <w:szCs w:val="24"/>
                <w:highlight w:val="none"/>
                <w:lang w:eastAsia="en-US"/>
              </w:rPr>
              <w:t>堆放废料、杂物及违章占用等。天台隔热层无破损</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292"/>
              <w:ind w:right="125"/>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5"/>
                <w:kern w:val="0"/>
                <w:sz w:val="24"/>
                <w:szCs w:val="24"/>
                <w:highlight w:val="none"/>
                <w:lang w:eastAsia="en-US"/>
              </w:rPr>
              <w:t>符合1.0分，发现一处不符合扣</w:t>
            </w:r>
            <w:r>
              <w:rPr>
                <w:rFonts w:ascii="仿宋" w:eastAsia="仿宋" w:hAnsi="仿宋" w:cs="仿宋" w:hint="eastAsia"/>
                <w:snapToGrid w:val="0"/>
                <w:color w:val="auto"/>
                <w:spacing w:val="1"/>
                <w:kern w:val="0"/>
                <w:sz w:val="24"/>
                <w:szCs w:val="24"/>
                <w:highlight w:val="none"/>
                <w:lang w:eastAsia="en-US"/>
              </w:rPr>
              <w:t>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8、房屋装饰装修符合规定，未发生危及</w:t>
            </w:r>
            <w:r>
              <w:rPr>
                <w:rFonts w:ascii="仿宋" w:eastAsia="仿宋" w:hAnsi="仿宋" w:cs="仿宋" w:hint="eastAsia"/>
                <w:snapToGrid w:val="0"/>
                <w:color w:val="auto"/>
                <w:spacing w:val="20"/>
                <w:kern w:val="0"/>
                <w:sz w:val="24"/>
                <w:szCs w:val="24"/>
                <w:highlight w:val="none"/>
                <w:lang w:eastAsia="en-US"/>
              </w:rPr>
              <w:t>房屋结构安全及拆改管线和损害他人利</w:t>
            </w:r>
            <w:r>
              <w:rPr>
                <w:rFonts w:ascii="仿宋" w:eastAsia="仿宋" w:hAnsi="仿宋" w:cs="仿宋" w:hint="eastAsia"/>
                <w:snapToGrid w:val="0"/>
                <w:color w:val="auto"/>
                <w:spacing w:val="7"/>
                <w:kern w:val="0"/>
                <w:sz w:val="24"/>
                <w:szCs w:val="24"/>
                <w:highlight w:val="none"/>
                <w:lang w:eastAsia="en-US"/>
              </w:rPr>
              <w:t>益的现象</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293"/>
              <w:ind w:right="125"/>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5"/>
                <w:kern w:val="0"/>
                <w:sz w:val="24"/>
                <w:szCs w:val="24"/>
                <w:highlight w:val="none"/>
                <w:lang w:eastAsia="en-US"/>
              </w:rPr>
              <w:t>符合1.0分，发现一处不符合扣</w:t>
            </w:r>
            <w:r>
              <w:rPr>
                <w:rFonts w:ascii="仿宋" w:eastAsia="仿宋" w:hAnsi="仿宋" w:cs="仿宋" w:hint="eastAsia"/>
                <w:snapToGrid w:val="0"/>
                <w:color w:val="auto"/>
                <w:spacing w:val="1"/>
                <w:kern w:val="0"/>
                <w:sz w:val="24"/>
                <w:szCs w:val="24"/>
                <w:highlight w:val="none"/>
                <w:lang w:eastAsia="en-US"/>
              </w:rPr>
              <w:t>0.5分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right="105"/>
              <w:jc w:val="left"/>
              <w:textAlignment w:val="baseline"/>
              <w:rPr>
                <w:rFonts w:ascii="仿宋" w:eastAsia="仿宋" w:hAnsi="仿宋" w:cs="仿宋"/>
                <w:snapToGrid w:val="0"/>
                <w:color w:val="auto"/>
                <w:spacing w:val="7"/>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9、机器设备单位面积重量不超过楼板承</w:t>
            </w:r>
            <w:r>
              <w:rPr>
                <w:rFonts w:ascii="仿宋" w:eastAsia="仿宋" w:hAnsi="仿宋" w:cs="仿宋" w:hint="eastAsia"/>
                <w:snapToGrid w:val="0"/>
                <w:color w:val="auto"/>
                <w:spacing w:val="9"/>
                <w:kern w:val="0"/>
                <w:sz w:val="24"/>
                <w:szCs w:val="24"/>
                <w:highlight w:val="none"/>
                <w:lang w:eastAsia="en-US"/>
              </w:rPr>
              <w:t>重限度。无危及建筑结构的安全隐患</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2"/>
              <w:ind w:right="125"/>
              <w:textAlignment w:val="baseline"/>
              <w:rPr>
                <w:rFonts w:ascii="仿宋" w:eastAsia="仿宋" w:hAnsi="仿宋" w:cs="仿宋"/>
                <w:snapToGrid w:val="0"/>
                <w:color w:val="auto"/>
                <w:spacing w:val="6"/>
                <w:kern w:val="0"/>
                <w:sz w:val="24"/>
                <w:szCs w:val="24"/>
                <w:highlight w:val="none"/>
                <w:lang w:eastAsia="en-US"/>
              </w:rPr>
            </w:pPr>
            <w:r>
              <w:rPr>
                <w:rFonts w:ascii="仿宋" w:eastAsia="仿宋" w:hAnsi="仿宋" w:cs="仿宋" w:hint="eastAsia"/>
                <w:snapToGrid w:val="0"/>
                <w:color w:val="auto"/>
                <w:spacing w:val="5"/>
                <w:kern w:val="0"/>
                <w:sz w:val="24"/>
                <w:szCs w:val="24"/>
                <w:highlight w:val="none"/>
                <w:lang w:eastAsia="en-US"/>
              </w:rPr>
              <w:t>符合1.0分，发现一处不符合扣</w:t>
            </w:r>
            <w:r>
              <w:rPr>
                <w:rFonts w:ascii="仿宋" w:eastAsia="仿宋" w:hAnsi="仿宋" w:cs="仿宋" w:hint="eastAsia"/>
                <w:snapToGrid w:val="0"/>
                <w:color w:val="auto"/>
                <w:spacing w:val="1"/>
                <w:kern w:val="0"/>
                <w:sz w:val="24"/>
                <w:szCs w:val="24"/>
                <w:highlight w:val="none"/>
                <w:lang w:eastAsia="en-US"/>
              </w:rPr>
              <w:t>0.5分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463"/>
        </w:trPr>
        <w:tc>
          <w:tcPr>
            <w:tcW w:w="557" w:type="dxa"/>
            <w:vMerge w:val="restart"/>
            <w:vAlign w:val="center"/>
          </w:tcPr>
          <w:p>
            <w:pPr>
              <w:widowControl/>
              <w:wordWrap w:val="0"/>
              <w:autoSpaceDE w:val="0"/>
              <w:autoSpaceDN w:val="0"/>
              <w:adjustRightInd w:val="0"/>
              <w:snapToGrid w:val="0"/>
              <w:jc w:val="center"/>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三</w:t>
            </w:r>
          </w:p>
        </w:tc>
        <w:tc>
          <w:tcPr>
            <w:tcW w:w="3663" w:type="dxa"/>
            <w:shd w:val="clear" w:color="auto" w:fill="D8D8D8" w:themeFill="background1" w:themeFillShade="D8"/>
          </w:tcPr>
          <w:p>
            <w:pPr>
              <w:widowControl/>
              <w:wordWrap w:val="0"/>
              <w:autoSpaceDE w:val="0"/>
              <w:autoSpaceDN w:val="0"/>
              <w:adjustRightInd w:val="0"/>
              <w:snapToGrid w:val="0"/>
              <w:spacing w:before="109"/>
              <w:ind w:left="110"/>
              <w:jc w:val="left"/>
              <w:textAlignment w:val="baseline"/>
              <w:rPr>
                <w:rFonts w:ascii="仿宋" w:eastAsia="仿宋" w:hAnsi="仿宋" w:cs="仿宋"/>
                <w:b/>
                <w:bCs/>
                <w:snapToGrid w:val="0"/>
                <w:color w:val="auto"/>
                <w:spacing w:val="6"/>
                <w:kern w:val="0"/>
                <w:sz w:val="24"/>
                <w:szCs w:val="24"/>
                <w:highlight w:val="none"/>
                <w:lang w:eastAsia="en-US"/>
              </w:rPr>
            </w:pPr>
            <w:r>
              <w:rPr>
                <w:rFonts w:ascii="仿宋" w:eastAsia="仿宋" w:hAnsi="仿宋" w:cs="仿宋" w:hint="eastAsia"/>
                <w:b/>
                <w:bCs/>
                <w:snapToGrid w:val="0"/>
                <w:color w:val="auto"/>
                <w:spacing w:val="6"/>
                <w:kern w:val="0"/>
                <w:sz w:val="24"/>
                <w:szCs w:val="24"/>
                <w:highlight w:val="none"/>
                <w:lang w:eastAsia="en-US"/>
              </w:rPr>
              <w:t>共用设施设备管理</w:t>
            </w:r>
          </w:p>
        </w:tc>
        <w:tc>
          <w:tcPr>
            <w:tcW w:w="690" w:type="dxa"/>
            <w:shd w:val="clear" w:color="auto" w:fill="D8D8D8" w:themeFill="background1" w:themeFillShade="D8"/>
            <w:vAlign w:val="center"/>
          </w:tcPr>
          <w:p>
            <w:pPr>
              <w:widowControl/>
              <w:wordWrap w:val="0"/>
              <w:autoSpaceDE w:val="0"/>
              <w:autoSpaceDN w:val="0"/>
              <w:adjustRightInd w:val="0"/>
              <w:snapToGrid w:val="0"/>
              <w:spacing w:before="109"/>
              <w:jc w:val="center"/>
              <w:textAlignment w:val="baseline"/>
              <w:rPr>
                <w:rFonts w:ascii="仿宋" w:eastAsia="仿宋" w:hAnsi="仿宋" w:cs="仿宋"/>
                <w:b/>
                <w:bCs/>
                <w:snapToGrid w:val="0"/>
                <w:color w:val="auto"/>
                <w:spacing w:val="6"/>
                <w:kern w:val="0"/>
                <w:sz w:val="24"/>
                <w:szCs w:val="24"/>
                <w:highlight w:val="none"/>
                <w:lang w:eastAsia="en-US"/>
              </w:rPr>
            </w:pPr>
            <w:r>
              <w:rPr>
                <w:rFonts w:ascii="仿宋" w:eastAsia="仿宋" w:hAnsi="仿宋" w:cs="仿宋" w:hint="eastAsia"/>
                <w:b/>
                <w:bCs/>
                <w:snapToGrid w:val="0"/>
                <w:color w:val="auto"/>
                <w:spacing w:val="6"/>
                <w:kern w:val="0"/>
                <w:sz w:val="24"/>
                <w:szCs w:val="24"/>
                <w:highlight w:val="none"/>
                <w:lang w:eastAsia="en-US"/>
              </w:rPr>
              <w:t>34</w:t>
            </w:r>
          </w:p>
        </w:tc>
        <w:tc>
          <w:tcPr>
            <w:tcW w:w="3498" w:type="dxa"/>
            <w:shd w:val="clear" w:color="auto" w:fill="D8D8D8" w:themeFill="background1" w:themeFillShade="D8"/>
          </w:tcPr>
          <w:p>
            <w:pPr>
              <w:widowControl/>
              <w:wordWrap w:val="0"/>
              <w:autoSpaceDE w:val="0"/>
              <w:autoSpaceDN w:val="0"/>
              <w:adjustRightInd w:val="0"/>
              <w:snapToGrid w:val="0"/>
              <w:spacing w:before="109"/>
              <w:ind w:left="110"/>
              <w:textAlignment w:val="baseline"/>
              <w:rPr>
                <w:rFonts w:ascii="仿宋" w:eastAsia="仿宋" w:hAnsi="仿宋" w:cs="仿宋"/>
                <w:b/>
                <w:bCs/>
                <w:snapToGrid w:val="0"/>
                <w:color w:val="auto"/>
                <w:spacing w:val="6"/>
                <w:kern w:val="0"/>
                <w:sz w:val="24"/>
                <w:szCs w:val="24"/>
                <w:highlight w:val="none"/>
                <w:lang w:eastAsia="en-US"/>
              </w:rPr>
            </w:pPr>
          </w:p>
        </w:tc>
        <w:tc>
          <w:tcPr>
            <w:tcW w:w="636" w:type="dxa"/>
            <w:shd w:val="clear" w:color="auto" w:fill="D8D8D8" w:themeFill="background1" w:themeFillShade="D8"/>
          </w:tcPr>
          <w:p>
            <w:pPr>
              <w:widowControl/>
              <w:wordWrap w:val="0"/>
              <w:autoSpaceDE w:val="0"/>
              <w:autoSpaceDN w:val="0"/>
              <w:adjustRightInd w:val="0"/>
              <w:snapToGrid w:val="0"/>
              <w:spacing w:before="109" w:line="227" w:lineRule="auto"/>
              <w:ind w:left="110"/>
              <w:jc w:val="left"/>
              <w:textAlignment w:val="baseline"/>
              <w:rPr>
                <w:rFonts w:ascii="仿宋" w:eastAsia="仿宋" w:hAnsi="仿宋" w:cs="仿宋"/>
                <w:b/>
                <w:bCs/>
                <w:snapToGrid w:val="0"/>
                <w:color w:val="auto"/>
                <w:spacing w:val="6"/>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434"/>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shd w:val="clear" w:color="auto" w:fill="D8D8D8" w:themeFill="background1" w:themeFillShade="D8"/>
          </w:tcPr>
          <w:p>
            <w:pPr>
              <w:widowControl/>
              <w:wordWrap w:val="0"/>
              <w:autoSpaceDE w:val="0"/>
              <w:autoSpaceDN w:val="0"/>
              <w:adjustRightInd w:val="0"/>
              <w:snapToGrid w:val="0"/>
              <w:spacing w:before="112"/>
              <w:ind w:left="121"/>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b/>
                <w:bCs/>
                <w:snapToGrid w:val="0"/>
                <w:color w:val="auto"/>
                <w:spacing w:val="6"/>
                <w:kern w:val="0"/>
                <w:sz w:val="24"/>
                <w:szCs w:val="24"/>
                <w:highlight w:val="none"/>
                <w:lang w:eastAsia="en-US"/>
              </w:rPr>
              <w:t>（一）综合要求</w:t>
            </w:r>
          </w:p>
        </w:tc>
        <w:tc>
          <w:tcPr>
            <w:tcW w:w="690" w:type="dxa"/>
            <w:shd w:val="clear" w:color="auto" w:fill="D8D8D8" w:themeFill="background1" w:themeFillShade="D8"/>
            <w:vAlign w:val="center"/>
          </w:tcPr>
          <w:p>
            <w:pPr>
              <w:widowControl/>
              <w:wordWrap w:val="0"/>
              <w:autoSpaceDE w:val="0"/>
              <w:autoSpaceDN w:val="0"/>
              <w:adjustRightInd w:val="0"/>
              <w:snapToGrid w:val="0"/>
              <w:spacing w:before="147"/>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3"/>
                <w:kern w:val="0"/>
                <w:sz w:val="24"/>
                <w:szCs w:val="24"/>
                <w:highlight w:val="none"/>
                <w:lang w:eastAsia="en-US"/>
              </w:rPr>
              <w:t>5</w:t>
            </w:r>
          </w:p>
        </w:tc>
        <w:tc>
          <w:tcPr>
            <w:tcW w:w="3498" w:type="dxa"/>
            <w:shd w:val="clear" w:color="auto" w:fill="D8D8D8" w:themeFill="background1" w:themeFillShade="D8"/>
          </w:tcPr>
          <w:p>
            <w:pPr>
              <w:widowControl/>
              <w:wordWrap w:val="0"/>
              <w:autoSpaceDE w:val="0"/>
              <w:autoSpaceDN w:val="0"/>
              <w:adjustRightInd w:val="0"/>
              <w:snapToGrid w:val="0"/>
              <w:textAlignment w:val="baseline"/>
              <w:rPr>
                <w:rFonts w:ascii="仿宋" w:eastAsia="仿宋" w:hAnsi="仿宋" w:cs="仿宋"/>
                <w:snapToGrid w:val="0"/>
                <w:color w:val="auto"/>
                <w:spacing w:val="5"/>
                <w:kern w:val="0"/>
                <w:sz w:val="24"/>
                <w:szCs w:val="24"/>
                <w:highlight w:val="none"/>
                <w:lang w:eastAsia="en-US"/>
              </w:rPr>
            </w:pPr>
          </w:p>
        </w:tc>
        <w:tc>
          <w:tcPr>
            <w:tcW w:w="636" w:type="dxa"/>
            <w:shd w:val="clear" w:color="auto" w:fill="D8D8D8" w:themeFill="background1" w:themeFillShade="D8"/>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1"/>
              <w:ind w:left="113" w:right="107"/>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0"/>
                <w:kern w:val="0"/>
                <w:sz w:val="24"/>
                <w:szCs w:val="24"/>
                <w:highlight w:val="none"/>
                <w:lang w:eastAsia="en-US"/>
              </w:rPr>
              <w:t>l、制订设备安全运行、岗位责任制、定</w:t>
            </w:r>
            <w:r>
              <w:rPr>
                <w:rFonts w:ascii="仿宋" w:eastAsia="仿宋" w:hAnsi="仿宋" w:cs="仿宋" w:hint="eastAsia"/>
                <w:snapToGrid w:val="0"/>
                <w:color w:val="auto"/>
                <w:spacing w:val="7"/>
                <w:kern w:val="0"/>
                <w:sz w:val="24"/>
                <w:szCs w:val="24"/>
                <w:highlight w:val="none"/>
                <w:lang w:eastAsia="en-US"/>
              </w:rPr>
              <w:t>期巡回检查、维护保养、运行记录管理、</w:t>
            </w:r>
            <w:r>
              <w:rPr>
                <w:rFonts w:ascii="仿宋" w:eastAsia="仿宋" w:hAnsi="仿宋" w:cs="仿宋" w:hint="eastAsia"/>
                <w:snapToGrid w:val="0"/>
                <w:color w:val="auto"/>
                <w:spacing w:val="9"/>
                <w:kern w:val="0"/>
                <w:sz w:val="24"/>
                <w:szCs w:val="24"/>
                <w:highlight w:val="none"/>
                <w:lang w:eastAsia="en-US"/>
              </w:rPr>
              <w:t>维修档案等管理制度，并严格执行</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292"/>
              <w:ind w:right="103"/>
              <w:textAlignment w:val="baseline"/>
              <w:rPr>
                <w:rFonts w:ascii="仿宋" w:eastAsia="仿宋" w:hAnsi="仿宋" w:cs="仿宋"/>
                <w:snapToGrid w:val="0"/>
                <w:color w:val="auto"/>
                <w:spacing w:val="5"/>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符合1.0分，每发现一处不符合</w:t>
            </w:r>
            <w:r>
              <w:rPr>
                <w:rFonts w:ascii="仿宋" w:eastAsia="仿宋" w:hAnsi="仿宋" w:cs="仿宋" w:hint="eastAsia"/>
                <w:snapToGrid w:val="0"/>
                <w:color w:val="auto"/>
                <w:kern w:val="0"/>
                <w:sz w:val="24"/>
                <w:szCs w:val="24"/>
                <w:highlight w:val="none"/>
                <w:lang w:eastAsia="en-US"/>
              </w:rPr>
              <w:t>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4"/>
              <w:ind w:left="112" w:right="37"/>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5"/>
                <w:kern w:val="0"/>
                <w:sz w:val="24"/>
                <w:szCs w:val="24"/>
                <w:highlight w:val="none"/>
                <w:lang w:eastAsia="en-US"/>
              </w:rPr>
              <w:t>2、设备及机房环境整治、无杂物、灰尘、</w:t>
            </w:r>
            <w:r>
              <w:rPr>
                <w:rFonts w:ascii="仿宋" w:eastAsia="仿宋" w:hAnsi="仿宋" w:cs="仿宋" w:hint="eastAsia"/>
                <w:snapToGrid w:val="0"/>
                <w:color w:val="auto"/>
                <w:spacing w:val="7"/>
                <w:kern w:val="0"/>
                <w:sz w:val="24"/>
                <w:szCs w:val="24"/>
                <w:highlight w:val="none"/>
                <w:lang w:eastAsia="en-US"/>
              </w:rPr>
              <w:t>无鼠、虫害发生、机房环境符合设备要求</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4"/>
              <w:ind w:right="103"/>
              <w:textAlignment w:val="baseline"/>
              <w:rPr>
                <w:rFonts w:ascii="仿宋" w:eastAsia="仿宋" w:hAnsi="仿宋" w:cs="仿宋"/>
                <w:snapToGrid w:val="0"/>
                <w:color w:val="auto"/>
                <w:spacing w:val="5"/>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符合1.0分，每发现一处不符合</w:t>
            </w:r>
            <w:r>
              <w:rPr>
                <w:rFonts w:ascii="仿宋" w:eastAsia="仿宋" w:hAnsi="仿宋" w:cs="仿宋" w:hint="eastAsia"/>
                <w:snapToGrid w:val="0"/>
                <w:color w:val="auto"/>
                <w:kern w:val="0"/>
                <w:sz w:val="24"/>
                <w:szCs w:val="24"/>
                <w:highlight w:val="none"/>
                <w:lang w:eastAsia="en-US"/>
              </w:rPr>
              <w:t>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4"/>
              <w:ind w:left="114" w:right="10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3、配备所需各种专业技术人员。严格执</w:t>
            </w:r>
            <w:r>
              <w:rPr>
                <w:rFonts w:ascii="仿宋" w:eastAsia="仿宋" w:hAnsi="仿宋" w:cs="仿宋" w:hint="eastAsia"/>
                <w:snapToGrid w:val="0"/>
                <w:color w:val="auto"/>
                <w:spacing w:val="7"/>
                <w:kern w:val="0"/>
                <w:sz w:val="24"/>
                <w:szCs w:val="24"/>
                <w:highlight w:val="none"/>
                <w:lang w:eastAsia="en-US"/>
              </w:rPr>
              <w:t>行操作规程</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294"/>
              <w:textAlignment w:val="baseline"/>
              <w:rPr>
                <w:rFonts w:ascii="仿宋" w:eastAsia="仿宋" w:hAnsi="仿宋" w:cs="仿宋"/>
                <w:snapToGrid w:val="0"/>
                <w:color w:val="auto"/>
                <w:spacing w:val="5"/>
                <w:kern w:val="0"/>
                <w:sz w:val="24"/>
                <w:szCs w:val="24"/>
                <w:highlight w:val="none"/>
                <w:lang w:eastAsia="en-US"/>
              </w:rPr>
            </w:pPr>
            <w:r>
              <w:rPr>
                <w:rFonts w:ascii="仿宋" w:eastAsia="仿宋" w:hAnsi="仿宋" w:cs="仿宋" w:hint="eastAsia"/>
                <w:snapToGrid w:val="0"/>
                <w:color w:val="auto"/>
                <w:spacing w:val="2"/>
                <w:kern w:val="0"/>
                <w:sz w:val="24"/>
                <w:szCs w:val="24"/>
                <w:highlight w:val="none"/>
                <w:lang w:eastAsia="en-US"/>
              </w:rPr>
              <w:t>符合1.0分，不符合0分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4"/>
              <w:ind w:left="115" w:right="10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4、设备良好，运行正常，一年内无重大</w:t>
            </w:r>
            <w:r>
              <w:rPr>
                <w:rFonts w:ascii="仿宋" w:eastAsia="仿宋" w:hAnsi="仿宋" w:cs="仿宋" w:hint="eastAsia"/>
                <w:snapToGrid w:val="0"/>
                <w:color w:val="auto"/>
                <w:spacing w:val="7"/>
                <w:kern w:val="0"/>
                <w:sz w:val="24"/>
                <w:szCs w:val="24"/>
                <w:highlight w:val="none"/>
                <w:lang w:eastAsia="en-US"/>
              </w:rPr>
              <w:t>管理责任事故</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2</w:t>
            </w:r>
          </w:p>
        </w:tc>
        <w:tc>
          <w:tcPr>
            <w:tcW w:w="3498" w:type="dxa"/>
          </w:tcPr>
          <w:p>
            <w:pPr>
              <w:widowControl/>
              <w:wordWrap w:val="0"/>
              <w:autoSpaceDE w:val="0"/>
              <w:autoSpaceDN w:val="0"/>
              <w:adjustRightInd w:val="0"/>
              <w:snapToGrid w:val="0"/>
              <w:spacing w:before="294"/>
              <w:textAlignment w:val="baseline"/>
              <w:rPr>
                <w:rFonts w:ascii="仿宋" w:eastAsia="仿宋" w:hAnsi="仿宋" w:cs="仿宋"/>
                <w:snapToGrid w:val="0"/>
                <w:color w:val="auto"/>
                <w:spacing w:val="5"/>
                <w:kern w:val="0"/>
                <w:sz w:val="24"/>
                <w:szCs w:val="24"/>
                <w:highlight w:val="none"/>
                <w:lang w:eastAsia="en-US"/>
              </w:rPr>
            </w:pPr>
            <w:r>
              <w:rPr>
                <w:rFonts w:ascii="仿宋" w:eastAsia="仿宋" w:hAnsi="仿宋" w:cs="仿宋" w:hint="eastAsia"/>
                <w:snapToGrid w:val="0"/>
                <w:color w:val="auto"/>
                <w:spacing w:val="3"/>
                <w:kern w:val="0"/>
                <w:sz w:val="24"/>
                <w:szCs w:val="24"/>
                <w:highlight w:val="none"/>
                <w:lang w:eastAsia="en-US"/>
              </w:rPr>
              <w:t>符合2分，不符合0分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503"/>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shd w:val="clear" w:color="auto" w:fill="D8D8D8" w:themeFill="background1" w:themeFillShade="D8"/>
          </w:tcPr>
          <w:p>
            <w:pPr>
              <w:widowControl/>
              <w:wordWrap w:val="0"/>
              <w:autoSpaceDE w:val="0"/>
              <w:autoSpaceDN w:val="0"/>
              <w:adjustRightInd w:val="0"/>
              <w:snapToGrid w:val="0"/>
              <w:spacing w:before="128"/>
              <w:ind w:left="121"/>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b/>
                <w:bCs/>
                <w:snapToGrid w:val="0"/>
                <w:color w:val="auto"/>
                <w:spacing w:val="6"/>
                <w:kern w:val="0"/>
                <w:sz w:val="24"/>
                <w:szCs w:val="24"/>
                <w:highlight w:val="none"/>
                <w:lang w:eastAsia="en-US"/>
              </w:rPr>
              <w:t>（二）供电系统</w:t>
            </w:r>
          </w:p>
        </w:tc>
        <w:tc>
          <w:tcPr>
            <w:tcW w:w="690" w:type="dxa"/>
            <w:shd w:val="clear" w:color="auto" w:fill="D8D8D8" w:themeFill="background1" w:themeFillShade="D8"/>
            <w:vAlign w:val="center"/>
          </w:tcPr>
          <w:p>
            <w:pPr>
              <w:widowControl/>
              <w:wordWrap w:val="0"/>
              <w:autoSpaceDE w:val="0"/>
              <w:autoSpaceDN w:val="0"/>
              <w:adjustRightInd w:val="0"/>
              <w:snapToGrid w:val="0"/>
              <w:spacing w:before="161"/>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3"/>
                <w:kern w:val="0"/>
                <w:sz w:val="24"/>
                <w:szCs w:val="24"/>
                <w:highlight w:val="none"/>
                <w:lang w:eastAsia="en-US"/>
              </w:rPr>
              <w:t>3</w:t>
            </w:r>
          </w:p>
        </w:tc>
        <w:tc>
          <w:tcPr>
            <w:tcW w:w="3498" w:type="dxa"/>
            <w:shd w:val="clear" w:color="auto" w:fill="D8D8D8" w:themeFill="background1" w:themeFillShade="D8"/>
          </w:tcPr>
          <w:p>
            <w:pPr>
              <w:widowControl/>
              <w:wordWrap w:val="0"/>
              <w:autoSpaceDE w:val="0"/>
              <w:autoSpaceDN w:val="0"/>
              <w:adjustRightInd w:val="0"/>
              <w:snapToGrid w:val="0"/>
              <w:textAlignment w:val="baseline"/>
              <w:rPr>
                <w:rFonts w:ascii="仿宋" w:eastAsia="仿宋" w:hAnsi="仿宋" w:cs="仿宋"/>
                <w:snapToGrid w:val="0"/>
                <w:color w:val="auto"/>
                <w:spacing w:val="5"/>
                <w:kern w:val="0"/>
                <w:sz w:val="24"/>
                <w:szCs w:val="24"/>
                <w:highlight w:val="none"/>
                <w:lang w:eastAsia="en-US"/>
              </w:rPr>
            </w:pPr>
          </w:p>
        </w:tc>
        <w:tc>
          <w:tcPr>
            <w:tcW w:w="636" w:type="dxa"/>
            <w:shd w:val="clear" w:color="auto" w:fill="D8D8D8" w:themeFill="background1" w:themeFillShade="D8"/>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4"/>
              <w:ind w:left="121" w:right="107"/>
              <w:jc w:val="left"/>
              <w:textAlignment w:val="baseline"/>
              <w:rPr>
                <w:rFonts w:ascii="仿宋" w:eastAsia="仿宋" w:hAnsi="仿宋" w:cs="仿宋"/>
                <w:b/>
                <w:bCs/>
                <w:snapToGrid w:val="0"/>
                <w:color w:val="auto"/>
                <w:spacing w:val="6"/>
                <w:kern w:val="0"/>
                <w:sz w:val="24"/>
                <w:szCs w:val="24"/>
                <w:highlight w:val="none"/>
                <w:lang w:eastAsia="en-US"/>
              </w:rPr>
            </w:pPr>
            <w:r>
              <w:rPr>
                <w:rFonts w:ascii="仿宋" w:eastAsia="仿宋" w:hAnsi="仿宋" w:cs="仿宋" w:hint="eastAsia"/>
                <w:snapToGrid w:val="0"/>
                <w:color w:val="auto"/>
                <w:spacing w:val="12"/>
                <w:kern w:val="0"/>
                <w:sz w:val="24"/>
                <w:szCs w:val="24"/>
                <w:highlight w:val="none"/>
                <w:lang w:eastAsia="en-US"/>
              </w:rPr>
              <w:t>1、保证正常供电、限电、停电有明确的</w:t>
            </w:r>
            <w:r>
              <w:rPr>
                <w:rFonts w:ascii="仿宋" w:eastAsia="仿宋" w:hAnsi="仿宋" w:cs="仿宋" w:hint="eastAsia"/>
                <w:snapToGrid w:val="0"/>
                <w:color w:val="auto"/>
                <w:spacing w:val="8"/>
                <w:kern w:val="0"/>
                <w:sz w:val="24"/>
                <w:szCs w:val="24"/>
                <w:highlight w:val="none"/>
                <w:lang w:eastAsia="en-US"/>
              </w:rPr>
              <w:t>审批权限并按规定时间通知用户</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b/>
                <w:bCs/>
                <w:snapToGrid w:val="0"/>
                <w:color w:val="auto"/>
                <w:spacing w:val="-3"/>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293"/>
              <w:textAlignment w:val="baseline"/>
              <w:rPr>
                <w:rFonts w:ascii="仿宋" w:eastAsia="仿宋" w:hAnsi="仿宋" w:cs="仿宋"/>
                <w:snapToGrid w:val="0"/>
                <w:color w:val="auto"/>
                <w:spacing w:val="5"/>
                <w:kern w:val="0"/>
                <w:sz w:val="24"/>
                <w:szCs w:val="24"/>
                <w:highlight w:val="none"/>
                <w:lang w:eastAsia="en-US"/>
              </w:rPr>
            </w:pPr>
            <w:r>
              <w:rPr>
                <w:rFonts w:ascii="仿宋" w:eastAsia="仿宋" w:hAnsi="仿宋" w:cs="仿宋" w:hint="eastAsia"/>
                <w:snapToGrid w:val="0"/>
                <w:color w:val="auto"/>
                <w:spacing w:val="2"/>
                <w:kern w:val="0"/>
                <w:sz w:val="24"/>
                <w:szCs w:val="24"/>
                <w:highlight w:val="none"/>
                <w:lang w:eastAsia="en-US"/>
              </w:rPr>
              <w:t>符合1.0分，不符合0分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0"/>
              <w:ind w:left="113" w:right="105"/>
              <w:jc w:val="left"/>
              <w:textAlignment w:val="baseline"/>
              <w:rPr>
                <w:rFonts w:ascii="仿宋" w:eastAsia="仿宋" w:hAnsi="仿宋" w:cs="仿宋"/>
                <w:b/>
                <w:bCs/>
                <w:snapToGrid w:val="0"/>
                <w:color w:val="auto"/>
                <w:spacing w:val="6"/>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2、制订临时用电管理措施与停电应急处</w:t>
            </w:r>
            <w:r>
              <w:rPr>
                <w:rFonts w:ascii="仿宋" w:eastAsia="仿宋" w:hAnsi="仿宋" w:cs="仿宋" w:hint="eastAsia"/>
                <w:snapToGrid w:val="0"/>
                <w:color w:val="auto"/>
                <w:spacing w:val="8"/>
                <w:kern w:val="0"/>
                <w:sz w:val="24"/>
                <w:szCs w:val="24"/>
                <w:highlight w:val="none"/>
                <w:lang w:eastAsia="en-US"/>
              </w:rPr>
              <w:t>理措施并严格执行</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b/>
                <w:bCs/>
                <w:snapToGrid w:val="0"/>
                <w:color w:val="auto"/>
                <w:spacing w:val="-3"/>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0"/>
              <w:ind w:right="103"/>
              <w:textAlignment w:val="baseline"/>
              <w:rPr>
                <w:rFonts w:ascii="仿宋" w:eastAsia="仿宋" w:hAnsi="仿宋" w:cs="仿宋"/>
                <w:snapToGrid w:val="0"/>
                <w:color w:val="auto"/>
                <w:spacing w:val="5"/>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符合1.0分，临时用电措施或停</w:t>
            </w:r>
            <w:r>
              <w:rPr>
                <w:rFonts w:ascii="仿宋" w:eastAsia="仿宋" w:hAnsi="仿宋" w:cs="仿宋" w:hint="eastAsia"/>
                <w:snapToGrid w:val="0"/>
                <w:color w:val="auto"/>
                <w:spacing w:val="5"/>
                <w:kern w:val="0"/>
                <w:sz w:val="24"/>
                <w:szCs w:val="24"/>
                <w:highlight w:val="none"/>
                <w:lang w:eastAsia="en-US"/>
              </w:rPr>
              <w:t>电应急措施不符合均扣0.5分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35"/>
              <w:ind w:left="115"/>
              <w:jc w:val="left"/>
              <w:textAlignment w:val="baseline"/>
              <w:rPr>
                <w:rFonts w:ascii="仿宋" w:eastAsia="仿宋" w:hAnsi="仿宋" w:cs="仿宋"/>
                <w:b/>
                <w:bCs/>
                <w:snapToGrid w:val="0"/>
                <w:color w:val="auto"/>
                <w:spacing w:val="6"/>
                <w:kern w:val="0"/>
                <w:sz w:val="24"/>
                <w:szCs w:val="24"/>
                <w:highlight w:val="none"/>
                <w:lang w:eastAsia="en-US"/>
              </w:rPr>
            </w:pPr>
            <w:r>
              <w:rPr>
                <w:rFonts w:ascii="仿宋" w:eastAsia="仿宋" w:hAnsi="仿宋" w:cs="仿宋" w:hint="eastAsia"/>
                <w:snapToGrid w:val="0"/>
                <w:color w:val="auto"/>
                <w:spacing w:val="8"/>
                <w:kern w:val="0"/>
                <w:sz w:val="24"/>
                <w:szCs w:val="24"/>
                <w:highlight w:val="none"/>
                <w:lang w:eastAsia="en-US"/>
              </w:rPr>
              <w:t>3、备用应急发电机可随时启用</w:t>
            </w:r>
          </w:p>
        </w:tc>
        <w:tc>
          <w:tcPr>
            <w:tcW w:w="690" w:type="dxa"/>
            <w:vAlign w:val="center"/>
          </w:tcPr>
          <w:p>
            <w:pPr>
              <w:widowControl/>
              <w:wordWrap w:val="0"/>
              <w:autoSpaceDE w:val="0"/>
              <w:autoSpaceDN w:val="0"/>
              <w:adjustRightInd w:val="0"/>
              <w:snapToGrid w:val="0"/>
              <w:spacing w:before="168"/>
              <w:jc w:val="center"/>
              <w:textAlignment w:val="baseline"/>
              <w:rPr>
                <w:rFonts w:ascii="仿宋" w:eastAsia="仿宋" w:hAnsi="仿宋" w:cs="仿宋"/>
                <w:b/>
                <w:bCs/>
                <w:snapToGrid w:val="0"/>
                <w:color w:val="auto"/>
                <w:spacing w:val="-3"/>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35"/>
              <w:textAlignment w:val="baseline"/>
              <w:rPr>
                <w:rFonts w:ascii="仿宋" w:eastAsia="仿宋" w:hAnsi="仿宋" w:cs="仿宋"/>
                <w:snapToGrid w:val="0"/>
                <w:color w:val="auto"/>
                <w:spacing w:val="5"/>
                <w:kern w:val="0"/>
                <w:sz w:val="24"/>
                <w:szCs w:val="24"/>
                <w:highlight w:val="none"/>
                <w:lang w:eastAsia="en-US"/>
              </w:rPr>
            </w:pPr>
            <w:r>
              <w:rPr>
                <w:rFonts w:ascii="仿宋" w:eastAsia="仿宋" w:hAnsi="仿宋" w:cs="仿宋" w:hint="eastAsia"/>
                <w:snapToGrid w:val="0"/>
                <w:color w:val="auto"/>
                <w:spacing w:val="2"/>
                <w:kern w:val="0"/>
                <w:sz w:val="24"/>
                <w:szCs w:val="24"/>
                <w:highlight w:val="none"/>
                <w:lang w:eastAsia="en-US"/>
              </w:rPr>
              <w:t>符合1.0分，不符合0分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514"/>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shd w:val="clear" w:color="auto" w:fill="D8D8D8" w:themeFill="background1" w:themeFillShade="D8"/>
          </w:tcPr>
          <w:p>
            <w:pPr>
              <w:widowControl/>
              <w:wordWrap w:val="0"/>
              <w:autoSpaceDE w:val="0"/>
              <w:autoSpaceDN w:val="0"/>
              <w:adjustRightInd w:val="0"/>
              <w:snapToGrid w:val="0"/>
              <w:spacing w:before="110"/>
              <w:ind w:left="121"/>
              <w:jc w:val="left"/>
              <w:textAlignment w:val="baseline"/>
              <w:rPr>
                <w:rFonts w:ascii="仿宋" w:eastAsia="仿宋" w:hAnsi="仿宋" w:cs="仿宋"/>
                <w:b/>
                <w:bCs/>
                <w:snapToGrid w:val="0"/>
                <w:color w:val="auto"/>
                <w:spacing w:val="6"/>
                <w:kern w:val="0"/>
                <w:sz w:val="24"/>
                <w:szCs w:val="24"/>
                <w:highlight w:val="none"/>
                <w:lang w:eastAsia="en-US"/>
              </w:rPr>
            </w:pPr>
            <w:r>
              <w:rPr>
                <w:rFonts w:ascii="仿宋" w:eastAsia="仿宋" w:hAnsi="仿宋" w:cs="仿宋" w:hint="eastAsia"/>
                <w:b/>
                <w:bCs/>
                <w:snapToGrid w:val="0"/>
                <w:color w:val="auto"/>
                <w:spacing w:val="6"/>
                <w:kern w:val="0"/>
                <w:sz w:val="24"/>
                <w:szCs w:val="24"/>
                <w:highlight w:val="none"/>
                <w:lang w:eastAsia="en-US"/>
              </w:rPr>
              <w:t>（三）弱电系统</w:t>
            </w:r>
          </w:p>
        </w:tc>
        <w:tc>
          <w:tcPr>
            <w:tcW w:w="690" w:type="dxa"/>
            <w:shd w:val="clear" w:color="auto" w:fill="D8D8D8" w:themeFill="background1" w:themeFillShade="D8"/>
            <w:vAlign w:val="center"/>
          </w:tcPr>
          <w:p>
            <w:pPr>
              <w:widowControl/>
              <w:wordWrap w:val="0"/>
              <w:autoSpaceDE w:val="0"/>
              <w:autoSpaceDN w:val="0"/>
              <w:adjustRightInd w:val="0"/>
              <w:snapToGrid w:val="0"/>
              <w:spacing w:before="142"/>
              <w:jc w:val="center"/>
              <w:textAlignment w:val="baseline"/>
              <w:rPr>
                <w:rFonts w:ascii="仿宋" w:eastAsia="仿宋" w:hAnsi="仿宋" w:cs="仿宋"/>
                <w:b/>
                <w:bCs/>
                <w:snapToGrid w:val="0"/>
                <w:color w:val="auto"/>
                <w:spacing w:val="-3"/>
                <w:kern w:val="0"/>
                <w:sz w:val="24"/>
                <w:szCs w:val="24"/>
                <w:highlight w:val="none"/>
                <w:lang w:eastAsia="en-US"/>
              </w:rPr>
            </w:pPr>
            <w:r>
              <w:rPr>
                <w:rFonts w:ascii="仿宋" w:eastAsia="仿宋" w:hAnsi="仿宋" w:cs="仿宋" w:hint="eastAsia"/>
                <w:b/>
                <w:bCs/>
                <w:snapToGrid w:val="0"/>
                <w:color w:val="auto"/>
                <w:spacing w:val="-3"/>
                <w:kern w:val="0"/>
                <w:sz w:val="24"/>
                <w:szCs w:val="24"/>
                <w:highlight w:val="none"/>
                <w:lang w:eastAsia="en-US"/>
              </w:rPr>
              <w:t>2</w:t>
            </w:r>
          </w:p>
        </w:tc>
        <w:tc>
          <w:tcPr>
            <w:tcW w:w="3498" w:type="dxa"/>
            <w:shd w:val="clear" w:color="auto" w:fill="D8D8D8" w:themeFill="background1" w:themeFillShade="D8"/>
          </w:tcPr>
          <w:p>
            <w:pPr>
              <w:widowControl/>
              <w:wordWrap w:val="0"/>
              <w:autoSpaceDE w:val="0"/>
              <w:autoSpaceDN w:val="0"/>
              <w:adjustRightInd w:val="0"/>
              <w:snapToGrid w:val="0"/>
              <w:textAlignment w:val="baseline"/>
              <w:rPr>
                <w:rFonts w:ascii="仿宋" w:eastAsia="仿宋" w:hAnsi="仿宋" w:cs="仿宋"/>
                <w:snapToGrid w:val="0"/>
                <w:color w:val="auto"/>
                <w:spacing w:val="5"/>
                <w:kern w:val="0"/>
                <w:sz w:val="24"/>
                <w:szCs w:val="24"/>
                <w:highlight w:val="none"/>
                <w:lang w:eastAsia="en-US"/>
              </w:rPr>
            </w:pPr>
          </w:p>
        </w:tc>
        <w:tc>
          <w:tcPr>
            <w:tcW w:w="636" w:type="dxa"/>
            <w:shd w:val="clear" w:color="auto" w:fill="D8D8D8" w:themeFill="background1" w:themeFillShade="D8"/>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08"/>
              <w:ind w:left="113" w:right="107"/>
              <w:jc w:val="left"/>
              <w:textAlignment w:val="baseline"/>
              <w:rPr>
                <w:rFonts w:ascii="仿宋" w:eastAsia="仿宋" w:hAnsi="仿宋" w:cs="仿宋"/>
                <w:b/>
                <w:bCs/>
                <w:snapToGrid w:val="0"/>
                <w:color w:val="auto"/>
                <w:spacing w:val="6"/>
                <w:kern w:val="0"/>
                <w:sz w:val="24"/>
                <w:szCs w:val="24"/>
                <w:highlight w:val="none"/>
                <w:lang w:eastAsia="en-US"/>
              </w:rPr>
            </w:pPr>
            <w:r>
              <w:rPr>
                <w:rFonts w:ascii="仿宋" w:eastAsia="仿宋" w:hAnsi="仿宋" w:cs="仿宋" w:hint="eastAsia"/>
                <w:snapToGrid w:val="0"/>
                <w:color w:val="auto"/>
                <w:spacing w:val="12"/>
                <w:kern w:val="0"/>
                <w:sz w:val="24"/>
                <w:szCs w:val="24"/>
                <w:highlight w:val="none"/>
                <w:lang w:eastAsia="en-US"/>
              </w:rPr>
              <w:t>1、按工作标准规定时间排除故障，保证</w:t>
            </w:r>
            <w:r>
              <w:rPr>
                <w:rFonts w:ascii="仿宋" w:eastAsia="仿宋" w:hAnsi="仿宋" w:cs="仿宋" w:hint="eastAsia"/>
                <w:snapToGrid w:val="0"/>
                <w:color w:val="auto"/>
                <w:spacing w:val="8"/>
                <w:kern w:val="0"/>
                <w:sz w:val="24"/>
                <w:szCs w:val="24"/>
                <w:highlight w:val="none"/>
                <w:lang w:eastAsia="en-US"/>
              </w:rPr>
              <w:t>各弱电系统正常工作</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b/>
                <w:bCs/>
                <w:snapToGrid w:val="0"/>
                <w:color w:val="auto"/>
                <w:spacing w:val="-3"/>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08"/>
              <w:ind w:right="125"/>
              <w:textAlignment w:val="baseline"/>
              <w:rPr>
                <w:rFonts w:ascii="仿宋" w:eastAsia="仿宋" w:hAnsi="仿宋" w:cs="仿宋"/>
                <w:snapToGrid w:val="0"/>
                <w:color w:val="auto"/>
                <w:spacing w:val="5"/>
                <w:kern w:val="0"/>
                <w:sz w:val="24"/>
                <w:szCs w:val="24"/>
                <w:highlight w:val="none"/>
                <w:lang w:eastAsia="en-US"/>
              </w:rPr>
            </w:pPr>
            <w:r>
              <w:rPr>
                <w:rFonts w:ascii="仿宋" w:eastAsia="仿宋" w:hAnsi="仿宋" w:cs="仿宋" w:hint="eastAsia"/>
                <w:snapToGrid w:val="0"/>
                <w:color w:val="auto"/>
                <w:spacing w:val="5"/>
                <w:kern w:val="0"/>
                <w:sz w:val="24"/>
                <w:szCs w:val="24"/>
                <w:highlight w:val="none"/>
                <w:lang w:eastAsia="en-US"/>
              </w:rPr>
              <w:t>符合1.0分，发现一次不符合扣</w:t>
            </w:r>
            <w:r>
              <w:rPr>
                <w:rFonts w:ascii="仿宋" w:eastAsia="仿宋" w:hAnsi="仿宋" w:cs="仿宋" w:hint="eastAsia"/>
                <w:snapToGrid w:val="0"/>
                <w:color w:val="auto"/>
                <w:spacing w:val="1"/>
                <w:kern w:val="0"/>
                <w:sz w:val="24"/>
                <w:szCs w:val="24"/>
                <w:highlight w:val="none"/>
                <w:lang w:eastAsia="en-US"/>
              </w:rPr>
              <w:t>0.5分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08"/>
              <w:ind w:left="111" w:right="37"/>
              <w:jc w:val="left"/>
              <w:textAlignment w:val="baseline"/>
              <w:rPr>
                <w:rFonts w:ascii="仿宋" w:eastAsia="仿宋" w:hAnsi="仿宋" w:cs="仿宋"/>
                <w:b/>
                <w:bCs/>
                <w:snapToGrid w:val="0"/>
                <w:color w:val="auto"/>
                <w:spacing w:val="6"/>
                <w:kern w:val="0"/>
                <w:sz w:val="24"/>
                <w:szCs w:val="24"/>
                <w:highlight w:val="none"/>
                <w:lang w:eastAsia="en-US"/>
              </w:rPr>
            </w:pPr>
            <w:r>
              <w:rPr>
                <w:rFonts w:ascii="仿宋" w:eastAsia="仿宋" w:hAnsi="仿宋" w:cs="仿宋" w:hint="eastAsia"/>
                <w:snapToGrid w:val="0"/>
                <w:color w:val="auto"/>
                <w:spacing w:val="5"/>
                <w:kern w:val="0"/>
                <w:sz w:val="24"/>
                <w:szCs w:val="24"/>
                <w:highlight w:val="none"/>
                <w:lang w:eastAsia="en-US"/>
              </w:rPr>
              <w:t>2、监控系统等智能化设施设备运行正常。</w:t>
            </w:r>
            <w:r>
              <w:rPr>
                <w:rFonts w:ascii="仿宋" w:eastAsia="仿宋" w:hAnsi="仿宋" w:cs="仿宋" w:hint="eastAsia"/>
                <w:snapToGrid w:val="0"/>
                <w:color w:val="auto"/>
                <w:spacing w:val="9"/>
                <w:kern w:val="0"/>
                <w:sz w:val="24"/>
                <w:szCs w:val="24"/>
                <w:highlight w:val="none"/>
                <w:lang w:eastAsia="en-US"/>
              </w:rPr>
              <w:t>有记录并按规定期限保存</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b/>
                <w:bCs/>
                <w:snapToGrid w:val="0"/>
                <w:color w:val="auto"/>
                <w:spacing w:val="-3"/>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08"/>
              <w:ind w:right="157"/>
              <w:textAlignment w:val="baseline"/>
              <w:rPr>
                <w:rFonts w:ascii="仿宋" w:eastAsia="仿宋" w:hAnsi="仿宋" w:cs="仿宋"/>
                <w:snapToGrid w:val="0"/>
                <w:color w:val="auto"/>
                <w:spacing w:val="5"/>
                <w:kern w:val="0"/>
                <w:sz w:val="24"/>
                <w:szCs w:val="24"/>
                <w:highlight w:val="none"/>
                <w:lang w:eastAsia="en-US"/>
              </w:rPr>
            </w:pPr>
            <w:r>
              <w:rPr>
                <w:rFonts w:ascii="仿宋" w:eastAsia="仿宋" w:hAnsi="仿宋" w:cs="仿宋" w:hint="eastAsia"/>
                <w:snapToGrid w:val="0"/>
                <w:color w:val="auto"/>
                <w:spacing w:val="1"/>
                <w:kern w:val="0"/>
                <w:sz w:val="24"/>
                <w:szCs w:val="24"/>
                <w:highlight w:val="none"/>
                <w:lang w:eastAsia="en-US"/>
              </w:rPr>
              <w:t>符合1.0分，基本符合0.5分，</w:t>
            </w:r>
            <w:r>
              <w:rPr>
                <w:rFonts w:ascii="仿宋" w:eastAsia="仿宋" w:hAnsi="仿宋" w:cs="仿宋" w:hint="eastAsia"/>
                <w:snapToGrid w:val="0"/>
                <w:color w:val="auto"/>
                <w:spacing w:val="2"/>
                <w:kern w:val="0"/>
                <w:sz w:val="24"/>
                <w:szCs w:val="24"/>
                <w:highlight w:val="none"/>
                <w:lang w:eastAsia="en-US"/>
              </w:rPr>
              <w:t>不符合0分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491"/>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shd w:val="clear" w:color="auto" w:fill="D8D8D8" w:themeFill="background1" w:themeFillShade="D8"/>
          </w:tcPr>
          <w:p>
            <w:pPr>
              <w:widowControl/>
              <w:wordWrap w:val="0"/>
              <w:autoSpaceDE w:val="0"/>
              <w:autoSpaceDN w:val="0"/>
              <w:adjustRightInd w:val="0"/>
              <w:snapToGrid w:val="0"/>
              <w:spacing w:before="108"/>
              <w:ind w:left="121"/>
              <w:jc w:val="left"/>
              <w:textAlignment w:val="baseline"/>
              <w:rPr>
                <w:rFonts w:ascii="仿宋" w:eastAsia="仿宋" w:hAnsi="仿宋" w:cs="仿宋"/>
                <w:b/>
                <w:bCs/>
                <w:snapToGrid w:val="0"/>
                <w:color w:val="auto"/>
                <w:spacing w:val="6"/>
                <w:kern w:val="0"/>
                <w:sz w:val="24"/>
                <w:szCs w:val="24"/>
                <w:highlight w:val="none"/>
                <w:lang w:eastAsia="en-US"/>
              </w:rPr>
            </w:pPr>
            <w:r>
              <w:rPr>
                <w:rFonts w:ascii="仿宋" w:eastAsia="仿宋" w:hAnsi="仿宋" w:cs="仿宋" w:hint="eastAsia"/>
                <w:b/>
                <w:bCs/>
                <w:snapToGrid w:val="0"/>
                <w:color w:val="auto"/>
                <w:spacing w:val="6"/>
                <w:kern w:val="0"/>
                <w:sz w:val="24"/>
                <w:szCs w:val="24"/>
                <w:highlight w:val="none"/>
                <w:lang w:eastAsia="en-US"/>
              </w:rPr>
              <w:t>（四）消防系统</w:t>
            </w:r>
          </w:p>
        </w:tc>
        <w:tc>
          <w:tcPr>
            <w:tcW w:w="690" w:type="dxa"/>
            <w:shd w:val="clear" w:color="auto" w:fill="D8D8D8" w:themeFill="background1" w:themeFillShade="D8"/>
            <w:vAlign w:val="center"/>
          </w:tcPr>
          <w:p>
            <w:pPr>
              <w:widowControl/>
              <w:wordWrap w:val="0"/>
              <w:autoSpaceDE w:val="0"/>
              <w:autoSpaceDN w:val="0"/>
              <w:adjustRightInd w:val="0"/>
              <w:snapToGrid w:val="0"/>
              <w:spacing w:before="143"/>
              <w:jc w:val="center"/>
              <w:textAlignment w:val="baseline"/>
              <w:rPr>
                <w:rFonts w:ascii="仿宋" w:eastAsia="仿宋" w:hAnsi="仿宋" w:cs="仿宋"/>
                <w:b/>
                <w:bCs/>
                <w:snapToGrid w:val="0"/>
                <w:color w:val="auto"/>
                <w:spacing w:val="-3"/>
                <w:kern w:val="0"/>
                <w:sz w:val="24"/>
                <w:szCs w:val="24"/>
                <w:highlight w:val="none"/>
                <w:lang w:eastAsia="en-US"/>
              </w:rPr>
            </w:pPr>
            <w:r>
              <w:rPr>
                <w:rFonts w:ascii="仿宋" w:eastAsia="仿宋" w:hAnsi="仿宋" w:cs="仿宋" w:hint="eastAsia"/>
                <w:b/>
                <w:bCs/>
                <w:snapToGrid w:val="0"/>
                <w:color w:val="auto"/>
                <w:spacing w:val="-3"/>
                <w:kern w:val="0"/>
                <w:sz w:val="24"/>
                <w:szCs w:val="24"/>
                <w:highlight w:val="none"/>
                <w:lang w:eastAsia="en-US"/>
              </w:rPr>
              <w:t>7</w:t>
            </w:r>
          </w:p>
        </w:tc>
        <w:tc>
          <w:tcPr>
            <w:tcW w:w="3498" w:type="dxa"/>
            <w:shd w:val="clear" w:color="auto" w:fill="D8D8D8" w:themeFill="background1" w:themeFillShade="D8"/>
          </w:tcPr>
          <w:p>
            <w:pPr>
              <w:widowControl/>
              <w:wordWrap w:val="0"/>
              <w:autoSpaceDE w:val="0"/>
              <w:autoSpaceDN w:val="0"/>
              <w:adjustRightInd w:val="0"/>
              <w:snapToGrid w:val="0"/>
              <w:textAlignment w:val="baseline"/>
              <w:rPr>
                <w:rFonts w:ascii="仿宋" w:eastAsia="仿宋" w:hAnsi="仿宋" w:cs="仿宋"/>
                <w:snapToGrid w:val="0"/>
                <w:color w:val="auto"/>
                <w:spacing w:val="5"/>
                <w:kern w:val="0"/>
                <w:sz w:val="24"/>
                <w:szCs w:val="24"/>
                <w:highlight w:val="none"/>
                <w:lang w:eastAsia="en-US"/>
              </w:rPr>
            </w:pPr>
          </w:p>
        </w:tc>
        <w:tc>
          <w:tcPr>
            <w:tcW w:w="636" w:type="dxa"/>
            <w:shd w:val="clear" w:color="auto" w:fill="D8D8D8" w:themeFill="background1" w:themeFillShade="D8"/>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0"/>
              <w:ind w:left="114" w:right="107"/>
              <w:jc w:val="left"/>
              <w:textAlignment w:val="baseline"/>
              <w:rPr>
                <w:rFonts w:ascii="仿宋" w:eastAsia="仿宋" w:hAnsi="仿宋" w:cs="仿宋"/>
                <w:b/>
                <w:bCs/>
                <w:snapToGrid w:val="0"/>
                <w:color w:val="auto"/>
                <w:spacing w:val="6"/>
                <w:kern w:val="0"/>
                <w:sz w:val="24"/>
                <w:szCs w:val="24"/>
                <w:highlight w:val="none"/>
                <w:lang w:eastAsia="en-US"/>
              </w:rPr>
            </w:pPr>
            <w:r>
              <w:rPr>
                <w:rFonts w:ascii="仿宋" w:eastAsia="仿宋" w:hAnsi="仿宋" w:cs="仿宋" w:hint="eastAsia"/>
                <w:snapToGrid w:val="0"/>
                <w:color w:val="auto"/>
                <w:spacing w:val="5"/>
                <w:kern w:val="0"/>
                <w:sz w:val="24"/>
                <w:szCs w:val="24"/>
                <w:highlight w:val="none"/>
                <w:lang w:eastAsia="en-US"/>
              </w:rPr>
              <w:t>1、消防控制中心24小时值班、消防系统</w:t>
            </w:r>
            <w:r>
              <w:rPr>
                <w:rFonts w:ascii="仿宋" w:eastAsia="仿宋" w:hAnsi="仿宋" w:cs="仿宋" w:hint="eastAsia"/>
                <w:snapToGrid w:val="0"/>
                <w:color w:val="auto"/>
                <w:spacing w:val="9"/>
                <w:kern w:val="0"/>
                <w:sz w:val="24"/>
                <w:szCs w:val="24"/>
                <w:highlight w:val="none"/>
                <w:lang w:eastAsia="en-US"/>
              </w:rPr>
              <w:t>设施设备齐全、完好无损，可随时启用</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b/>
                <w:bCs/>
                <w:snapToGrid w:val="0"/>
                <w:color w:val="auto"/>
                <w:spacing w:val="-3"/>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2</w:t>
            </w:r>
          </w:p>
        </w:tc>
        <w:tc>
          <w:tcPr>
            <w:tcW w:w="3498" w:type="dxa"/>
          </w:tcPr>
          <w:p>
            <w:pPr>
              <w:widowControl/>
              <w:wordWrap w:val="0"/>
              <w:autoSpaceDE w:val="0"/>
              <w:autoSpaceDN w:val="0"/>
              <w:adjustRightInd w:val="0"/>
              <w:snapToGrid w:val="0"/>
              <w:spacing w:before="290"/>
              <w:textAlignment w:val="baseline"/>
              <w:rPr>
                <w:rFonts w:ascii="仿宋" w:eastAsia="仿宋" w:hAnsi="仿宋" w:cs="仿宋"/>
                <w:snapToGrid w:val="0"/>
                <w:color w:val="auto"/>
                <w:spacing w:val="5"/>
                <w:kern w:val="0"/>
                <w:sz w:val="24"/>
                <w:szCs w:val="24"/>
                <w:highlight w:val="none"/>
                <w:lang w:eastAsia="en-US"/>
              </w:rPr>
            </w:pPr>
            <w:r>
              <w:rPr>
                <w:rFonts w:ascii="仿宋" w:eastAsia="仿宋" w:hAnsi="仿宋" w:cs="仿宋" w:hint="eastAsia"/>
                <w:snapToGrid w:val="0"/>
                <w:color w:val="auto"/>
                <w:spacing w:val="5"/>
                <w:kern w:val="0"/>
                <w:sz w:val="24"/>
                <w:szCs w:val="24"/>
                <w:highlight w:val="none"/>
                <w:lang w:eastAsia="en-US"/>
              </w:rPr>
              <w:t>发现一处符合扣0.2分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0"/>
              <w:ind w:left="112" w:right="105"/>
              <w:jc w:val="left"/>
              <w:textAlignment w:val="baseline"/>
              <w:rPr>
                <w:rFonts w:ascii="仿宋" w:eastAsia="仿宋" w:hAnsi="仿宋" w:cs="仿宋"/>
                <w:b/>
                <w:bCs/>
                <w:snapToGrid w:val="0"/>
                <w:color w:val="auto"/>
                <w:spacing w:val="6"/>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2、消防管理人员掌握消防设施设备的使</w:t>
            </w:r>
            <w:r>
              <w:rPr>
                <w:rFonts w:ascii="仿宋" w:eastAsia="仿宋" w:hAnsi="仿宋" w:cs="仿宋" w:hint="eastAsia"/>
                <w:snapToGrid w:val="0"/>
                <w:color w:val="auto"/>
                <w:spacing w:val="9"/>
                <w:kern w:val="0"/>
                <w:sz w:val="24"/>
                <w:szCs w:val="24"/>
                <w:highlight w:val="none"/>
                <w:lang w:eastAsia="en-US"/>
              </w:rPr>
              <w:t>用方法并能及时处理各种问题</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b/>
                <w:bCs/>
                <w:snapToGrid w:val="0"/>
                <w:color w:val="auto"/>
                <w:spacing w:val="-3"/>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289"/>
              <w:textAlignment w:val="baseline"/>
              <w:rPr>
                <w:rFonts w:ascii="仿宋" w:eastAsia="仿宋" w:hAnsi="仿宋" w:cs="仿宋"/>
                <w:snapToGrid w:val="0"/>
                <w:color w:val="auto"/>
                <w:spacing w:val="5"/>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每发现一人不符合要求扣0.2分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0"/>
              <w:ind w:left="113" w:right="105"/>
              <w:jc w:val="left"/>
              <w:textAlignment w:val="baseline"/>
              <w:rPr>
                <w:rFonts w:ascii="仿宋" w:eastAsia="仿宋" w:hAnsi="仿宋" w:cs="仿宋"/>
                <w:b/>
                <w:bCs/>
                <w:snapToGrid w:val="0"/>
                <w:color w:val="auto"/>
                <w:spacing w:val="6"/>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3、组织开展消防法规及消防知识的宣传</w:t>
            </w:r>
            <w:r>
              <w:rPr>
                <w:rFonts w:ascii="仿宋" w:eastAsia="仿宋" w:hAnsi="仿宋" w:cs="仿宋" w:hint="eastAsia"/>
                <w:snapToGrid w:val="0"/>
                <w:color w:val="auto"/>
                <w:spacing w:val="9"/>
                <w:kern w:val="0"/>
                <w:sz w:val="24"/>
                <w:szCs w:val="24"/>
                <w:highlight w:val="none"/>
                <w:lang w:eastAsia="en-US"/>
              </w:rPr>
              <w:t>教育，明确各区域防火责任人</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b/>
                <w:bCs/>
                <w:snapToGrid w:val="0"/>
                <w:color w:val="auto"/>
                <w:spacing w:val="-3"/>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0"/>
              <w:ind w:right="103"/>
              <w:textAlignment w:val="baseline"/>
              <w:rPr>
                <w:rFonts w:ascii="仿宋" w:eastAsia="仿宋" w:hAnsi="仿宋" w:cs="仿宋"/>
                <w:snapToGrid w:val="0"/>
                <w:color w:val="auto"/>
                <w:spacing w:val="5"/>
                <w:kern w:val="0"/>
                <w:sz w:val="24"/>
                <w:szCs w:val="24"/>
                <w:highlight w:val="none"/>
                <w:lang w:eastAsia="en-US"/>
              </w:rPr>
            </w:pPr>
            <w:r>
              <w:rPr>
                <w:rFonts w:ascii="仿宋" w:eastAsia="仿宋" w:hAnsi="仿宋" w:cs="仿宋" w:hint="eastAsia"/>
                <w:snapToGrid w:val="0"/>
                <w:color w:val="auto"/>
                <w:spacing w:val="6"/>
                <w:kern w:val="0"/>
                <w:sz w:val="24"/>
                <w:szCs w:val="24"/>
                <w:highlight w:val="none"/>
                <w:lang w:eastAsia="en-US"/>
              </w:rPr>
              <w:t>符合1.0分，责任人不明确每发</w:t>
            </w:r>
            <w:r>
              <w:rPr>
                <w:rFonts w:ascii="仿宋" w:eastAsia="仿宋" w:hAnsi="仿宋" w:cs="仿宋" w:hint="eastAsia"/>
                <w:snapToGrid w:val="0"/>
                <w:color w:val="auto"/>
                <w:spacing w:val="4"/>
                <w:kern w:val="0"/>
                <w:sz w:val="24"/>
                <w:szCs w:val="24"/>
                <w:highlight w:val="none"/>
                <w:lang w:eastAsia="en-US"/>
              </w:rPr>
              <w:t>现一处扣0.2分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08"/>
              <w:ind w:left="114" w:right="10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4、制定有突发火灾应急方案，在明显处</w:t>
            </w:r>
            <w:r>
              <w:rPr>
                <w:rFonts w:ascii="仿宋" w:eastAsia="仿宋" w:hAnsi="仿宋" w:cs="仿宋" w:hint="eastAsia"/>
                <w:snapToGrid w:val="0"/>
                <w:color w:val="auto"/>
                <w:spacing w:val="7"/>
                <w:kern w:val="0"/>
                <w:sz w:val="24"/>
                <w:szCs w:val="24"/>
                <w:highlight w:val="none"/>
                <w:lang w:eastAsia="en-US"/>
              </w:rPr>
              <w:t>设立消防疏散示意图，照明设施、引路标</w:t>
            </w:r>
            <w:r>
              <w:rPr>
                <w:rFonts w:ascii="仿宋" w:eastAsia="仿宋" w:hAnsi="仿宋" w:cs="仿宋" w:hint="eastAsia"/>
                <w:snapToGrid w:val="0"/>
                <w:color w:val="auto"/>
                <w:spacing w:val="9"/>
                <w:kern w:val="0"/>
                <w:sz w:val="24"/>
                <w:szCs w:val="24"/>
                <w:highlight w:val="none"/>
                <w:lang w:eastAsia="en-US"/>
              </w:rPr>
              <w:t>志完好，紧急疏散通道畅通无阻</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08"/>
              <w:ind w:right="103"/>
              <w:textAlignment w:val="baseline"/>
              <w:rPr>
                <w:rFonts w:ascii="仿宋" w:eastAsia="仿宋" w:hAnsi="仿宋" w:cs="仿宋"/>
                <w:snapToGrid w:val="0"/>
                <w:color w:val="auto"/>
                <w:spacing w:val="6"/>
                <w:kern w:val="0"/>
                <w:sz w:val="24"/>
                <w:szCs w:val="24"/>
                <w:highlight w:val="none"/>
                <w:lang w:eastAsia="en-US"/>
              </w:rPr>
            </w:pPr>
            <w:r>
              <w:rPr>
                <w:rFonts w:ascii="仿宋" w:eastAsia="仿宋" w:hAnsi="仿宋" w:cs="仿宋" w:hint="eastAsia"/>
                <w:snapToGrid w:val="0"/>
                <w:color w:val="auto"/>
                <w:spacing w:val="8"/>
                <w:kern w:val="0"/>
                <w:sz w:val="24"/>
                <w:szCs w:val="24"/>
                <w:highlight w:val="none"/>
                <w:lang w:eastAsia="en-US"/>
              </w:rPr>
              <w:t>无应急方案扣0.5分，各种标志</w:t>
            </w:r>
            <w:r>
              <w:rPr>
                <w:rFonts w:ascii="仿宋" w:eastAsia="仿宋" w:hAnsi="仿宋" w:cs="仿宋" w:hint="eastAsia"/>
                <w:snapToGrid w:val="0"/>
                <w:color w:val="auto"/>
                <w:spacing w:val="16"/>
                <w:kern w:val="0"/>
                <w:sz w:val="24"/>
                <w:szCs w:val="24"/>
                <w:highlight w:val="none"/>
                <w:lang w:eastAsia="en-US"/>
              </w:rPr>
              <w:t>每缺少一个及每发现一处不畅</w:t>
            </w:r>
            <w:r>
              <w:rPr>
                <w:rFonts w:ascii="仿宋" w:eastAsia="仿宋" w:hAnsi="仿宋" w:cs="仿宋" w:hint="eastAsia"/>
                <w:snapToGrid w:val="0"/>
                <w:color w:val="auto"/>
                <w:spacing w:val="2"/>
                <w:kern w:val="0"/>
                <w:sz w:val="24"/>
                <w:szCs w:val="24"/>
                <w:highlight w:val="none"/>
                <w:lang w:eastAsia="en-US"/>
              </w:rPr>
              <w:t>通扣0.1分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823"/>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spacing w:before="65"/>
              <w:ind w:left="11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8"/>
                <w:kern w:val="0"/>
                <w:sz w:val="24"/>
                <w:szCs w:val="24"/>
                <w:highlight w:val="none"/>
                <w:lang w:eastAsia="en-US"/>
              </w:rPr>
              <w:t>5、区内无火灾安全隐患</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08"/>
              <w:ind w:right="103"/>
              <w:textAlignment w:val="baseline"/>
              <w:rPr>
                <w:rFonts w:ascii="仿宋" w:eastAsia="仿宋" w:hAnsi="仿宋" w:cs="仿宋"/>
                <w:snapToGrid w:val="0"/>
                <w:color w:val="auto"/>
                <w:spacing w:val="6"/>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符合1.0分，每发现一处安全隐患扣0.5分，未签订消防责任书</w:t>
            </w:r>
            <w:r>
              <w:rPr>
                <w:rFonts w:ascii="仿宋" w:eastAsia="仿宋" w:hAnsi="仿宋" w:cs="仿宋" w:hint="eastAsia"/>
                <w:snapToGrid w:val="0"/>
                <w:color w:val="auto"/>
                <w:kern w:val="0"/>
                <w:sz w:val="24"/>
                <w:szCs w:val="24"/>
                <w:highlight w:val="none"/>
                <w:lang w:eastAsia="en-US"/>
              </w:rPr>
              <w:t>扣0.5分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0"/>
              <w:ind w:left="134" w:right="107"/>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6、消防，用电有严格的管理规定。室内</w:t>
            </w:r>
            <w:r>
              <w:rPr>
                <w:rFonts w:ascii="仿宋" w:eastAsia="仿宋" w:hAnsi="仿宋" w:cs="仿宋" w:hint="eastAsia"/>
                <w:snapToGrid w:val="0"/>
                <w:color w:val="auto"/>
                <w:spacing w:val="7"/>
                <w:kern w:val="0"/>
                <w:sz w:val="24"/>
                <w:szCs w:val="24"/>
                <w:highlight w:val="none"/>
                <w:lang w:eastAsia="en-US"/>
              </w:rPr>
              <w:t>电线、插座安装规范，无安全隐患</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0"/>
              <w:ind w:right="154"/>
              <w:textAlignment w:val="baseline"/>
              <w:rPr>
                <w:rFonts w:ascii="仿宋" w:eastAsia="仿宋" w:hAnsi="仿宋" w:cs="仿宋"/>
                <w:snapToGrid w:val="0"/>
                <w:color w:val="auto"/>
                <w:spacing w:val="6"/>
                <w:kern w:val="0"/>
                <w:sz w:val="24"/>
                <w:szCs w:val="24"/>
                <w:highlight w:val="none"/>
                <w:lang w:eastAsia="en-US"/>
              </w:rPr>
            </w:pPr>
            <w:r>
              <w:rPr>
                <w:rFonts w:ascii="仿宋" w:eastAsia="仿宋" w:hAnsi="仿宋" w:cs="仿宋" w:hint="eastAsia"/>
                <w:snapToGrid w:val="0"/>
                <w:color w:val="auto"/>
                <w:spacing w:val="1"/>
                <w:kern w:val="0"/>
                <w:sz w:val="24"/>
                <w:szCs w:val="24"/>
                <w:highlight w:val="none"/>
                <w:lang w:eastAsia="en-US"/>
              </w:rPr>
              <w:t>符合1.0分，基本符合0.5分，</w:t>
            </w:r>
            <w:r>
              <w:rPr>
                <w:rFonts w:ascii="仿宋" w:eastAsia="仿宋" w:hAnsi="仿宋" w:cs="仿宋" w:hint="eastAsia"/>
                <w:snapToGrid w:val="0"/>
                <w:color w:val="auto"/>
                <w:spacing w:val="2"/>
                <w:kern w:val="0"/>
                <w:sz w:val="24"/>
                <w:szCs w:val="24"/>
                <w:highlight w:val="none"/>
                <w:lang w:eastAsia="en-US"/>
              </w:rPr>
              <w:t>不符合0分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538"/>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shd w:val="clear" w:color="auto" w:fill="D8D8D8" w:themeFill="background1" w:themeFillShade="D8"/>
          </w:tcPr>
          <w:p>
            <w:pPr>
              <w:widowControl/>
              <w:wordWrap w:val="0"/>
              <w:autoSpaceDE w:val="0"/>
              <w:autoSpaceDN w:val="0"/>
              <w:adjustRightInd w:val="0"/>
              <w:snapToGrid w:val="0"/>
              <w:spacing w:before="112"/>
              <w:ind w:left="121"/>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b/>
                <w:bCs/>
                <w:snapToGrid w:val="0"/>
                <w:color w:val="auto"/>
                <w:spacing w:val="-1"/>
                <w:kern w:val="0"/>
                <w:sz w:val="24"/>
                <w:szCs w:val="24"/>
                <w:highlight w:val="none"/>
                <w:lang w:eastAsia="en-US"/>
              </w:rPr>
              <w:t>（五）电梯系统</w:t>
            </w:r>
          </w:p>
        </w:tc>
        <w:tc>
          <w:tcPr>
            <w:tcW w:w="690" w:type="dxa"/>
            <w:shd w:val="clear" w:color="auto" w:fill="D8D8D8" w:themeFill="background1" w:themeFillShade="D8"/>
            <w:vAlign w:val="center"/>
          </w:tcPr>
          <w:p>
            <w:pPr>
              <w:widowControl/>
              <w:wordWrap w:val="0"/>
              <w:autoSpaceDE w:val="0"/>
              <w:autoSpaceDN w:val="0"/>
              <w:adjustRightInd w:val="0"/>
              <w:snapToGrid w:val="0"/>
              <w:spacing w:before="147"/>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3"/>
                <w:kern w:val="0"/>
                <w:sz w:val="24"/>
                <w:szCs w:val="24"/>
                <w:highlight w:val="none"/>
                <w:lang w:eastAsia="en-US"/>
              </w:rPr>
              <w:t>5</w:t>
            </w:r>
          </w:p>
        </w:tc>
        <w:tc>
          <w:tcPr>
            <w:tcW w:w="3498" w:type="dxa"/>
            <w:shd w:val="clear" w:color="auto" w:fill="D8D8D8" w:themeFill="background1" w:themeFillShade="D8"/>
          </w:tcPr>
          <w:p>
            <w:pPr>
              <w:widowControl/>
              <w:wordWrap w:val="0"/>
              <w:autoSpaceDE w:val="0"/>
              <w:autoSpaceDN w:val="0"/>
              <w:adjustRightInd w:val="0"/>
              <w:snapToGrid w:val="0"/>
              <w:textAlignment w:val="baseline"/>
              <w:rPr>
                <w:rFonts w:ascii="仿宋" w:eastAsia="仿宋" w:hAnsi="仿宋" w:cs="仿宋"/>
                <w:snapToGrid w:val="0"/>
                <w:color w:val="auto"/>
                <w:spacing w:val="6"/>
                <w:kern w:val="0"/>
                <w:sz w:val="24"/>
                <w:szCs w:val="24"/>
                <w:highlight w:val="none"/>
                <w:lang w:eastAsia="en-US"/>
              </w:rPr>
            </w:pPr>
          </w:p>
        </w:tc>
        <w:tc>
          <w:tcPr>
            <w:tcW w:w="636" w:type="dxa"/>
            <w:shd w:val="clear" w:color="auto" w:fill="D8D8D8" w:themeFill="background1" w:themeFillShade="D8"/>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left="111" w:right="10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0"/>
                <w:kern w:val="0"/>
                <w:sz w:val="24"/>
                <w:szCs w:val="24"/>
                <w:highlight w:val="none"/>
                <w:lang w:eastAsia="en-US"/>
              </w:rPr>
              <w:t>1、电梯准用证、年检合格证、维修保养</w:t>
            </w:r>
            <w:r>
              <w:rPr>
                <w:rFonts w:ascii="仿宋" w:eastAsia="仿宋" w:hAnsi="仿宋" w:cs="仿宋" w:hint="eastAsia"/>
                <w:snapToGrid w:val="0"/>
                <w:color w:val="auto"/>
                <w:spacing w:val="7"/>
                <w:kern w:val="0"/>
                <w:sz w:val="24"/>
                <w:szCs w:val="24"/>
                <w:highlight w:val="none"/>
                <w:lang w:eastAsia="en-US"/>
              </w:rPr>
              <w:t>合同完备</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291"/>
              <w:textAlignment w:val="baseline"/>
              <w:rPr>
                <w:rFonts w:ascii="仿宋" w:eastAsia="仿宋" w:hAnsi="仿宋" w:cs="仿宋"/>
                <w:snapToGrid w:val="0"/>
                <w:color w:val="auto"/>
                <w:spacing w:val="6"/>
                <w:kern w:val="0"/>
                <w:sz w:val="24"/>
                <w:szCs w:val="24"/>
                <w:highlight w:val="none"/>
                <w:lang w:eastAsia="en-US"/>
              </w:rPr>
            </w:pPr>
            <w:r>
              <w:rPr>
                <w:rFonts w:ascii="仿宋" w:eastAsia="仿宋" w:hAnsi="仿宋" w:cs="仿宋" w:hint="eastAsia"/>
                <w:snapToGrid w:val="0"/>
                <w:color w:val="auto"/>
                <w:spacing w:val="2"/>
                <w:kern w:val="0"/>
                <w:sz w:val="24"/>
                <w:szCs w:val="24"/>
                <w:highlight w:val="none"/>
                <w:lang w:eastAsia="en-US"/>
              </w:rPr>
              <w:t>符合1.0分，不符合0分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1"/>
              <w:ind w:left="110" w:right="37"/>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5"/>
                <w:kern w:val="0"/>
                <w:sz w:val="24"/>
                <w:szCs w:val="24"/>
                <w:highlight w:val="none"/>
                <w:lang w:eastAsia="en-US"/>
              </w:rPr>
              <w:t>2、电梯按规定时间运行，安全设施齐全，</w:t>
            </w:r>
            <w:r>
              <w:rPr>
                <w:rFonts w:ascii="仿宋" w:eastAsia="仿宋" w:hAnsi="仿宋" w:cs="仿宋" w:hint="eastAsia"/>
                <w:snapToGrid w:val="0"/>
                <w:color w:val="auto"/>
                <w:kern w:val="0"/>
                <w:sz w:val="24"/>
                <w:szCs w:val="24"/>
                <w:highlight w:val="none"/>
                <w:lang w:eastAsia="en-US"/>
              </w:rPr>
              <w:t>通风、照明及附属设施完好，轿厢、走道、</w:t>
            </w:r>
            <w:r>
              <w:rPr>
                <w:rFonts w:ascii="仿宋" w:eastAsia="仿宋" w:hAnsi="仿宋" w:cs="仿宋" w:hint="eastAsia"/>
                <w:snapToGrid w:val="0"/>
                <w:color w:val="auto"/>
                <w:spacing w:val="8"/>
                <w:kern w:val="0"/>
                <w:sz w:val="24"/>
                <w:szCs w:val="24"/>
                <w:highlight w:val="none"/>
                <w:lang w:eastAsia="en-US"/>
              </w:rPr>
              <w:t>机房保持整洁</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spacing w:before="65"/>
              <w:textAlignment w:val="baseline"/>
              <w:rPr>
                <w:rFonts w:ascii="仿宋" w:eastAsia="仿宋" w:hAnsi="仿宋" w:cs="仿宋"/>
                <w:snapToGrid w:val="0"/>
                <w:color w:val="auto"/>
                <w:spacing w:val="6"/>
                <w:kern w:val="0"/>
                <w:sz w:val="24"/>
                <w:szCs w:val="24"/>
                <w:highlight w:val="none"/>
                <w:lang w:eastAsia="en-US"/>
              </w:rPr>
            </w:pPr>
            <w:r>
              <w:rPr>
                <w:rFonts w:ascii="仿宋" w:eastAsia="仿宋" w:hAnsi="仿宋" w:cs="仿宋" w:hint="eastAsia"/>
                <w:snapToGrid w:val="0"/>
                <w:color w:val="auto"/>
                <w:spacing w:val="6"/>
                <w:kern w:val="0"/>
                <w:sz w:val="24"/>
                <w:szCs w:val="24"/>
                <w:highlight w:val="none"/>
                <w:lang w:eastAsia="en-US"/>
              </w:rPr>
              <w:t>每发现一处不符合扣0.2分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0"/>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1"/>
              <w:ind w:left="110" w:right="10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1"/>
                <w:kern w:val="0"/>
                <w:sz w:val="24"/>
                <w:szCs w:val="24"/>
                <w:highlight w:val="none"/>
                <w:lang w:eastAsia="en-US"/>
              </w:rPr>
              <w:t>3、电梯由专业队伍维修保养；维修、操</w:t>
            </w:r>
            <w:r>
              <w:rPr>
                <w:rFonts w:ascii="仿宋" w:eastAsia="仿宋" w:hAnsi="仿宋" w:cs="仿宋" w:hint="eastAsia"/>
                <w:snapToGrid w:val="0"/>
                <w:color w:val="auto"/>
                <w:spacing w:val="13"/>
                <w:kern w:val="0"/>
                <w:sz w:val="24"/>
                <w:szCs w:val="24"/>
                <w:highlight w:val="none"/>
                <w:lang w:eastAsia="en-US"/>
              </w:rPr>
              <w:t>作人员持证上岗；货运电梯由专人管理</w:t>
            </w:r>
            <w:r>
              <w:rPr>
                <w:rFonts w:ascii="仿宋" w:eastAsia="仿宋" w:hAnsi="仿宋" w:cs="仿宋" w:hint="eastAsia"/>
                <w:snapToGrid w:val="0"/>
                <w:color w:val="auto"/>
                <w:spacing w:val="9"/>
                <w:kern w:val="0"/>
                <w:sz w:val="24"/>
                <w:szCs w:val="24"/>
                <w:highlight w:val="none"/>
                <w:lang w:eastAsia="en-US"/>
              </w:rPr>
              <w:t>操作，严禁超载，客梯严禁载货</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292"/>
              <w:ind w:right="103"/>
              <w:textAlignment w:val="baseline"/>
              <w:rPr>
                <w:rFonts w:ascii="仿宋" w:eastAsia="仿宋" w:hAnsi="仿宋" w:cs="仿宋"/>
                <w:snapToGrid w:val="0"/>
                <w:color w:val="auto"/>
                <w:spacing w:val="6"/>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符合1.0分，每发现一处不符合</w:t>
            </w:r>
            <w:r>
              <w:rPr>
                <w:rFonts w:ascii="仿宋" w:eastAsia="仿宋" w:hAnsi="仿宋" w:cs="仿宋" w:hint="eastAsia"/>
                <w:snapToGrid w:val="0"/>
                <w:color w:val="auto"/>
                <w:kern w:val="0"/>
                <w:sz w:val="24"/>
                <w:szCs w:val="24"/>
                <w:highlight w:val="none"/>
                <w:lang w:eastAsia="en-US"/>
              </w:rPr>
              <w:t>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left="120" w:right="10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4、运行出现故障后，维修人员应在规定</w:t>
            </w:r>
            <w:r>
              <w:rPr>
                <w:rFonts w:ascii="仿宋" w:eastAsia="仿宋" w:hAnsi="仿宋" w:cs="仿宋" w:hint="eastAsia"/>
                <w:snapToGrid w:val="0"/>
                <w:color w:val="auto"/>
                <w:spacing w:val="7"/>
                <w:kern w:val="0"/>
                <w:sz w:val="24"/>
                <w:szCs w:val="24"/>
                <w:highlight w:val="none"/>
                <w:lang w:eastAsia="en-US"/>
              </w:rPr>
              <w:t>时间内到达现场维修</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292"/>
              <w:textAlignment w:val="baseline"/>
              <w:rPr>
                <w:rFonts w:ascii="仿宋" w:eastAsia="仿宋" w:hAnsi="仿宋" w:cs="仿宋"/>
                <w:snapToGrid w:val="0"/>
                <w:color w:val="auto"/>
                <w:spacing w:val="6"/>
                <w:kern w:val="0"/>
                <w:sz w:val="24"/>
                <w:szCs w:val="24"/>
                <w:highlight w:val="none"/>
                <w:lang w:eastAsia="en-US"/>
              </w:rPr>
            </w:pPr>
            <w:r>
              <w:rPr>
                <w:rFonts w:ascii="仿宋" w:eastAsia="仿宋" w:hAnsi="仿宋" w:cs="仿宋" w:hint="eastAsia"/>
                <w:snapToGrid w:val="0"/>
                <w:color w:val="auto"/>
                <w:spacing w:val="2"/>
                <w:kern w:val="0"/>
                <w:sz w:val="24"/>
                <w:szCs w:val="24"/>
                <w:highlight w:val="none"/>
                <w:lang w:eastAsia="en-US"/>
              </w:rPr>
              <w:t>符合1.0分，不符合0分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left="117" w:right="10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5、运行出现险情后，应有排除险情的应</w:t>
            </w:r>
            <w:r>
              <w:rPr>
                <w:rFonts w:ascii="仿宋" w:eastAsia="仿宋" w:hAnsi="仿宋" w:cs="仿宋" w:hint="eastAsia"/>
                <w:snapToGrid w:val="0"/>
                <w:color w:val="auto"/>
                <w:spacing w:val="6"/>
                <w:kern w:val="0"/>
                <w:sz w:val="24"/>
                <w:szCs w:val="24"/>
                <w:highlight w:val="none"/>
                <w:lang w:eastAsia="en-US"/>
              </w:rPr>
              <w:t>急处理措施</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292"/>
              <w:textAlignment w:val="baseline"/>
              <w:rPr>
                <w:rFonts w:ascii="仿宋" w:eastAsia="仿宋" w:hAnsi="仿宋" w:cs="仿宋"/>
                <w:snapToGrid w:val="0"/>
                <w:color w:val="auto"/>
                <w:spacing w:val="6"/>
                <w:kern w:val="0"/>
                <w:sz w:val="24"/>
                <w:szCs w:val="24"/>
                <w:highlight w:val="none"/>
                <w:lang w:eastAsia="en-US"/>
              </w:rPr>
            </w:pPr>
            <w:r>
              <w:rPr>
                <w:rFonts w:ascii="仿宋" w:eastAsia="仿宋" w:hAnsi="仿宋" w:cs="仿宋" w:hint="eastAsia"/>
                <w:snapToGrid w:val="0"/>
                <w:color w:val="auto"/>
                <w:spacing w:val="2"/>
                <w:kern w:val="0"/>
                <w:sz w:val="24"/>
                <w:szCs w:val="24"/>
                <w:highlight w:val="none"/>
                <w:lang w:eastAsia="en-US"/>
              </w:rPr>
              <w:t>符合1.0分，不符合0分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515"/>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shd w:val="clear" w:color="auto" w:fill="D8D8D8" w:themeFill="background1" w:themeFillShade="D8"/>
          </w:tcPr>
          <w:p>
            <w:pPr>
              <w:widowControl/>
              <w:wordWrap w:val="0"/>
              <w:autoSpaceDE w:val="0"/>
              <w:autoSpaceDN w:val="0"/>
              <w:adjustRightInd w:val="0"/>
              <w:snapToGrid w:val="0"/>
              <w:spacing w:before="114"/>
              <w:ind w:left="121"/>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b/>
                <w:bCs/>
                <w:snapToGrid w:val="0"/>
                <w:color w:val="auto"/>
                <w:spacing w:val="6"/>
                <w:kern w:val="0"/>
                <w:sz w:val="24"/>
                <w:szCs w:val="24"/>
                <w:highlight w:val="none"/>
                <w:lang w:eastAsia="en-US"/>
              </w:rPr>
              <w:t>（六）给排水系统</w:t>
            </w:r>
          </w:p>
        </w:tc>
        <w:tc>
          <w:tcPr>
            <w:tcW w:w="690" w:type="dxa"/>
            <w:shd w:val="clear" w:color="auto" w:fill="D8D8D8" w:themeFill="background1" w:themeFillShade="D8"/>
            <w:vAlign w:val="center"/>
          </w:tcPr>
          <w:p>
            <w:pPr>
              <w:widowControl/>
              <w:wordWrap w:val="0"/>
              <w:autoSpaceDE w:val="0"/>
              <w:autoSpaceDN w:val="0"/>
              <w:adjustRightInd w:val="0"/>
              <w:snapToGrid w:val="0"/>
              <w:spacing w:before="146"/>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3"/>
                <w:kern w:val="0"/>
                <w:sz w:val="24"/>
                <w:szCs w:val="24"/>
                <w:highlight w:val="none"/>
                <w:lang w:eastAsia="en-US"/>
              </w:rPr>
              <w:t>8</w:t>
            </w:r>
          </w:p>
        </w:tc>
        <w:tc>
          <w:tcPr>
            <w:tcW w:w="3498" w:type="dxa"/>
            <w:shd w:val="clear" w:color="auto" w:fill="D8D8D8" w:themeFill="background1" w:themeFillShade="D8"/>
          </w:tcPr>
          <w:p>
            <w:pPr>
              <w:widowControl/>
              <w:wordWrap w:val="0"/>
              <w:autoSpaceDE w:val="0"/>
              <w:autoSpaceDN w:val="0"/>
              <w:adjustRightInd w:val="0"/>
              <w:snapToGrid w:val="0"/>
              <w:textAlignment w:val="baseline"/>
              <w:rPr>
                <w:rFonts w:ascii="仿宋" w:eastAsia="仿宋" w:hAnsi="仿宋" w:cs="仿宋"/>
                <w:snapToGrid w:val="0"/>
                <w:color w:val="auto"/>
                <w:spacing w:val="2"/>
                <w:kern w:val="0"/>
                <w:sz w:val="24"/>
                <w:szCs w:val="24"/>
                <w:highlight w:val="none"/>
                <w:lang w:eastAsia="en-US"/>
              </w:rPr>
            </w:pPr>
          </w:p>
        </w:tc>
        <w:tc>
          <w:tcPr>
            <w:tcW w:w="636" w:type="dxa"/>
            <w:shd w:val="clear" w:color="auto" w:fill="D8D8D8" w:themeFill="background1" w:themeFillShade="D8"/>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09"/>
              <w:ind w:left="112" w:right="10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2"/>
                <w:kern w:val="0"/>
                <w:sz w:val="24"/>
                <w:szCs w:val="24"/>
                <w:highlight w:val="none"/>
                <w:lang w:eastAsia="en-US"/>
              </w:rPr>
              <w:t>1、建立用水、供水管理制度、积极协助</w:t>
            </w:r>
            <w:r>
              <w:rPr>
                <w:rFonts w:ascii="仿宋" w:eastAsia="仿宋" w:hAnsi="仿宋" w:cs="仿宋" w:hint="eastAsia"/>
                <w:snapToGrid w:val="0"/>
                <w:color w:val="auto"/>
                <w:spacing w:val="9"/>
                <w:kern w:val="0"/>
                <w:sz w:val="24"/>
                <w:szCs w:val="24"/>
                <w:highlight w:val="none"/>
                <w:lang w:eastAsia="en-US"/>
              </w:rPr>
              <w:t>用户安排合理的用水和节水计划</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09"/>
              <w:ind w:right="157"/>
              <w:textAlignment w:val="baseline"/>
              <w:rPr>
                <w:rFonts w:ascii="仿宋" w:eastAsia="仿宋" w:hAnsi="仿宋" w:cs="仿宋"/>
                <w:snapToGrid w:val="0"/>
                <w:color w:val="auto"/>
                <w:spacing w:val="2"/>
                <w:kern w:val="0"/>
                <w:sz w:val="24"/>
                <w:szCs w:val="24"/>
                <w:highlight w:val="none"/>
                <w:lang w:eastAsia="en-US"/>
              </w:rPr>
            </w:pPr>
            <w:r>
              <w:rPr>
                <w:rFonts w:ascii="仿宋" w:eastAsia="仿宋" w:hAnsi="仿宋" w:cs="仿宋" w:hint="eastAsia"/>
                <w:snapToGrid w:val="0"/>
                <w:color w:val="auto"/>
                <w:spacing w:val="1"/>
                <w:kern w:val="0"/>
                <w:sz w:val="24"/>
                <w:szCs w:val="24"/>
                <w:highlight w:val="none"/>
                <w:lang w:eastAsia="en-US"/>
              </w:rPr>
              <w:t>符合1.0分，基本符合0.5分，</w:t>
            </w:r>
            <w:r>
              <w:rPr>
                <w:rFonts w:ascii="仿宋" w:eastAsia="仿宋" w:hAnsi="仿宋" w:cs="仿宋" w:hint="eastAsia"/>
                <w:snapToGrid w:val="0"/>
                <w:color w:val="auto"/>
                <w:spacing w:val="2"/>
                <w:kern w:val="0"/>
                <w:sz w:val="24"/>
                <w:szCs w:val="24"/>
                <w:highlight w:val="none"/>
                <w:lang w:eastAsia="en-US"/>
              </w:rPr>
              <w:t>不符合0分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0"/>
              <w:ind w:left="112" w:right="107"/>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1"/>
                <w:kern w:val="0"/>
                <w:sz w:val="24"/>
                <w:szCs w:val="24"/>
                <w:highlight w:val="none"/>
                <w:lang w:eastAsia="en-US"/>
              </w:rPr>
              <w:t>2、设备、阀门、管道工作正常、无跑冒</w:t>
            </w:r>
            <w:r>
              <w:rPr>
                <w:rFonts w:ascii="仿宋" w:eastAsia="仿宋" w:hAnsi="仿宋" w:cs="仿宋" w:hint="eastAsia"/>
                <w:snapToGrid w:val="0"/>
                <w:color w:val="auto"/>
                <w:spacing w:val="3"/>
                <w:kern w:val="0"/>
                <w:sz w:val="24"/>
                <w:szCs w:val="24"/>
                <w:highlight w:val="none"/>
                <w:lang w:eastAsia="en-US"/>
              </w:rPr>
              <w:t>滴漏</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289"/>
              <w:textAlignment w:val="baseline"/>
              <w:rPr>
                <w:rFonts w:ascii="仿宋" w:eastAsia="仿宋" w:hAnsi="仿宋" w:cs="仿宋"/>
                <w:snapToGrid w:val="0"/>
                <w:color w:val="auto"/>
                <w:spacing w:val="2"/>
                <w:kern w:val="0"/>
                <w:sz w:val="24"/>
                <w:szCs w:val="24"/>
                <w:highlight w:val="none"/>
                <w:lang w:eastAsia="en-US"/>
              </w:rPr>
            </w:pPr>
            <w:r>
              <w:rPr>
                <w:rFonts w:ascii="仿宋" w:eastAsia="仿宋" w:hAnsi="仿宋" w:cs="仿宋" w:hint="eastAsia"/>
                <w:snapToGrid w:val="0"/>
                <w:color w:val="auto"/>
                <w:spacing w:val="6"/>
                <w:kern w:val="0"/>
                <w:sz w:val="24"/>
                <w:szCs w:val="24"/>
                <w:highlight w:val="none"/>
                <w:lang w:eastAsia="en-US"/>
              </w:rPr>
              <w:t>每发现一处不符合扣0.2分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08"/>
              <w:ind w:left="110" w:right="10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3、按规定对二次供水蓄水池设施设备进</w:t>
            </w:r>
            <w:r>
              <w:rPr>
                <w:rFonts w:ascii="仿宋" w:eastAsia="仿宋" w:hAnsi="仿宋" w:cs="仿宋" w:hint="eastAsia"/>
                <w:snapToGrid w:val="0"/>
                <w:color w:val="auto"/>
                <w:spacing w:val="7"/>
                <w:kern w:val="0"/>
                <w:sz w:val="24"/>
                <w:szCs w:val="24"/>
                <w:highlight w:val="none"/>
                <w:lang w:eastAsia="en-US"/>
              </w:rPr>
              <w:t>行清洁、消毒；二供水卫生许可证、水质</w:t>
            </w:r>
            <w:r>
              <w:rPr>
                <w:rFonts w:ascii="仿宋" w:eastAsia="仿宋" w:hAnsi="仿宋" w:cs="仿宋" w:hint="eastAsia"/>
                <w:snapToGrid w:val="0"/>
                <w:color w:val="auto"/>
                <w:spacing w:val="13"/>
                <w:kern w:val="0"/>
                <w:sz w:val="24"/>
                <w:szCs w:val="24"/>
                <w:highlight w:val="none"/>
                <w:lang w:eastAsia="en-US"/>
              </w:rPr>
              <w:t>化验单、操作人员健康合格证齐全；水</w:t>
            </w:r>
            <w:r>
              <w:rPr>
                <w:rFonts w:ascii="仿宋" w:eastAsia="仿宋" w:hAnsi="仿宋" w:cs="仿宋" w:hint="eastAsia"/>
                <w:snapToGrid w:val="0"/>
                <w:color w:val="auto"/>
                <w:spacing w:val="9"/>
                <w:kern w:val="0"/>
                <w:sz w:val="24"/>
                <w:szCs w:val="24"/>
                <w:highlight w:val="none"/>
                <w:lang w:eastAsia="en-US"/>
              </w:rPr>
              <w:t>池、水箱清洁卫生，无二次污染</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2</w:t>
            </w:r>
          </w:p>
        </w:tc>
        <w:tc>
          <w:tcPr>
            <w:tcW w:w="3498" w:type="dxa"/>
          </w:tcPr>
          <w:p>
            <w:pPr>
              <w:widowControl/>
              <w:wordWrap w:val="0"/>
              <w:autoSpaceDE w:val="0"/>
              <w:autoSpaceDN w:val="0"/>
              <w:adjustRightInd w:val="0"/>
              <w:snapToGrid w:val="0"/>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spacing w:before="65"/>
              <w:ind w:right="125"/>
              <w:textAlignment w:val="baseline"/>
              <w:rPr>
                <w:rFonts w:ascii="仿宋" w:eastAsia="仿宋" w:hAnsi="仿宋" w:cs="仿宋"/>
                <w:snapToGrid w:val="0"/>
                <w:color w:val="auto"/>
                <w:spacing w:val="2"/>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符合2分，每发现一项不符合扣</w:t>
            </w:r>
            <w:r>
              <w:rPr>
                <w:rFonts w:ascii="仿宋" w:eastAsia="仿宋" w:hAnsi="仿宋" w:cs="仿宋" w:hint="eastAsia"/>
                <w:snapToGrid w:val="0"/>
                <w:color w:val="auto"/>
                <w:spacing w:val="1"/>
                <w:kern w:val="0"/>
                <w:sz w:val="24"/>
                <w:szCs w:val="24"/>
                <w:highlight w:val="none"/>
                <w:lang w:eastAsia="en-US"/>
              </w:rPr>
              <w:t>0.5分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0"/>
              <w:ind w:left="110" w:right="10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4、高压水泵、水池、水箱有严格的管理</w:t>
            </w:r>
            <w:r>
              <w:rPr>
                <w:rFonts w:ascii="仿宋" w:eastAsia="仿宋" w:hAnsi="仿宋" w:cs="仿宋" w:hint="eastAsia"/>
                <w:snapToGrid w:val="0"/>
                <w:color w:val="auto"/>
                <w:spacing w:val="9"/>
                <w:kern w:val="0"/>
                <w:sz w:val="24"/>
                <w:szCs w:val="24"/>
                <w:highlight w:val="none"/>
                <w:lang w:eastAsia="en-US"/>
              </w:rPr>
              <w:t>措施，水池、水箱周围无污染隐患</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0"/>
              <w:ind w:right="106"/>
              <w:textAlignment w:val="baseline"/>
              <w:rPr>
                <w:rFonts w:ascii="仿宋" w:eastAsia="仿宋" w:hAnsi="仿宋" w:cs="仿宋"/>
                <w:snapToGrid w:val="0"/>
                <w:color w:val="auto"/>
                <w:spacing w:val="2"/>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没有管理措施扣0.5分，水箱周</w:t>
            </w:r>
            <w:r>
              <w:rPr>
                <w:rFonts w:ascii="仿宋" w:eastAsia="仿宋" w:hAnsi="仿宋" w:cs="仿宋" w:hint="eastAsia"/>
                <w:snapToGrid w:val="0"/>
                <w:color w:val="auto"/>
                <w:spacing w:val="5"/>
                <w:kern w:val="0"/>
                <w:sz w:val="24"/>
                <w:szCs w:val="24"/>
                <w:highlight w:val="none"/>
                <w:lang w:eastAsia="en-US"/>
              </w:rPr>
              <w:t>围每发现一处隐患扣0.2分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left="112" w:right="10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5、限水、停水按规定时间通知业主和使</w:t>
            </w:r>
            <w:r>
              <w:rPr>
                <w:rFonts w:ascii="仿宋" w:eastAsia="仿宋" w:hAnsi="仿宋" w:cs="仿宋" w:hint="eastAsia"/>
                <w:snapToGrid w:val="0"/>
                <w:color w:val="auto"/>
                <w:spacing w:val="3"/>
                <w:kern w:val="0"/>
                <w:sz w:val="24"/>
                <w:szCs w:val="24"/>
                <w:highlight w:val="none"/>
                <w:lang w:eastAsia="en-US"/>
              </w:rPr>
              <w:t>用人</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2"/>
              <w:ind w:right="157"/>
              <w:textAlignment w:val="baseline"/>
              <w:rPr>
                <w:rFonts w:ascii="仿宋" w:eastAsia="仿宋" w:hAnsi="仿宋" w:cs="仿宋"/>
                <w:snapToGrid w:val="0"/>
                <w:color w:val="auto"/>
                <w:spacing w:val="2"/>
                <w:kern w:val="0"/>
                <w:sz w:val="24"/>
                <w:szCs w:val="24"/>
                <w:highlight w:val="none"/>
                <w:lang w:eastAsia="en-US"/>
              </w:rPr>
            </w:pPr>
            <w:r>
              <w:rPr>
                <w:rFonts w:ascii="仿宋" w:eastAsia="仿宋" w:hAnsi="仿宋" w:cs="仿宋" w:hint="eastAsia"/>
                <w:snapToGrid w:val="0"/>
                <w:color w:val="auto"/>
                <w:spacing w:val="1"/>
                <w:kern w:val="0"/>
                <w:sz w:val="24"/>
                <w:szCs w:val="24"/>
                <w:highlight w:val="none"/>
                <w:lang w:eastAsia="en-US"/>
              </w:rPr>
              <w:t>符合1.0分，基本符合0.5分，</w:t>
            </w:r>
            <w:r>
              <w:rPr>
                <w:rFonts w:ascii="仿宋" w:eastAsia="仿宋" w:hAnsi="仿宋" w:cs="仿宋" w:hint="eastAsia"/>
                <w:snapToGrid w:val="0"/>
                <w:color w:val="auto"/>
                <w:spacing w:val="2"/>
                <w:kern w:val="0"/>
                <w:sz w:val="24"/>
                <w:szCs w:val="24"/>
                <w:highlight w:val="none"/>
                <w:lang w:eastAsia="en-US"/>
              </w:rPr>
              <w:t>不符合0分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left="116" w:right="10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6、排水系统通畅，汛期道路无积水，地</w:t>
            </w:r>
            <w:r>
              <w:rPr>
                <w:rFonts w:ascii="仿宋" w:eastAsia="仿宋" w:hAnsi="仿宋" w:cs="仿宋" w:hint="eastAsia"/>
                <w:snapToGrid w:val="0"/>
                <w:color w:val="auto"/>
                <w:spacing w:val="9"/>
                <w:kern w:val="0"/>
                <w:sz w:val="24"/>
                <w:szCs w:val="24"/>
                <w:highlight w:val="none"/>
                <w:lang w:eastAsia="en-US"/>
              </w:rPr>
              <w:t>下室、车库、设备房无积水，浸泡发生</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2"/>
              <w:ind w:right="103"/>
              <w:textAlignment w:val="baseline"/>
              <w:rPr>
                <w:rFonts w:ascii="仿宋" w:eastAsia="仿宋" w:hAnsi="仿宋" w:cs="仿宋"/>
                <w:snapToGrid w:val="0"/>
                <w:color w:val="auto"/>
                <w:spacing w:val="2"/>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符合1.0分，每发现一处不符合</w:t>
            </w:r>
            <w:r>
              <w:rPr>
                <w:rFonts w:ascii="仿宋" w:eastAsia="仿宋" w:hAnsi="仿宋" w:cs="仿宋" w:hint="eastAsia"/>
                <w:snapToGrid w:val="0"/>
                <w:color w:val="auto"/>
                <w:kern w:val="0"/>
                <w:sz w:val="24"/>
                <w:szCs w:val="24"/>
                <w:highlight w:val="none"/>
                <w:lang w:eastAsia="en-US"/>
              </w:rPr>
              <w:t>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left="111" w:right="10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7、遇有事故，维修人员在规定时间内进行抢修，无大面积跑水、泛水，长时间</w:t>
            </w:r>
            <w:r>
              <w:rPr>
                <w:rFonts w:ascii="仿宋" w:eastAsia="仿宋" w:hAnsi="仿宋" w:cs="仿宋" w:hint="eastAsia"/>
                <w:snapToGrid w:val="0"/>
                <w:color w:val="auto"/>
                <w:spacing w:val="9"/>
                <w:kern w:val="0"/>
                <w:sz w:val="24"/>
                <w:szCs w:val="24"/>
                <w:highlight w:val="none"/>
                <w:lang w:eastAsia="en-US"/>
              </w:rPr>
              <w:t>停水现象；制定事故应急处理方案</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290"/>
              <w:ind w:right="154"/>
              <w:textAlignment w:val="baseline"/>
              <w:rPr>
                <w:rFonts w:ascii="仿宋" w:eastAsia="仿宋" w:hAnsi="仿宋" w:cs="仿宋"/>
                <w:snapToGrid w:val="0"/>
                <w:color w:val="auto"/>
                <w:spacing w:val="2"/>
                <w:kern w:val="0"/>
                <w:sz w:val="24"/>
                <w:szCs w:val="24"/>
                <w:highlight w:val="none"/>
                <w:lang w:eastAsia="en-US"/>
              </w:rPr>
            </w:pPr>
            <w:r>
              <w:rPr>
                <w:rFonts w:ascii="仿宋" w:eastAsia="仿宋" w:hAnsi="仿宋" w:cs="仿宋" w:hint="eastAsia"/>
                <w:snapToGrid w:val="0"/>
                <w:color w:val="auto"/>
                <w:spacing w:val="1"/>
                <w:kern w:val="0"/>
                <w:sz w:val="24"/>
                <w:szCs w:val="24"/>
                <w:highlight w:val="none"/>
                <w:lang w:eastAsia="en-US"/>
              </w:rPr>
              <w:t>符合1.0分，基本符合0.5分，</w:t>
            </w:r>
            <w:r>
              <w:rPr>
                <w:rFonts w:ascii="仿宋" w:eastAsia="仿宋" w:hAnsi="仿宋" w:cs="仿宋" w:hint="eastAsia"/>
                <w:snapToGrid w:val="0"/>
                <w:color w:val="auto"/>
                <w:spacing w:val="2"/>
                <w:kern w:val="0"/>
                <w:sz w:val="24"/>
                <w:szCs w:val="24"/>
                <w:highlight w:val="none"/>
                <w:lang w:eastAsia="en-US"/>
              </w:rPr>
              <w:t>不符合0分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491"/>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shd w:val="clear" w:color="auto" w:fill="D8D8D8" w:themeFill="background1" w:themeFillShade="D8"/>
          </w:tcPr>
          <w:p>
            <w:pPr>
              <w:widowControl/>
              <w:wordWrap w:val="0"/>
              <w:autoSpaceDE w:val="0"/>
              <w:autoSpaceDN w:val="0"/>
              <w:adjustRightInd w:val="0"/>
              <w:snapToGrid w:val="0"/>
              <w:spacing w:before="112"/>
              <w:ind w:left="121"/>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b/>
                <w:bCs/>
                <w:snapToGrid w:val="0"/>
                <w:color w:val="auto"/>
                <w:spacing w:val="6"/>
                <w:kern w:val="0"/>
                <w:sz w:val="24"/>
                <w:szCs w:val="24"/>
                <w:highlight w:val="none"/>
                <w:lang w:eastAsia="en-US"/>
              </w:rPr>
              <w:t>（七）空调系统</w:t>
            </w:r>
          </w:p>
        </w:tc>
        <w:tc>
          <w:tcPr>
            <w:tcW w:w="690" w:type="dxa"/>
            <w:shd w:val="clear" w:color="auto" w:fill="D8D8D8" w:themeFill="background1" w:themeFillShade="D8"/>
            <w:vAlign w:val="center"/>
          </w:tcPr>
          <w:p>
            <w:pPr>
              <w:widowControl/>
              <w:wordWrap w:val="0"/>
              <w:autoSpaceDE w:val="0"/>
              <w:autoSpaceDN w:val="0"/>
              <w:adjustRightInd w:val="0"/>
              <w:snapToGrid w:val="0"/>
              <w:spacing w:before="147"/>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3"/>
                <w:kern w:val="0"/>
                <w:sz w:val="24"/>
                <w:szCs w:val="24"/>
                <w:highlight w:val="none"/>
                <w:lang w:eastAsia="en-US"/>
              </w:rPr>
              <w:t>5</w:t>
            </w:r>
          </w:p>
        </w:tc>
        <w:tc>
          <w:tcPr>
            <w:tcW w:w="3498" w:type="dxa"/>
            <w:shd w:val="clear" w:color="auto" w:fill="D8D8D8" w:themeFill="background1" w:themeFillShade="D8"/>
          </w:tcPr>
          <w:p>
            <w:pPr>
              <w:widowControl/>
              <w:wordWrap w:val="0"/>
              <w:autoSpaceDE w:val="0"/>
              <w:autoSpaceDN w:val="0"/>
              <w:adjustRightInd w:val="0"/>
              <w:snapToGrid w:val="0"/>
              <w:textAlignment w:val="baseline"/>
              <w:rPr>
                <w:rFonts w:ascii="仿宋" w:eastAsia="仿宋" w:hAnsi="仿宋" w:cs="仿宋"/>
                <w:snapToGrid w:val="0"/>
                <w:color w:val="auto"/>
                <w:spacing w:val="2"/>
                <w:kern w:val="0"/>
                <w:sz w:val="24"/>
                <w:szCs w:val="24"/>
                <w:highlight w:val="none"/>
                <w:lang w:eastAsia="en-US"/>
              </w:rPr>
            </w:pPr>
          </w:p>
        </w:tc>
        <w:tc>
          <w:tcPr>
            <w:tcW w:w="636" w:type="dxa"/>
            <w:shd w:val="clear" w:color="auto" w:fill="D8D8D8" w:themeFill="background1" w:themeFillShade="D8"/>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left="115" w:right="10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2"/>
                <w:kern w:val="0"/>
                <w:sz w:val="24"/>
                <w:szCs w:val="24"/>
                <w:highlight w:val="none"/>
                <w:lang w:eastAsia="en-US"/>
              </w:rPr>
              <w:t>1、中央空调系统运行正常，水塔运行正</w:t>
            </w:r>
            <w:r>
              <w:rPr>
                <w:rFonts w:ascii="仿宋" w:eastAsia="仿宋" w:hAnsi="仿宋" w:cs="仿宋" w:hint="eastAsia"/>
                <w:snapToGrid w:val="0"/>
                <w:color w:val="auto"/>
                <w:spacing w:val="9"/>
                <w:kern w:val="0"/>
                <w:sz w:val="24"/>
                <w:szCs w:val="24"/>
                <w:highlight w:val="none"/>
                <w:lang w:eastAsia="en-US"/>
              </w:rPr>
              <w:t>常且噪音不超标，无严重滴漏水现象</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2</w:t>
            </w:r>
          </w:p>
        </w:tc>
        <w:tc>
          <w:tcPr>
            <w:tcW w:w="3498" w:type="dxa"/>
          </w:tcPr>
          <w:p>
            <w:pPr>
              <w:widowControl/>
              <w:wordWrap w:val="0"/>
              <w:autoSpaceDE w:val="0"/>
              <w:autoSpaceDN w:val="0"/>
              <w:adjustRightInd w:val="0"/>
              <w:snapToGrid w:val="0"/>
              <w:spacing w:before="112"/>
              <w:ind w:right="154"/>
              <w:textAlignment w:val="baseline"/>
              <w:rPr>
                <w:rFonts w:ascii="仿宋" w:eastAsia="仿宋" w:hAnsi="仿宋" w:cs="仿宋"/>
                <w:snapToGrid w:val="0"/>
                <w:color w:val="auto"/>
                <w:spacing w:val="2"/>
                <w:kern w:val="0"/>
                <w:sz w:val="24"/>
                <w:szCs w:val="24"/>
                <w:highlight w:val="none"/>
                <w:lang w:eastAsia="en-US"/>
              </w:rPr>
            </w:pPr>
            <w:r>
              <w:rPr>
                <w:rFonts w:ascii="仿宋" w:eastAsia="仿宋" w:hAnsi="仿宋" w:cs="仿宋" w:hint="eastAsia"/>
                <w:snapToGrid w:val="0"/>
                <w:color w:val="auto"/>
                <w:spacing w:val="2"/>
                <w:kern w:val="0"/>
                <w:sz w:val="24"/>
                <w:szCs w:val="24"/>
                <w:highlight w:val="none"/>
                <w:lang w:eastAsia="en-US"/>
              </w:rPr>
              <w:t>符合2.0分，基本符合0.5分，不符合0分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0"/>
              <w:ind w:left="112" w:right="10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2、中央空调系统出现运行故障后，维修</w:t>
            </w:r>
            <w:r>
              <w:rPr>
                <w:rFonts w:ascii="仿宋" w:eastAsia="仿宋" w:hAnsi="仿宋" w:cs="仿宋" w:hint="eastAsia"/>
                <w:snapToGrid w:val="0"/>
                <w:color w:val="auto"/>
                <w:spacing w:val="9"/>
                <w:kern w:val="0"/>
                <w:sz w:val="24"/>
                <w:szCs w:val="24"/>
                <w:highlight w:val="none"/>
                <w:lang w:eastAsia="en-US"/>
              </w:rPr>
              <w:t>人员在规定时间内到达现维修</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2</w:t>
            </w:r>
          </w:p>
        </w:tc>
        <w:tc>
          <w:tcPr>
            <w:tcW w:w="3498" w:type="dxa"/>
          </w:tcPr>
          <w:p>
            <w:pPr>
              <w:widowControl/>
              <w:wordWrap w:val="0"/>
              <w:autoSpaceDE w:val="0"/>
              <w:autoSpaceDN w:val="0"/>
              <w:adjustRightInd w:val="0"/>
              <w:snapToGrid w:val="0"/>
              <w:spacing w:before="110"/>
              <w:ind w:right="154"/>
              <w:textAlignment w:val="baseline"/>
              <w:rPr>
                <w:rFonts w:ascii="仿宋" w:eastAsia="仿宋" w:hAnsi="仿宋" w:cs="仿宋"/>
                <w:snapToGrid w:val="0"/>
                <w:color w:val="auto"/>
                <w:spacing w:val="2"/>
                <w:kern w:val="0"/>
                <w:sz w:val="24"/>
                <w:szCs w:val="24"/>
                <w:highlight w:val="none"/>
                <w:lang w:eastAsia="en-US"/>
              </w:rPr>
            </w:pPr>
            <w:r>
              <w:rPr>
                <w:rFonts w:ascii="仿宋" w:eastAsia="仿宋" w:hAnsi="仿宋" w:cs="仿宋" w:hint="eastAsia"/>
                <w:snapToGrid w:val="0"/>
                <w:color w:val="auto"/>
                <w:spacing w:val="2"/>
                <w:kern w:val="0"/>
                <w:sz w:val="24"/>
                <w:szCs w:val="24"/>
                <w:highlight w:val="none"/>
                <w:lang w:eastAsia="en-US"/>
              </w:rPr>
              <w:t>符合2.0分，基本符合0.5分，不符合0分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spacing w:before="65"/>
              <w:ind w:left="11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9"/>
                <w:kern w:val="0"/>
                <w:sz w:val="24"/>
                <w:szCs w:val="24"/>
                <w:highlight w:val="none"/>
                <w:lang w:eastAsia="en-US"/>
              </w:rPr>
              <w:t>3、制订中央空调发生故障应急处理方案</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2"/>
              <w:ind w:right="105"/>
              <w:textAlignment w:val="baseline"/>
              <w:rPr>
                <w:rFonts w:ascii="仿宋" w:eastAsia="仿宋" w:hAnsi="仿宋" w:cs="仿宋"/>
                <w:snapToGrid w:val="0"/>
                <w:color w:val="auto"/>
                <w:spacing w:val="2"/>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无应急处理方案扣1.0分，有方</w:t>
            </w:r>
            <w:r>
              <w:rPr>
                <w:rFonts w:ascii="仿宋" w:eastAsia="仿宋" w:hAnsi="仿宋" w:cs="仿宋" w:hint="eastAsia"/>
                <w:snapToGrid w:val="0"/>
                <w:color w:val="auto"/>
                <w:spacing w:val="11"/>
                <w:kern w:val="0"/>
                <w:sz w:val="24"/>
                <w:szCs w:val="24"/>
                <w:highlight w:val="none"/>
                <w:lang w:eastAsia="en-US"/>
              </w:rPr>
              <w:t>案但不完善或执行不够的扣0.5</w:t>
            </w:r>
            <w:r>
              <w:rPr>
                <w:rFonts w:ascii="仿宋" w:eastAsia="仿宋" w:hAnsi="仿宋" w:cs="仿宋" w:hint="eastAsia"/>
                <w:snapToGrid w:val="0"/>
                <w:color w:val="auto"/>
                <w:kern w:val="0"/>
                <w:sz w:val="24"/>
                <w:szCs w:val="24"/>
                <w:highlight w:val="none"/>
                <w:lang w:eastAsia="en-US"/>
              </w:rPr>
              <w:t>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537"/>
        </w:trPr>
        <w:tc>
          <w:tcPr>
            <w:tcW w:w="557" w:type="dxa"/>
            <w:vMerge w:val="restart"/>
            <w:vAlign w:val="center"/>
          </w:tcPr>
          <w:p>
            <w:pPr>
              <w:widowControl/>
              <w:wordWrap w:val="0"/>
              <w:autoSpaceDE w:val="0"/>
              <w:autoSpaceDN w:val="0"/>
              <w:adjustRightInd w:val="0"/>
              <w:snapToGrid w:val="0"/>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四</w:t>
            </w:r>
          </w:p>
        </w:tc>
        <w:tc>
          <w:tcPr>
            <w:tcW w:w="3663" w:type="dxa"/>
            <w:shd w:val="clear" w:color="auto" w:fill="D8D8D8" w:themeFill="background1" w:themeFillShade="D8"/>
          </w:tcPr>
          <w:p>
            <w:pPr>
              <w:widowControl/>
              <w:wordWrap w:val="0"/>
              <w:autoSpaceDE w:val="0"/>
              <w:autoSpaceDN w:val="0"/>
              <w:adjustRightInd w:val="0"/>
              <w:snapToGrid w:val="0"/>
              <w:spacing w:before="114"/>
              <w:ind w:left="110"/>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b/>
                <w:bCs/>
                <w:snapToGrid w:val="0"/>
                <w:color w:val="auto"/>
                <w:spacing w:val="7"/>
                <w:kern w:val="0"/>
                <w:sz w:val="24"/>
                <w:szCs w:val="24"/>
                <w:highlight w:val="none"/>
                <w:lang w:eastAsia="en-US"/>
              </w:rPr>
              <w:t>共用设施管理</w:t>
            </w:r>
          </w:p>
        </w:tc>
        <w:tc>
          <w:tcPr>
            <w:tcW w:w="690" w:type="dxa"/>
            <w:shd w:val="clear" w:color="auto" w:fill="D8D8D8" w:themeFill="background1" w:themeFillShade="D8"/>
            <w:vAlign w:val="center"/>
          </w:tcPr>
          <w:p>
            <w:pPr>
              <w:widowControl/>
              <w:wordWrap w:val="0"/>
              <w:autoSpaceDE w:val="0"/>
              <w:autoSpaceDN w:val="0"/>
              <w:adjustRightInd w:val="0"/>
              <w:snapToGrid w:val="0"/>
              <w:spacing w:before="146"/>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3"/>
                <w:kern w:val="0"/>
                <w:sz w:val="24"/>
                <w:szCs w:val="24"/>
                <w:highlight w:val="none"/>
                <w:lang w:eastAsia="en-US"/>
              </w:rPr>
              <w:t>4</w:t>
            </w:r>
          </w:p>
        </w:tc>
        <w:tc>
          <w:tcPr>
            <w:tcW w:w="3498" w:type="dxa"/>
            <w:shd w:val="clear" w:color="auto" w:fill="D8D8D8" w:themeFill="background1" w:themeFillShade="D8"/>
          </w:tcPr>
          <w:p>
            <w:pPr>
              <w:widowControl/>
              <w:wordWrap w:val="0"/>
              <w:autoSpaceDE w:val="0"/>
              <w:autoSpaceDN w:val="0"/>
              <w:adjustRightInd w:val="0"/>
              <w:snapToGrid w:val="0"/>
              <w:textAlignment w:val="baseline"/>
              <w:rPr>
                <w:rFonts w:ascii="仿宋" w:eastAsia="仿宋" w:hAnsi="仿宋" w:cs="仿宋"/>
                <w:snapToGrid w:val="0"/>
                <w:color w:val="auto"/>
                <w:spacing w:val="2"/>
                <w:kern w:val="0"/>
                <w:sz w:val="24"/>
                <w:szCs w:val="24"/>
                <w:highlight w:val="none"/>
                <w:lang w:eastAsia="en-US"/>
              </w:rPr>
            </w:pPr>
          </w:p>
        </w:tc>
        <w:tc>
          <w:tcPr>
            <w:tcW w:w="636" w:type="dxa"/>
            <w:shd w:val="clear" w:color="auto" w:fill="D8D8D8" w:themeFill="background1" w:themeFillShade="D8"/>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293"/>
              <w:ind w:left="126"/>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8"/>
                <w:kern w:val="0"/>
                <w:sz w:val="24"/>
                <w:szCs w:val="24"/>
                <w:highlight w:val="none"/>
                <w:lang w:eastAsia="en-US"/>
              </w:rPr>
              <w:t>1、共用配套设施完好，无随意改变用途</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2"/>
              <w:ind w:right="103"/>
              <w:textAlignment w:val="baseline"/>
              <w:rPr>
                <w:rFonts w:ascii="仿宋" w:eastAsia="仿宋" w:hAnsi="仿宋" w:cs="仿宋"/>
                <w:snapToGrid w:val="0"/>
                <w:color w:val="auto"/>
                <w:spacing w:val="2"/>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符合1.0分，每发现一处不符合</w:t>
            </w:r>
            <w:r>
              <w:rPr>
                <w:rFonts w:ascii="仿宋" w:eastAsia="仿宋" w:hAnsi="仿宋" w:cs="仿宋" w:hint="eastAsia"/>
                <w:snapToGrid w:val="0"/>
                <w:color w:val="auto"/>
                <w:kern w:val="0"/>
                <w:sz w:val="24"/>
                <w:szCs w:val="24"/>
                <w:highlight w:val="none"/>
                <w:lang w:eastAsia="en-US"/>
              </w:rPr>
              <w:t>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left="111" w:right="10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2、共用管线统一下地或入公共管道，无</w:t>
            </w:r>
            <w:r>
              <w:rPr>
                <w:rFonts w:ascii="仿宋" w:eastAsia="仿宋" w:hAnsi="仿宋" w:cs="仿宋" w:hint="eastAsia"/>
                <w:snapToGrid w:val="0"/>
                <w:color w:val="auto"/>
                <w:spacing w:val="8"/>
                <w:kern w:val="0"/>
                <w:sz w:val="24"/>
                <w:szCs w:val="24"/>
                <w:highlight w:val="none"/>
                <w:lang w:eastAsia="en-US"/>
              </w:rPr>
              <w:t>架空管线，无碍观瞻</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2"/>
              <w:ind w:right="103"/>
              <w:textAlignment w:val="baseline"/>
              <w:rPr>
                <w:rFonts w:ascii="仿宋" w:eastAsia="仿宋" w:hAnsi="仿宋" w:cs="仿宋"/>
                <w:snapToGrid w:val="0"/>
                <w:color w:val="auto"/>
                <w:spacing w:val="2"/>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符合1.0分，每发现一处不符合</w:t>
            </w:r>
            <w:r>
              <w:rPr>
                <w:rFonts w:ascii="仿宋" w:eastAsia="仿宋" w:hAnsi="仿宋" w:cs="仿宋" w:hint="eastAsia"/>
                <w:snapToGrid w:val="0"/>
                <w:color w:val="auto"/>
                <w:kern w:val="0"/>
                <w:sz w:val="24"/>
                <w:szCs w:val="24"/>
                <w:highlight w:val="none"/>
                <w:lang w:eastAsia="en-US"/>
              </w:rPr>
              <w:t>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292"/>
              <w:ind w:left="115"/>
              <w:jc w:val="left"/>
              <w:textAlignment w:val="baseline"/>
              <w:rPr>
                <w:rFonts w:ascii="仿宋" w:eastAsia="仿宋" w:hAnsi="仿宋" w:cs="仿宋"/>
                <w:snapToGrid w:val="0"/>
                <w:color w:val="auto"/>
                <w:spacing w:val="13"/>
                <w:kern w:val="0"/>
                <w:sz w:val="24"/>
                <w:szCs w:val="24"/>
                <w:highlight w:val="none"/>
                <w:lang w:eastAsia="en-US"/>
              </w:rPr>
            </w:pPr>
            <w:r>
              <w:rPr>
                <w:rFonts w:ascii="仿宋" w:eastAsia="仿宋" w:hAnsi="仿宋" w:cs="仿宋" w:hint="eastAsia"/>
                <w:snapToGrid w:val="0"/>
                <w:color w:val="auto"/>
                <w:spacing w:val="8"/>
                <w:kern w:val="0"/>
                <w:sz w:val="24"/>
                <w:szCs w:val="24"/>
                <w:highlight w:val="none"/>
                <w:lang w:eastAsia="en-US"/>
              </w:rPr>
              <w:t>3、道路、楼道、大堂等公共照明完好</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2"/>
              <w:ind w:right="125"/>
              <w:textAlignment w:val="baseline"/>
              <w:rPr>
                <w:rFonts w:ascii="仿宋" w:eastAsia="仿宋" w:hAnsi="仿宋" w:cs="仿宋"/>
                <w:snapToGrid w:val="0"/>
                <w:color w:val="auto"/>
                <w:spacing w:val="2"/>
                <w:kern w:val="0"/>
                <w:sz w:val="24"/>
                <w:szCs w:val="24"/>
                <w:highlight w:val="none"/>
                <w:lang w:eastAsia="en-US"/>
              </w:rPr>
            </w:pPr>
            <w:r>
              <w:rPr>
                <w:rFonts w:ascii="仿宋" w:eastAsia="仿宋" w:hAnsi="仿宋" w:cs="仿宋" w:hint="eastAsia"/>
                <w:snapToGrid w:val="0"/>
                <w:color w:val="auto"/>
                <w:spacing w:val="5"/>
                <w:kern w:val="0"/>
                <w:sz w:val="24"/>
                <w:szCs w:val="24"/>
                <w:highlight w:val="none"/>
                <w:lang w:eastAsia="en-US"/>
              </w:rPr>
              <w:t>符合1.0分，每发现一处不亮扣</w:t>
            </w:r>
            <w:r>
              <w:rPr>
                <w:rFonts w:ascii="仿宋" w:eastAsia="仿宋" w:hAnsi="仿宋" w:cs="仿宋" w:hint="eastAsia"/>
                <w:snapToGrid w:val="0"/>
                <w:color w:val="auto"/>
                <w:spacing w:val="1"/>
                <w:kern w:val="0"/>
                <w:sz w:val="24"/>
                <w:szCs w:val="24"/>
                <w:highlight w:val="none"/>
                <w:lang w:eastAsia="en-US"/>
              </w:rPr>
              <w:t>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292" w:line="228" w:lineRule="auto"/>
              <w:ind w:left="110"/>
              <w:jc w:val="left"/>
              <w:textAlignment w:val="baseline"/>
              <w:rPr>
                <w:rFonts w:ascii="仿宋" w:eastAsia="仿宋" w:hAnsi="仿宋" w:cs="仿宋"/>
                <w:snapToGrid w:val="0"/>
                <w:color w:val="auto"/>
                <w:spacing w:val="8"/>
                <w:kern w:val="0"/>
                <w:sz w:val="24"/>
                <w:szCs w:val="24"/>
                <w:highlight w:val="none"/>
                <w:lang w:eastAsia="en-US"/>
              </w:rPr>
            </w:pPr>
            <w:r>
              <w:rPr>
                <w:rFonts w:ascii="仿宋" w:eastAsia="仿宋" w:hAnsi="仿宋" w:cs="仿宋" w:hint="eastAsia"/>
                <w:snapToGrid w:val="0"/>
                <w:color w:val="auto"/>
                <w:spacing w:val="8"/>
                <w:kern w:val="0"/>
                <w:sz w:val="24"/>
                <w:szCs w:val="24"/>
                <w:highlight w:val="none"/>
                <w:lang w:eastAsia="en-US"/>
              </w:rPr>
              <w:t>4、区域范围内的道路通畅，路面平坦</w:t>
            </w:r>
          </w:p>
        </w:tc>
        <w:tc>
          <w:tcPr>
            <w:tcW w:w="690" w:type="dxa"/>
          </w:tcPr>
          <w:p>
            <w:pPr>
              <w:widowControl/>
              <w:wordWrap w:val="0"/>
              <w:autoSpaceDE w:val="0"/>
              <w:autoSpaceDN w:val="0"/>
              <w:adjustRightInd w:val="0"/>
              <w:snapToGrid w:val="0"/>
              <w:spacing w:line="258" w:lineRule="auto"/>
              <w:jc w:val="left"/>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spacing w:before="65" w:line="189" w:lineRule="auto"/>
              <w:ind w:left="323"/>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2" w:line="278" w:lineRule="auto"/>
              <w:ind w:left="117" w:right="103"/>
              <w:jc w:val="left"/>
              <w:textAlignment w:val="baseline"/>
              <w:rPr>
                <w:rFonts w:ascii="仿宋" w:eastAsia="仿宋" w:hAnsi="仿宋" w:cs="仿宋"/>
                <w:snapToGrid w:val="0"/>
                <w:color w:val="auto"/>
                <w:spacing w:val="5"/>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符合1.0分，每发现一处不符合</w:t>
            </w:r>
            <w:r>
              <w:rPr>
                <w:rFonts w:ascii="仿宋" w:eastAsia="仿宋" w:hAnsi="仿宋" w:cs="仿宋" w:hint="eastAsia"/>
                <w:snapToGrid w:val="0"/>
                <w:color w:val="auto"/>
                <w:kern w:val="0"/>
                <w:sz w:val="24"/>
                <w:szCs w:val="24"/>
                <w:highlight w:val="none"/>
                <w:lang w:eastAsia="en-US"/>
              </w:rPr>
              <w:t>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526"/>
        </w:trPr>
        <w:tc>
          <w:tcPr>
            <w:tcW w:w="557" w:type="dxa"/>
            <w:vMerge w:val="restart"/>
            <w:vAlign w:val="center"/>
          </w:tcPr>
          <w:p>
            <w:pPr>
              <w:widowControl/>
              <w:wordWrap w:val="0"/>
              <w:autoSpaceDE w:val="0"/>
              <w:autoSpaceDN w:val="0"/>
              <w:adjustRightInd w:val="0"/>
              <w:snapToGrid w:val="0"/>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五</w:t>
            </w:r>
          </w:p>
        </w:tc>
        <w:tc>
          <w:tcPr>
            <w:tcW w:w="3663" w:type="dxa"/>
            <w:shd w:val="clear" w:color="auto" w:fill="D8D8D8" w:themeFill="background1" w:themeFillShade="D8"/>
          </w:tcPr>
          <w:p>
            <w:pPr>
              <w:widowControl/>
              <w:wordWrap w:val="0"/>
              <w:autoSpaceDE w:val="0"/>
              <w:autoSpaceDN w:val="0"/>
              <w:adjustRightInd w:val="0"/>
              <w:snapToGrid w:val="0"/>
              <w:spacing w:before="114"/>
              <w:ind w:left="111"/>
              <w:jc w:val="left"/>
              <w:textAlignment w:val="baseline"/>
              <w:rPr>
                <w:rFonts w:ascii="仿宋" w:eastAsia="仿宋" w:hAnsi="仿宋" w:cs="仿宋"/>
                <w:snapToGrid w:val="0"/>
                <w:color w:val="auto"/>
                <w:spacing w:val="8"/>
                <w:kern w:val="0"/>
                <w:sz w:val="24"/>
                <w:szCs w:val="24"/>
                <w:highlight w:val="none"/>
                <w:lang w:eastAsia="en-US"/>
              </w:rPr>
            </w:pPr>
            <w:r>
              <w:rPr>
                <w:rFonts w:ascii="仿宋" w:eastAsia="仿宋" w:hAnsi="仿宋" w:cs="仿宋" w:hint="eastAsia"/>
                <w:b/>
                <w:bCs/>
                <w:snapToGrid w:val="0"/>
                <w:color w:val="auto"/>
                <w:spacing w:val="7"/>
                <w:kern w:val="0"/>
                <w:sz w:val="24"/>
                <w:szCs w:val="24"/>
                <w:highlight w:val="none"/>
                <w:lang w:eastAsia="en-US"/>
              </w:rPr>
              <w:t>保安及车辆管理</w:t>
            </w:r>
          </w:p>
        </w:tc>
        <w:tc>
          <w:tcPr>
            <w:tcW w:w="690" w:type="dxa"/>
            <w:shd w:val="clear" w:color="auto" w:fill="D8D8D8" w:themeFill="background1" w:themeFillShade="D8"/>
            <w:vAlign w:val="center"/>
          </w:tcPr>
          <w:p>
            <w:pPr>
              <w:widowControl/>
              <w:wordWrap w:val="0"/>
              <w:autoSpaceDE w:val="0"/>
              <w:autoSpaceDN w:val="0"/>
              <w:adjustRightInd w:val="0"/>
              <w:snapToGrid w:val="0"/>
              <w:spacing w:before="147"/>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3"/>
                <w:kern w:val="0"/>
                <w:sz w:val="24"/>
                <w:szCs w:val="24"/>
                <w:highlight w:val="none"/>
                <w:lang w:eastAsia="en-US"/>
              </w:rPr>
              <w:t>9</w:t>
            </w:r>
          </w:p>
        </w:tc>
        <w:tc>
          <w:tcPr>
            <w:tcW w:w="3498" w:type="dxa"/>
            <w:shd w:val="clear" w:color="auto" w:fill="D8D8D8" w:themeFill="background1" w:themeFillShade="D8"/>
          </w:tcPr>
          <w:p>
            <w:pPr>
              <w:widowControl/>
              <w:wordWrap w:val="0"/>
              <w:autoSpaceDE w:val="0"/>
              <w:autoSpaceDN w:val="0"/>
              <w:adjustRightInd w:val="0"/>
              <w:snapToGrid w:val="0"/>
              <w:textAlignment w:val="baseline"/>
              <w:rPr>
                <w:rFonts w:ascii="仿宋" w:eastAsia="仿宋" w:hAnsi="仿宋" w:cs="仿宋"/>
                <w:snapToGrid w:val="0"/>
                <w:color w:val="auto"/>
                <w:spacing w:val="5"/>
                <w:kern w:val="0"/>
                <w:sz w:val="24"/>
                <w:szCs w:val="24"/>
                <w:highlight w:val="none"/>
                <w:lang w:eastAsia="en-US"/>
              </w:rPr>
            </w:pPr>
          </w:p>
        </w:tc>
        <w:tc>
          <w:tcPr>
            <w:tcW w:w="636" w:type="dxa"/>
            <w:shd w:val="clear" w:color="auto" w:fill="D8D8D8" w:themeFill="background1" w:themeFillShade="D8"/>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4"/>
              <w:ind w:left="111" w:right="105"/>
              <w:jc w:val="left"/>
              <w:textAlignment w:val="baseline"/>
              <w:rPr>
                <w:rFonts w:ascii="仿宋" w:eastAsia="仿宋" w:hAnsi="仿宋" w:cs="仿宋"/>
                <w:snapToGrid w:val="0"/>
                <w:color w:val="auto"/>
                <w:spacing w:val="8"/>
                <w:kern w:val="0"/>
                <w:sz w:val="24"/>
                <w:szCs w:val="24"/>
                <w:highlight w:val="none"/>
                <w:lang w:eastAsia="en-US"/>
              </w:rPr>
            </w:pPr>
            <w:r>
              <w:rPr>
                <w:rFonts w:ascii="仿宋" w:eastAsia="仿宋" w:hAnsi="仿宋" w:cs="仿宋" w:hint="eastAsia"/>
                <w:snapToGrid w:val="0"/>
                <w:color w:val="auto"/>
                <w:spacing w:val="5"/>
                <w:kern w:val="0"/>
                <w:sz w:val="24"/>
                <w:szCs w:val="24"/>
                <w:highlight w:val="none"/>
                <w:lang w:eastAsia="en-US"/>
              </w:rPr>
              <w:t>1、有专业保安队伍，实行24小时值班及</w:t>
            </w:r>
            <w:r>
              <w:rPr>
                <w:rFonts w:ascii="仿宋" w:eastAsia="仿宋" w:hAnsi="仿宋" w:cs="仿宋" w:hint="eastAsia"/>
                <w:snapToGrid w:val="0"/>
                <w:color w:val="auto"/>
                <w:spacing w:val="6"/>
                <w:kern w:val="0"/>
                <w:sz w:val="24"/>
                <w:szCs w:val="24"/>
                <w:highlight w:val="none"/>
                <w:lang w:eastAsia="en-US"/>
              </w:rPr>
              <w:t>巡逻制度，保安人员熟悉工作区的环境，</w:t>
            </w:r>
            <w:r>
              <w:rPr>
                <w:rFonts w:ascii="仿宋" w:eastAsia="仿宋" w:hAnsi="仿宋" w:cs="仿宋" w:hint="eastAsia"/>
                <w:snapToGrid w:val="0"/>
                <w:color w:val="auto"/>
                <w:spacing w:val="7"/>
                <w:kern w:val="0"/>
                <w:sz w:val="24"/>
                <w:szCs w:val="24"/>
                <w:highlight w:val="none"/>
                <w:lang w:eastAsia="en-US"/>
              </w:rPr>
              <w:t>文明执勤，训练有素，言语规范，认真负</w:t>
            </w:r>
            <w:r>
              <w:rPr>
                <w:rFonts w:ascii="仿宋" w:eastAsia="仿宋" w:hAnsi="仿宋" w:cs="仿宋" w:hint="eastAsia"/>
                <w:snapToGrid w:val="0"/>
                <w:color w:val="auto"/>
                <w:kern w:val="0"/>
                <w:sz w:val="24"/>
                <w:szCs w:val="24"/>
                <w:highlight w:val="none"/>
                <w:lang w:eastAsia="en-US"/>
              </w:rPr>
              <w:t>责</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2</w:t>
            </w:r>
          </w:p>
        </w:tc>
        <w:tc>
          <w:tcPr>
            <w:tcW w:w="3498" w:type="dxa"/>
          </w:tcPr>
          <w:p>
            <w:pPr>
              <w:widowControl/>
              <w:wordWrap w:val="0"/>
              <w:autoSpaceDE w:val="0"/>
              <w:autoSpaceDN w:val="0"/>
              <w:adjustRightInd w:val="0"/>
              <w:snapToGrid w:val="0"/>
              <w:spacing w:before="114"/>
              <w:ind w:right="106"/>
              <w:textAlignment w:val="baseline"/>
              <w:rPr>
                <w:rFonts w:ascii="仿宋" w:eastAsia="仿宋" w:hAnsi="仿宋" w:cs="仿宋"/>
                <w:snapToGrid w:val="0"/>
                <w:color w:val="auto"/>
                <w:spacing w:val="5"/>
                <w:kern w:val="0"/>
                <w:sz w:val="24"/>
                <w:szCs w:val="24"/>
                <w:highlight w:val="none"/>
                <w:lang w:eastAsia="en-US"/>
              </w:rPr>
            </w:pPr>
            <w:r>
              <w:rPr>
                <w:rFonts w:ascii="仿宋" w:eastAsia="仿宋" w:hAnsi="仿宋" w:cs="仿宋" w:hint="eastAsia"/>
                <w:snapToGrid w:val="0"/>
                <w:color w:val="auto"/>
                <w:spacing w:val="6"/>
                <w:kern w:val="0"/>
                <w:sz w:val="24"/>
                <w:szCs w:val="24"/>
                <w:highlight w:val="none"/>
                <w:lang w:eastAsia="en-US"/>
              </w:rPr>
              <w:t>符合2.0分，无专业保安队伍扣</w:t>
            </w:r>
            <w:r>
              <w:rPr>
                <w:rFonts w:ascii="仿宋" w:eastAsia="仿宋" w:hAnsi="仿宋" w:cs="仿宋" w:hint="eastAsia"/>
                <w:snapToGrid w:val="0"/>
                <w:color w:val="auto"/>
                <w:spacing w:val="11"/>
                <w:kern w:val="0"/>
                <w:sz w:val="24"/>
                <w:szCs w:val="24"/>
                <w:highlight w:val="none"/>
                <w:lang w:eastAsia="en-US"/>
              </w:rPr>
              <w:t>1.0分，值班及巡逻记录等不规</w:t>
            </w:r>
            <w:r>
              <w:rPr>
                <w:rFonts w:ascii="仿宋" w:eastAsia="仿宋" w:hAnsi="仿宋" w:cs="仿宋" w:hint="eastAsia"/>
                <w:snapToGrid w:val="0"/>
                <w:color w:val="auto"/>
                <w:spacing w:val="3"/>
                <w:kern w:val="0"/>
                <w:sz w:val="24"/>
                <w:szCs w:val="24"/>
                <w:highlight w:val="none"/>
                <w:lang w:eastAsia="en-US"/>
              </w:rPr>
              <w:t>范每处扣0.2分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0"/>
              <w:ind w:left="114"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2、进出区域各种车辆管理有序，无堵塞</w:t>
            </w:r>
            <w:r>
              <w:rPr>
                <w:rFonts w:ascii="仿宋" w:eastAsia="仿宋" w:hAnsi="仿宋" w:cs="仿宋" w:hint="eastAsia"/>
                <w:snapToGrid w:val="0"/>
                <w:color w:val="auto"/>
                <w:spacing w:val="8"/>
                <w:kern w:val="0"/>
                <w:sz w:val="24"/>
                <w:szCs w:val="24"/>
                <w:highlight w:val="none"/>
                <w:lang w:eastAsia="en-US"/>
              </w:rPr>
              <w:t>交通现象，不影响行人通行</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2</w:t>
            </w:r>
          </w:p>
        </w:tc>
        <w:tc>
          <w:tcPr>
            <w:tcW w:w="3498" w:type="dxa"/>
          </w:tcPr>
          <w:p>
            <w:pPr>
              <w:widowControl/>
              <w:wordWrap w:val="0"/>
              <w:autoSpaceDE w:val="0"/>
              <w:autoSpaceDN w:val="0"/>
              <w:adjustRightInd w:val="0"/>
              <w:snapToGrid w:val="0"/>
              <w:spacing w:before="110"/>
              <w:ind w:right="106"/>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5"/>
                <w:kern w:val="0"/>
                <w:sz w:val="24"/>
                <w:szCs w:val="24"/>
                <w:highlight w:val="none"/>
                <w:lang w:eastAsia="en-US"/>
              </w:rPr>
              <w:t>符合2分，基本符合1分，不符</w:t>
            </w:r>
            <w:r>
              <w:rPr>
                <w:rFonts w:ascii="仿宋" w:eastAsia="仿宋" w:hAnsi="仿宋" w:cs="仿宋" w:hint="eastAsia"/>
                <w:snapToGrid w:val="0"/>
                <w:color w:val="auto"/>
                <w:spacing w:val="-2"/>
                <w:kern w:val="0"/>
                <w:sz w:val="24"/>
                <w:szCs w:val="24"/>
                <w:highlight w:val="none"/>
                <w:lang w:eastAsia="en-US"/>
              </w:rPr>
              <w:t>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08"/>
              <w:ind w:left="111"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3、停车场有专人疏导，管理有序，排列</w:t>
            </w:r>
            <w:r>
              <w:rPr>
                <w:rFonts w:ascii="仿宋" w:eastAsia="仿宋" w:hAnsi="仿宋" w:cs="仿宋" w:hint="eastAsia"/>
                <w:snapToGrid w:val="0"/>
                <w:color w:val="auto"/>
                <w:spacing w:val="4"/>
                <w:kern w:val="0"/>
                <w:sz w:val="24"/>
                <w:szCs w:val="24"/>
                <w:highlight w:val="none"/>
                <w:lang w:eastAsia="en-US"/>
              </w:rPr>
              <w:t>整齐</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2</w:t>
            </w:r>
          </w:p>
        </w:tc>
        <w:tc>
          <w:tcPr>
            <w:tcW w:w="3498" w:type="dxa"/>
          </w:tcPr>
          <w:p>
            <w:pPr>
              <w:widowControl/>
              <w:wordWrap w:val="0"/>
              <w:autoSpaceDE w:val="0"/>
              <w:autoSpaceDN w:val="0"/>
              <w:adjustRightInd w:val="0"/>
              <w:snapToGrid w:val="0"/>
              <w:spacing w:before="108"/>
              <w:ind w:right="103"/>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5"/>
                <w:kern w:val="0"/>
                <w:sz w:val="24"/>
                <w:szCs w:val="24"/>
                <w:highlight w:val="none"/>
                <w:lang w:eastAsia="en-US"/>
              </w:rPr>
              <w:t>符合2分，基本符合0.5分，不</w:t>
            </w:r>
            <w:r>
              <w:rPr>
                <w:rFonts w:ascii="仿宋" w:eastAsia="仿宋" w:hAnsi="仿宋" w:cs="仿宋" w:hint="eastAsia"/>
                <w:snapToGrid w:val="0"/>
                <w:color w:val="auto"/>
                <w:kern w:val="0"/>
                <w:sz w:val="24"/>
                <w:szCs w:val="24"/>
                <w:highlight w:val="none"/>
                <w:lang w:eastAsia="en-US"/>
              </w:rPr>
              <w:t>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288"/>
              <w:ind w:left="110"/>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9"/>
                <w:kern w:val="0"/>
                <w:sz w:val="24"/>
                <w:szCs w:val="24"/>
                <w:highlight w:val="none"/>
                <w:lang w:eastAsia="en-US"/>
              </w:rPr>
              <w:t>4、室内停车场管理严格，出入有登记</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08"/>
              <w:ind w:right="154"/>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
                <w:kern w:val="0"/>
                <w:sz w:val="24"/>
                <w:szCs w:val="24"/>
                <w:highlight w:val="none"/>
                <w:lang w:eastAsia="en-US"/>
              </w:rPr>
              <w:t>符合1.0分，基本符合0.5分，</w:t>
            </w:r>
            <w:r>
              <w:rPr>
                <w:rFonts w:ascii="仿宋" w:eastAsia="仿宋" w:hAnsi="仿宋" w:cs="仿宋" w:hint="eastAsia"/>
                <w:snapToGrid w:val="0"/>
                <w:color w:val="auto"/>
                <w:spacing w:val="2"/>
                <w:kern w:val="0"/>
                <w:sz w:val="24"/>
                <w:szCs w:val="24"/>
                <w:highlight w:val="none"/>
                <w:lang w:eastAsia="en-US"/>
              </w:rPr>
              <w:t>不符合0分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08"/>
              <w:ind w:left="110"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5、非机动车辆有集中停放场地，管理制</w:t>
            </w:r>
            <w:r>
              <w:rPr>
                <w:rFonts w:ascii="仿宋" w:eastAsia="仿宋" w:hAnsi="仿宋" w:cs="仿宋" w:hint="eastAsia"/>
                <w:snapToGrid w:val="0"/>
                <w:color w:val="auto"/>
                <w:spacing w:val="8"/>
                <w:kern w:val="0"/>
                <w:sz w:val="24"/>
                <w:szCs w:val="24"/>
                <w:highlight w:val="none"/>
                <w:lang w:eastAsia="en-US"/>
              </w:rPr>
              <w:t>度落实，管理有序，停放整齐，场地整洁</w:t>
            </w:r>
          </w:p>
        </w:tc>
        <w:tc>
          <w:tcPr>
            <w:tcW w:w="690" w:type="dxa"/>
            <w:vAlign w:val="center"/>
          </w:tcPr>
          <w:p>
            <w:pPr>
              <w:widowControl/>
              <w:wordWrap w:val="0"/>
              <w:autoSpaceDE w:val="0"/>
              <w:autoSpaceDN w:val="0"/>
              <w:adjustRightInd w:val="0"/>
              <w:snapToGrid w:val="0"/>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08"/>
              <w:ind w:right="154"/>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
                <w:kern w:val="0"/>
                <w:sz w:val="24"/>
                <w:szCs w:val="24"/>
                <w:highlight w:val="none"/>
                <w:lang w:eastAsia="en-US"/>
              </w:rPr>
              <w:t>符合1.0分，基本符合0.5分，</w:t>
            </w:r>
            <w:r>
              <w:rPr>
                <w:rFonts w:ascii="仿宋" w:eastAsia="仿宋" w:hAnsi="仿宋" w:cs="仿宋" w:hint="eastAsia"/>
                <w:snapToGrid w:val="0"/>
                <w:color w:val="auto"/>
                <w:spacing w:val="2"/>
                <w:kern w:val="0"/>
                <w:sz w:val="24"/>
                <w:szCs w:val="24"/>
                <w:highlight w:val="none"/>
                <w:lang w:eastAsia="en-US"/>
              </w:rPr>
              <w:t>不符合0分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0"/>
              <w:ind w:left="110"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6、危及人身安全处设有明显标志和防范</w:t>
            </w:r>
            <w:r>
              <w:rPr>
                <w:rFonts w:ascii="仿宋" w:eastAsia="仿宋" w:hAnsi="仿宋" w:cs="仿宋" w:hint="eastAsia"/>
                <w:snapToGrid w:val="0"/>
                <w:color w:val="auto"/>
                <w:spacing w:val="4"/>
                <w:kern w:val="0"/>
                <w:sz w:val="24"/>
                <w:szCs w:val="24"/>
                <w:highlight w:val="none"/>
                <w:lang w:eastAsia="en-US"/>
              </w:rPr>
              <w:t>措施</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290"/>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2"/>
                <w:kern w:val="0"/>
                <w:sz w:val="24"/>
                <w:szCs w:val="24"/>
                <w:highlight w:val="none"/>
                <w:lang w:eastAsia="en-US"/>
              </w:rPr>
              <w:t>符合1.0分，不符合0分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526"/>
        </w:trPr>
        <w:tc>
          <w:tcPr>
            <w:tcW w:w="557" w:type="dxa"/>
            <w:vMerge w:val="restart"/>
            <w:vAlign w:val="center"/>
          </w:tcPr>
          <w:p>
            <w:pPr>
              <w:widowControl/>
              <w:wordWrap w:val="0"/>
              <w:autoSpaceDE w:val="0"/>
              <w:autoSpaceDN w:val="0"/>
              <w:adjustRightInd w:val="0"/>
              <w:snapToGrid w:val="0"/>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六</w:t>
            </w:r>
          </w:p>
        </w:tc>
        <w:tc>
          <w:tcPr>
            <w:tcW w:w="3663" w:type="dxa"/>
            <w:shd w:val="clear" w:color="auto" w:fill="D8D8D8" w:themeFill="background1" w:themeFillShade="D8"/>
          </w:tcPr>
          <w:p>
            <w:pPr>
              <w:widowControl/>
              <w:wordWrap w:val="0"/>
              <w:autoSpaceDE w:val="0"/>
              <w:autoSpaceDN w:val="0"/>
              <w:adjustRightInd w:val="0"/>
              <w:snapToGrid w:val="0"/>
              <w:spacing w:before="110"/>
              <w:ind w:left="110"/>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6"/>
                <w:kern w:val="0"/>
                <w:sz w:val="24"/>
                <w:szCs w:val="24"/>
                <w:highlight w:val="none"/>
                <w:lang w:eastAsia="en-US"/>
              </w:rPr>
              <w:t>环境卫生管理</w:t>
            </w:r>
          </w:p>
        </w:tc>
        <w:tc>
          <w:tcPr>
            <w:tcW w:w="690" w:type="dxa"/>
            <w:shd w:val="clear" w:color="auto" w:fill="D8D8D8" w:themeFill="background1" w:themeFillShade="D8"/>
            <w:vAlign w:val="center"/>
          </w:tcPr>
          <w:p>
            <w:pPr>
              <w:widowControl/>
              <w:wordWrap w:val="0"/>
              <w:autoSpaceDE w:val="0"/>
              <w:autoSpaceDN w:val="0"/>
              <w:adjustRightInd w:val="0"/>
              <w:snapToGrid w:val="0"/>
              <w:spacing w:before="142"/>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9"/>
                <w:kern w:val="0"/>
                <w:sz w:val="24"/>
                <w:szCs w:val="24"/>
                <w:highlight w:val="none"/>
                <w:lang w:eastAsia="en-US"/>
              </w:rPr>
              <w:t>12</w:t>
            </w:r>
          </w:p>
        </w:tc>
        <w:tc>
          <w:tcPr>
            <w:tcW w:w="3498" w:type="dxa"/>
            <w:shd w:val="clear" w:color="auto" w:fill="D8D8D8" w:themeFill="background1" w:themeFillShade="D8"/>
          </w:tcPr>
          <w:p>
            <w:pPr>
              <w:widowControl/>
              <w:wordWrap w:val="0"/>
              <w:autoSpaceDE w:val="0"/>
              <w:autoSpaceDN w:val="0"/>
              <w:adjustRightInd w:val="0"/>
              <w:snapToGrid w:val="0"/>
              <w:textAlignment w:val="baseline"/>
              <w:rPr>
                <w:rFonts w:ascii="仿宋" w:eastAsia="仿宋" w:hAnsi="仿宋" w:cs="仿宋"/>
                <w:snapToGrid w:val="0"/>
                <w:color w:val="auto"/>
                <w:kern w:val="0"/>
                <w:sz w:val="24"/>
                <w:szCs w:val="24"/>
                <w:highlight w:val="none"/>
                <w:lang w:eastAsia="en-US"/>
              </w:rPr>
            </w:pPr>
          </w:p>
        </w:tc>
        <w:tc>
          <w:tcPr>
            <w:tcW w:w="636" w:type="dxa"/>
            <w:shd w:val="clear" w:color="auto" w:fill="D8D8D8" w:themeFill="background1" w:themeFillShade="D8"/>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0"/>
              <w:ind w:left="112" w:right="37"/>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5"/>
                <w:kern w:val="0"/>
                <w:sz w:val="24"/>
                <w:szCs w:val="24"/>
                <w:highlight w:val="none"/>
                <w:lang w:eastAsia="en-US"/>
              </w:rPr>
              <w:t>1、环卫设施完备，设有垃圾箱、果皮箱、</w:t>
            </w:r>
            <w:r>
              <w:rPr>
                <w:rFonts w:ascii="仿宋" w:eastAsia="仿宋" w:hAnsi="仿宋" w:cs="仿宋" w:hint="eastAsia"/>
                <w:snapToGrid w:val="0"/>
                <w:color w:val="auto"/>
                <w:spacing w:val="7"/>
                <w:kern w:val="0"/>
                <w:sz w:val="24"/>
                <w:szCs w:val="24"/>
                <w:highlight w:val="none"/>
                <w:lang w:eastAsia="en-US"/>
              </w:rPr>
              <w:t>垃圾中转站</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0"/>
              <w:ind w:right="103"/>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7"/>
                <w:kern w:val="0"/>
                <w:sz w:val="24"/>
                <w:szCs w:val="24"/>
                <w:highlight w:val="none"/>
                <w:lang w:eastAsia="en-US"/>
              </w:rPr>
              <w:t>符合1.0分，每发现一处不符合</w:t>
            </w:r>
            <w:r>
              <w:rPr>
                <w:rFonts w:ascii="仿宋" w:eastAsia="仿宋" w:hAnsi="仿宋" w:cs="仿宋" w:hint="eastAsia"/>
                <w:snapToGrid w:val="0"/>
                <w:color w:val="auto"/>
                <w:kern w:val="0"/>
                <w:sz w:val="24"/>
                <w:szCs w:val="24"/>
                <w:highlight w:val="none"/>
                <w:lang w:eastAsia="en-US"/>
              </w:rPr>
              <w:t>扣0.2分</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08"/>
              <w:ind w:left="111"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2、清洁卫生实行责任制，有专职的清洁</w:t>
            </w:r>
            <w:r>
              <w:rPr>
                <w:rFonts w:ascii="仿宋" w:eastAsia="仿宋" w:hAnsi="仿宋" w:cs="仿宋" w:hint="eastAsia"/>
                <w:snapToGrid w:val="0"/>
                <w:color w:val="auto"/>
                <w:spacing w:val="8"/>
                <w:kern w:val="0"/>
                <w:sz w:val="24"/>
                <w:szCs w:val="24"/>
                <w:highlight w:val="none"/>
                <w:lang w:eastAsia="en-US"/>
              </w:rPr>
              <w:t>人员和明确的责任范围，实行标准化清洁</w:t>
            </w:r>
            <w:r>
              <w:rPr>
                <w:rFonts w:ascii="仿宋" w:eastAsia="仿宋" w:hAnsi="仿宋" w:cs="仿宋" w:hint="eastAsia"/>
                <w:snapToGrid w:val="0"/>
                <w:color w:val="auto"/>
                <w:spacing w:val="4"/>
                <w:kern w:val="0"/>
                <w:sz w:val="24"/>
                <w:szCs w:val="24"/>
                <w:highlight w:val="none"/>
                <w:lang w:eastAsia="en-US"/>
              </w:rPr>
              <w:t>保洁</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2</w:t>
            </w:r>
          </w:p>
        </w:tc>
        <w:tc>
          <w:tcPr>
            <w:tcW w:w="3498" w:type="dxa"/>
          </w:tcPr>
          <w:p>
            <w:pPr>
              <w:widowControl/>
              <w:wordWrap w:val="0"/>
              <w:autoSpaceDE w:val="0"/>
              <w:autoSpaceDN w:val="0"/>
              <w:adjustRightInd w:val="0"/>
              <w:snapToGrid w:val="0"/>
              <w:spacing w:before="108"/>
              <w:ind w:right="106"/>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1"/>
                <w:kern w:val="0"/>
                <w:sz w:val="24"/>
                <w:szCs w:val="24"/>
                <w:highlight w:val="none"/>
                <w:lang w:eastAsia="en-US"/>
              </w:rPr>
              <w:t>未实行责任制的扣0.5，无专职</w:t>
            </w:r>
            <w:r>
              <w:rPr>
                <w:rFonts w:ascii="仿宋" w:eastAsia="仿宋" w:hAnsi="仿宋" w:cs="仿宋" w:hint="eastAsia"/>
                <w:snapToGrid w:val="0"/>
                <w:color w:val="auto"/>
                <w:spacing w:val="5"/>
                <w:kern w:val="0"/>
                <w:sz w:val="24"/>
                <w:szCs w:val="24"/>
                <w:highlight w:val="none"/>
                <w:lang w:eastAsia="en-US"/>
              </w:rPr>
              <w:t>清洁人员和责任范围的扣0.3，</w:t>
            </w:r>
            <w:r>
              <w:rPr>
                <w:rFonts w:ascii="仿宋" w:eastAsia="仿宋" w:hAnsi="仿宋" w:cs="仿宋" w:hint="eastAsia"/>
                <w:snapToGrid w:val="0"/>
                <w:color w:val="auto"/>
                <w:spacing w:val="7"/>
                <w:kern w:val="0"/>
                <w:sz w:val="24"/>
                <w:szCs w:val="24"/>
                <w:highlight w:val="none"/>
                <w:lang w:eastAsia="en-US"/>
              </w:rPr>
              <w:t>未实行标准化保洁的扣0.2</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66"/>
              <w:ind w:left="11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8"/>
                <w:kern w:val="0"/>
                <w:sz w:val="24"/>
                <w:szCs w:val="24"/>
                <w:highlight w:val="none"/>
                <w:lang w:eastAsia="en-US"/>
              </w:rPr>
              <w:t>3、垃圾日产日清，定期进行卫生灭杀</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2</w:t>
            </w:r>
          </w:p>
        </w:tc>
        <w:tc>
          <w:tcPr>
            <w:tcW w:w="3498" w:type="dxa"/>
          </w:tcPr>
          <w:p>
            <w:pPr>
              <w:widowControl/>
              <w:wordWrap w:val="0"/>
              <w:autoSpaceDE w:val="0"/>
              <w:autoSpaceDN w:val="0"/>
              <w:adjustRightInd w:val="0"/>
              <w:snapToGrid w:val="0"/>
              <w:spacing w:before="108"/>
              <w:ind w:right="103"/>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1"/>
                <w:kern w:val="0"/>
                <w:sz w:val="24"/>
                <w:szCs w:val="24"/>
                <w:highlight w:val="none"/>
                <w:lang w:eastAsia="en-US"/>
              </w:rPr>
              <w:t>每发现一处垃圾扣0.1，未达到</w:t>
            </w:r>
            <w:r>
              <w:rPr>
                <w:rFonts w:ascii="仿宋" w:eastAsia="仿宋" w:hAnsi="仿宋" w:cs="仿宋" w:hint="eastAsia"/>
                <w:snapToGrid w:val="0"/>
                <w:color w:val="auto"/>
                <w:spacing w:val="3"/>
                <w:kern w:val="0"/>
                <w:sz w:val="24"/>
                <w:szCs w:val="24"/>
                <w:highlight w:val="none"/>
                <w:lang w:eastAsia="en-US"/>
              </w:rPr>
              <w:t>垃圾日产日清的扣0.3，未定期</w:t>
            </w:r>
            <w:r>
              <w:rPr>
                <w:rFonts w:ascii="仿宋" w:eastAsia="仿宋" w:hAnsi="仿宋" w:cs="仿宋" w:hint="eastAsia"/>
                <w:snapToGrid w:val="0"/>
                <w:color w:val="auto"/>
                <w:spacing w:val="7"/>
                <w:kern w:val="0"/>
                <w:sz w:val="24"/>
                <w:szCs w:val="24"/>
                <w:highlight w:val="none"/>
                <w:lang w:eastAsia="en-US"/>
              </w:rPr>
              <w:t>进行卫生消毒灭杀扣0.3</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0"/>
              <w:ind w:left="110"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4、对有毒、有害垃圾管理严格按规定分</w:t>
            </w:r>
            <w:r>
              <w:rPr>
                <w:rFonts w:ascii="仿宋" w:eastAsia="仿宋" w:hAnsi="仿宋" w:cs="仿宋" w:hint="eastAsia"/>
                <w:snapToGrid w:val="0"/>
                <w:color w:val="auto"/>
                <w:spacing w:val="9"/>
                <w:kern w:val="0"/>
                <w:sz w:val="24"/>
                <w:szCs w:val="24"/>
                <w:highlight w:val="none"/>
                <w:lang w:eastAsia="en-US"/>
              </w:rPr>
              <w:t>装，不得与其他垃圾混杂</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290"/>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3"/>
                <w:kern w:val="0"/>
                <w:sz w:val="24"/>
                <w:szCs w:val="24"/>
                <w:highlight w:val="none"/>
                <w:lang w:eastAsia="en-US"/>
              </w:rPr>
              <w:t>符合1.0，不符合0</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left="110"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5、房屋共用部位保持清洁，无乱贴、乱</w:t>
            </w:r>
            <w:r>
              <w:rPr>
                <w:rFonts w:ascii="仿宋" w:eastAsia="仿宋" w:hAnsi="仿宋" w:cs="仿宋" w:hint="eastAsia"/>
                <w:snapToGrid w:val="0"/>
                <w:color w:val="auto"/>
                <w:spacing w:val="8"/>
                <w:kern w:val="0"/>
                <w:sz w:val="24"/>
                <w:szCs w:val="24"/>
                <w:highlight w:val="none"/>
                <w:lang w:eastAsia="en-US"/>
              </w:rPr>
              <w:t>画，无擅自占用和堆放杂物现象；楼梯扶栏、天台、共用玻璃窗等保持洁净；共用</w:t>
            </w:r>
            <w:r>
              <w:rPr>
                <w:rFonts w:ascii="仿宋" w:eastAsia="仿宋" w:hAnsi="仿宋" w:cs="仿宋" w:hint="eastAsia"/>
                <w:snapToGrid w:val="0"/>
                <w:color w:val="auto"/>
                <w:spacing w:val="9"/>
                <w:kern w:val="0"/>
                <w:sz w:val="24"/>
                <w:szCs w:val="24"/>
                <w:highlight w:val="none"/>
                <w:lang w:eastAsia="en-US"/>
              </w:rPr>
              <w:t>场地无纸屑、烟头、积水等废弃物</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3</w:t>
            </w:r>
          </w:p>
        </w:tc>
        <w:tc>
          <w:tcPr>
            <w:tcW w:w="3498" w:type="dxa"/>
          </w:tcPr>
          <w:p>
            <w:pPr>
              <w:widowControl/>
              <w:wordWrap w:val="0"/>
              <w:autoSpaceDE w:val="0"/>
              <w:autoSpaceDN w:val="0"/>
              <w:adjustRightInd w:val="0"/>
              <w:snapToGrid w:val="0"/>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spacing w:before="65"/>
              <w:ind w:right="106"/>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1"/>
                <w:kern w:val="0"/>
                <w:sz w:val="24"/>
                <w:szCs w:val="24"/>
                <w:highlight w:val="none"/>
                <w:lang w:eastAsia="en-US"/>
              </w:rPr>
              <w:t>符合3.0，每发现一处不符合扣</w:t>
            </w:r>
            <w:r>
              <w:rPr>
                <w:rFonts w:ascii="仿宋" w:eastAsia="仿宋" w:hAnsi="仿宋" w:cs="仿宋" w:hint="eastAsia"/>
                <w:snapToGrid w:val="0"/>
                <w:color w:val="auto"/>
                <w:spacing w:val="1"/>
                <w:kern w:val="0"/>
                <w:sz w:val="24"/>
                <w:szCs w:val="24"/>
                <w:highlight w:val="none"/>
                <w:lang w:eastAsia="en-US"/>
              </w:rPr>
              <w:t>0.2</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99"/>
              <w:ind w:left="11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8"/>
                <w:kern w:val="0"/>
                <w:sz w:val="24"/>
                <w:szCs w:val="24"/>
                <w:highlight w:val="none"/>
                <w:lang w:eastAsia="en-US"/>
              </w:rPr>
              <w:t>7、无宠物、家禽、家畜进入办公区</w:t>
            </w:r>
          </w:p>
        </w:tc>
        <w:tc>
          <w:tcPr>
            <w:tcW w:w="690" w:type="dxa"/>
            <w:vAlign w:val="center"/>
          </w:tcPr>
          <w:p>
            <w:pPr>
              <w:widowControl/>
              <w:wordWrap w:val="0"/>
              <w:autoSpaceDE w:val="0"/>
              <w:autoSpaceDN w:val="0"/>
              <w:adjustRightInd w:val="0"/>
              <w:snapToGrid w:val="0"/>
              <w:spacing w:before="232"/>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99"/>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3"/>
                <w:kern w:val="0"/>
                <w:sz w:val="24"/>
                <w:szCs w:val="24"/>
                <w:highlight w:val="none"/>
                <w:lang w:eastAsia="en-US"/>
              </w:rPr>
              <w:t>符合1.0，不符合0</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left="110"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8、区内废水、废气、废烟、噪音等符合</w:t>
            </w:r>
            <w:r>
              <w:rPr>
                <w:rFonts w:ascii="仿宋" w:eastAsia="仿宋" w:hAnsi="仿宋" w:cs="仿宋" w:hint="eastAsia"/>
                <w:snapToGrid w:val="0"/>
                <w:color w:val="auto"/>
                <w:spacing w:val="12"/>
                <w:kern w:val="0"/>
                <w:sz w:val="24"/>
                <w:szCs w:val="24"/>
                <w:highlight w:val="none"/>
                <w:lang w:eastAsia="en-US"/>
              </w:rPr>
              <w:t>国家环保标准，无有毒、有害物质；贮</w:t>
            </w:r>
            <w:r>
              <w:rPr>
                <w:rFonts w:ascii="仿宋" w:eastAsia="仿宋" w:hAnsi="仿宋" w:cs="仿宋" w:hint="eastAsia"/>
                <w:snapToGrid w:val="0"/>
                <w:color w:val="auto"/>
                <w:spacing w:val="8"/>
                <w:kern w:val="0"/>
                <w:sz w:val="24"/>
                <w:szCs w:val="24"/>
                <w:highlight w:val="none"/>
                <w:lang w:eastAsia="en-US"/>
              </w:rPr>
              <w:t>放、清运管理有序；房屋外墙无污染；各</w:t>
            </w:r>
            <w:r>
              <w:rPr>
                <w:rFonts w:ascii="仿宋" w:eastAsia="仿宋" w:hAnsi="仿宋" w:cs="仿宋" w:hint="eastAsia"/>
                <w:snapToGrid w:val="0"/>
                <w:color w:val="auto"/>
                <w:spacing w:val="9"/>
                <w:kern w:val="0"/>
                <w:sz w:val="24"/>
                <w:szCs w:val="24"/>
                <w:highlight w:val="none"/>
                <w:lang w:eastAsia="en-US"/>
              </w:rPr>
              <w:t>类排气口安装统一有序，无安全隐患</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2</w:t>
            </w:r>
          </w:p>
        </w:tc>
        <w:tc>
          <w:tcPr>
            <w:tcW w:w="3498" w:type="dxa"/>
          </w:tcPr>
          <w:p>
            <w:pPr>
              <w:widowControl/>
              <w:wordWrap w:val="0"/>
              <w:autoSpaceDE w:val="0"/>
              <w:autoSpaceDN w:val="0"/>
              <w:adjustRightInd w:val="0"/>
              <w:snapToGrid w:val="0"/>
              <w:spacing w:before="291"/>
              <w:ind w:right="106"/>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1"/>
                <w:kern w:val="0"/>
                <w:sz w:val="24"/>
                <w:szCs w:val="24"/>
                <w:highlight w:val="none"/>
                <w:lang w:eastAsia="en-US"/>
              </w:rPr>
              <w:t>符合2.0，发现一次环保部门下</w:t>
            </w:r>
            <w:r>
              <w:rPr>
                <w:rFonts w:ascii="仿宋" w:eastAsia="仿宋" w:hAnsi="仿宋" w:cs="仿宋" w:hint="eastAsia"/>
                <w:snapToGrid w:val="0"/>
                <w:color w:val="auto"/>
                <w:spacing w:val="9"/>
                <w:kern w:val="0"/>
                <w:sz w:val="24"/>
                <w:szCs w:val="24"/>
                <w:highlight w:val="none"/>
                <w:lang w:eastAsia="en-US"/>
              </w:rPr>
              <w:t>放整改通知扣0.5，其他每发现</w:t>
            </w:r>
            <w:r>
              <w:rPr>
                <w:rFonts w:ascii="仿宋" w:eastAsia="仿宋" w:hAnsi="仿宋" w:cs="仿宋" w:hint="eastAsia"/>
                <w:snapToGrid w:val="0"/>
                <w:color w:val="auto"/>
                <w:spacing w:val="6"/>
                <w:kern w:val="0"/>
                <w:sz w:val="24"/>
                <w:szCs w:val="24"/>
                <w:highlight w:val="none"/>
                <w:lang w:eastAsia="en-US"/>
              </w:rPr>
              <w:t>一处不符合扣0.2</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606"/>
        </w:trPr>
        <w:tc>
          <w:tcPr>
            <w:tcW w:w="557" w:type="dxa"/>
            <w:vMerge w:val="restart"/>
            <w:vAlign w:val="center"/>
          </w:tcPr>
          <w:p>
            <w:pPr>
              <w:widowControl/>
              <w:wordWrap w:val="0"/>
              <w:autoSpaceDE w:val="0"/>
              <w:autoSpaceDN w:val="0"/>
              <w:adjustRightInd w:val="0"/>
              <w:snapToGrid w:val="0"/>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七</w:t>
            </w:r>
          </w:p>
        </w:tc>
        <w:tc>
          <w:tcPr>
            <w:tcW w:w="3663" w:type="dxa"/>
            <w:shd w:val="clear" w:color="auto" w:fill="D8D8D8" w:themeFill="background1" w:themeFillShade="D8"/>
          </w:tcPr>
          <w:p>
            <w:pPr>
              <w:widowControl/>
              <w:wordWrap w:val="0"/>
              <w:autoSpaceDE w:val="0"/>
              <w:autoSpaceDN w:val="0"/>
              <w:adjustRightInd w:val="0"/>
              <w:snapToGrid w:val="0"/>
              <w:spacing w:before="113"/>
              <w:ind w:left="112"/>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6"/>
                <w:kern w:val="0"/>
                <w:sz w:val="24"/>
                <w:szCs w:val="24"/>
                <w:highlight w:val="none"/>
                <w:lang w:eastAsia="en-US"/>
              </w:rPr>
              <w:t>绿化管理</w:t>
            </w:r>
          </w:p>
        </w:tc>
        <w:tc>
          <w:tcPr>
            <w:tcW w:w="690" w:type="dxa"/>
            <w:shd w:val="clear" w:color="auto" w:fill="D8D8D8" w:themeFill="background1" w:themeFillShade="D8"/>
            <w:vAlign w:val="center"/>
          </w:tcPr>
          <w:p>
            <w:pPr>
              <w:widowControl/>
              <w:wordWrap w:val="0"/>
              <w:autoSpaceDE w:val="0"/>
              <w:autoSpaceDN w:val="0"/>
              <w:adjustRightInd w:val="0"/>
              <w:snapToGrid w:val="0"/>
              <w:spacing w:before="148"/>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3"/>
                <w:kern w:val="0"/>
                <w:sz w:val="24"/>
                <w:szCs w:val="24"/>
                <w:highlight w:val="none"/>
                <w:lang w:eastAsia="en-US"/>
              </w:rPr>
              <w:t>5</w:t>
            </w:r>
          </w:p>
        </w:tc>
        <w:tc>
          <w:tcPr>
            <w:tcW w:w="3498" w:type="dxa"/>
            <w:shd w:val="clear" w:color="auto" w:fill="D8D8D8" w:themeFill="background1" w:themeFillShade="D8"/>
          </w:tcPr>
          <w:p>
            <w:pPr>
              <w:widowControl/>
              <w:wordWrap w:val="0"/>
              <w:autoSpaceDE w:val="0"/>
              <w:autoSpaceDN w:val="0"/>
              <w:adjustRightInd w:val="0"/>
              <w:snapToGrid w:val="0"/>
              <w:textAlignment w:val="baseline"/>
              <w:rPr>
                <w:rFonts w:ascii="仿宋" w:eastAsia="仿宋" w:hAnsi="仿宋" w:cs="仿宋"/>
                <w:snapToGrid w:val="0"/>
                <w:color w:val="auto"/>
                <w:kern w:val="0"/>
                <w:sz w:val="24"/>
                <w:szCs w:val="24"/>
                <w:highlight w:val="none"/>
                <w:lang w:eastAsia="en-US"/>
              </w:rPr>
            </w:pPr>
          </w:p>
        </w:tc>
        <w:tc>
          <w:tcPr>
            <w:tcW w:w="636" w:type="dxa"/>
            <w:shd w:val="clear" w:color="auto" w:fill="D8D8D8" w:themeFill="background1" w:themeFillShade="D8"/>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left="144" w:right="140"/>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0"/>
                <w:kern w:val="0"/>
                <w:sz w:val="24"/>
                <w:szCs w:val="24"/>
                <w:highlight w:val="none"/>
                <w:lang w:eastAsia="en-US"/>
              </w:rPr>
              <w:t>1、绿地无改变使用用途和破坏、践踏、</w:t>
            </w:r>
            <w:r>
              <w:rPr>
                <w:rFonts w:ascii="仿宋" w:eastAsia="仿宋" w:hAnsi="仿宋" w:cs="仿宋" w:hint="eastAsia"/>
                <w:snapToGrid w:val="0"/>
                <w:color w:val="auto"/>
                <w:spacing w:val="-2"/>
                <w:kern w:val="0"/>
                <w:sz w:val="24"/>
                <w:szCs w:val="24"/>
                <w:highlight w:val="none"/>
                <w:lang w:eastAsia="en-US"/>
              </w:rPr>
              <w:t>占用现象</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2"/>
              <w:ind w:right="103"/>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符合1.0，基本符合0.5，不符合0</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left="112" w:right="156"/>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0"/>
                <w:kern w:val="0"/>
                <w:sz w:val="24"/>
                <w:szCs w:val="24"/>
                <w:highlight w:val="none"/>
                <w:lang w:eastAsia="en-US"/>
              </w:rPr>
              <w:t>2、花草树木长势良好，修剪整齐美观，</w:t>
            </w:r>
            <w:r>
              <w:rPr>
                <w:rFonts w:ascii="仿宋" w:eastAsia="仿宋" w:hAnsi="仿宋" w:cs="仿宋" w:hint="eastAsia"/>
                <w:snapToGrid w:val="0"/>
                <w:color w:val="auto"/>
                <w:spacing w:val="9"/>
                <w:kern w:val="0"/>
                <w:sz w:val="24"/>
                <w:szCs w:val="24"/>
                <w:highlight w:val="none"/>
                <w:lang w:eastAsia="en-US"/>
              </w:rPr>
              <w:t>无病虫害，无折损现象，无斑秃</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2"/>
              <w:ind w:right="106"/>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1"/>
                <w:kern w:val="0"/>
                <w:sz w:val="24"/>
                <w:szCs w:val="24"/>
                <w:highlight w:val="none"/>
                <w:lang w:eastAsia="en-US"/>
              </w:rPr>
              <w:t>长势不好扣1.0，其它每发现一</w:t>
            </w:r>
            <w:r>
              <w:rPr>
                <w:rFonts w:ascii="仿宋" w:eastAsia="仿宋" w:hAnsi="仿宋" w:cs="仿宋" w:hint="eastAsia"/>
                <w:snapToGrid w:val="0"/>
                <w:color w:val="auto"/>
                <w:spacing w:val="5"/>
                <w:kern w:val="0"/>
                <w:sz w:val="24"/>
                <w:szCs w:val="24"/>
                <w:highlight w:val="none"/>
                <w:lang w:eastAsia="en-US"/>
              </w:rPr>
              <w:t>处不符合扣0.1</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293"/>
              <w:ind w:left="11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8"/>
                <w:kern w:val="0"/>
                <w:sz w:val="24"/>
                <w:szCs w:val="24"/>
                <w:highlight w:val="none"/>
                <w:lang w:eastAsia="en-US"/>
              </w:rPr>
              <w:t>3、绿地无纸屑、烟头、石块等杂物</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1</w:t>
            </w:r>
          </w:p>
        </w:tc>
        <w:tc>
          <w:tcPr>
            <w:tcW w:w="3498" w:type="dxa"/>
          </w:tcPr>
          <w:p>
            <w:pPr>
              <w:widowControl/>
              <w:wordWrap w:val="0"/>
              <w:autoSpaceDE w:val="0"/>
              <w:autoSpaceDN w:val="0"/>
              <w:adjustRightInd w:val="0"/>
              <w:snapToGrid w:val="0"/>
              <w:spacing w:before="114"/>
              <w:ind w:right="106"/>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1"/>
                <w:kern w:val="0"/>
                <w:sz w:val="24"/>
                <w:szCs w:val="24"/>
                <w:highlight w:val="none"/>
                <w:lang w:eastAsia="en-US"/>
              </w:rPr>
              <w:t>符合1.0，每发现一处不符合扣</w:t>
            </w:r>
            <w:r>
              <w:rPr>
                <w:rFonts w:ascii="仿宋" w:eastAsia="仿宋" w:hAnsi="仿宋" w:cs="仿宋" w:hint="eastAsia"/>
                <w:snapToGrid w:val="0"/>
                <w:color w:val="auto"/>
                <w:spacing w:val="1"/>
                <w:kern w:val="0"/>
                <w:sz w:val="24"/>
                <w:szCs w:val="24"/>
                <w:highlight w:val="none"/>
                <w:lang w:eastAsia="en-US"/>
              </w:rPr>
              <w:t>0.2</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09"/>
              <w:ind w:left="110" w:right="53"/>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5"/>
                <w:kern w:val="0"/>
                <w:sz w:val="24"/>
                <w:szCs w:val="24"/>
                <w:highlight w:val="none"/>
                <w:lang w:eastAsia="en-US"/>
              </w:rPr>
              <w:t>4、根据季节、花期变化进行修剪、施肥，</w:t>
            </w:r>
            <w:r>
              <w:rPr>
                <w:rFonts w:ascii="仿宋" w:eastAsia="仿宋" w:hAnsi="仿宋" w:cs="仿宋" w:hint="eastAsia"/>
                <w:snapToGrid w:val="0"/>
                <w:color w:val="auto"/>
                <w:spacing w:val="7"/>
                <w:kern w:val="0"/>
                <w:sz w:val="24"/>
                <w:szCs w:val="24"/>
                <w:highlight w:val="none"/>
                <w:lang w:eastAsia="en-US"/>
              </w:rPr>
              <w:t>确保园林美观。</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2</w:t>
            </w:r>
          </w:p>
        </w:tc>
        <w:tc>
          <w:tcPr>
            <w:tcW w:w="3498" w:type="dxa"/>
          </w:tcPr>
          <w:p>
            <w:pPr>
              <w:widowControl/>
              <w:wordWrap w:val="0"/>
              <w:autoSpaceDE w:val="0"/>
              <w:autoSpaceDN w:val="0"/>
              <w:adjustRightInd w:val="0"/>
              <w:snapToGrid w:val="0"/>
              <w:spacing w:before="109"/>
              <w:ind w:right="103"/>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符合2.0，基本符合1.0，不符合0</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606"/>
        </w:trPr>
        <w:tc>
          <w:tcPr>
            <w:tcW w:w="557" w:type="dxa"/>
            <w:vMerge w:val="restart"/>
            <w:vAlign w:val="center"/>
          </w:tcPr>
          <w:p>
            <w:pPr>
              <w:widowControl/>
              <w:wordWrap w:val="0"/>
              <w:autoSpaceDE w:val="0"/>
              <w:autoSpaceDN w:val="0"/>
              <w:adjustRightInd w:val="0"/>
              <w:snapToGrid w:val="0"/>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kern w:val="0"/>
                <w:sz w:val="24"/>
                <w:szCs w:val="24"/>
                <w:highlight w:val="none"/>
                <w:lang w:eastAsia="en-US"/>
              </w:rPr>
              <w:t>八</w:t>
            </w:r>
          </w:p>
        </w:tc>
        <w:tc>
          <w:tcPr>
            <w:tcW w:w="3663" w:type="dxa"/>
            <w:shd w:val="clear" w:color="auto" w:fill="D8D8D8" w:themeFill="background1" w:themeFillShade="D8"/>
          </w:tcPr>
          <w:p>
            <w:pPr>
              <w:widowControl/>
              <w:wordWrap w:val="0"/>
              <w:autoSpaceDE w:val="0"/>
              <w:autoSpaceDN w:val="0"/>
              <w:adjustRightInd w:val="0"/>
              <w:snapToGrid w:val="0"/>
              <w:spacing w:before="110"/>
              <w:ind w:left="110"/>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6"/>
                <w:kern w:val="0"/>
                <w:sz w:val="24"/>
                <w:szCs w:val="24"/>
                <w:highlight w:val="none"/>
                <w:lang w:eastAsia="en-US"/>
              </w:rPr>
              <w:t>精神文明建设</w:t>
            </w:r>
          </w:p>
        </w:tc>
        <w:tc>
          <w:tcPr>
            <w:tcW w:w="690" w:type="dxa"/>
            <w:shd w:val="clear" w:color="auto" w:fill="D8D8D8" w:themeFill="background1" w:themeFillShade="D8"/>
            <w:vAlign w:val="center"/>
          </w:tcPr>
          <w:p>
            <w:pPr>
              <w:widowControl/>
              <w:wordWrap w:val="0"/>
              <w:autoSpaceDE w:val="0"/>
              <w:autoSpaceDN w:val="0"/>
              <w:adjustRightInd w:val="0"/>
              <w:snapToGrid w:val="0"/>
              <w:spacing w:before="143"/>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3"/>
                <w:kern w:val="0"/>
                <w:sz w:val="24"/>
                <w:szCs w:val="24"/>
                <w:highlight w:val="none"/>
                <w:lang w:eastAsia="en-US"/>
              </w:rPr>
              <w:t>3</w:t>
            </w:r>
          </w:p>
        </w:tc>
        <w:tc>
          <w:tcPr>
            <w:tcW w:w="3498" w:type="dxa"/>
            <w:shd w:val="clear" w:color="auto" w:fill="D8D8D8" w:themeFill="background1" w:themeFillShade="D8"/>
          </w:tcPr>
          <w:p>
            <w:pPr>
              <w:widowControl/>
              <w:wordWrap w:val="0"/>
              <w:autoSpaceDE w:val="0"/>
              <w:autoSpaceDN w:val="0"/>
              <w:adjustRightInd w:val="0"/>
              <w:snapToGrid w:val="0"/>
              <w:textAlignment w:val="baseline"/>
              <w:rPr>
                <w:rFonts w:ascii="仿宋" w:eastAsia="仿宋" w:hAnsi="仿宋" w:cs="仿宋"/>
                <w:snapToGrid w:val="0"/>
                <w:color w:val="auto"/>
                <w:kern w:val="0"/>
                <w:sz w:val="24"/>
                <w:szCs w:val="24"/>
                <w:highlight w:val="none"/>
                <w:lang w:eastAsia="en-US"/>
              </w:rPr>
            </w:pPr>
          </w:p>
        </w:tc>
        <w:tc>
          <w:tcPr>
            <w:tcW w:w="636" w:type="dxa"/>
            <w:shd w:val="clear" w:color="auto" w:fill="D8D8D8" w:themeFill="background1" w:themeFillShade="D8"/>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1"/>
              <w:ind w:left="114" w:right="156"/>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9"/>
                <w:kern w:val="0"/>
                <w:sz w:val="24"/>
                <w:szCs w:val="24"/>
                <w:highlight w:val="none"/>
                <w:lang w:eastAsia="en-US"/>
              </w:rPr>
              <w:t>1、物业服务人员能自觉维护公众利益，</w:t>
            </w:r>
            <w:r>
              <w:rPr>
                <w:rFonts w:ascii="仿宋" w:eastAsia="仿宋" w:hAnsi="仿宋" w:cs="仿宋" w:hint="eastAsia"/>
                <w:snapToGrid w:val="0"/>
                <w:color w:val="auto"/>
                <w:spacing w:val="8"/>
                <w:kern w:val="0"/>
                <w:sz w:val="24"/>
                <w:szCs w:val="24"/>
                <w:highlight w:val="none"/>
                <w:lang w:eastAsia="en-US"/>
              </w:rPr>
              <w:t>维护大楼的各项管理规定</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3"/>
                <w:kern w:val="0"/>
                <w:sz w:val="24"/>
                <w:szCs w:val="24"/>
                <w:highlight w:val="none"/>
                <w:lang w:eastAsia="en-US"/>
              </w:rPr>
              <w:t>1.5</w:t>
            </w:r>
          </w:p>
        </w:tc>
        <w:tc>
          <w:tcPr>
            <w:tcW w:w="3498" w:type="dxa"/>
          </w:tcPr>
          <w:p>
            <w:pPr>
              <w:widowControl/>
              <w:wordWrap w:val="0"/>
              <w:autoSpaceDE w:val="0"/>
              <w:autoSpaceDN w:val="0"/>
              <w:adjustRightInd w:val="0"/>
              <w:snapToGrid w:val="0"/>
              <w:spacing w:before="290"/>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2"/>
                <w:kern w:val="0"/>
                <w:sz w:val="24"/>
                <w:szCs w:val="24"/>
                <w:highlight w:val="none"/>
                <w:lang w:eastAsia="en-US"/>
              </w:rPr>
              <w:t>符合1.5，基本符合1，不符合0</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727"/>
        </w:trPr>
        <w:tc>
          <w:tcPr>
            <w:tcW w:w="557" w:type="dxa"/>
            <w:vMerge/>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112"/>
              <w:ind w:left="112" w:right="105"/>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13"/>
                <w:kern w:val="0"/>
                <w:sz w:val="24"/>
                <w:szCs w:val="24"/>
                <w:highlight w:val="none"/>
                <w:lang w:eastAsia="en-US"/>
              </w:rPr>
              <w:t>2、设有学习宣传园地，宣传大楼管理、</w:t>
            </w:r>
            <w:r>
              <w:rPr>
                <w:rFonts w:ascii="仿宋" w:eastAsia="仿宋" w:hAnsi="仿宋" w:cs="仿宋" w:hint="eastAsia"/>
                <w:snapToGrid w:val="0"/>
                <w:color w:val="auto"/>
                <w:spacing w:val="7"/>
                <w:kern w:val="0"/>
                <w:sz w:val="24"/>
                <w:szCs w:val="24"/>
                <w:highlight w:val="none"/>
                <w:lang w:eastAsia="en-US"/>
              </w:rPr>
              <w:t>卫生、治安、消防等方面的知识，开展积</w:t>
            </w:r>
            <w:r>
              <w:rPr>
                <w:rFonts w:ascii="仿宋" w:eastAsia="仿宋" w:hAnsi="仿宋" w:cs="仿宋" w:hint="eastAsia"/>
                <w:snapToGrid w:val="0"/>
                <w:color w:val="auto"/>
                <w:spacing w:val="8"/>
                <w:kern w:val="0"/>
                <w:sz w:val="24"/>
                <w:szCs w:val="24"/>
                <w:highlight w:val="none"/>
                <w:lang w:eastAsia="en-US"/>
              </w:rPr>
              <w:t>极健康向上的活动</w:t>
            </w:r>
          </w:p>
        </w:tc>
        <w:tc>
          <w:tcPr>
            <w:tcW w:w="690" w:type="dxa"/>
            <w:vAlign w:val="center"/>
          </w:tcPr>
          <w:p>
            <w:pPr>
              <w:widowControl/>
              <w:wordWrap w:val="0"/>
              <w:autoSpaceDE w:val="0"/>
              <w:autoSpaceDN w:val="0"/>
              <w:adjustRightInd w:val="0"/>
              <w:snapToGrid w:val="0"/>
              <w:spacing w:before="65"/>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3"/>
                <w:kern w:val="0"/>
                <w:sz w:val="24"/>
                <w:szCs w:val="24"/>
                <w:highlight w:val="none"/>
                <w:lang w:eastAsia="en-US"/>
              </w:rPr>
              <w:t>1.5</w:t>
            </w:r>
          </w:p>
        </w:tc>
        <w:tc>
          <w:tcPr>
            <w:tcW w:w="3498" w:type="dxa"/>
          </w:tcPr>
          <w:p>
            <w:pPr>
              <w:widowControl/>
              <w:wordWrap w:val="0"/>
              <w:autoSpaceDE w:val="0"/>
              <w:autoSpaceDN w:val="0"/>
              <w:adjustRightInd w:val="0"/>
              <w:snapToGrid w:val="0"/>
              <w:textAlignment w:val="baseline"/>
              <w:rPr>
                <w:rFonts w:ascii="仿宋" w:eastAsia="仿宋" w:hAnsi="仿宋" w:cs="仿宋"/>
                <w:snapToGrid w:val="0"/>
                <w:color w:val="auto"/>
                <w:kern w:val="0"/>
                <w:sz w:val="24"/>
                <w:szCs w:val="24"/>
                <w:highlight w:val="none"/>
                <w:lang w:eastAsia="en-US"/>
              </w:rPr>
            </w:pPr>
          </w:p>
          <w:p>
            <w:pPr>
              <w:widowControl/>
              <w:wordWrap w:val="0"/>
              <w:autoSpaceDE w:val="0"/>
              <w:autoSpaceDN w:val="0"/>
              <w:adjustRightInd w:val="0"/>
              <w:snapToGrid w:val="0"/>
              <w:spacing w:before="65"/>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snapToGrid w:val="0"/>
                <w:color w:val="auto"/>
                <w:spacing w:val="2"/>
                <w:kern w:val="0"/>
                <w:sz w:val="24"/>
                <w:szCs w:val="24"/>
                <w:highlight w:val="none"/>
                <w:lang w:eastAsia="en-US"/>
              </w:rPr>
              <w:t>符合1.5，基本符合1，不符合0</w:t>
            </w: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r>
        <w:tblPrEx>
          <w:tblW w:w="9044" w:type="dxa"/>
          <w:tblInd w:w="17" w:type="dxa"/>
          <w:tblLayout w:type="fixed"/>
          <w:tblCellMar>
            <w:top w:w="0" w:type="dxa"/>
            <w:left w:w="0" w:type="dxa"/>
            <w:bottom w:w="0" w:type="dxa"/>
            <w:right w:w="0" w:type="dxa"/>
          </w:tblCellMar>
        </w:tblPrEx>
        <w:trPr>
          <w:trHeight w:val="566"/>
        </w:trPr>
        <w:tc>
          <w:tcPr>
            <w:tcW w:w="557"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c>
          <w:tcPr>
            <w:tcW w:w="3663" w:type="dxa"/>
          </w:tcPr>
          <w:p>
            <w:pPr>
              <w:widowControl/>
              <w:wordWrap w:val="0"/>
              <w:autoSpaceDE w:val="0"/>
              <w:autoSpaceDN w:val="0"/>
              <w:adjustRightInd w:val="0"/>
              <w:snapToGrid w:val="0"/>
              <w:spacing w:before="203"/>
              <w:ind w:left="1782"/>
              <w:jc w:val="left"/>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1"/>
                <w:kern w:val="0"/>
                <w:sz w:val="24"/>
                <w:szCs w:val="24"/>
                <w:highlight w:val="none"/>
                <w:lang w:eastAsia="en-US"/>
              </w:rPr>
              <w:t>总分</w:t>
            </w:r>
          </w:p>
        </w:tc>
        <w:tc>
          <w:tcPr>
            <w:tcW w:w="690" w:type="dxa"/>
            <w:vAlign w:val="center"/>
          </w:tcPr>
          <w:p>
            <w:pPr>
              <w:widowControl/>
              <w:wordWrap w:val="0"/>
              <w:autoSpaceDE w:val="0"/>
              <w:autoSpaceDN w:val="0"/>
              <w:adjustRightInd w:val="0"/>
              <w:snapToGrid w:val="0"/>
              <w:spacing w:before="234"/>
              <w:jc w:val="center"/>
              <w:textAlignment w:val="baseline"/>
              <w:rPr>
                <w:rFonts w:ascii="仿宋" w:eastAsia="仿宋" w:hAnsi="仿宋" w:cs="仿宋"/>
                <w:snapToGrid w:val="0"/>
                <w:color w:val="auto"/>
                <w:kern w:val="0"/>
                <w:sz w:val="24"/>
                <w:szCs w:val="24"/>
                <w:highlight w:val="none"/>
                <w:lang w:eastAsia="en-US"/>
              </w:rPr>
            </w:pPr>
            <w:r>
              <w:rPr>
                <w:rFonts w:ascii="仿宋" w:eastAsia="仿宋" w:hAnsi="仿宋" w:cs="仿宋" w:hint="eastAsia"/>
                <w:b/>
                <w:bCs/>
                <w:snapToGrid w:val="0"/>
                <w:color w:val="auto"/>
                <w:spacing w:val="-4"/>
                <w:kern w:val="0"/>
                <w:sz w:val="24"/>
                <w:szCs w:val="24"/>
                <w:highlight w:val="none"/>
                <w:lang w:eastAsia="en-US"/>
              </w:rPr>
              <w:t>100</w:t>
            </w:r>
          </w:p>
        </w:tc>
        <w:tc>
          <w:tcPr>
            <w:tcW w:w="3498" w:type="dxa"/>
          </w:tcPr>
          <w:p>
            <w:pPr>
              <w:widowControl/>
              <w:wordWrap w:val="0"/>
              <w:autoSpaceDE w:val="0"/>
              <w:autoSpaceDN w:val="0"/>
              <w:adjustRightInd w:val="0"/>
              <w:snapToGrid w:val="0"/>
              <w:textAlignment w:val="baseline"/>
              <w:rPr>
                <w:rFonts w:ascii="仿宋" w:eastAsia="仿宋" w:hAnsi="仿宋" w:cs="仿宋"/>
                <w:snapToGrid w:val="0"/>
                <w:color w:val="auto"/>
                <w:kern w:val="0"/>
                <w:sz w:val="24"/>
                <w:szCs w:val="24"/>
                <w:highlight w:val="none"/>
                <w:lang w:eastAsia="en-US"/>
              </w:rPr>
            </w:pPr>
          </w:p>
        </w:tc>
        <w:tc>
          <w:tcPr>
            <w:tcW w:w="636" w:type="dxa"/>
          </w:tcPr>
          <w:p>
            <w:pPr>
              <w:widowControl/>
              <w:wordWrap w:val="0"/>
              <w:autoSpaceDE w:val="0"/>
              <w:autoSpaceDN w:val="0"/>
              <w:adjustRightInd w:val="0"/>
              <w:snapToGrid w:val="0"/>
              <w:jc w:val="left"/>
              <w:textAlignment w:val="baseline"/>
              <w:rPr>
                <w:rFonts w:ascii="仿宋" w:eastAsia="仿宋" w:hAnsi="仿宋" w:cs="仿宋"/>
                <w:snapToGrid w:val="0"/>
                <w:color w:val="auto"/>
                <w:kern w:val="0"/>
                <w:sz w:val="24"/>
                <w:szCs w:val="24"/>
                <w:highlight w:val="none"/>
                <w:lang w:eastAsia="en-US"/>
              </w:rPr>
            </w:pPr>
          </w:p>
        </w:tc>
      </w:tr>
    </w:tbl>
    <w:p>
      <w:pPr>
        <w:widowControl/>
        <w:wordWrap w:val="0"/>
        <w:autoSpaceDE w:val="0"/>
        <w:autoSpaceDN w:val="0"/>
        <w:adjustRightInd w:val="0"/>
        <w:snapToGrid w:val="0"/>
        <w:spacing w:line="452" w:lineRule="auto"/>
        <w:jc w:val="left"/>
        <w:textAlignment w:val="baseline"/>
        <w:rPr>
          <w:rFonts w:ascii="仿宋" w:eastAsia="仿宋" w:hAnsi="仿宋" w:cs="仿宋"/>
          <w:snapToGrid w:val="0"/>
          <w:color w:val="auto"/>
          <w:kern w:val="0"/>
          <w:sz w:val="28"/>
          <w:szCs w:val="28"/>
          <w:highlight w:val="none"/>
          <w:lang w:eastAsia="en-US"/>
        </w:rPr>
      </w:pPr>
    </w:p>
    <w:p>
      <w:pPr>
        <w:wordWrap w:val="0"/>
        <w:autoSpaceDE w:val="0"/>
        <w:autoSpaceDN w:val="0"/>
        <w:adjustRightInd w:val="0"/>
        <w:snapToGrid w:val="0"/>
        <w:spacing w:before="65" w:line="228" w:lineRule="auto"/>
        <w:ind w:left="125"/>
        <w:jc w:val="left"/>
        <w:textAlignment w:val="baseline"/>
        <w:rPr>
          <w:rFonts w:ascii="仿宋" w:eastAsia="仿宋" w:hAnsi="仿宋" w:cs="仿宋"/>
          <w:snapToGrid w:val="0"/>
          <w:color w:val="auto"/>
          <w:kern w:val="0"/>
          <w:sz w:val="28"/>
          <w:szCs w:val="28"/>
          <w:highlight w:val="none"/>
          <w:lang w:eastAsia="en-US"/>
        </w:rPr>
      </w:pPr>
      <w:r>
        <w:rPr>
          <w:rFonts w:ascii="仿宋" w:eastAsia="仿宋" w:hAnsi="仿宋" w:cs="仿宋" w:hint="eastAsia"/>
          <w:b/>
          <w:bCs/>
          <w:snapToGrid w:val="0"/>
          <w:color w:val="auto"/>
          <w:spacing w:val="4"/>
          <w:kern w:val="0"/>
          <w:sz w:val="28"/>
          <w:szCs w:val="28"/>
          <w:highlight w:val="none"/>
          <w:lang w:eastAsia="en-US"/>
        </w:rPr>
        <w:t>考核人：</w:t>
      </w:r>
      <w:r>
        <w:rPr>
          <w:rFonts w:ascii="仿宋" w:eastAsia="仿宋" w:hAnsi="仿宋" w:cs="仿宋" w:hint="eastAsia"/>
          <w:b/>
          <w:bCs/>
          <w:snapToGrid w:val="0"/>
          <w:color w:val="auto"/>
          <w:spacing w:val="4"/>
          <w:kern w:val="0"/>
          <w:sz w:val="28"/>
          <w:szCs w:val="28"/>
          <w:highlight w:val="none"/>
        </w:rPr>
        <w:t xml:space="preserve">                         </w:t>
      </w:r>
      <w:r>
        <w:rPr>
          <w:rFonts w:ascii="仿宋" w:eastAsia="仿宋" w:hAnsi="仿宋" w:cs="仿宋" w:hint="eastAsia"/>
          <w:b/>
          <w:bCs/>
          <w:snapToGrid w:val="0"/>
          <w:color w:val="auto"/>
          <w:spacing w:val="4"/>
          <w:kern w:val="0"/>
          <w:sz w:val="28"/>
          <w:szCs w:val="28"/>
          <w:highlight w:val="none"/>
          <w:lang w:eastAsia="en-US"/>
        </w:rPr>
        <w:t>被考核人：</w:t>
      </w:r>
    </w:p>
    <w:p>
      <w:pPr>
        <w:widowControl/>
        <w:wordWrap w:val="0"/>
        <w:autoSpaceDE w:val="0"/>
        <w:autoSpaceDN w:val="0"/>
        <w:adjustRightInd w:val="0"/>
        <w:snapToGrid w:val="0"/>
        <w:spacing w:line="241" w:lineRule="auto"/>
        <w:jc w:val="left"/>
        <w:textAlignment w:val="baseline"/>
        <w:rPr>
          <w:rFonts w:ascii="仿宋" w:eastAsia="仿宋" w:hAnsi="仿宋" w:cs="仿宋"/>
          <w:snapToGrid w:val="0"/>
          <w:color w:val="auto"/>
          <w:kern w:val="0"/>
          <w:sz w:val="28"/>
          <w:szCs w:val="28"/>
          <w:highlight w:val="none"/>
          <w:lang w:eastAsia="en-US"/>
        </w:rPr>
      </w:pPr>
    </w:p>
    <w:p>
      <w:pPr>
        <w:widowControl/>
        <w:wordWrap w:val="0"/>
        <w:autoSpaceDE w:val="0"/>
        <w:autoSpaceDN w:val="0"/>
        <w:adjustRightInd w:val="0"/>
        <w:snapToGrid w:val="0"/>
        <w:spacing w:line="241" w:lineRule="auto"/>
        <w:jc w:val="left"/>
        <w:textAlignment w:val="baseline"/>
        <w:rPr>
          <w:rFonts w:ascii="仿宋" w:eastAsia="仿宋" w:hAnsi="仿宋" w:cs="仿宋"/>
          <w:snapToGrid w:val="0"/>
          <w:color w:val="auto"/>
          <w:kern w:val="0"/>
          <w:sz w:val="28"/>
          <w:szCs w:val="28"/>
          <w:highlight w:val="none"/>
          <w:lang w:eastAsia="en-US"/>
        </w:rPr>
      </w:pPr>
    </w:p>
    <w:p>
      <w:pPr>
        <w:widowControl/>
        <w:wordWrap w:val="0"/>
        <w:autoSpaceDE w:val="0"/>
        <w:autoSpaceDN w:val="0"/>
        <w:adjustRightInd w:val="0"/>
        <w:snapToGrid w:val="0"/>
        <w:spacing w:line="241" w:lineRule="auto"/>
        <w:jc w:val="left"/>
        <w:textAlignment w:val="baseline"/>
        <w:rPr>
          <w:rFonts w:ascii="仿宋" w:eastAsia="仿宋" w:hAnsi="仿宋" w:cs="仿宋"/>
          <w:snapToGrid w:val="0"/>
          <w:color w:val="auto"/>
          <w:kern w:val="0"/>
          <w:sz w:val="28"/>
          <w:szCs w:val="28"/>
          <w:highlight w:val="none"/>
          <w:lang w:eastAsia="en-US"/>
        </w:rPr>
      </w:pPr>
    </w:p>
    <w:p>
      <w:pPr>
        <w:widowControl/>
        <w:wordWrap w:val="0"/>
        <w:autoSpaceDE w:val="0"/>
        <w:autoSpaceDN w:val="0"/>
        <w:adjustRightInd w:val="0"/>
        <w:snapToGrid w:val="0"/>
        <w:spacing w:line="241" w:lineRule="auto"/>
        <w:jc w:val="left"/>
        <w:textAlignment w:val="baseline"/>
        <w:rPr>
          <w:rFonts w:ascii="仿宋" w:eastAsia="仿宋" w:hAnsi="仿宋" w:cs="仿宋"/>
          <w:snapToGrid w:val="0"/>
          <w:color w:val="auto"/>
          <w:kern w:val="0"/>
          <w:sz w:val="28"/>
          <w:szCs w:val="28"/>
          <w:highlight w:val="none"/>
          <w:lang w:eastAsia="en-US"/>
        </w:rPr>
      </w:pPr>
    </w:p>
    <w:p>
      <w:pPr>
        <w:widowControl/>
        <w:wordWrap w:val="0"/>
        <w:autoSpaceDE w:val="0"/>
        <w:autoSpaceDN w:val="0"/>
        <w:adjustRightInd w:val="0"/>
        <w:snapToGrid w:val="0"/>
        <w:spacing w:line="241" w:lineRule="auto"/>
        <w:jc w:val="left"/>
        <w:textAlignment w:val="baseline"/>
        <w:rPr>
          <w:rFonts w:ascii="仿宋" w:eastAsia="仿宋" w:hAnsi="仿宋" w:cs="仿宋"/>
          <w:snapToGrid w:val="0"/>
          <w:color w:val="auto"/>
          <w:kern w:val="0"/>
          <w:sz w:val="28"/>
          <w:szCs w:val="28"/>
          <w:highlight w:val="none"/>
          <w:lang w:eastAsia="en-US"/>
        </w:rPr>
      </w:pPr>
    </w:p>
    <w:p>
      <w:pPr>
        <w:widowControl/>
        <w:wordWrap w:val="0"/>
        <w:autoSpaceDE w:val="0"/>
        <w:autoSpaceDN w:val="0"/>
        <w:adjustRightInd w:val="0"/>
        <w:snapToGrid w:val="0"/>
        <w:spacing w:line="241" w:lineRule="auto"/>
        <w:jc w:val="left"/>
        <w:textAlignment w:val="baseline"/>
        <w:rPr>
          <w:rFonts w:ascii="仿宋" w:eastAsia="仿宋" w:hAnsi="仿宋" w:cs="仿宋"/>
          <w:snapToGrid w:val="0"/>
          <w:color w:val="auto"/>
          <w:kern w:val="0"/>
          <w:sz w:val="28"/>
          <w:szCs w:val="28"/>
          <w:highlight w:val="none"/>
          <w:lang w:eastAsia="en-US"/>
        </w:rPr>
      </w:pPr>
    </w:p>
    <w:p>
      <w:pPr>
        <w:widowControl/>
        <w:wordWrap w:val="0"/>
        <w:autoSpaceDE w:val="0"/>
        <w:autoSpaceDN w:val="0"/>
        <w:adjustRightInd w:val="0"/>
        <w:snapToGrid w:val="0"/>
        <w:spacing w:line="241" w:lineRule="auto"/>
        <w:jc w:val="left"/>
        <w:textAlignment w:val="baseline"/>
        <w:rPr>
          <w:rFonts w:ascii="仿宋" w:eastAsia="仿宋" w:hAnsi="仿宋" w:cs="仿宋"/>
          <w:snapToGrid w:val="0"/>
          <w:color w:val="auto"/>
          <w:kern w:val="0"/>
          <w:sz w:val="28"/>
          <w:szCs w:val="28"/>
          <w:highlight w:val="none"/>
          <w:lang w:eastAsia="en-US"/>
        </w:rPr>
      </w:pPr>
    </w:p>
    <w:p>
      <w:pPr>
        <w:widowControl/>
        <w:wordWrap w:val="0"/>
        <w:autoSpaceDE w:val="0"/>
        <w:autoSpaceDN w:val="0"/>
        <w:adjustRightInd w:val="0"/>
        <w:snapToGrid w:val="0"/>
        <w:spacing w:line="241" w:lineRule="auto"/>
        <w:jc w:val="left"/>
        <w:textAlignment w:val="baseline"/>
        <w:rPr>
          <w:rFonts w:ascii="仿宋" w:eastAsia="仿宋" w:hAnsi="仿宋" w:cs="仿宋"/>
          <w:snapToGrid w:val="0"/>
          <w:color w:val="auto"/>
          <w:kern w:val="0"/>
          <w:sz w:val="28"/>
          <w:szCs w:val="28"/>
          <w:highlight w:val="none"/>
          <w:lang w:eastAsia="en-US"/>
        </w:rPr>
      </w:pPr>
    </w:p>
    <w:p>
      <w:pPr>
        <w:widowControl/>
        <w:wordWrap w:val="0"/>
        <w:autoSpaceDE w:val="0"/>
        <w:autoSpaceDN w:val="0"/>
        <w:adjustRightInd w:val="0"/>
        <w:snapToGrid w:val="0"/>
        <w:spacing w:line="242" w:lineRule="auto"/>
        <w:jc w:val="left"/>
        <w:textAlignment w:val="baseline"/>
        <w:rPr>
          <w:rFonts w:ascii="仿宋" w:eastAsia="仿宋" w:hAnsi="仿宋" w:cs="仿宋"/>
          <w:snapToGrid w:val="0"/>
          <w:color w:val="auto"/>
          <w:kern w:val="0"/>
          <w:sz w:val="28"/>
          <w:szCs w:val="28"/>
          <w:highlight w:val="none"/>
          <w:lang w:eastAsia="en-US"/>
        </w:rPr>
      </w:pPr>
    </w:p>
    <w:p>
      <w:pPr>
        <w:widowControl/>
        <w:kinsoku w:val="0"/>
        <w:autoSpaceDE w:val="0"/>
        <w:autoSpaceDN w:val="0"/>
        <w:adjustRightInd w:val="0"/>
        <w:snapToGrid w:val="0"/>
        <w:jc w:val="left"/>
        <w:textAlignment w:val="baseline"/>
        <w:rPr>
          <w:rFonts w:ascii="仿宋" w:eastAsia="仿宋" w:hAnsi="仿宋" w:cs="仿宋"/>
          <w:b/>
          <w:bCs/>
          <w:snapToGrid w:val="0"/>
          <w:color w:val="auto"/>
          <w:spacing w:val="-1"/>
          <w:kern w:val="0"/>
          <w:sz w:val="28"/>
          <w:szCs w:val="28"/>
          <w:highlight w:val="none"/>
          <w:lang w:eastAsia="en-US"/>
        </w:rPr>
      </w:pPr>
      <w:r>
        <w:rPr>
          <w:rFonts w:ascii="仿宋" w:eastAsia="仿宋" w:hAnsi="仿宋" w:cs="仿宋" w:hint="eastAsia"/>
          <w:b/>
          <w:bCs/>
          <w:snapToGrid w:val="0"/>
          <w:color w:val="auto"/>
          <w:spacing w:val="-1"/>
          <w:kern w:val="0"/>
          <w:sz w:val="28"/>
          <w:szCs w:val="28"/>
          <w:highlight w:val="none"/>
          <w:lang w:eastAsia="en-US"/>
        </w:rPr>
        <w:br w:type="page"/>
      </w:r>
    </w:p>
    <w:p>
      <w:pPr>
        <w:wordWrap w:val="0"/>
        <w:autoSpaceDE w:val="0"/>
        <w:autoSpaceDN w:val="0"/>
        <w:adjustRightInd w:val="0"/>
        <w:snapToGrid w:val="0"/>
        <w:spacing w:before="149" w:line="355" w:lineRule="auto"/>
        <w:ind w:left="8" w:firstLine="431"/>
        <w:jc w:val="left"/>
        <w:textAlignment w:val="baseline"/>
        <w:rPr>
          <w:rFonts w:ascii="Arial" w:eastAsia="Arial" w:hAnsi="Arial" w:cs="Arial"/>
          <w:snapToGrid w:val="0"/>
          <w:color w:val="auto"/>
          <w:kern w:val="0"/>
          <w:szCs w:val="21"/>
          <w:highlight w:val="none"/>
        </w:rPr>
      </w:pPr>
      <w:r>
        <w:rPr>
          <w:rFonts w:ascii="仿宋" w:eastAsia="仿宋" w:hAnsi="仿宋" w:cs="仿宋" w:hint="eastAsia"/>
          <w:b/>
          <w:bCs/>
          <w:snapToGrid w:val="0"/>
          <w:color w:val="auto"/>
          <w:spacing w:val="8"/>
          <w:kern w:val="0"/>
          <w:sz w:val="24"/>
          <w:szCs w:val="24"/>
          <w:highlight w:val="none"/>
        </w:rPr>
        <w:t>附件二：物业服务日常工作考核评分表</w:t>
      </w:r>
    </w:p>
    <w:p>
      <w:pPr>
        <w:widowControl/>
        <w:wordWrap w:val="0"/>
        <w:autoSpaceDE w:val="0"/>
        <w:autoSpaceDN w:val="0"/>
        <w:adjustRightInd w:val="0"/>
        <w:snapToGrid w:val="0"/>
        <w:spacing w:line="216" w:lineRule="exact"/>
        <w:jc w:val="left"/>
        <w:textAlignment w:val="baseline"/>
        <w:rPr>
          <w:rFonts w:ascii="Arial" w:eastAsia="Arial" w:hAnsi="Arial" w:cs="Arial"/>
          <w:snapToGrid w:val="0"/>
          <w:color w:val="auto"/>
          <w:kern w:val="0"/>
          <w:sz w:val="18"/>
          <w:szCs w:val="21"/>
          <w:highlight w:val="none"/>
        </w:rPr>
      </w:pPr>
    </w:p>
    <w:tbl>
      <w:tblPr>
        <w:tblStyle w:val="TableNormal0"/>
        <w:tblW w:w="917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5655"/>
        <w:gridCol w:w="2890"/>
        <w:gridCol w:w="634"/>
      </w:tblGrid>
      <w:tr>
        <w:tblPrEx>
          <w:tblW w:w="917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Ex>
        <w:trPr>
          <w:trHeight w:val="633"/>
        </w:trPr>
        <w:tc>
          <w:tcPr>
            <w:tcW w:w="5655" w:type="dxa"/>
            <w:vAlign w:val="center"/>
          </w:tcPr>
          <w:p>
            <w:pPr>
              <w:widowControl/>
              <w:wordWrap w:val="0"/>
              <w:autoSpaceDE w:val="0"/>
              <w:autoSpaceDN w:val="0"/>
              <w:adjustRightInd w:val="0"/>
              <w:snapToGrid w:val="0"/>
              <w:spacing w:before="211" w:line="228" w:lineRule="auto"/>
              <w:jc w:val="center"/>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8"/>
                <w:kern w:val="0"/>
                <w:sz w:val="20"/>
                <w:szCs w:val="20"/>
                <w:highlight w:val="none"/>
                <w:lang w:eastAsia="en-US"/>
              </w:rPr>
              <w:t>考核检查内容</w:t>
            </w:r>
          </w:p>
        </w:tc>
        <w:tc>
          <w:tcPr>
            <w:tcW w:w="2890" w:type="dxa"/>
            <w:vAlign w:val="center"/>
          </w:tcPr>
          <w:p>
            <w:pPr>
              <w:widowControl/>
              <w:wordWrap w:val="0"/>
              <w:autoSpaceDE w:val="0"/>
              <w:autoSpaceDN w:val="0"/>
              <w:adjustRightInd w:val="0"/>
              <w:snapToGrid w:val="0"/>
              <w:spacing w:before="211" w:line="228" w:lineRule="auto"/>
              <w:jc w:val="center"/>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6"/>
                <w:kern w:val="0"/>
                <w:sz w:val="20"/>
                <w:szCs w:val="20"/>
                <w:highlight w:val="none"/>
                <w:lang w:eastAsia="en-US"/>
              </w:rPr>
              <w:t>扣款额度</w:t>
            </w:r>
          </w:p>
        </w:tc>
        <w:tc>
          <w:tcPr>
            <w:tcW w:w="634" w:type="dxa"/>
            <w:textDirection w:val="tbRlV"/>
            <w:vAlign w:val="center"/>
          </w:tcPr>
          <w:p>
            <w:pPr>
              <w:widowControl/>
              <w:wordWrap w:val="0"/>
              <w:autoSpaceDE w:val="0"/>
              <w:autoSpaceDN w:val="0"/>
              <w:adjustRightInd w:val="0"/>
              <w:snapToGrid w:val="0"/>
              <w:spacing w:before="312" w:line="217" w:lineRule="auto"/>
              <w:jc w:val="center"/>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6"/>
                <w:kern w:val="0"/>
                <w:sz w:val="20"/>
                <w:szCs w:val="20"/>
                <w:highlight w:val="none"/>
                <w:lang w:eastAsia="en-US"/>
              </w:rPr>
              <w:t>备注</w:t>
            </w:r>
          </w:p>
        </w:tc>
      </w:tr>
      <w:tr>
        <w:tblPrEx>
          <w:tblW w:w="9179" w:type="dxa"/>
          <w:tblInd w:w="2" w:type="dxa"/>
          <w:tblLayout w:type="fixed"/>
          <w:tblCellMar>
            <w:top w:w="0" w:type="dxa"/>
            <w:left w:w="0" w:type="dxa"/>
            <w:bottom w:w="0" w:type="dxa"/>
            <w:right w:w="0" w:type="dxa"/>
          </w:tblCellMar>
        </w:tblPrEx>
        <w:trPr>
          <w:trHeight w:val="604"/>
        </w:trPr>
        <w:tc>
          <w:tcPr>
            <w:tcW w:w="5655" w:type="dxa"/>
          </w:tcPr>
          <w:p>
            <w:pPr>
              <w:widowControl/>
              <w:wordWrap w:val="0"/>
              <w:autoSpaceDE w:val="0"/>
              <w:autoSpaceDN w:val="0"/>
              <w:adjustRightInd w:val="0"/>
              <w:snapToGrid w:val="0"/>
              <w:spacing w:before="195"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8"/>
                <w:kern w:val="0"/>
                <w:sz w:val="20"/>
                <w:szCs w:val="20"/>
                <w:highlight w:val="none"/>
                <w:lang w:eastAsia="en-US"/>
              </w:rPr>
              <w:t>发生重大失责行为，造成后果者。</w:t>
            </w:r>
          </w:p>
        </w:tc>
        <w:tc>
          <w:tcPr>
            <w:tcW w:w="2890" w:type="dxa"/>
          </w:tcPr>
          <w:p>
            <w:pPr>
              <w:widowControl/>
              <w:wordWrap w:val="0"/>
              <w:autoSpaceDE w:val="0"/>
              <w:autoSpaceDN w:val="0"/>
              <w:adjustRightInd w:val="0"/>
              <w:snapToGrid w:val="0"/>
              <w:spacing w:before="195"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3"/>
                <w:kern w:val="0"/>
                <w:sz w:val="20"/>
                <w:szCs w:val="20"/>
                <w:highlight w:val="none"/>
                <w:lang w:eastAsia="en-US"/>
              </w:rPr>
              <w:t>每次扣款10000元。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940"/>
        </w:trPr>
        <w:tc>
          <w:tcPr>
            <w:tcW w:w="5655" w:type="dxa"/>
          </w:tcPr>
          <w:p>
            <w:pPr>
              <w:widowControl/>
              <w:wordWrap w:val="0"/>
              <w:autoSpaceDE w:val="0"/>
              <w:autoSpaceDN w:val="0"/>
              <w:adjustRightInd w:val="0"/>
              <w:snapToGrid w:val="0"/>
              <w:spacing w:before="52" w:line="270" w:lineRule="auto"/>
              <w:ind w:right="398"/>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8"/>
                <w:kern w:val="0"/>
                <w:sz w:val="20"/>
                <w:szCs w:val="20"/>
                <w:highlight w:val="none"/>
                <w:lang w:eastAsia="en-US"/>
              </w:rPr>
              <w:t>工作人员服务态度端正，佩戴明显标志（工作牌</w:t>
            </w:r>
            <w:r>
              <w:rPr>
                <w:rFonts w:ascii="宋体" w:eastAsia="Times New Roman" w:hAnsi="宋体" w:cs="宋体"/>
                <w:snapToGrid w:val="0"/>
                <w:color w:val="auto"/>
                <w:spacing w:val="-27"/>
                <w:kern w:val="0"/>
                <w:sz w:val="20"/>
                <w:szCs w:val="20"/>
                <w:highlight w:val="none"/>
                <w:lang w:eastAsia="en-US"/>
              </w:rPr>
              <w:t>），</w:t>
            </w:r>
            <w:r>
              <w:rPr>
                <w:rFonts w:ascii="宋体" w:eastAsia="Times New Roman" w:hAnsi="宋体" w:cs="宋体"/>
                <w:snapToGrid w:val="0"/>
                <w:color w:val="auto"/>
                <w:spacing w:val="8"/>
                <w:kern w:val="0"/>
                <w:sz w:val="20"/>
                <w:szCs w:val="20"/>
                <w:highlight w:val="none"/>
                <w:lang w:eastAsia="en-US"/>
              </w:rPr>
              <w:t>穿工</w:t>
            </w:r>
            <w:r>
              <w:rPr>
                <w:rFonts w:ascii="宋体" w:eastAsia="Times New Roman" w:hAnsi="宋体" w:cs="宋体"/>
                <w:snapToGrid w:val="0"/>
                <w:color w:val="auto"/>
                <w:spacing w:val="9"/>
                <w:kern w:val="0"/>
                <w:sz w:val="20"/>
                <w:szCs w:val="20"/>
                <w:highlight w:val="none"/>
                <w:lang w:eastAsia="en-US"/>
              </w:rPr>
              <w:t>服，讲文明礼貌用语、服从和接受机关事务管理人员的</w:t>
            </w:r>
            <w:r>
              <w:rPr>
                <w:rFonts w:ascii="宋体" w:eastAsia="Times New Roman" w:hAnsi="宋体" w:cs="宋体"/>
                <w:snapToGrid w:val="0"/>
                <w:color w:val="auto"/>
                <w:spacing w:val="6"/>
                <w:kern w:val="0"/>
                <w:sz w:val="20"/>
                <w:szCs w:val="20"/>
                <w:highlight w:val="none"/>
                <w:lang w:eastAsia="en-US"/>
              </w:rPr>
              <w:t>指挥和检查。</w:t>
            </w:r>
          </w:p>
        </w:tc>
        <w:tc>
          <w:tcPr>
            <w:tcW w:w="2890" w:type="dxa"/>
          </w:tcPr>
          <w:p>
            <w:pPr>
              <w:widowControl/>
              <w:wordWrap w:val="0"/>
              <w:autoSpaceDE w:val="0"/>
              <w:autoSpaceDN w:val="0"/>
              <w:adjustRightInd w:val="0"/>
              <w:snapToGrid w:val="0"/>
              <w:spacing w:before="207"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每发现一次不合格者扣款</w:t>
            </w:r>
            <w:r>
              <w:rPr>
                <w:rFonts w:ascii="宋体" w:eastAsia="Times New Roman" w:hAnsi="宋体" w:cs="宋体"/>
                <w:snapToGrid w:val="0"/>
                <w:color w:val="auto"/>
                <w:spacing w:val="-1"/>
                <w:kern w:val="0"/>
                <w:sz w:val="20"/>
                <w:szCs w:val="20"/>
                <w:highlight w:val="none"/>
                <w:lang w:eastAsia="en-US"/>
              </w:rPr>
              <w:t>50元。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28"/>
        </w:trPr>
        <w:tc>
          <w:tcPr>
            <w:tcW w:w="5655" w:type="dxa"/>
          </w:tcPr>
          <w:p>
            <w:pPr>
              <w:widowControl/>
              <w:wordWrap w:val="0"/>
              <w:autoSpaceDE w:val="0"/>
              <w:autoSpaceDN w:val="0"/>
              <w:adjustRightInd w:val="0"/>
              <w:snapToGrid w:val="0"/>
              <w:spacing w:before="52" w:line="261" w:lineRule="auto"/>
              <w:ind w:right="504"/>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值班保安一定要坚守岗位严禁脱岗。擅自离开岗位或睡</w:t>
            </w:r>
            <w:r>
              <w:rPr>
                <w:rFonts w:ascii="宋体" w:eastAsia="Times New Roman" w:hAnsi="宋体" w:cs="宋体"/>
                <w:snapToGrid w:val="0"/>
                <w:color w:val="auto"/>
                <w:spacing w:val="-2"/>
                <w:kern w:val="0"/>
                <w:sz w:val="20"/>
                <w:szCs w:val="20"/>
                <w:highlight w:val="none"/>
                <w:lang w:eastAsia="en-US"/>
              </w:rPr>
              <w:t>觉。</w:t>
            </w:r>
          </w:p>
        </w:tc>
        <w:tc>
          <w:tcPr>
            <w:tcW w:w="2890" w:type="dxa"/>
          </w:tcPr>
          <w:p>
            <w:pPr>
              <w:widowControl/>
              <w:wordWrap w:val="0"/>
              <w:autoSpaceDE w:val="0"/>
              <w:autoSpaceDN w:val="0"/>
              <w:adjustRightInd w:val="0"/>
              <w:snapToGrid w:val="0"/>
              <w:spacing w:before="52"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每发现一次不合格者扣款</w:t>
            </w:r>
            <w:r>
              <w:rPr>
                <w:rFonts w:ascii="宋体" w:eastAsia="Times New Roman" w:hAnsi="宋体" w:cs="宋体"/>
                <w:snapToGrid w:val="0"/>
                <w:color w:val="auto"/>
                <w:spacing w:val="-2"/>
                <w:kern w:val="0"/>
                <w:sz w:val="20"/>
                <w:szCs w:val="20"/>
                <w:highlight w:val="none"/>
                <w:lang w:eastAsia="en-US"/>
              </w:rPr>
              <w:t>100元。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28"/>
        </w:trPr>
        <w:tc>
          <w:tcPr>
            <w:tcW w:w="5655" w:type="dxa"/>
          </w:tcPr>
          <w:p>
            <w:pPr>
              <w:widowControl/>
              <w:wordWrap w:val="0"/>
              <w:autoSpaceDE w:val="0"/>
              <w:autoSpaceDN w:val="0"/>
              <w:adjustRightInd w:val="0"/>
              <w:snapToGrid w:val="0"/>
              <w:spacing w:before="52" w:line="261" w:lineRule="auto"/>
              <w:ind w:right="105"/>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8"/>
                <w:kern w:val="0"/>
                <w:sz w:val="20"/>
                <w:szCs w:val="20"/>
                <w:highlight w:val="none"/>
                <w:lang w:eastAsia="en-US"/>
              </w:rPr>
              <w:t>保安值班时不准嬉笑打闹，不准看书、看报或进行其他与值</w:t>
            </w:r>
            <w:r>
              <w:rPr>
                <w:rFonts w:ascii="宋体" w:eastAsia="Times New Roman" w:hAnsi="宋体" w:cs="宋体"/>
                <w:snapToGrid w:val="0"/>
                <w:color w:val="auto"/>
                <w:spacing w:val="6"/>
                <w:kern w:val="0"/>
                <w:sz w:val="20"/>
                <w:szCs w:val="20"/>
                <w:highlight w:val="none"/>
                <w:lang w:eastAsia="en-US"/>
              </w:rPr>
              <w:t>班无关的事。</w:t>
            </w:r>
          </w:p>
        </w:tc>
        <w:tc>
          <w:tcPr>
            <w:tcW w:w="2890" w:type="dxa"/>
          </w:tcPr>
          <w:p>
            <w:pPr>
              <w:widowControl/>
              <w:wordWrap w:val="0"/>
              <w:autoSpaceDE w:val="0"/>
              <w:autoSpaceDN w:val="0"/>
              <w:adjustRightInd w:val="0"/>
              <w:snapToGrid w:val="0"/>
              <w:spacing w:before="52"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每发现一次不合格者扣款</w:t>
            </w:r>
            <w:r>
              <w:rPr>
                <w:rFonts w:ascii="宋体" w:eastAsia="Times New Roman" w:hAnsi="宋体" w:cs="宋体"/>
                <w:snapToGrid w:val="0"/>
                <w:color w:val="auto"/>
                <w:spacing w:val="-1"/>
                <w:kern w:val="0"/>
                <w:sz w:val="20"/>
                <w:szCs w:val="20"/>
                <w:highlight w:val="none"/>
                <w:lang w:eastAsia="en-US"/>
              </w:rPr>
              <w:t>50元。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28"/>
        </w:trPr>
        <w:tc>
          <w:tcPr>
            <w:tcW w:w="5655" w:type="dxa"/>
          </w:tcPr>
          <w:p>
            <w:pPr>
              <w:widowControl/>
              <w:wordWrap w:val="0"/>
              <w:autoSpaceDE w:val="0"/>
              <w:autoSpaceDN w:val="0"/>
              <w:adjustRightInd w:val="0"/>
              <w:snapToGrid w:val="0"/>
              <w:spacing w:before="56" w:line="259" w:lineRule="auto"/>
              <w:ind w:right="504"/>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保安要严格检查进出大楼物品，严禁易燃、易爆、有毒</w:t>
            </w:r>
            <w:r>
              <w:rPr>
                <w:rFonts w:ascii="宋体" w:eastAsia="Times New Roman" w:hAnsi="宋体" w:cs="宋体"/>
                <w:snapToGrid w:val="0"/>
                <w:color w:val="auto"/>
                <w:spacing w:val="7"/>
                <w:kern w:val="0"/>
                <w:sz w:val="20"/>
                <w:szCs w:val="20"/>
                <w:highlight w:val="none"/>
                <w:lang w:eastAsia="en-US"/>
              </w:rPr>
              <w:t>等危险物品进入大楼。</w:t>
            </w:r>
          </w:p>
        </w:tc>
        <w:tc>
          <w:tcPr>
            <w:tcW w:w="2890" w:type="dxa"/>
          </w:tcPr>
          <w:p>
            <w:pPr>
              <w:widowControl/>
              <w:wordWrap w:val="0"/>
              <w:autoSpaceDE w:val="0"/>
              <w:autoSpaceDN w:val="0"/>
              <w:adjustRightInd w:val="0"/>
              <w:snapToGrid w:val="0"/>
              <w:spacing w:before="55"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每发现一次未检查者扣款</w:t>
            </w:r>
            <w:r>
              <w:rPr>
                <w:rFonts w:ascii="宋体" w:eastAsia="Times New Roman" w:hAnsi="宋体" w:cs="宋体"/>
                <w:snapToGrid w:val="0"/>
                <w:color w:val="auto"/>
                <w:spacing w:val="-2"/>
                <w:kern w:val="0"/>
                <w:sz w:val="20"/>
                <w:szCs w:val="20"/>
                <w:highlight w:val="none"/>
                <w:lang w:eastAsia="en-US"/>
              </w:rPr>
              <w:t>100元。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29"/>
        </w:trPr>
        <w:tc>
          <w:tcPr>
            <w:tcW w:w="5655" w:type="dxa"/>
          </w:tcPr>
          <w:p>
            <w:pPr>
              <w:widowControl/>
              <w:wordWrap w:val="0"/>
              <w:autoSpaceDE w:val="0"/>
              <w:autoSpaceDN w:val="0"/>
              <w:adjustRightInd w:val="0"/>
              <w:snapToGrid w:val="0"/>
              <w:spacing w:before="57" w:line="259" w:lineRule="auto"/>
              <w:ind w:right="504"/>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大楼附近严禁打架、斗殴、寻衅滋事的事件发生；严禁</w:t>
            </w:r>
            <w:r>
              <w:rPr>
                <w:rFonts w:ascii="宋体" w:eastAsia="Times New Roman" w:hAnsi="宋体" w:cs="宋体"/>
                <w:snapToGrid w:val="0"/>
                <w:color w:val="auto"/>
                <w:spacing w:val="7"/>
                <w:kern w:val="0"/>
                <w:sz w:val="20"/>
                <w:szCs w:val="20"/>
                <w:highlight w:val="none"/>
                <w:lang w:eastAsia="en-US"/>
              </w:rPr>
              <w:t>盗窃和人为破坏行为。</w:t>
            </w:r>
          </w:p>
        </w:tc>
        <w:tc>
          <w:tcPr>
            <w:tcW w:w="2890" w:type="dxa"/>
          </w:tcPr>
          <w:p>
            <w:pPr>
              <w:widowControl/>
              <w:wordWrap w:val="0"/>
              <w:autoSpaceDE w:val="0"/>
              <w:autoSpaceDN w:val="0"/>
              <w:adjustRightInd w:val="0"/>
              <w:snapToGrid w:val="0"/>
              <w:spacing w:before="212"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5"/>
                <w:kern w:val="0"/>
                <w:sz w:val="20"/>
                <w:szCs w:val="20"/>
                <w:highlight w:val="none"/>
                <w:lang w:eastAsia="en-US"/>
              </w:rPr>
              <w:t>每发现一次扣款500元。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55" w:line="261" w:lineRule="auto"/>
              <w:ind w:right="504"/>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消防设备、器材和消防安全标志是否在位，状态是否良</w:t>
            </w:r>
            <w:r>
              <w:rPr>
                <w:rFonts w:ascii="宋体" w:eastAsia="Times New Roman" w:hAnsi="宋体" w:cs="宋体"/>
                <w:snapToGrid w:val="0"/>
                <w:color w:val="auto"/>
                <w:spacing w:val="8"/>
                <w:kern w:val="0"/>
                <w:sz w:val="20"/>
                <w:szCs w:val="20"/>
                <w:highlight w:val="none"/>
                <w:lang w:eastAsia="en-US"/>
              </w:rPr>
              <w:t>好，发现破损应及时维修更换。</w:t>
            </w:r>
          </w:p>
        </w:tc>
        <w:tc>
          <w:tcPr>
            <w:tcW w:w="2890" w:type="dxa"/>
          </w:tcPr>
          <w:p>
            <w:pPr>
              <w:widowControl/>
              <w:wordWrap w:val="0"/>
              <w:autoSpaceDE w:val="0"/>
              <w:autoSpaceDN w:val="0"/>
              <w:adjustRightInd w:val="0"/>
              <w:snapToGrid w:val="0"/>
              <w:spacing w:before="56"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每发现一次不合格者扣款</w:t>
            </w:r>
            <w:r>
              <w:rPr>
                <w:rFonts w:ascii="宋体" w:eastAsia="Times New Roman" w:hAnsi="宋体" w:cs="宋体"/>
                <w:snapToGrid w:val="0"/>
                <w:color w:val="auto"/>
                <w:spacing w:val="-2"/>
                <w:kern w:val="0"/>
                <w:sz w:val="20"/>
                <w:szCs w:val="20"/>
                <w:highlight w:val="none"/>
                <w:lang w:eastAsia="en-US"/>
              </w:rPr>
              <w:t>100元。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212"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8"/>
                <w:kern w:val="0"/>
                <w:sz w:val="20"/>
                <w:szCs w:val="20"/>
                <w:highlight w:val="none"/>
                <w:lang w:eastAsia="en-US"/>
              </w:rPr>
              <w:t>安全通道无违规占用、无杂物堆放等现象。</w:t>
            </w:r>
          </w:p>
        </w:tc>
        <w:tc>
          <w:tcPr>
            <w:tcW w:w="2890" w:type="dxa"/>
          </w:tcPr>
          <w:p>
            <w:pPr>
              <w:widowControl/>
              <w:wordWrap w:val="0"/>
              <w:autoSpaceDE w:val="0"/>
              <w:autoSpaceDN w:val="0"/>
              <w:adjustRightInd w:val="0"/>
              <w:snapToGrid w:val="0"/>
              <w:spacing w:before="56"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每发现一次不合格者扣款</w:t>
            </w:r>
            <w:r>
              <w:rPr>
                <w:rFonts w:ascii="宋体" w:eastAsia="Times New Roman" w:hAnsi="宋体" w:cs="宋体"/>
                <w:snapToGrid w:val="0"/>
                <w:color w:val="auto"/>
                <w:spacing w:val="-2"/>
                <w:kern w:val="0"/>
                <w:sz w:val="20"/>
                <w:szCs w:val="20"/>
                <w:highlight w:val="none"/>
                <w:lang w:eastAsia="en-US"/>
              </w:rPr>
              <w:t>100元。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102"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8"/>
                <w:kern w:val="0"/>
                <w:sz w:val="20"/>
                <w:szCs w:val="20"/>
                <w:highlight w:val="none"/>
                <w:lang w:eastAsia="en-US"/>
              </w:rPr>
              <w:t>闲杂人员进入大楼，院内车辆乱停乱放，不及时制止者。</w:t>
            </w:r>
          </w:p>
        </w:tc>
        <w:tc>
          <w:tcPr>
            <w:tcW w:w="2890" w:type="dxa"/>
          </w:tcPr>
          <w:p>
            <w:pPr>
              <w:widowControl/>
              <w:wordWrap w:val="0"/>
              <w:autoSpaceDE w:val="0"/>
              <w:autoSpaceDN w:val="0"/>
              <w:adjustRightInd w:val="0"/>
              <w:snapToGrid w:val="0"/>
              <w:spacing w:before="102"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5"/>
                <w:kern w:val="0"/>
                <w:sz w:val="20"/>
                <w:szCs w:val="20"/>
                <w:highlight w:val="none"/>
                <w:lang w:eastAsia="en-US"/>
              </w:rPr>
              <w:t>每发现一次扣款100元。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51" w:line="262" w:lineRule="auto"/>
              <w:ind w:right="539"/>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8"/>
                <w:kern w:val="0"/>
                <w:sz w:val="20"/>
                <w:szCs w:val="20"/>
                <w:highlight w:val="none"/>
                <w:lang w:eastAsia="en-US"/>
              </w:rPr>
              <w:t>建筑物内公共楼道、步行梯、电梯间、卫生间、大堂、</w:t>
            </w:r>
            <w:r>
              <w:rPr>
                <w:rFonts w:ascii="宋体" w:eastAsia="Times New Roman" w:hAnsi="宋体" w:cs="宋体"/>
                <w:snapToGrid w:val="0"/>
                <w:color w:val="auto"/>
                <w:spacing w:val="7"/>
                <w:kern w:val="0"/>
                <w:sz w:val="20"/>
                <w:szCs w:val="20"/>
                <w:highlight w:val="none"/>
                <w:lang w:eastAsia="en-US"/>
              </w:rPr>
              <w:t>门厅、会议室保洁及时、无死角。</w:t>
            </w:r>
          </w:p>
        </w:tc>
        <w:tc>
          <w:tcPr>
            <w:tcW w:w="2890" w:type="dxa"/>
          </w:tcPr>
          <w:p>
            <w:pPr>
              <w:widowControl/>
              <w:wordWrap w:val="0"/>
              <w:autoSpaceDE w:val="0"/>
              <w:autoSpaceDN w:val="0"/>
              <w:adjustRightInd w:val="0"/>
              <w:snapToGrid w:val="0"/>
              <w:spacing w:before="51"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每发现一次不合格者扣款</w:t>
            </w:r>
            <w:r>
              <w:rPr>
                <w:rFonts w:ascii="宋体" w:eastAsia="Times New Roman" w:hAnsi="宋体" w:cs="宋体"/>
                <w:snapToGrid w:val="0"/>
                <w:color w:val="auto"/>
                <w:spacing w:val="-2"/>
                <w:kern w:val="0"/>
                <w:sz w:val="20"/>
                <w:szCs w:val="20"/>
                <w:highlight w:val="none"/>
                <w:lang w:eastAsia="en-US"/>
              </w:rPr>
              <w:t>100元。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133" w:line="273" w:lineRule="auto"/>
              <w:ind w:right="328"/>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8"/>
                <w:kern w:val="0"/>
                <w:sz w:val="20"/>
                <w:szCs w:val="20"/>
                <w:highlight w:val="none"/>
                <w:lang w:eastAsia="en-US"/>
              </w:rPr>
              <w:t>大楼外观完好、整洁、外墙、广场路面、绿地、散水坡、</w:t>
            </w:r>
            <w:r>
              <w:rPr>
                <w:rFonts w:ascii="宋体" w:eastAsia="Times New Roman" w:hAnsi="宋体" w:cs="宋体"/>
                <w:snapToGrid w:val="0"/>
                <w:color w:val="auto"/>
                <w:spacing w:val="9"/>
                <w:kern w:val="0"/>
                <w:sz w:val="20"/>
                <w:szCs w:val="20"/>
                <w:highlight w:val="none"/>
                <w:lang w:eastAsia="en-US"/>
              </w:rPr>
              <w:t>停车场、水池、楼梯入口台阶保洁及时、无死角。</w:t>
            </w:r>
          </w:p>
        </w:tc>
        <w:tc>
          <w:tcPr>
            <w:tcW w:w="2890" w:type="dxa"/>
          </w:tcPr>
          <w:p>
            <w:pPr>
              <w:widowControl/>
              <w:wordWrap w:val="0"/>
              <w:autoSpaceDE w:val="0"/>
              <w:autoSpaceDN w:val="0"/>
              <w:adjustRightInd w:val="0"/>
              <w:snapToGrid w:val="0"/>
              <w:spacing w:before="132"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每发现一次不合格者扣款</w:t>
            </w:r>
            <w:r>
              <w:rPr>
                <w:rFonts w:ascii="宋体" w:eastAsia="Times New Roman" w:hAnsi="宋体" w:cs="宋体"/>
                <w:snapToGrid w:val="0"/>
                <w:color w:val="auto"/>
                <w:spacing w:val="-2"/>
                <w:kern w:val="0"/>
                <w:sz w:val="20"/>
                <w:szCs w:val="20"/>
                <w:highlight w:val="none"/>
                <w:lang w:eastAsia="en-US"/>
              </w:rPr>
              <w:t>100元。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119" w:line="273" w:lineRule="auto"/>
              <w:ind w:right="504"/>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果皮箱、垃圾箱等环卫设备内部垃圾及时清理，外表无</w:t>
            </w:r>
            <w:r>
              <w:rPr>
                <w:rFonts w:ascii="宋体" w:eastAsia="Times New Roman" w:hAnsi="宋体" w:cs="宋体"/>
                <w:snapToGrid w:val="0"/>
                <w:color w:val="auto"/>
                <w:spacing w:val="8"/>
                <w:kern w:val="0"/>
                <w:sz w:val="20"/>
                <w:szCs w:val="20"/>
                <w:highlight w:val="none"/>
                <w:lang w:eastAsia="en-US"/>
              </w:rPr>
              <w:t>污迹，垃圾箱周围无散落垃圾，污迹。</w:t>
            </w:r>
          </w:p>
        </w:tc>
        <w:tc>
          <w:tcPr>
            <w:tcW w:w="2890" w:type="dxa"/>
          </w:tcPr>
          <w:p>
            <w:pPr>
              <w:widowControl/>
              <w:wordWrap w:val="0"/>
              <w:autoSpaceDE w:val="0"/>
              <w:autoSpaceDN w:val="0"/>
              <w:adjustRightInd w:val="0"/>
              <w:snapToGrid w:val="0"/>
              <w:spacing w:before="118"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每发现一次不合格者扣款</w:t>
            </w:r>
            <w:r>
              <w:rPr>
                <w:rFonts w:ascii="宋体" w:eastAsia="Times New Roman" w:hAnsi="宋体" w:cs="宋体"/>
                <w:snapToGrid w:val="0"/>
                <w:color w:val="auto"/>
                <w:spacing w:val="-2"/>
                <w:kern w:val="0"/>
                <w:sz w:val="20"/>
                <w:szCs w:val="20"/>
                <w:highlight w:val="none"/>
                <w:lang w:eastAsia="en-US"/>
              </w:rPr>
              <w:t>100元。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53" w:line="261" w:lineRule="auto"/>
              <w:ind w:right="504"/>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雨、污水管井的井底无沉淀物，水流畅通；井盖上无污</w:t>
            </w:r>
            <w:r>
              <w:rPr>
                <w:rFonts w:ascii="宋体" w:eastAsia="Times New Roman" w:hAnsi="宋体" w:cs="宋体"/>
                <w:snapToGrid w:val="0"/>
                <w:color w:val="auto"/>
                <w:spacing w:val="7"/>
                <w:kern w:val="0"/>
                <w:sz w:val="20"/>
                <w:szCs w:val="20"/>
                <w:highlight w:val="none"/>
                <w:lang w:eastAsia="en-US"/>
              </w:rPr>
              <w:t>物，盖板无污迹。</w:t>
            </w:r>
          </w:p>
        </w:tc>
        <w:tc>
          <w:tcPr>
            <w:tcW w:w="2890" w:type="dxa"/>
          </w:tcPr>
          <w:p>
            <w:pPr>
              <w:widowControl/>
              <w:wordWrap w:val="0"/>
              <w:autoSpaceDE w:val="0"/>
              <w:autoSpaceDN w:val="0"/>
              <w:adjustRightInd w:val="0"/>
              <w:snapToGrid w:val="0"/>
              <w:spacing w:before="53"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每发现一次不合格者扣款</w:t>
            </w:r>
            <w:r>
              <w:rPr>
                <w:rFonts w:ascii="宋体" w:eastAsia="Times New Roman" w:hAnsi="宋体" w:cs="宋体"/>
                <w:snapToGrid w:val="0"/>
                <w:color w:val="auto"/>
                <w:spacing w:val="-2"/>
                <w:kern w:val="0"/>
                <w:sz w:val="20"/>
                <w:szCs w:val="20"/>
                <w:highlight w:val="none"/>
                <w:lang w:eastAsia="en-US"/>
              </w:rPr>
              <w:t>100元。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53" w:line="261" w:lineRule="auto"/>
              <w:ind w:right="504"/>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地面地漏完好无堵塞，无大面积积水，明沟、暗沟排水</w:t>
            </w:r>
            <w:r>
              <w:rPr>
                <w:rFonts w:ascii="宋体" w:eastAsia="Times New Roman" w:hAnsi="宋体" w:cs="宋体"/>
                <w:snapToGrid w:val="0"/>
                <w:color w:val="auto"/>
                <w:spacing w:val="8"/>
                <w:kern w:val="0"/>
                <w:sz w:val="20"/>
                <w:szCs w:val="20"/>
                <w:highlight w:val="none"/>
                <w:lang w:eastAsia="en-US"/>
              </w:rPr>
              <w:t>畅通，无垃圾，无溢流现象。沟盖板安装牢固、平稳。</w:t>
            </w:r>
          </w:p>
        </w:tc>
        <w:tc>
          <w:tcPr>
            <w:tcW w:w="2890" w:type="dxa"/>
          </w:tcPr>
          <w:p>
            <w:pPr>
              <w:widowControl/>
              <w:wordWrap w:val="0"/>
              <w:autoSpaceDE w:val="0"/>
              <w:autoSpaceDN w:val="0"/>
              <w:adjustRightInd w:val="0"/>
              <w:snapToGrid w:val="0"/>
              <w:spacing w:before="52"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每发现一次不合格者扣款</w:t>
            </w:r>
            <w:r>
              <w:rPr>
                <w:rFonts w:ascii="宋体" w:eastAsia="Times New Roman" w:hAnsi="宋体" w:cs="宋体"/>
                <w:snapToGrid w:val="0"/>
                <w:color w:val="auto"/>
                <w:spacing w:val="-2"/>
                <w:kern w:val="0"/>
                <w:sz w:val="20"/>
                <w:szCs w:val="20"/>
                <w:highlight w:val="none"/>
                <w:lang w:eastAsia="en-US"/>
              </w:rPr>
              <w:t>100元。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139" w:line="273" w:lineRule="auto"/>
              <w:ind w:right="924"/>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垃圾中转站、收集箱垃圾不能溢出，周围无散落垃圾，无明显污物。有效控制蝇、蚊等害虫孳</w:t>
            </w:r>
            <w:r>
              <w:rPr>
                <w:rFonts w:ascii="宋体" w:eastAsia="Times New Roman" w:hAnsi="宋体" w:cs="宋体"/>
                <w:snapToGrid w:val="0"/>
                <w:color w:val="auto"/>
                <w:spacing w:val="8"/>
                <w:kern w:val="0"/>
                <w:sz w:val="20"/>
                <w:szCs w:val="20"/>
                <w:highlight w:val="none"/>
                <w:lang w:eastAsia="en-US"/>
              </w:rPr>
              <w:t>生。</w:t>
            </w:r>
          </w:p>
        </w:tc>
        <w:tc>
          <w:tcPr>
            <w:tcW w:w="2890" w:type="dxa"/>
          </w:tcPr>
          <w:p>
            <w:pPr>
              <w:widowControl/>
              <w:wordWrap w:val="0"/>
              <w:autoSpaceDE w:val="0"/>
              <w:autoSpaceDN w:val="0"/>
              <w:adjustRightInd w:val="0"/>
              <w:snapToGrid w:val="0"/>
              <w:spacing w:before="138"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每发现一次不合格者扣款</w:t>
            </w:r>
            <w:r>
              <w:rPr>
                <w:rFonts w:ascii="宋体" w:eastAsia="Times New Roman" w:hAnsi="宋体" w:cs="宋体"/>
                <w:snapToGrid w:val="0"/>
                <w:color w:val="auto"/>
                <w:spacing w:val="-2"/>
                <w:kern w:val="0"/>
                <w:sz w:val="20"/>
                <w:szCs w:val="20"/>
                <w:highlight w:val="none"/>
                <w:lang w:eastAsia="en-US"/>
              </w:rPr>
              <w:t>100元。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54" w:line="274" w:lineRule="auto"/>
              <w:ind w:right="504"/>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绿化带、草坪、灌木定期浇水、修剪、养护、施肥，所有绿化长势良好，整齐美观，无病害、无斑秃无人为损坏；杂草经常进行清除。花草树木枯死应在一周内清除</w:t>
            </w:r>
            <w:r>
              <w:rPr>
                <w:rFonts w:ascii="宋体" w:eastAsia="Times New Roman" w:hAnsi="宋体" w:cs="宋体"/>
                <w:snapToGrid w:val="0"/>
                <w:color w:val="auto"/>
                <w:spacing w:val="3"/>
                <w:kern w:val="0"/>
                <w:sz w:val="20"/>
                <w:szCs w:val="20"/>
                <w:highlight w:val="none"/>
                <w:lang w:eastAsia="en-US"/>
              </w:rPr>
              <w:t>更换。</w:t>
            </w:r>
          </w:p>
        </w:tc>
        <w:tc>
          <w:tcPr>
            <w:tcW w:w="2890" w:type="dxa"/>
          </w:tcPr>
          <w:p>
            <w:pPr>
              <w:widowControl/>
              <w:wordWrap w:val="0"/>
              <w:autoSpaceDE w:val="0"/>
              <w:autoSpaceDN w:val="0"/>
              <w:adjustRightInd w:val="0"/>
              <w:snapToGrid w:val="0"/>
              <w:spacing w:before="210"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每发现一次不合格者扣款</w:t>
            </w:r>
            <w:r>
              <w:rPr>
                <w:rFonts w:ascii="宋体" w:eastAsia="Times New Roman" w:hAnsi="宋体" w:cs="宋体"/>
                <w:snapToGrid w:val="0"/>
                <w:color w:val="auto"/>
                <w:spacing w:val="-2"/>
                <w:kern w:val="0"/>
                <w:sz w:val="20"/>
                <w:szCs w:val="20"/>
                <w:highlight w:val="none"/>
                <w:lang w:eastAsia="en-US"/>
              </w:rPr>
              <w:t>100元。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210"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特殊工种人员必须具备相应的专业资质，持证上岗。</w:t>
            </w:r>
          </w:p>
        </w:tc>
        <w:tc>
          <w:tcPr>
            <w:tcW w:w="2890" w:type="dxa"/>
          </w:tcPr>
          <w:p>
            <w:pPr>
              <w:widowControl/>
              <w:wordWrap w:val="0"/>
              <w:autoSpaceDE w:val="0"/>
              <w:autoSpaceDN w:val="0"/>
              <w:adjustRightInd w:val="0"/>
              <w:snapToGrid w:val="0"/>
              <w:spacing w:before="54"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每发现一次不合格者扣款</w:t>
            </w:r>
            <w:r>
              <w:rPr>
                <w:rFonts w:ascii="宋体" w:eastAsia="Times New Roman" w:hAnsi="宋体" w:cs="宋体"/>
                <w:snapToGrid w:val="0"/>
                <w:color w:val="auto"/>
                <w:kern w:val="0"/>
                <w:sz w:val="20"/>
                <w:szCs w:val="20"/>
                <w:highlight w:val="none"/>
                <w:lang w:eastAsia="en-US"/>
              </w:rPr>
              <w:t>200元。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54"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8"/>
                <w:kern w:val="0"/>
                <w:sz w:val="20"/>
                <w:szCs w:val="20"/>
                <w:highlight w:val="none"/>
                <w:lang w:eastAsia="en-US"/>
              </w:rPr>
              <w:t>值班室上班时喝酒、睡觉、擅离岗位者。</w:t>
            </w:r>
          </w:p>
        </w:tc>
        <w:tc>
          <w:tcPr>
            <w:tcW w:w="2890" w:type="dxa"/>
          </w:tcPr>
          <w:p>
            <w:pPr>
              <w:widowControl/>
              <w:wordWrap w:val="0"/>
              <w:autoSpaceDE w:val="0"/>
              <w:autoSpaceDN w:val="0"/>
              <w:adjustRightInd w:val="0"/>
              <w:snapToGrid w:val="0"/>
              <w:spacing w:before="54"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3"/>
                <w:kern w:val="0"/>
                <w:sz w:val="20"/>
                <w:szCs w:val="20"/>
                <w:highlight w:val="none"/>
                <w:lang w:eastAsia="en-US"/>
              </w:rPr>
              <w:t>每次扣款100元。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210" w:line="227"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值班室保持清洁、卫生、采光、通风、照明良好。</w:t>
            </w:r>
          </w:p>
        </w:tc>
        <w:tc>
          <w:tcPr>
            <w:tcW w:w="2890" w:type="dxa"/>
          </w:tcPr>
          <w:p>
            <w:pPr>
              <w:widowControl/>
              <w:wordWrap w:val="0"/>
              <w:autoSpaceDE w:val="0"/>
              <w:autoSpaceDN w:val="0"/>
              <w:adjustRightInd w:val="0"/>
              <w:snapToGrid w:val="0"/>
              <w:spacing w:before="53" w:line="261" w:lineRule="auto"/>
              <w:ind w:right="102"/>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6"/>
                <w:kern w:val="0"/>
                <w:sz w:val="20"/>
                <w:szCs w:val="20"/>
                <w:highlight w:val="none"/>
                <w:lang w:eastAsia="en-US"/>
              </w:rPr>
              <w:t>每发现一次不合格者扣款100</w:t>
            </w:r>
            <w:r>
              <w:rPr>
                <w:rFonts w:ascii="宋体" w:eastAsia="Times New Roman" w:hAnsi="宋体" w:cs="宋体"/>
                <w:snapToGrid w:val="0"/>
                <w:color w:val="auto"/>
                <w:spacing w:val="-1"/>
                <w:kern w:val="0"/>
                <w:sz w:val="20"/>
                <w:szCs w:val="20"/>
                <w:highlight w:val="none"/>
                <w:lang w:eastAsia="en-US"/>
              </w:rPr>
              <w:t>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53" w:line="261" w:lineRule="auto"/>
              <w:ind w:right="293"/>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设备机房内整洁，无烟头无乱堆现象，保持机身洁净、仪表清晰，设备、阀门、管道工作正常、无跑冒滴漏。</w:t>
            </w:r>
          </w:p>
        </w:tc>
        <w:tc>
          <w:tcPr>
            <w:tcW w:w="2890" w:type="dxa"/>
          </w:tcPr>
          <w:p>
            <w:pPr>
              <w:widowControl/>
              <w:wordWrap w:val="0"/>
              <w:autoSpaceDE w:val="0"/>
              <w:autoSpaceDN w:val="0"/>
              <w:adjustRightInd w:val="0"/>
              <w:snapToGrid w:val="0"/>
              <w:spacing w:before="53"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每发现一次不合格者扣款</w:t>
            </w:r>
            <w:r>
              <w:rPr>
                <w:rFonts w:ascii="宋体" w:eastAsia="Times New Roman" w:hAnsi="宋体" w:cs="宋体"/>
                <w:snapToGrid w:val="0"/>
                <w:color w:val="auto"/>
                <w:spacing w:val="-2"/>
                <w:kern w:val="0"/>
                <w:sz w:val="20"/>
                <w:szCs w:val="20"/>
                <w:highlight w:val="none"/>
                <w:lang w:eastAsia="en-US"/>
              </w:rPr>
              <w:t>100元。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105"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8"/>
                <w:kern w:val="0"/>
                <w:sz w:val="20"/>
                <w:szCs w:val="20"/>
                <w:highlight w:val="none"/>
                <w:lang w:eastAsia="en-US"/>
              </w:rPr>
              <w:t>因维修保养不及时造成设备故障问题者。</w:t>
            </w:r>
          </w:p>
        </w:tc>
        <w:tc>
          <w:tcPr>
            <w:tcW w:w="2890" w:type="dxa"/>
          </w:tcPr>
          <w:p>
            <w:pPr>
              <w:widowControl/>
              <w:wordWrap w:val="0"/>
              <w:autoSpaceDE w:val="0"/>
              <w:autoSpaceDN w:val="0"/>
              <w:adjustRightInd w:val="0"/>
              <w:snapToGrid w:val="0"/>
              <w:spacing w:before="105"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4"/>
                <w:kern w:val="0"/>
                <w:sz w:val="20"/>
                <w:szCs w:val="20"/>
                <w:highlight w:val="none"/>
                <w:lang w:eastAsia="en-US"/>
              </w:rPr>
              <w:t>每次扣款500元。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137" w:line="274" w:lineRule="auto"/>
              <w:ind w:right="504"/>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接到业主报保修维修人员在规定时间内到达现场，维修</w:t>
            </w:r>
            <w:r>
              <w:rPr>
                <w:rFonts w:ascii="宋体" w:eastAsia="Times New Roman" w:hAnsi="宋体" w:cs="宋体"/>
                <w:snapToGrid w:val="0"/>
                <w:color w:val="auto"/>
                <w:spacing w:val="3"/>
                <w:kern w:val="0"/>
                <w:sz w:val="20"/>
                <w:szCs w:val="20"/>
                <w:highlight w:val="none"/>
                <w:lang w:eastAsia="en-US"/>
              </w:rPr>
              <w:t>及时。</w:t>
            </w:r>
          </w:p>
        </w:tc>
        <w:tc>
          <w:tcPr>
            <w:tcW w:w="2890" w:type="dxa"/>
          </w:tcPr>
          <w:p>
            <w:pPr>
              <w:widowControl/>
              <w:wordWrap w:val="0"/>
              <w:autoSpaceDE w:val="0"/>
              <w:autoSpaceDN w:val="0"/>
              <w:adjustRightInd w:val="0"/>
              <w:snapToGrid w:val="0"/>
              <w:spacing w:before="135"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每发现一次不合格者扣款</w:t>
            </w:r>
            <w:r>
              <w:rPr>
                <w:rFonts w:ascii="宋体" w:eastAsia="Times New Roman" w:hAnsi="宋体" w:cs="宋体"/>
                <w:snapToGrid w:val="0"/>
                <w:color w:val="auto"/>
                <w:spacing w:val="-2"/>
                <w:kern w:val="0"/>
                <w:sz w:val="20"/>
                <w:szCs w:val="20"/>
                <w:highlight w:val="none"/>
                <w:lang w:eastAsia="en-US"/>
              </w:rPr>
              <w:t>100元。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55" w:line="269" w:lineRule="auto"/>
              <w:ind w:right="504"/>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二次供水水箱按有关规定必须定期清洗，消毒加药。水质符合卫生要求，水箱加盖上锁，水箱口、泄水管口安</w:t>
            </w:r>
            <w:r>
              <w:rPr>
                <w:rFonts w:ascii="宋体" w:eastAsia="Times New Roman" w:hAnsi="宋体" w:cs="宋体"/>
                <w:snapToGrid w:val="0"/>
                <w:color w:val="auto"/>
                <w:spacing w:val="6"/>
                <w:kern w:val="0"/>
                <w:sz w:val="20"/>
                <w:szCs w:val="20"/>
                <w:highlight w:val="none"/>
                <w:lang w:eastAsia="en-US"/>
              </w:rPr>
              <w:t>装防虫纱网。</w:t>
            </w:r>
          </w:p>
        </w:tc>
        <w:tc>
          <w:tcPr>
            <w:tcW w:w="2890" w:type="dxa"/>
          </w:tcPr>
          <w:p>
            <w:pPr>
              <w:widowControl/>
              <w:wordWrap w:val="0"/>
              <w:autoSpaceDE w:val="0"/>
              <w:autoSpaceDN w:val="0"/>
              <w:adjustRightInd w:val="0"/>
              <w:snapToGrid w:val="0"/>
              <w:spacing w:before="210"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每发现一次不合格者扣款</w:t>
            </w:r>
            <w:r>
              <w:rPr>
                <w:rFonts w:ascii="宋体" w:eastAsia="Times New Roman" w:hAnsi="宋体" w:cs="宋体"/>
                <w:snapToGrid w:val="0"/>
                <w:color w:val="auto"/>
                <w:kern w:val="0"/>
                <w:sz w:val="20"/>
                <w:szCs w:val="20"/>
                <w:highlight w:val="none"/>
                <w:lang w:eastAsia="en-US"/>
              </w:rPr>
              <w:t>500元。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55" w:line="260" w:lineRule="auto"/>
              <w:ind w:right="504"/>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未及时巡查发现随意乱拆乱改室内装修或乱装乱钉已造</w:t>
            </w:r>
            <w:r>
              <w:rPr>
                <w:rFonts w:ascii="宋体" w:eastAsia="Times New Roman" w:hAnsi="宋体" w:cs="宋体"/>
                <w:snapToGrid w:val="0"/>
                <w:color w:val="auto"/>
                <w:spacing w:val="5"/>
                <w:kern w:val="0"/>
                <w:sz w:val="20"/>
                <w:szCs w:val="20"/>
                <w:highlight w:val="none"/>
                <w:lang w:eastAsia="en-US"/>
              </w:rPr>
              <w:t>成事实者。</w:t>
            </w:r>
          </w:p>
        </w:tc>
        <w:tc>
          <w:tcPr>
            <w:tcW w:w="2890" w:type="dxa"/>
          </w:tcPr>
          <w:p>
            <w:pPr>
              <w:widowControl/>
              <w:wordWrap w:val="0"/>
              <w:autoSpaceDE w:val="0"/>
              <w:autoSpaceDN w:val="0"/>
              <w:adjustRightInd w:val="0"/>
              <w:snapToGrid w:val="0"/>
              <w:spacing w:before="211"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3"/>
                <w:kern w:val="0"/>
                <w:sz w:val="20"/>
                <w:szCs w:val="20"/>
                <w:highlight w:val="none"/>
                <w:lang w:eastAsia="en-US"/>
              </w:rPr>
              <w:t>每次扣款100元。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83"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对待业主顾客态度蛮横或与业主顾客吵架、打架者。</w:t>
            </w:r>
          </w:p>
        </w:tc>
        <w:tc>
          <w:tcPr>
            <w:tcW w:w="2890" w:type="dxa"/>
          </w:tcPr>
          <w:p>
            <w:pPr>
              <w:widowControl/>
              <w:wordWrap w:val="0"/>
              <w:autoSpaceDE w:val="0"/>
              <w:autoSpaceDN w:val="0"/>
              <w:adjustRightInd w:val="0"/>
              <w:snapToGrid w:val="0"/>
              <w:spacing w:before="83"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5"/>
                <w:kern w:val="0"/>
                <w:sz w:val="20"/>
                <w:szCs w:val="20"/>
                <w:highlight w:val="none"/>
                <w:lang w:eastAsia="en-US"/>
              </w:rPr>
              <w:t>每次扣款200元以上。</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113"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8"/>
                <w:kern w:val="0"/>
                <w:sz w:val="20"/>
                <w:szCs w:val="20"/>
                <w:highlight w:val="none"/>
                <w:lang w:eastAsia="en-US"/>
              </w:rPr>
              <w:t>大楼内单位发生有效投诉。</w:t>
            </w:r>
          </w:p>
        </w:tc>
        <w:tc>
          <w:tcPr>
            <w:tcW w:w="2890" w:type="dxa"/>
          </w:tcPr>
          <w:p>
            <w:pPr>
              <w:widowControl/>
              <w:wordWrap w:val="0"/>
              <w:autoSpaceDE w:val="0"/>
              <w:autoSpaceDN w:val="0"/>
              <w:adjustRightInd w:val="0"/>
              <w:snapToGrid w:val="0"/>
              <w:spacing w:before="113"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5"/>
                <w:kern w:val="0"/>
                <w:sz w:val="20"/>
                <w:szCs w:val="20"/>
                <w:highlight w:val="none"/>
                <w:lang w:eastAsia="en-US"/>
              </w:rPr>
              <w:t>每次扣款200元以上。</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113" w:line="274" w:lineRule="auto"/>
              <w:ind w:right="504"/>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不服从分配顶撞领导，对所分配的工作处理不及时、不</w:t>
            </w:r>
            <w:r>
              <w:rPr>
                <w:rFonts w:ascii="宋体" w:eastAsia="Times New Roman" w:hAnsi="宋体" w:cs="宋体"/>
                <w:snapToGrid w:val="0"/>
                <w:color w:val="auto"/>
                <w:spacing w:val="7"/>
                <w:kern w:val="0"/>
                <w:sz w:val="20"/>
                <w:szCs w:val="20"/>
                <w:highlight w:val="none"/>
                <w:lang w:eastAsia="en-US"/>
              </w:rPr>
              <w:t>到位或置之不理者。</w:t>
            </w:r>
          </w:p>
        </w:tc>
        <w:tc>
          <w:tcPr>
            <w:tcW w:w="2890" w:type="dxa"/>
          </w:tcPr>
          <w:p>
            <w:pPr>
              <w:widowControl/>
              <w:wordWrap w:val="0"/>
              <w:autoSpaceDE w:val="0"/>
              <w:autoSpaceDN w:val="0"/>
              <w:adjustRightInd w:val="0"/>
              <w:snapToGrid w:val="0"/>
              <w:spacing w:before="270"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4"/>
                <w:kern w:val="0"/>
                <w:sz w:val="20"/>
                <w:szCs w:val="20"/>
                <w:highlight w:val="none"/>
                <w:lang w:eastAsia="en-US"/>
              </w:rPr>
              <w:t>每次扣款200元。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r>
        <w:tblPrEx>
          <w:tblW w:w="9179" w:type="dxa"/>
          <w:tblInd w:w="2" w:type="dxa"/>
          <w:tblLayout w:type="fixed"/>
          <w:tblCellMar>
            <w:top w:w="0" w:type="dxa"/>
            <w:left w:w="0" w:type="dxa"/>
            <w:bottom w:w="0" w:type="dxa"/>
            <w:right w:w="0" w:type="dxa"/>
          </w:tblCellMar>
        </w:tblPrEx>
        <w:trPr>
          <w:trHeight w:val="631"/>
        </w:trPr>
        <w:tc>
          <w:tcPr>
            <w:tcW w:w="5655" w:type="dxa"/>
          </w:tcPr>
          <w:p>
            <w:pPr>
              <w:widowControl/>
              <w:wordWrap w:val="0"/>
              <w:autoSpaceDE w:val="0"/>
              <w:autoSpaceDN w:val="0"/>
              <w:adjustRightInd w:val="0"/>
              <w:snapToGrid w:val="0"/>
              <w:spacing w:before="55" w:line="262" w:lineRule="auto"/>
              <w:ind w:right="504"/>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9"/>
                <w:kern w:val="0"/>
                <w:sz w:val="20"/>
                <w:szCs w:val="20"/>
                <w:highlight w:val="none"/>
                <w:lang w:eastAsia="en-US"/>
              </w:rPr>
              <w:t>物业中心落实上级主管部门下达的任务不及时、不到位</w:t>
            </w:r>
            <w:r>
              <w:rPr>
                <w:rFonts w:ascii="宋体" w:eastAsia="Times New Roman" w:hAnsi="宋体" w:cs="宋体"/>
                <w:snapToGrid w:val="0"/>
                <w:color w:val="auto"/>
                <w:spacing w:val="6"/>
                <w:kern w:val="0"/>
                <w:sz w:val="20"/>
                <w:szCs w:val="20"/>
                <w:highlight w:val="none"/>
                <w:lang w:eastAsia="en-US"/>
              </w:rPr>
              <w:t>或置之不理者。</w:t>
            </w:r>
          </w:p>
        </w:tc>
        <w:tc>
          <w:tcPr>
            <w:tcW w:w="2890" w:type="dxa"/>
          </w:tcPr>
          <w:p>
            <w:pPr>
              <w:widowControl/>
              <w:wordWrap w:val="0"/>
              <w:autoSpaceDE w:val="0"/>
              <w:autoSpaceDN w:val="0"/>
              <w:adjustRightInd w:val="0"/>
              <w:snapToGrid w:val="0"/>
              <w:spacing w:before="211" w:line="228" w:lineRule="auto"/>
              <w:jc w:val="left"/>
              <w:textAlignment w:val="baseline"/>
              <w:rPr>
                <w:rFonts w:ascii="宋体" w:eastAsia="Times New Roman" w:hAnsi="宋体" w:cs="宋体"/>
                <w:snapToGrid w:val="0"/>
                <w:color w:val="auto"/>
                <w:kern w:val="0"/>
                <w:sz w:val="20"/>
                <w:szCs w:val="20"/>
                <w:highlight w:val="none"/>
                <w:lang w:eastAsia="en-US"/>
              </w:rPr>
            </w:pPr>
            <w:r>
              <w:rPr>
                <w:rFonts w:ascii="宋体" w:eastAsia="Times New Roman" w:hAnsi="宋体" w:cs="宋体"/>
                <w:snapToGrid w:val="0"/>
                <w:color w:val="auto"/>
                <w:spacing w:val="4"/>
                <w:kern w:val="0"/>
                <w:sz w:val="20"/>
                <w:szCs w:val="20"/>
                <w:highlight w:val="none"/>
                <w:lang w:eastAsia="en-US"/>
              </w:rPr>
              <w:t>每次扣款300元。</w:t>
            </w:r>
          </w:p>
        </w:tc>
        <w:tc>
          <w:tcPr>
            <w:tcW w:w="634" w:type="dxa"/>
          </w:tcPr>
          <w:p>
            <w:pPr>
              <w:widowControl/>
              <w:wordWrap w:val="0"/>
              <w:autoSpaceDE w:val="0"/>
              <w:autoSpaceDN w:val="0"/>
              <w:adjustRightInd w:val="0"/>
              <w:snapToGrid w:val="0"/>
              <w:ind w:firstLine="420" w:firstLineChars="200"/>
              <w:jc w:val="left"/>
              <w:textAlignment w:val="baseline"/>
              <w:rPr>
                <w:rFonts w:ascii="Arial" w:eastAsia="Arial" w:hAnsi="Arial" w:cs="Arial"/>
                <w:snapToGrid w:val="0"/>
                <w:color w:val="auto"/>
                <w:kern w:val="0"/>
                <w:szCs w:val="21"/>
                <w:highlight w:val="none"/>
                <w:lang w:eastAsia="en-US"/>
              </w:rPr>
            </w:pPr>
          </w:p>
        </w:tc>
      </w:tr>
    </w:tbl>
    <w:p>
      <w:pPr>
        <w:widowControl/>
        <w:wordWrap w:val="0"/>
        <w:autoSpaceDE w:val="0"/>
        <w:autoSpaceDN w:val="0"/>
        <w:adjustRightInd w:val="0"/>
        <w:snapToGrid w:val="0"/>
        <w:spacing w:line="187" w:lineRule="exact"/>
        <w:jc w:val="left"/>
        <w:textAlignment w:val="baseline"/>
        <w:rPr>
          <w:rFonts w:ascii="Arial" w:eastAsia="Arial" w:hAnsi="Arial" w:cs="Arial"/>
          <w:snapToGrid w:val="0"/>
          <w:color w:val="auto"/>
          <w:kern w:val="0"/>
          <w:sz w:val="16"/>
          <w:szCs w:val="21"/>
          <w:highlight w:val="none"/>
          <w:lang w:eastAsia="en-US"/>
        </w:rPr>
      </w:pPr>
    </w:p>
    <w:p>
      <w:pPr>
        <w:wordWrap w:val="0"/>
        <w:spacing w:line="187" w:lineRule="exact"/>
        <w:rPr>
          <w:rFonts w:ascii="Arial" w:eastAsia="Arial" w:hAnsi="Arial" w:cs="Arial"/>
          <w:color w:val="auto"/>
          <w:sz w:val="16"/>
          <w:szCs w:val="16"/>
          <w:highlight w:val="none"/>
        </w:rPr>
        <w:sectPr>
          <w:footerReference w:type="default" r:id="rId5"/>
          <w:pgSz w:w="11906" w:h="16839"/>
          <w:pgMar w:top="1431" w:right="1418" w:bottom="1378" w:left="1298" w:header="0" w:footer="1212" w:gutter="0"/>
          <w:cols w:num="1" w:space="720"/>
        </w:sectPr>
      </w:pPr>
    </w:p>
    <w:p>
      <w:pPr>
        <w:wordWrap w:val="0"/>
        <w:autoSpaceDE w:val="0"/>
        <w:autoSpaceDN w:val="0"/>
        <w:adjustRightInd w:val="0"/>
        <w:snapToGrid w:val="0"/>
        <w:spacing w:before="149" w:line="355" w:lineRule="auto"/>
        <w:ind w:left="8" w:firstLine="431"/>
        <w:jc w:val="left"/>
        <w:textAlignment w:val="baseline"/>
        <w:rPr>
          <w:rFonts w:ascii="仿宋" w:eastAsia="仿宋" w:hAnsi="仿宋" w:cs="仿宋"/>
          <w:b/>
          <w:bCs/>
          <w:snapToGrid w:val="0"/>
          <w:color w:val="auto"/>
          <w:spacing w:val="8"/>
          <w:kern w:val="0"/>
          <w:sz w:val="24"/>
          <w:szCs w:val="24"/>
          <w:highlight w:val="none"/>
          <w:lang w:eastAsia="en-US"/>
        </w:rPr>
      </w:pPr>
      <w:r>
        <w:rPr>
          <w:rFonts w:ascii="仿宋" w:eastAsia="仿宋" w:hAnsi="仿宋" w:cs="仿宋" w:hint="eastAsia"/>
          <w:b/>
          <w:bCs/>
          <w:snapToGrid w:val="0"/>
          <w:color w:val="auto"/>
          <w:spacing w:val="8"/>
          <w:kern w:val="0"/>
          <w:sz w:val="24"/>
          <w:szCs w:val="24"/>
          <w:highlight w:val="none"/>
          <w:lang w:eastAsia="en-US"/>
        </w:rPr>
        <w:t>附件三：</w:t>
      </w:r>
    </w:p>
    <w:p>
      <w:pPr>
        <w:widowControl/>
        <w:overflowPunct w:val="0"/>
        <w:autoSpaceDE w:val="0"/>
        <w:autoSpaceDN w:val="0"/>
        <w:adjustRightInd w:val="0"/>
        <w:snapToGrid w:val="0"/>
        <w:spacing w:line="257" w:lineRule="auto"/>
        <w:jc w:val="left"/>
        <w:textAlignment w:val="baseline"/>
        <w:rPr>
          <w:rFonts w:ascii="Arial" w:eastAsia="Arial" w:hAnsi="Arial" w:cs="Arial"/>
          <w:snapToGrid w:val="0"/>
          <w:color w:val="auto"/>
          <w:kern w:val="0"/>
          <w:szCs w:val="21"/>
          <w:highlight w:val="none"/>
          <w:lang w:eastAsia="en-US"/>
        </w:rPr>
      </w:pPr>
    </w:p>
    <w:p>
      <w:pPr>
        <w:wordWrap w:val="0"/>
        <w:autoSpaceDE w:val="0"/>
        <w:autoSpaceDN w:val="0"/>
        <w:adjustRightInd w:val="0"/>
        <w:snapToGrid w:val="0"/>
        <w:spacing w:before="149" w:line="355" w:lineRule="auto"/>
        <w:ind w:left="8" w:firstLine="431"/>
        <w:jc w:val="center"/>
        <w:textAlignment w:val="baseline"/>
        <w:rPr>
          <w:rFonts w:ascii="仿宋" w:eastAsia="仿宋" w:hAnsi="仿宋" w:cs="仿宋"/>
          <w:b/>
          <w:bCs/>
          <w:snapToGrid w:val="0"/>
          <w:color w:val="auto"/>
          <w:spacing w:val="8"/>
          <w:kern w:val="0"/>
          <w:sz w:val="24"/>
          <w:szCs w:val="24"/>
          <w:highlight w:val="none"/>
        </w:rPr>
      </w:pPr>
      <w:r>
        <w:rPr>
          <w:rFonts w:ascii="仿宋" w:eastAsia="仿宋" w:hAnsi="仿宋" w:cs="仿宋" w:hint="eastAsia"/>
          <w:b/>
          <w:bCs/>
          <w:snapToGrid w:val="0"/>
          <w:color w:val="auto"/>
          <w:spacing w:val="8"/>
          <w:kern w:val="0"/>
          <w:sz w:val="24"/>
          <w:szCs w:val="24"/>
          <w:highlight w:val="none"/>
        </w:rPr>
        <w:t>柳州市税务局办公区管理办法</w:t>
      </w:r>
    </w:p>
    <w:p>
      <w:pPr>
        <w:wordWrap w:val="0"/>
        <w:autoSpaceDE w:val="0"/>
        <w:autoSpaceDN w:val="0"/>
        <w:adjustRightInd w:val="0"/>
        <w:snapToGrid w:val="0"/>
        <w:spacing w:before="149" w:line="355" w:lineRule="auto"/>
        <w:ind w:left="8" w:firstLine="431"/>
        <w:jc w:val="center"/>
        <w:textAlignment w:val="baseline"/>
        <w:rPr>
          <w:rFonts w:ascii="仿宋" w:eastAsia="仿宋" w:hAnsi="仿宋" w:cs="仿宋"/>
          <w:b/>
          <w:bCs/>
          <w:snapToGrid w:val="0"/>
          <w:color w:val="auto"/>
          <w:spacing w:val="8"/>
          <w:kern w:val="0"/>
          <w:sz w:val="24"/>
          <w:szCs w:val="24"/>
          <w:highlight w:val="none"/>
        </w:rPr>
      </w:pPr>
      <w:r>
        <w:rPr>
          <w:rFonts w:ascii="仿宋" w:eastAsia="仿宋" w:hAnsi="仿宋" w:cs="仿宋" w:hint="eastAsia"/>
          <w:b/>
          <w:bCs/>
          <w:snapToGrid w:val="0"/>
          <w:color w:val="auto"/>
          <w:spacing w:val="8"/>
          <w:kern w:val="0"/>
          <w:sz w:val="24"/>
          <w:szCs w:val="24"/>
          <w:highlight w:val="none"/>
        </w:rPr>
        <w:t>(试行)</w:t>
      </w:r>
    </w:p>
    <w:p>
      <w:pPr>
        <w:widowControl/>
        <w:overflowPunct w:val="0"/>
        <w:autoSpaceDE w:val="0"/>
        <w:autoSpaceDN w:val="0"/>
        <w:adjustRightInd w:val="0"/>
        <w:snapToGrid w:val="0"/>
        <w:spacing w:line="317" w:lineRule="auto"/>
        <w:ind w:firstLine="420" w:firstLineChars="200"/>
        <w:jc w:val="left"/>
        <w:textAlignment w:val="baseline"/>
        <w:rPr>
          <w:rFonts w:ascii="Arial" w:eastAsia="Arial" w:hAnsi="Arial" w:cs="Arial"/>
          <w:snapToGrid w:val="0"/>
          <w:color w:val="auto"/>
          <w:kern w:val="0"/>
          <w:szCs w:val="21"/>
          <w:highlight w:val="none"/>
        </w:rPr>
      </w:pPr>
    </w:p>
    <w:p>
      <w:pPr>
        <w:widowControl/>
        <w:overflowPunct w:val="0"/>
        <w:autoSpaceDE w:val="0"/>
        <w:autoSpaceDN w:val="0"/>
        <w:adjustRightInd w:val="0"/>
        <w:snapToGrid w:val="0"/>
        <w:spacing w:line="360" w:lineRule="auto"/>
        <w:jc w:val="center"/>
        <w:textAlignment w:val="baseline"/>
        <w:rPr>
          <w:rFonts w:ascii="Arial" w:hAnsi="宋体" w:cs="宋体"/>
          <w:snapToGrid w:val="0"/>
          <w:color w:val="auto"/>
          <w:kern w:val="0"/>
          <w:szCs w:val="31"/>
          <w:highlight w:val="none"/>
        </w:rPr>
      </w:pPr>
      <w:r>
        <w:rPr>
          <w:rFonts w:ascii="宋体" w:hAnsi="宋体" w:cs="宋体"/>
          <w:b/>
          <w:bCs/>
          <w:snapToGrid w:val="0"/>
          <w:color w:val="auto"/>
          <w:spacing w:val="1"/>
          <w:kern w:val="0"/>
          <w:sz w:val="20"/>
          <w:szCs w:val="20"/>
          <w:highlight w:val="none"/>
        </w:rPr>
        <w:t>第一章</w:t>
      </w:r>
      <w:r>
        <w:rPr>
          <w:rFonts w:ascii="宋体" w:hAnsi="宋体" w:cs="宋体" w:hint="eastAsia"/>
          <w:b/>
          <w:bCs/>
          <w:snapToGrid w:val="0"/>
          <w:color w:val="auto"/>
          <w:spacing w:val="1"/>
          <w:kern w:val="0"/>
          <w:sz w:val="20"/>
          <w:szCs w:val="20"/>
          <w:highlight w:val="none"/>
        </w:rPr>
        <w:t xml:space="preserve"> </w:t>
      </w:r>
      <w:r>
        <w:rPr>
          <w:rFonts w:ascii="宋体" w:hAnsi="宋体" w:cs="宋体"/>
          <w:b/>
          <w:bCs/>
          <w:snapToGrid w:val="0"/>
          <w:color w:val="auto"/>
          <w:spacing w:val="1"/>
          <w:kern w:val="0"/>
          <w:sz w:val="20"/>
          <w:szCs w:val="20"/>
          <w:highlight w:val="none"/>
        </w:rPr>
        <w:t>总则</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第一条为了进一步规范</w:t>
      </w:r>
      <w:r>
        <w:rPr>
          <w:rFonts w:ascii="宋体" w:hAnsi="宋体" w:cs="宋体" w:hint="eastAsia"/>
          <w:snapToGrid w:val="0"/>
          <w:color w:val="auto"/>
          <w:spacing w:val="11"/>
          <w:kern w:val="0"/>
          <w:sz w:val="20"/>
          <w:szCs w:val="20"/>
          <w:highlight w:val="none"/>
        </w:rPr>
        <w:t>柳州市</w:t>
      </w:r>
      <w:r>
        <w:rPr>
          <w:rFonts w:ascii="宋体" w:hAnsi="宋体" w:cs="宋体"/>
          <w:snapToGrid w:val="0"/>
          <w:color w:val="auto"/>
          <w:spacing w:val="11"/>
          <w:kern w:val="0"/>
          <w:sz w:val="20"/>
          <w:szCs w:val="20"/>
          <w:highlight w:val="none"/>
        </w:rPr>
        <w:t>税务局</w:t>
      </w:r>
      <w:r>
        <w:rPr>
          <w:rFonts w:ascii="宋体" w:hAnsi="宋体" w:cs="宋体" w:hint="eastAsia"/>
          <w:snapToGrid w:val="0"/>
          <w:color w:val="auto"/>
          <w:spacing w:val="11"/>
          <w:kern w:val="0"/>
          <w:sz w:val="20"/>
          <w:szCs w:val="20"/>
          <w:highlight w:val="none"/>
        </w:rPr>
        <w:t>办公区</w:t>
      </w:r>
      <w:r>
        <w:rPr>
          <w:rFonts w:ascii="宋体" w:hAnsi="宋体" w:cs="宋体"/>
          <w:snapToGrid w:val="0"/>
          <w:color w:val="auto"/>
          <w:spacing w:val="10"/>
          <w:kern w:val="0"/>
          <w:sz w:val="20"/>
          <w:szCs w:val="20"/>
          <w:highlight w:val="none"/>
        </w:rPr>
        <w:t>（以下简称机关大院）的管理，</w:t>
      </w:r>
      <w:r>
        <w:rPr>
          <w:rFonts w:ascii="宋体" w:hAnsi="宋体" w:cs="宋体"/>
          <w:snapToGrid w:val="0"/>
          <w:color w:val="auto"/>
          <w:spacing w:val="11"/>
          <w:kern w:val="0"/>
          <w:sz w:val="20"/>
          <w:szCs w:val="20"/>
          <w:highlight w:val="none"/>
        </w:rPr>
        <w:t>建设和谐、文明、安全、整洁、有序的机关大院，为大家营造</w:t>
      </w:r>
      <w:r>
        <w:rPr>
          <w:rFonts w:ascii="宋体" w:hAnsi="宋体" w:cs="宋体"/>
          <w:snapToGrid w:val="0"/>
          <w:color w:val="auto"/>
          <w:spacing w:val="10"/>
          <w:kern w:val="0"/>
          <w:sz w:val="20"/>
          <w:szCs w:val="20"/>
          <w:highlight w:val="none"/>
        </w:rPr>
        <w:t>良好的生活和工作环境，根据国务院</w:t>
      </w:r>
      <w:r>
        <w:rPr>
          <w:rFonts w:ascii="宋体" w:hAnsi="宋体" w:cs="宋体"/>
          <w:snapToGrid w:val="0"/>
          <w:color w:val="auto"/>
          <w:spacing w:val="9"/>
          <w:kern w:val="0"/>
          <w:sz w:val="20"/>
          <w:szCs w:val="20"/>
          <w:highlight w:val="none"/>
        </w:rPr>
        <w:t>《物业管理条例</w:t>
      </w:r>
      <w:r>
        <w:rPr>
          <w:rFonts w:ascii="宋体" w:hAnsi="宋体" w:cs="宋体" w:hint="eastAsia"/>
          <w:snapToGrid w:val="0"/>
          <w:color w:val="auto"/>
          <w:spacing w:val="9"/>
          <w:kern w:val="0"/>
          <w:sz w:val="20"/>
          <w:szCs w:val="20"/>
          <w:highlight w:val="none"/>
        </w:rPr>
        <w:t>》</w:t>
      </w:r>
      <w:r>
        <w:rPr>
          <w:rFonts w:ascii="宋体" w:hAnsi="宋体" w:cs="宋体"/>
          <w:snapToGrid w:val="0"/>
          <w:color w:val="auto"/>
          <w:spacing w:val="9"/>
          <w:kern w:val="0"/>
          <w:sz w:val="20"/>
          <w:szCs w:val="20"/>
          <w:highlight w:val="none"/>
        </w:rPr>
        <w:t>等有关规定，结合机关大院的实际，特制定本办法。</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8"/>
          <w:kern w:val="0"/>
          <w:sz w:val="20"/>
          <w:szCs w:val="20"/>
          <w:highlight w:val="none"/>
        </w:rPr>
        <w:t>第二条本办法适用于机关大院辖区内的管理。辖区位于</w:t>
      </w:r>
      <w:r>
        <w:rPr>
          <w:rFonts w:ascii="宋体" w:hAnsi="宋体" w:cs="宋体" w:hint="eastAsia"/>
          <w:snapToGrid w:val="0"/>
          <w:color w:val="auto"/>
          <w:spacing w:val="8"/>
          <w:kern w:val="0"/>
          <w:sz w:val="20"/>
          <w:szCs w:val="20"/>
          <w:highlight w:val="none"/>
        </w:rPr>
        <w:t>柳州市潭中东路26号、潭中东路14号、三中路跃进村162号、屏山大道312号</w:t>
      </w:r>
      <w:r>
        <w:rPr>
          <w:rFonts w:ascii="宋体" w:hAnsi="宋体" w:cs="宋体"/>
          <w:snapToGrid w:val="0"/>
          <w:color w:val="auto"/>
          <w:spacing w:val="9"/>
          <w:kern w:val="0"/>
          <w:sz w:val="20"/>
          <w:szCs w:val="20"/>
          <w:highlight w:val="none"/>
        </w:rPr>
        <w:t>，所辖范围：办公大楼、机关食堂、停车场、公共绿化带及公共设施等。</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0"/>
          <w:kern w:val="0"/>
          <w:sz w:val="20"/>
          <w:szCs w:val="20"/>
          <w:highlight w:val="none"/>
        </w:rPr>
        <w:t>第三条机关大院的管理工作主要由机关服务中心负责</w:t>
      </w:r>
      <w:r>
        <w:rPr>
          <w:rFonts w:ascii="宋体" w:hAnsi="宋体" w:cs="宋体" w:hint="eastAsia"/>
          <w:snapToGrid w:val="0"/>
          <w:color w:val="auto"/>
          <w:spacing w:val="10"/>
          <w:kern w:val="0"/>
          <w:sz w:val="20"/>
          <w:szCs w:val="20"/>
          <w:highlight w:val="none"/>
        </w:rPr>
        <w:t>，由提供物业管理服务的物业公司具体实施</w:t>
      </w:r>
      <w:r>
        <w:rPr>
          <w:rFonts w:ascii="宋体" w:hAnsi="宋体" w:cs="宋体"/>
          <w:snapToGrid w:val="0"/>
          <w:color w:val="auto"/>
          <w:spacing w:val="9"/>
          <w:kern w:val="0"/>
          <w:sz w:val="20"/>
          <w:szCs w:val="20"/>
          <w:highlight w:val="none"/>
        </w:rPr>
        <w:t>。</w:t>
      </w:r>
    </w:p>
    <w:p>
      <w:pPr>
        <w:widowControl/>
        <w:overflowPunct w:val="0"/>
        <w:autoSpaceDE w:val="0"/>
        <w:autoSpaceDN w:val="0"/>
        <w:adjustRightInd w:val="0"/>
        <w:snapToGrid w:val="0"/>
        <w:spacing w:line="360" w:lineRule="auto"/>
        <w:ind w:firstLine="400" w:firstLineChars="200"/>
        <w:jc w:val="left"/>
        <w:textAlignment w:val="baseline"/>
        <w:rPr>
          <w:rFonts w:ascii="Arial" w:hAnsi="宋体" w:cs="宋体"/>
          <w:snapToGrid w:val="0"/>
          <w:color w:val="auto"/>
          <w:kern w:val="0"/>
          <w:szCs w:val="31"/>
          <w:highlight w:val="none"/>
        </w:rPr>
      </w:pPr>
      <w:r>
        <w:rPr>
          <w:rFonts w:ascii="宋体" w:hAnsi="宋体" w:cs="宋体"/>
          <w:snapToGrid w:val="0"/>
          <w:color w:val="auto"/>
          <w:spacing w:val="9"/>
          <w:kern w:val="0"/>
          <w:sz w:val="20"/>
          <w:szCs w:val="20"/>
          <w:highlight w:val="none"/>
        </w:rPr>
        <w:t>第四条在机关大院内工作及生活的所有人员应自觉遵守并接受本办法的管理。</w:t>
      </w: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第二章公共部位及设施管理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五条机关大院内的道路和公共部位，任何单位和个人不得占用，各楼的走廊、通道、楼梯等公共部位，不得乱停放车辆，乱堆放杂物；不得乱张贴或悬挂图表、牌匾、通知等，需要张贴的由有关部门或个人提出申请，经机关服务中心同意后，可在适当位置张贴或悬挂。</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第六条应自觉爱护机关大院一切公共设施，不得损坏或破坏。对损坏或破坏公共设施的行为，视情节轻重予以处理，如恢复原貌、赔偿损失等。</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第七条不得擅自改造、安装机关大院的水、电、气供应系统、电动车充电系统、有线电视线路以及网络通信等公共设施，造成损坏的由当事人负责赔偿。</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第八条对房屋、水、电等保养和维护</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（一）物业公司应定期对机关大院的办公楼、食堂、停车场、道路、水电等进行检查，发现问题及时处理，并将检查维修情况及时登记，对各部门报修的维修项目登记后，应及时派员进行维修。</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（二）长时间离开办公室应关闭照明、空调、电脑等。</w:t>
      </w: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snapToGrid w:val="0"/>
          <w:color w:val="auto"/>
          <w:kern w:val="0"/>
          <w:sz w:val="20"/>
          <w:szCs w:val="20"/>
          <w:highlight w:val="none"/>
        </w:rPr>
      </w:pPr>
      <w:r>
        <w:rPr>
          <w:rFonts w:ascii="宋体" w:hAnsi="宋体" w:cs="宋体"/>
          <w:b/>
          <w:bCs/>
          <w:snapToGrid w:val="0"/>
          <w:color w:val="auto"/>
          <w:spacing w:val="1"/>
          <w:kern w:val="0"/>
          <w:sz w:val="20"/>
          <w:szCs w:val="20"/>
          <w:highlight w:val="none"/>
        </w:rPr>
        <w:t>第三章出入管理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8"/>
          <w:kern w:val="0"/>
          <w:sz w:val="20"/>
          <w:szCs w:val="20"/>
          <w:highlight w:val="none"/>
        </w:rPr>
        <w:t>第九条人员出入规定</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（一）进出机关大院人员应自觉接受门卫值班员的问询或</w:t>
      </w:r>
      <w:r>
        <w:rPr>
          <w:rFonts w:ascii="宋体" w:hAnsi="宋体" w:cs="宋体"/>
          <w:snapToGrid w:val="0"/>
          <w:color w:val="auto"/>
          <w:spacing w:val="8"/>
          <w:kern w:val="0"/>
          <w:sz w:val="20"/>
          <w:szCs w:val="20"/>
          <w:highlight w:val="none"/>
        </w:rPr>
        <w:t>检查。</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0"/>
          <w:kern w:val="0"/>
          <w:sz w:val="20"/>
          <w:szCs w:val="20"/>
          <w:highlight w:val="none"/>
        </w:rPr>
        <w:t>（二）外来人员进入机关大院办事凭本人身</w:t>
      </w:r>
      <w:r>
        <w:rPr>
          <w:rFonts w:ascii="宋体" w:hAnsi="宋体" w:cs="宋体"/>
          <w:snapToGrid w:val="0"/>
          <w:color w:val="auto"/>
          <w:spacing w:val="9"/>
          <w:kern w:val="0"/>
          <w:sz w:val="20"/>
          <w:szCs w:val="20"/>
          <w:highlight w:val="none"/>
        </w:rPr>
        <w:t>份证或有效证件，由门卫值班员与被访部门（个</w:t>
      </w:r>
      <w:r>
        <w:rPr>
          <w:rFonts w:ascii="宋体" w:hAnsi="宋体" w:cs="宋体"/>
          <w:snapToGrid w:val="0"/>
          <w:color w:val="auto"/>
          <w:spacing w:val="7"/>
          <w:kern w:val="0"/>
          <w:sz w:val="20"/>
          <w:szCs w:val="20"/>
          <w:highlight w:val="none"/>
        </w:rPr>
        <w:t>人）电话联系，经同意并登记后方可进入机关大院。</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（三）进入机关大院办公大楼的外来办事人员，</w:t>
      </w:r>
      <w:r>
        <w:rPr>
          <w:rFonts w:ascii="宋体" w:hAnsi="宋体" w:cs="宋体"/>
          <w:snapToGrid w:val="0"/>
          <w:color w:val="auto"/>
          <w:spacing w:val="10"/>
          <w:kern w:val="0"/>
          <w:sz w:val="20"/>
          <w:szCs w:val="20"/>
          <w:highlight w:val="none"/>
        </w:rPr>
        <w:t>凭会议通知、单位介绍信、居民身份证、工</w:t>
      </w:r>
      <w:r>
        <w:rPr>
          <w:rFonts w:ascii="宋体" w:hAnsi="宋体" w:cs="宋体"/>
          <w:snapToGrid w:val="0"/>
          <w:color w:val="auto"/>
          <w:spacing w:val="8"/>
          <w:kern w:val="0"/>
          <w:sz w:val="20"/>
          <w:szCs w:val="20"/>
          <w:highlight w:val="none"/>
        </w:rPr>
        <w:t>作证等有效证件，由一楼大堂值班员征得被访单位或人员同意并登记后方可进入。</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7"/>
          <w:kern w:val="0"/>
          <w:sz w:val="20"/>
          <w:szCs w:val="20"/>
          <w:highlight w:val="none"/>
        </w:rPr>
        <w:t>（四）信息中心等工作人员更换较为频繁的部门，应做好办理有效工</w:t>
      </w:r>
      <w:r>
        <w:rPr>
          <w:rFonts w:ascii="宋体" w:hAnsi="宋体" w:cs="宋体"/>
          <w:snapToGrid w:val="0"/>
          <w:color w:val="auto"/>
          <w:spacing w:val="6"/>
          <w:kern w:val="0"/>
          <w:sz w:val="20"/>
          <w:szCs w:val="20"/>
          <w:highlight w:val="none"/>
        </w:rPr>
        <w:t>作证件的登记管理工作，</w:t>
      </w:r>
      <w:r>
        <w:rPr>
          <w:rFonts w:ascii="宋体" w:hAnsi="宋体" w:cs="宋体"/>
          <w:snapToGrid w:val="0"/>
          <w:color w:val="auto"/>
          <w:spacing w:val="8"/>
          <w:kern w:val="0"/>
          <w:sz w:val="20"/>
          <w:szCs w:val="20"/>
          <w:highlight w:val="none"/>
        </w:rPr>
        <w:t>及时到机关服务中心备案，以方便本部门工作人员进出机</w:t>
      </w:r>
      <w:r>
        <w:rPr>
          <w:rFonts w:ascii="宋体" w:hAnsi="宋体" w:cs="宋体"/>
          <w:snapToGrid w:val="0"/>
          <w:color w:val="auto"/>
          <w:spacing w:val="7"/>
          <w:kern w:val="0"/>
          <w:sz w:val="20"/>
          <w:szCs w:val="20"/>
          <w:highlight w:val="none"/>
        </w:rPr>
        <w:t>关大院。</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（五）</w:t>
      </w:r>
      <w:r>
        <w:rPr>
          <w:rFonts w:ascii="宋体" w:hAnsi="宋体" w:cs="宋体"/>
          <w:snapToGrid w:val="0"/>
          <w:color w:val="auto"/>
          <w:spacing w:val="11"/>
          <w:kern w:val="0"/>
          <w:sz w:val="20"/>
          <w:szCs w:val="20"/>
          <w:highlight w:val="none"/>
        </w:rPr>
        <w:t>建立门卫值班及应急报告制度，遇到群体</w:t>
      </w:r>
      <w:r>
        <w:rPr>
          <w:rFonts w:ascii="宋体" w:hAnsi="宋体" w:cs="宋体"/>
          <w:snapToGrid w:val="0"/>
          <w:color w:val="auto"/>
          <w:spacing w:val="10"/>
          <w:kern w:val="0"/>
          <w:sz w:val="20"/>
          <w:szCs w:val="20"/>
          <w:highlight w:val="none"/>
        </w:rPr>
        <w:t>性上访或异常人员上访等情况，及时报告信</w:t>
      </w:r>
      <w:r>
        <w:rPr>
          <w:rFonts w:ascii="宋体" w:hAnsi="宋体" w:cs="宋体"/>
          <w:snapToGrid w:val="0"/>
          <w:color w:val="auto"/>
          <w:spacing w:val="8"/>
          <w:kern w:val="0"/>
          <w:sz w:val="20"/>
          <w:szCs w:val="20"/>
          <w:highlight w:val="none"/>
        </w:rPr>
        <w:t>访值班人员或公安“110”指挥中心，做好劝导、疏导及协助相关部门维持</w:t>
      </w:r>
      <w:r>
        <w:rPr>
          <w:rFonts w:ascii="宋体" w:hAnsi="宋体" w:cs="宋体"/>
          <w:snapToGrid w:val="0"/>
          <w:color w:val="auto"/>
          <w:spacing w:val="7"/>
          <w:kern w:val="0"/>
          <w:sz w:val="20"/>
          <w:szCs w:val="20"/>
          <w:highlight w:val="none"/>
        </w:rPr>
        <w:t>秩序等工作。</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（六）废旧物资、报刊等收购人员，须凭本人身</w:t>
      </w:r>
      <w:r>
        <w:rPr>
          <w:rFonts w:ascii="宋体" w:hAnsi="宋体" w:cs="宋体"/>
          <w:snapToGrid w:val="0"/>
          <w:color w:val="auto"/>
          <w:spacing w:val="10"/>
          <w:kern w:val="0"/>
          <w:sz w:val="20"/>
          <w:szCs w:val="20"/>
          <w:highlight w:val="none"/>
        </w:rPr>
        <w:t>份证到服务中心登记备案，所携带物资须经</w:t>
      </w:r>
      <w:r>
        <w:rPr>
          <w:rFonts w:ascii="宋体" w:hAnsi="宋体" w:cs="宋体"/>
          <w:snapToGrid w:val="0"/>
          <w:color w:val="auto"/>
          <w:spacing w:val="8"/>
          <w:kern w:val="0"/>
          <w:sz w:val="20"/>
          <w:szCs w:val="20"/>
          <w:highlight w:val="none"/>
        </w:rPr>
        <w:t>门卫查验核实并做好登记后，方可带离机关大院。</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8"/>
          <w:kern w:val="0"/>
          <w:sz w:val="20"/>
          <w:szCs w:val="20"/>
          <w:highlight w:val="none"/>
        </w:rPr>
        <w:t>第十条物资进出规定</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（一）物资进入机关大院应自觉接受门卫检查并</w:t>
      </w:r>
      <w:r>
        <w:rPr>
          <w:rFonts w:ascii="宋体" w:hAnsi="宋体" w:cs="宋体"/>
          <w:snapToGrid w:val="0"/>
          <w:color w:val="auto"/>
          <w:spacing w:val="10"/>
          <w:kern w:val="0"/>
          <w:sz w:val="20"/>
          <w:szCs w:val="20"/>
          <w:highlight w:val="none"/>
        </w:rPr>
        <w:t>办理相关的登记手续，方可进入。严禁携带</w:t>
      </w:r>
      <w:r>
        <w:rPr>
          <w:rFonts w:ascii="宋体" w:hAnsi="宋体" w:cs="宋体"/>
          <w:snapToGrid w:val="0"/>
          <w:color w:val="auto"/>
          <w:spacing w:val="7"/>
          <w:kern w:val="0"/>
          <w:sz w:val="20"/>
          <w:szCs w:val="20"/>
          <w:highlight w:val="none"/>
        </w:rPr>
        <w:t>易燃易爆等危险物品进入机关大院。</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5"/>
          <w:kern w:val="0"/>
          <w:sz w:val="20"/>
          <w:szCs w:val="20"/>
          <w:highlight w:val="none"/>
        </w:rPr>
        <w:t>（二）物资出大门必须接受门卫值班员的检查，填写专用的物资出门登记单，由所在部门（个</w:t>
      </w:r>
      <w:r>
        <w:rPr>
          <w:rFonts w:ascii="宋体" w:hAnsi="宋体" w:cs="宋体"/>
          <w:snapToGrid w:val="0"/>
          <w:color w:val="auto"/>
          <w:spacing w:val="9"/>
          <w:kern w:val="0"/>
          <w:sz w:val="20"/>
          <w:szCs w:val="20"/>
          <w:highlight w:val="none"/>
        </w:rPr>
        <w:t>人）同意并签字盖章，经门卫核实登记后方能携带出大门。</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（三）未经相关部门同意，所有公共物资严禁携</w:t>
      </w:r>
      <w:r>
        <w:rPr>
          <w:rFonts w:ascii="宋体" w:hAnsi="宋体" w:cs="宋体"/>
          <w:snapToGrid w:val="0"/>
          <w:color w:val="auto"/>
          <w:spacing w:val="8"/>
          <w:kern w:val="0"/>
          <w:sz w:val="20"/>
          <w:szCs w:val="20"/>
          <w:highlight w:val="none"/>
        </w:rPr>
        <w:t>带出大门。</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8"/>
          <w:kern w:val="0"/>
          <w:sz w:val="20"/>
          <w:szCs w:val="20"/>
          <w:highlight w:val="none"/>
        </w:rPr>
      </w:pPr>
      <w:r>
        <w:rPr>
          <w:rFonts w:ascii="宋体" w:hAnsi="宋体" w:cs="宋体"/>
          <w:snapToGrid w:val="0"/>
          <w:color w:val="auto"/>
          <w:spacing w:val="10"/>
          <w:kern w:val="0"/>
          <w:sz w:val="20"/>
          <w:szCs w:val="20"/>
          <w:highlight w:val="none"/>
        </w:rPr>
        <w:t>（四）邮件公司、快递公司及物流公司等人员</w:t>
      </w:r>
      <w:r>
        <w:rPr>
          <w:rFonts w:ascii="宋体" w:hAnsi="宋体" w:cs="宋体"/>
          <w:snapToGrid w:val="0"/>
          <w:color w:val="auto"/>
          <w:spacing w:val="9"/>
          <w:kern w:val="0"/>
          <w:sz w:val="20"/>
          <w:szCs w:val="20"/>
          <w:highlight w:val="none"/>
        </w:rPr>
        <w:t>运送的物资，门卫按物品进出机关大院有关规</w:t>
      </w:r>
      <w:r>
        <w:rPr>
          <w:rFonts w:ascii="宋体" w:hAnsi="宋体" w:cs="宋体"/>
          <w:snapToGrid w:val="0"/>
          <w:color w:val="auto"/>
          <w:spacing w:val="8"/>
          <w:kern w:val="0"/>
          <w:sz w:val="20"/>
          <w:szCs w:val="20"/>
          <w:highlight w:val="none"/>
        </w:rPr>
        <w:t>定，做好登记及安全核查工作后方能放行。</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8"/>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第四章绿化管理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第十五条机关大院的绿化范围包括树木、绿地、花草、盆景</w:t>
      </w:r>
      <w:r>
        <w:rPr>
          <w:rFonts w:ascii="宋体" w:hAnsi="宋体" w:cs="宋体"/>
          <w:snapToGrid w:val="0"/>
          <w:color w:val="auto"/>
          <w:spacing w:val="8"/>
          <w:kern w:val="0"/>
          <w:sz w:val="20"/>
          <w:szCs w:val="20"/>
          <w:highlight w:val="none"/>
        </w:rPr>
        <w:t>等。</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8"/>
          <w:kern w:val="0"/>
          <w:sz w:val="20"/>
          <w:szCs w:val="20"/>
          <w:highlight w:val="none"/>
        </w:rPr>
        <w:t>第十六条花木养护规定</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8"/>
          <w:kern w:val="0"/>
          <w:sz w:val="20"/>
          <w:szCs w:val="20"/>
          <w:highlight w:val="none"/>
        </w:rPr>
        <w:t>（一）自觉爱护机关大院公共绿化带的一草一木，不准擅自移栽、挪</w:t>
      </w:r>
      <w:r>
        <w:rPr>
          <w:rFonts w:ascii="宋体" w:hAnsi="宋体" w:cs="宋体"/>
          <w:snapToGrid w:val="0"/>
          <w:color w:val="auto"/>
          <w:spacing w:val="7"/>
          <w:kern w:val="0"/>
          <w:sz w:val="20"/>
          <w:szCs w:val="20"/>
          <w:highlight w:val="none"/>
        </w:rPr>
        <w:t>用、践踏花草等。</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9"/>
          <w:kern w:val="0"/>
          <w:sz w:val="20"/>
          <w:szCs w:val="20"/>
          <w:highlight w:val="none"/>
        </w:rPr>
      </w:pPr>
      <w:r>
        <w:rPr>
          <w:rFonts w:ascii="宋体" w:hAnsi="宋体" w:cs="宋体"/>
          <w:snapToGrid w:val="0"/>
          <w:color w:val="auto"/>
          <w:spacing w:val="11"/>
          <w:kern w:val="0"/>
          <w:sz w:val="20"/>
          <w:szCs w:val="20"/>
          <w:highlight w:val="none"/>
        </w:rPr>
        <w:t>（二）物业公司要定期对机关大院公共绿化带进</w:t>
      </w:r>
      <w:r>
        <w:rPr>
          <w:rFonts w:ascii="宋体" w:hAnsi="宋体" w:cs="宋体"/>
          <w:snapToGrid w:val="0"/>
          <w:color w:val="auto"/>
          <w:spacing w:val="10"/>
          <w:kern w:val="0"/>
          <w:sz w:val="20"/>
          <w:szCs w:val="20"/>
          <w:highlight w:val="none"/>
        </w:rPr>
        <w:t>行施肥、修剪等养护工作，确需要喷洒农药</w:t>
      </w:r>
      <w:r>
        <w:rPr>
          <w:rFonts w:ascii="宋体" w:hAnsi="宋体" w:cs="宋体"/>
          <w:snapToGrid w:val="0"/>
          <w:color w:val="auto"/>
          <w:spacing w:val="9"/>
          <w:kern w:val="0"/>
          <w:sz w:val="20"/>
          <w:szCs w:val="20"/>
          <w:highlight w:val="none"/>
        </w:rPr>
        <w:t>进行养护，要做好告知工作，防止意外事故的发生。</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9"/>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第五章环境卫生管理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第十七条机关大院环境卫生范围：公共部位、各部门办公室、会议室、停车场等。</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8"/>
          <w:kern w:val="0"/>
          <w:sz w:val="20"/>
          <w:szCs w:val="20"/>
          <w:highlight w:val="none"/>
        </w:rPr>
        <w:t>第十八条卫生保洁规定</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（一）生活垃圾应集中放置，每日由环卫部门统</w:t>
      </w:r>
      <w:r>
        <w:rPr>
          <w:rFonts w:ascii="宋体" w:hAnsi="宋体" w:cs="宋体"/>
          <w:snapToGrid w:val="0"/>
          <w:color w:val="auto"/>
          <w:spacing w:val="10"/>
          <w:kern w:val="0"/>
          <w:sz w:val="20"/>
          <w:szCs w:val="20"/>
          <w:highlight w:val="none"/>
        </w:rPr>
        <w:t>一清理；建筑垃圾集中放置，物业公司定期</w:t>
      </w:r>
      <w:r>
        <w:rPr>
          <w:rFonts w:ascii="宋体" w:hAnsi="宋体" w:cs="宋体"/>
          <w:snapToGrid w:val="0"/>
          <w:color w:val="auto"/>
          <w:spacing w:val="8"/>
          <w:kern w:val="0"/>
          <w:sz w:val="20"/>
          <w:szCs w:val="20"/>
          <w:highlight w:val="none"/>
        </w:rPr>
        <w:t>清理；严禁乱倒乱扔垃圾，倡导垃圾分类。</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（二）机关大院公共部位的环境卫生由物业公司</w:t>
      </w:r>
      <w:r>
        <w:rPr>
          <w:rFonts w:ascii="宋体" w:hAnsi="宋体" w:cs="宋体"/>
          <w:snapToGrid w:val="0"/>
          <w:color w:val="auto"/>
          <w:spacing w:val="10"/>
          <w:kern w:val="0"/>
          <w:sz w:val="20"/>
          <w:szCs w:val="20"/>
          <w:highlight w:val="none"/>
        </w:rPr>
        <w:t>统一负责，各部门办公室的环境卫生由物业</w:t>
      </w:r>
      <w:r>
        <w:rPr>
          <w:rFonts w:ascii="宋体" w:hAnsi="宋体" w:cs="宋体"/>
          <w:snapToGrid w:val="0"/>
          <w:color w:val="auto"/>
          <w:spacing w:val="7"/>
          <w:kern w:val="0"/>
          <w:sz w:val="20"/>
          <w:szCs w:val="20"/>
          <w:highlight w:val="none"/>
        </w:rPr>
        <w:t>公司每天进行清理。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9"/>
          <w:kern w:val="0"/>
          <w:sz w:val="20"/>
          <w:szCs w:val="20"/>
          <w:highlight w:val="none"/>
        </w:rPr>
      </w:pPr>
      <w:r>
        <w:rPr>
          <w:rFonts w:ascii="宋体" w:hAnsi="宋体" w:cs="宋体"/>
          <w:snapToGrid w:val="0"/>
          <w:color w:val="auto"/>
          <w:spacing w:val="11"/>
          <w:kern w:val="0"/>
          <w:sz w:val="20"/>
          <w:szCs w:val="20"/>
          <w:highlight w:val="none"/>
        </w:rPr>
        <w:t>（三）禁止在机关大院公共场所乱扔垃圾，保持</w:t>
      </w:r>
      <w:r>
        <w:rPr>
          <w:rFonts w:ascii="宋体" w:hAnsi="宋体" w:cs="宋体"/>
          <w:snapToGrid w:val="0"/>
          <w:color w:val="auto"/>
          <w:spacing w:val="10"/>
          <w:kern w:val="0"/>
          <w:sz w:val="20"/>
          <w:szCs w:val="20"/>
          <w:highlight w:val="none"/>
        </w:rPr>
        <w:t>室内外环境卫生整洁。严禁从高空向窗外抛</w:t>
      </w:r>
      <w:r>
        <w:rPr>
          <w:rFonts w:ascii="宋体" w:hAnsi="宋体" w:cs="宋体"/>
          <w:snapToGrid w:val="0"/>
          <w:color w:val="auto"/>
          <w:spacing w:val="9"/>
          <w:kern w:val="0"/>
          <w:sz w:val="20"/>
          <w:szCs w:val="20"/>
          <w:highlight w:val="none"/>
        </w:rPr>
        <w:t>弃物品，防止伤人等事件的发生，否则，因此造成的后果由当事人负责。</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9"/>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第六章安全保卫管理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8"/>
          <w:kern w:val="0"/>
          <w:sz w:val="20"/>
          <w:szCs w:val="20"/>
          <w:highlight w:val="none"/>
        </w:rPr>
        <w:t>第十九条保安保卫规定</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7"/>
          <w:kern w:val="0"/>
          <w:sz w:val="20"/>
          <w:szCs w:val="20"/>
          <w:highlight w:val="none"/>
        </w:rPr>
        <w:t>（一）保安值班人员要严格执行24小时值班制度及应急报告制度，加强巡查力度，对人员出</w:t>
      </w:r>
      <w:r>
        <w:rPr>
          <w:rFonts w:ascii="宋体" w:hAnsi="宋体" w:cs="宋体"/>
          <w:snapToGrid w:val="0"/>
          <w:color w:val="auto"/>
          <w:spacing w:val="9"/>
          <w:kern w:val="0"/>
          <w:sz w:val="20"/>
          <w:szCs w:val="20"/>
          <w:highlight w:val="none"/>
        </w:rPr>
        <w:t>入、物资进出、车辆停放、安全保卫等进行管理，确保机关大院安全有序。</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0"/>
          <w:kern w:val="0"/>
          <w:sz w:val="20"/>
          <w:szCs w:val="20"/>
          <w:highlight w:val="none"/>
        </w:rPr>
        <w:t>（二）保安值班人员要加强对机关大院机房、</w:t>
      </w:r>
      <w:r>
        <w:rPr>
          <w:rFonts w:ascii="宋体" w:hAnsi="宋体" w:cs="宋体"/>
          <w:snapToGrid w:val="0"/>
          <w:color w:val="auto"/>
          <w:spacing w:val="9"/>
          <w:kern w:val="0"/>
          <w:sz w:val="20"/>
          <w:szCs w:val="20"/>
          <w:highlight w:val="none"/>
        </w:rPr>
        <w:t>电动车充电系统、车库抽排水系统、办公大楼等重点场所的巡查力度，发现问题及时报告和处理，防止意外事故的发生。</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（三）物业公司要加强对保安队伍的培训工作，不断提高保安人员的业务水平和职业素养，</w:t>
      </w:r>
      <w:r>
        <w:rPr>
          <w:rFonts w:ascii="宋体" w:hAnsi="宋体" w:cs="宋体"/>
          <w:snapToGrid w:val="0"/>
          <w:color w:val="auto"/>
          <w:spacing w:val="8"/>
          <w:kern w:val="0"/>
          <w:sz w:val="20"/>
          <w:szCs w:val="20"/>
          <w:highlight w:val="none"/>
        </w:rPr>
        <w:t>更好地为机关干部职工服务。</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8"/>
          <w:kern w:val="0"/>
          <w:sz w:val="20"/>
          <w:szCs w:val="20"/>
          <w:highlight w:val="none"/>
        </w:rPr>
        <w:t>第二十条消防管理规定</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7"/>
          <w:kern w:val="0"/>
          <w:sz w:val="20"/>
          <w:szCs w:val="20"/>
          <w:highlight w:val="none"/>
        </w:rPr>
        <w:t>（一）机关大院人员应遵守各项消防安全管理规定，自觉维护好消防设施，严禁损坏、挪用、</w:t>
      </w:r>
      <w:r>
        <w:rPr>
          <w:rFonts w:ascii="宋体" w:hAnsi="宋体" w:cs="宋体"/>
          <w:snapToGrid w:val="0"/>
          <w:color w:val="auto"/>
          <w:spacing w:val="8"/>
          <w:kern w:val="0"/>
          <w:sz w:val="20"/>
          <w:szCs w:val="20"/>
          <w:highlight w:val="none"/>
        </w:rPr>
        <w:t>拆除、埋压消防设施等行为。</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7"/>
          <w:kern w:val="0"/>
          <w:sz w:val="20"/>
          <w:szCs w:val="20"/>
          <w:highlight w:val="none"/>
        </w:rPr>
        <w:t>（二）严禁违规占用消防通道。</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0"/>
          <w:kern w:val="0"/>
          <w:sz w:val="20"/>
          <w:szCs w:val="20"/>
          <w:highlight w:val="none"/>
        </w:rPr>
        <w:t>（三）物业公司要定期对机关大院电动车充电</w:t>
      </w:r>
      <w:r>
        <w:rPr>
          <w:rFonts w:ascii="宋体" w:hAnsi="宋体" w:cs="宋体"/>
          <w:snapToGrid w:val="0"/>
          <w:color w:val="auto"/>
          <w:spacing w:val="9"/>
          <w:kern w:val="0"/>
          <w:sz w:val="20"/>
          <w:szCs w:val="20"/>
          <w:highlight w:val="none"/>
        </w:rPr>
        <w:t>系统、消防系统、机房、电房等消防重点部位</w:t>
      </w:r>
      <w:r>
        <w:rPr>
          <w:rFonts w:ascii="宋体" w:hAnsi="宋体" w:cs="宋体"/>
          <w:snapToGrid w:val="0"/>
          <w:color w:val="auto"/>
          <w:spacing w:val="11"/>
          <w:kern w:val="0"/>
          <w:sz w:val="20"/>
          <w:szCs w:val="20"/>
          <w:highlight w:val="none"/>
        </w:rPr>
        <w:t>（场所）进行检查及维护工作，建立健全消防安全检查及</w:t>
      </w:r>
      <w:r>
        <w:rPr>
          <w:rFonts w:ascii="宋体" w:hAnsi="宋体" w:cs="宋体"/>
          <w:snapToGrid w:val="0"/>
          <w:color w:val="auto"/>
          <w:spacing w:val="10"/>
          <w:kern w:val="0"/>
          <w:sz w:val="20"/>
          <w:szCs w:val="20"/>
          <w:highlight w:val="none"/>
        </w:rPr>
        <w:t>维修登记管理制度，做到谁检查谁负责的</w:t>
      </w:r>
      <w:r>
        <w:rPr>
          <w:rFonts w:ascii="宋体" w:hAnsi="宋体" w:cs="宋体"/>
          <w:snapToGrid w:val="0"/>
          <w:color w:val="auto"/>
          <w:spacing w:val="9"/>
          <w:kern w:val="0"/>
          <w:sz w:val="20"/>
          <w:szCs w:val="20"/>
          <w:highlight w:val="none"/>
        </w:rPr>
        <w:t>原则，做好消防安全隐患的排查及整改工作，严防意外事故的发生。</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（四）机关服务中心要采取巡查、抽查等形式加</w:t>
      </w:r>
      <w:r>
        <w:rPr>
          <w:rFonts w:ascii="宋体" w:hAnsi="宋体" w:cs="宋体"/>
          <w:snapToGrid w:val="0"/>
          <w:color w:val="auto"/>
          <w:spacing w:val="10"/>
          <w:kern w:val="0"/>
          <w:sz w:val="20"/>
          <w:szCs w:val="20"/>
          <w:highlight w:val="none"/>
        </w:rPr>
        <w:t>强对机关大院消防安全的检查工作，加大消</w:t>
      </w:r>
      <w:r>
        <w:rPr>
          <w:rFonts w:ascii="宋体" w:hAnsi="宋体" w:cs="宋体"/>
          <w:snapToGrid w:val="0"/>
          <w:color w:val="auto"/>
          <w:spacing w:val="7"/>
          <w:kern w:val="0"/>
          <w:sz w:val="20"/>
          <w:szCs w:val="20"/>
          <w:highlight w:val="none"/>
        </w:rPr>
        <w:t>防安全知识培训力度，营造人人讲安全、人人懂安全的良好氛围，使机关大院和和美美、平平安安。</w:t>
      </w:r>
    </w:p>
    <w:p>
      <w:pPr>
        <w:widowControl/>
        <w:overflowPunct w:val="0"/>
        <w:autoSpaceDE w:val="0"/>
        <w:autoSpaceDN w:val="0"/>
        <w:adjustRightInd w:val="0"/>
        <w:snapToGrid w:val="0"/>
        <w:spacing w:line="360" w:lineRule="auto"/>
        <w:ind w:firstLine="420" w:firstLineChars="200"/>
        <w:jc w:val="left"/>
        <w:textAlignment w:val="baseline"/>
        <w:rPr>
          <w:rFonts w:ascii="Arial" w:eastAsia="Arial" w:hAnsi="Arial" w:cs="Arial"/>
          <w:snapToGrid w:val="0"/>
          <w:color w:val="auto"/>
          <w:kern w:val="0"/>
          <w:szCs w:val="21"/>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第七章附则</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8"/>
          <w:kern w:val="0"/>
          <w:sz w:val="20"/>
          <w:szCs w:val="20"/>
          <w:highlight w:val="none"/>
        </w:rPr>
        <w:t>第二十一条本办法由机关服务中心负责解释</w:t>
      </w:r>
      <w:r>
        <w:rPr>
          <w:rFonts w:ascii="宋体" w:hAnsi="宋体" w:cs="宋体"/>
          <w:snapToGrid w:val="0"/>
          <w:color w:val="auto"/>
          <w:spacing w:val="7"/>
          <w:kern w:val="0"/>
          <w:sz w:val="20"/>
          <w:szCs w:val="20"/>
          <w:highlight w:val="none"/>
        </w:rPr>
        <w:t>。</w:t>
      </w:r>
    </w:p>
    <w:p>
      <w:pPr>
        <w:widowControl/>
        <w:overflowPunct w:val="0"/>
        <w:autoSpaceDE w:val="0"/>
        <w:autoSpaceDN w:val="0"/>
        <w:adjustRightInd w:val="0"/>
        <w:snapToGrid w:val="0"/>
        <w:spacing w:line="360" w:lineRule="auto"/>
        <w:ind w:firstLine="400" w:firstLineChars="200"/>
        <w:jc w:val="left"/>
        <w:textAlignment w:val="baseline"/>
        <w:rPr>
          <w:color w:val="auto"/>
          <w:sz w:val="20"/>
          <w:szCs w:val="20"/>
          <w:highlight w:val="none"/>
        </w:rPr>
        <w:sectPr>
          <w:footerReference w:type="default" r:id="rId6"/>
          <w:pgSz w:w="11906" w:h="16839"/>
          <w:pgMar w:top="1431" w:right="1347" w:bottom="1378" w:left="1422" w:header="0" w:footer="1212" w:gutter="0"/>
          <w:cols w:num="1" w:space="720"/>
        </w:sectPr>
      </w:pPr>
    </w:p>
    <w:p>
      <w:pPr>
        <w:wordWrap w:val="0"/>
        <w:autoSpaceDE w:val="0"/>
        <w:autoSpaceDN w:val="0"/>
        <w:adjustRightInd w:val="0"/>
        <w:snapToGrid w:val="0"/>
        <w:spacing w:before="149" w:line="355" w:lineRule="auto"/>
        <w:ind w:left="8" w:firstLine="431"/>
        <w:jc w:val="center"/>
        <w:textAlignment w:val="baseline"/>
        <w:rPr>
          <w:rFonts w:ascii="仿宋" w:eastAsia="仿宋" w:hAnsi="仿宋" w:cs="仿宋"/>
          <w:b/>
          <w:bCs/>
          <w:snapToGrid w:val="0"/>
          <w:color w:val="auto"/>
          <w:spacing w:val="8"/>
          <w:kern w:val="0"/>
          <w:sz w:val="24"/>
          <w:szCs w:val="24"/>
          <w:highlight w:val="none"/>
        </w:rPr>
      </w:pPr>
      <w:r>
        <w:rPr>
          <w:rFonts w:ascii="仿宋" w:eastAsia="仿宋" w:hAnsi="仿宋" w:cs="仿宋" w:hint="eastAsia"/>
          <w:b/>
          <w:bCs/>
          <w:snapToGrid w:val="0"/>
          <w:color w:val="auto"/>
          <w:spacing w:val="8"/>
          <w:kern w:val="0"/>
          <w:sz w:val="24"/>
          <w:szCs w:val="24"/>
          <w:highlight w:val="none"/>
        </w:rPr>
        <w:t>柳州市税务局机关大院车辆出入停放管理办法</w:t>
      </w:r>
    </w:p>
    <w:p>
      <w:pPr>
        <w:wordWrap w:val="0"/>
        <w:autoSpaceDE w:val="0"/>
        <w:autoSpaceDN w:val="0"/>
        <w:adjustRightInd w:val="0"/>
        <w:snapToGrid w:val="0"/>
        <w:spacing w:before="149" w:line="355" w:lineRule="auto"/>
        <w:ind w:left="8" w:firstLine="431"/>
        <w:jc w:val="center"/>
        <w:textAlignment w:val="baseline"/>
        <w:rPr>
          <w:rFonts w:ascii="仿宋" w:eastAsia="仿宋" w:hAnsi="仿宋" w:cs="仿宋"/>
          <w:b/>
          <w:bCs/>
          <w:snapToGrid w:val="0"/>
          <w:color w:val="auto"/>
          <w:spacing w:val="8"/>
          <w:kern w:val="0"/>
          <w:sz w:val="24"/>
          <w:szCs w:val="24"/>
          <w:highlight w:val="none"/>
        </w:rPr>
      </w:pPr>
      <w:r>
        <w:rPr>
          <w:rFonts w:ascii="仿宋" w:eastAsia="仿宋" w:hAnsi="仿宋" w:cs="仿宋" w:hint="eastAsia"/>
          <w:b/>
          <w:bCs/>
          <w:snapToGrid w:val="0"/>
          <w:color w:val="auto"/>
          <w:spacing w:val="8"/>
          <w:kern w:val="0"/>
          <w:sz w:val="24"/>
          <w:szCs w:val="24"/>
          <w:highlight w:val="none"/>
        </w:rPr>
        <w:t>（试行）</w:t>
      </w: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snapToGrid w:val="0"/>
          <w:color w:val="auto"/>
          <w:kern w:val="0"/>
          <w:sz w:val="20"/>
          <w:szCs w:val="20"/>
          <w:highlight w:val="none"/>
        </w:rPr>
      </w:pPr>
      <w:r>
        <w:rPr>
          <w:rFonts w:ascii="宋体" w:hAnsi="宋体" w:cs="宋体"/>
          <w:b/>
          <w:bCs/>
          <w:snapToGrid w:val="0"/>
          <w:color w:val="auto"/>
          <w:spacing w:val="1"/>
          <w:kern w:val="0"/>
          <w:sz w:val="20"/>
          <w:szCs w:val="20"/>
          <w:highlight w:val="none"/>
        </w:rPr>
        <w:t>第一章总则</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第一条为进一步规范</w:t>
      </w:r>
      <w:r>
        <w:rPr>
          <w:rFonts w:ascii="宋体" w:hAnsi="宋体" w:cs="宋体" w:hint="eastAsia"/>
          <w:snapToGrid w:val="0"/>
          <w:color w:val="auto"/>
          <w:spacing w:val="11"/>
          <w:kern w:val="0"/>
          <w:sz w:val="20"/>
          <w:szCs w:val="20"/>
          <w:highlight w:val="none"/>
        </w:rPr>
        <w:t>柳州市</w:t>
      </w:r>
      <w:r>
        <w:rPr>
          <w:rFonts w:ascii="宋体" w:hAnsi="宋体" w:cs="宋体"/>
          <w:snapToGrid w:val="0"/>
          <w:color w:val="auto"/>
          <w:spacing w:val="11"/>
          <w:kern w:val="0"/>
          <w:sz w:val="20"/>
          <w:szCs w:val="20"/>
          <w:highlight w:val="none"/>
        </w:rPr>
        <w:t>税务</w:t>
      </w:r>
      <w:r>
        <w:rPr>
          <w:rFonts w:ascii="宋体" w:hAnsi="宋体" w:cs="宋体"/>
          <w:snapToGrid w:val="0"/>
          <w:color w:val="auto"/>
          <w:spacing w:val="10"/>
          <w:kern w:val="0"/>
          <w:sz w:val="20"/>
          <w:szCs w:val="20"/>
          <w:highlight w:val="none"/>
        </w:rPr>
        <w:t>局</w:t>
      </w:r>
      <w:r>
        <w:rPr>
          <w:rFonts w:ascii="宋体" w:hAnsi="宋体" w:cs="宋体" w:hint="eastAsia"/>
          <w:snapToGrid w:val="0"/>
          <w:color w:val="auto"/>
          <w:spacing w:val="10"/>
          <w:kern w:val="0"/>
          <w:sz w:val="20"/>
          <w:szCs w:val="20"/>
          <w:highlight w:val="none"/>
        </w:rPr>
        <w:t>机关大院</w:t>
      </w:r>
      <w:r>
        <w:rPr>
          <w:rFonts w:ascii="宋体" w:hAnsi="宋体" w:cs="宋体"/>
          <w:snapToGrid w:val="0"/>
          <w:color w:val="auto"/>
          <w:spacing w:val="10"/>
          <w:kern w:val="0"/>
          <w:sz w:val="20"/>
          <w:szCs w:val="20"/>
          <w:highlight w:val="none"/>
        </w:rPr>
        <w:t>（以下简称机关大院）车辆出入停</w:t>
      </w:r>
      <w:r>
        <w:rPr>
          <w:rFonts w:ascii="宋体" w:hAnsi="宋体" w:cs="宋体"/>
          <w:snapToGrid w:val="0"/>
          <w:color w:val="auto"/>
          <w:spacing w:val="8"/>
          <w:kern w:val="0"/>
          <w:sz w:val="20"/>
          <w:szCs w:val="20"/>
          <w:highlight w:val="none"/>
        </w:rPr>
        <w:t>放管理，构建安全、文明、和谐、有序的机关办公及生活</w:t>
      </w:r>
      <w:r>
        <w:rPr>
          <w:rFonts w:ascii="宋体" w:hAnsi="宋体" w:cs="宋体"/>
          <w:snapToGrid w:val="0"/>
          <w:color w:val="auto"/>
          <w:spacing w:val="7"/>
          <w:kern w:val="0"/>
          <w:sz w:val="20"/>
          <w:szCs w:val="20"/>
          <w:highlight w:val="none"/>
        </w:rPr>
        <w:t>环境，结合机关大院实际，特制定本办法。</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2"/>
          <w:kern w:val="0"/>
          <w:sz w:val="20"/>
          <w:szCs w:val="20"/>
          <w:highlight w:val="none"/>
        </w:rPr>
        <w:t>第二条本办法适用于机关大院出入停放的所</w:t>
      </w:r>
      <w:r>
        <w:rPr>
          <w:rFonts w:ascii="宋体" w:hAnsi="宋体" w:cs="宋体"/>
          <w:snapToGrid w:val="0"/>
          <w:color w:val="auto"/>
          <w:spacing w:val="11"/>
          <w:kern w:val="0"/>
          <w:sz w:val="20"/>
          <w:szCs w:val="20"/>
          <w:highlight w:val="none"/>
        </w:rPr>
        <w:t>有车辆，包括局机关公务车、机关工作人员私家</w:t>
      </w:r>
      <w:r>
        <w:rPr>
          <w:rFonts w:ascii="宋体" w:hAnsi="宋体" w:cs="宋体"/>
          <w:snapToGrid w:val="0"/>
          <w:color w:val="auto"/>
          <w:spacing w:val="9"/>
          <w:kern w:val="0"/>
          <w:sz w:val="20"/>
          <w:szCs w:val="20"/>
          <w:highlight w:val="none"/>
        </w:rPr>
        <w:t>车、外来车辆及非机动车辆。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6"/>
          <w:kern w:val="0"/>
          <w:sz w:val="20"/>
          <w:szCs w:val="20"/>
          <w:highlight w:val="none"/>
        </w:rPr>
        <w:t>第三条机关大院停车位分布范围：</w:t>
      </w:r>
      <w:r>
        <w:rPr>
          <w:rFonts w:ascii="宋体" w:hAnsi="宋体" w:cs="宋体" w:hint="eastAsia"/>
          <w:snapToGrid w:val="0"/>
          <w:color w:val="auto"/>
          <w:spacing w:val="8"/>
          <w:kern w:val="0"/>
          <w:sz w:val="20"/>
          <w:szCs w:val="20"/>
          <w:highlight w:val="none"/>
        </w:rPr>
        <w:t>柳州市潭中东路26号、潭中东路14号、三中路跃进村162号、屏山大道312号的地下车库及地面停车场</w:t>
      </w:r>
      <w:r>
        <w:rPr>
          <w:rFonts w:ascii="宋体" w:hAnsi="宋体" w:cs="宋体"/>
          <w:snapToGrid w:val="0"/>
          <w:color w:val="auto"/>
          <w:spacing w:val="6"/>
          <w:kern w:val="0"/>
          <w:sz w:val="20"/>
          <w:szCs w:val="20"/>
          <w:highlight w:val="none"/>
        </w:rPr>
        <w:t>。</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2"/>
          <w:kern w:val="0"/>
          <w:sz w:val="20"/>
          <w:szCs w:val="20"/>
          <w:highlight w:val="none"/>
        </w:rPr>
        <w:t>第四条机关大院车辆出入停放管理工作主要</w:t>
      </w:r>
      <w:r>
        <w:rPr>
          <w:rFonts w:ascii="宋体" w:hAnsi="宋体" w:cs="宋体"/>
          <w:snapToGrid w:val="0"/>
          <w:color w:val="auto"/>
          <w:spacing w:val="11"/>
          <w:kern w:val="0"/>
          <w:sz w:val="20"/>
          <w:szCs w:val="20"/>
          <w:highlight w:val="none"/>
        </w:rPr>
        <w:t>由机关服务中心负责，局机关委托的物业管理公</w:t>
      </w:r>
      <w:r>
        <w:rPr>
          <w:rFonts w:ascii="宋体" w:hAnsi="宋体" w:cs="宋体"/>
          <w:snapToGrid w:val="0"/>
          <w:color w:val="auto"/>
          <w:spacing w:val="9"/>
          <w:kern w:val="0"/>
          <w:sz w:val="20"/>
          <w:szCs w:val="20"/>
          <w:highlight w:val="none"/>
        </w:rPr>
        <w:t>司配合机关服务中心负责车辆出入停放管理的具体工作，主要负责安全保卫及维护秩序等工作。</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在机关大院内出入停放的所有车辆应自觉遵守并接受本办法管理和监督。</w:t>
      </w: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第二章停车位管理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0"/>
          <w:kern w:val="0"/>
          <w:sz w:val="20"/>
          <w:szCs w:val="20"/>
          <w:highlight w:val="none"/>
        </w:rPr>
        <w:t>第六条</w:t>
      </w:r>
      <w:r>
        <w:rPr>
          <w:rFonts w:ascii="宋体" w:hAnsi="宋体" w:cs="宋体" w:hint="eastAsia"/>
          <w:snapToGrid w:val="0"/>
          <w:color w:val="auto"/>
          <w:spacing w:val="8"/>
          <w:kern w:val="0"/>
          <w:sz w:val="20"/>
          <w:szCs w:val="20"/>
          <w:highlight w:val="none"/>
        </w:rPr>
        <w:t>柳州市潭中东路26号、潭中东路14号、三中路跃进村162号、屏山大道312号的地下车库及地面停车场设有专用区域停放</w:t>
      </w:r>
      <w:r>
        <w:rPr>
          <w:rFonts w:ascii="宋体" w:hAnsi="宋体" w:cs="宋体"/>
          <w:snapToGrid w:val="0"/>
          <w:color w:val="auto"/>
          <w:spacing w:val="10"/>
          <w:kern w:val="0"/>
          <w:sz w:val="20"/>
          <w:szCs w:val="20"/>
          <w:highlight w:val="none"/>
        </w:rPr>
        <w:t>机关公务车；</w:t>
      </w:r>
      <w:r>
        <w:rPr>
          <w:rFonts w:ascii="宋体" w:hAnsi="宋体" w:cs="宋体" w:hint="eastAsia"/>
          <w:snapToGrid w:val="0"/>
          <w:color w:val="auto"/>
          <w:spacing w:val="10"/>
          <w:kern w:val="0"/>
          <w:sz w:val="20"/>
          <w:szCs w:val="20"/>
          <w:highlight w:val="none"/>
        </w:rPr>
        <w:t>以上地点除专用区域外的</w:t>
      </w:r>
      <w:r>
        <w:rPr>
          <w:rFonts w:ascii="宋体" w:hAnsi="宋体" w:cs="宋体" w:hint="eastAsia"/>
          <w:snapToGrid w:val="0"/>
          <w:color w:val="auto"/>
          <w:spacing w:val="8"/>
          <w:kern w:val="0"/>
          <w:sz w:val="20"/>
          <w:szCs w:val="20"/>
          <w:highlight w:val="none"/>
        </w:rPr>
        <w:t>地下车库和地面停车场</w:t>
      </w:r>
      <w:r>
        <w:rPr>
          <w:rFonts w:ascii="宋体" w:hAnsi="宋体" w:cs="宋体"/>
          <w:snapToGrid w:val="0"/>
          <w:color w:val="auto"/>
          <w:spacing w:val="10"/>
          <w:kern w:val="0"/>
          <w:sz w:val="20"/>
          <w:szCs w:val="20"/>
          <w:highlight w:val="none"/>
        </w:rPr>
        <w:t>主要停放</w:t>
      </w:r>
      <w:r>
        <w:rPr>
          <w:rFonts w:ascii="宋体" w:hAnsi="宋体" w:cs="宋体"/>
          <w:snapToGrid w:val="0"/>
          <w:color w:val="auto"/>
          <w:spacing w:val="9"/>
          <w:kern w:val="0"/>
          <w:sz w:val="20"/>
          <w:szCs w:val="20"/>
          <w:highlight w:val="none"/>
        </w:rPr>
        <w:t>机关工作人员</w:t>
      </w:r>
      <w:r>
        <w:rPr>
          <w:rFonts w:ascii="宋体" w:hAnsi="宋体" w:cs="宋体"/>
          <w:snapToGrid w:val="0"/>
          <w:color w:val="auto"/>
          <w:spacing w:val="11"/>
          <w:kern w:val="0"/>
          <w:sz w:val="20"/>
          <w:szCs w:val="20"/>
          <w:highlight w:val="none"/>
        </w:rPr>
        <w:t>私家车</w:t>
      </w:r>
      <w:r>
        <w:rPr>
          <w:rFonts w:ascii="宋体" w:hAnsi="宋体" w:cs="宋体" w:hint="eastAsia"/>
          <w:snapToGrid w:val="0"/>
          <w:color w:val="auto"/>
          <w:spacing w:val="11"/>
          <w:kern w:val="0"/>
          <w:sz w:val="20"/>
          <w:szCs w:val="20"/>
          <w:highlight w:val="none"/>
        </w:rPr>
        <w:t>，有空位允许的情况下可暂时停放前来办理业务的</w:t>
      </w:r>
      <w:r>
        <w:rPr>
          <w:rFonts w:ascii="宋体" w:hAnsi="宋体" w:cs="宋体"/>
          <w:snapToGrid w:val="0"/>
          <w:color w:val="auto"/>
          <w:spacing w:val="11"/>
          <w:kern w:val="0"/>
          <w:sz w:val="20"/>
          <w:szCs w:val="20"/>
          <w:highlight w:val="none"/>
        </w:rPr>
        <w:t>外来车辆</w:t>
      </w:r>
      <w:r>
        <w:rPr>
          <w:rFonts w:ascii="宋体" w:hAnsi="宋体" w:cs="宋体"/>
          <w:snapToGrid w:val="0"/>
          <w:color w:val="auto"/>
          <w:spacing w:val="6"/>
          <w:kern w:val="0"/>
          <w:sz w:val="20"/>
          <w:szCs w:val="20"/>
          <w:highlight w:val="none"/>
        </w:rPr>
        <w:t>。</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第七条非机动车辆停车位功能划分：机关</w:t>
      </w:r>
      <w:r>
        <w:rPr>
          <w:rFonts w:ascii="宋体" w:hAnsi="宋体" w:cs="宋体"/>
          <w:snapToGrid w:val="0"/>
          <w:color w:val="auto"/>
          <w:spacing w:val="10"/>
          <w:kern w:val="0"/>
          <w:sz w:val="20"/>
          <w:szCs w:val="20"/>
          <w:highlight w:val="none"/>
        </w:rPr>
        <w:t>集中停放的非机动车辆（电动车及自行车等）停车</w:t>
      </w:r>
      <w:r>
        <w:rPr>
          <w:rFonts w:ascii="宋体" w:hAnsi="宋体" w:cs="宋体"/>
          <w:snapToGrid w:val="0"/>
          <w:color w:val="auto"/>
          <w:spacing w:val="11"/>
          <w:kern w:val="0"/>
          <w:sz w:val="20"/>
          <w:szCs w:val="20"/>
          <w:highlight w:val="none"/>
        </w:rPr>
        <w:t>位主要停放机关工作人员非机动车辆</w:t>
      </w:r>
      <w:r>
        <w:rPr>
          <w:rFonts w:ascii="宋体" w:hAnsi="宋体" w:cs="宋体" w:hint="eastAsia"/>
          <w:snapToGrid w:val="0"/>
          <w:color w:val="auto"/>
          <w:spacing w:val="11"/>
          <w:kern w:val="0"/>
          <w:sz w:val="20"/>
          <w:szCs w:val="20"/>
          <w:highlight w:val="none"/>
        </w:rPr>
        <w:t>，有空位允许的情况下可暂时停放前来办理业务的</w:t>
      </w:r>
      <w:r>
        <w:rPr>
          <w:rFonts w:ascii="宋体" w:hAnsi="宋体" w:cs="宋体"/>
          <w:snapToGrid w:val="0"/>
          <w:color w:val="auto"/>
          <w:spacing w:val="11"/>
          <w:kern w:val="0"/>
          <w:sz w:val="20"/>
          <w:szCs w:val="20"/>
          <w:highlight w:val="none"/>
        </w:rPr>
        <w:t>外来</w:t>
      </w:r>
      <w:r>
        <w:rPr>
          <w:rFonts w:ascii="宋体" w:hAnsi="宋体" w:cs="宋体" w:hint="eastAsia"/>
          <w:snapToGrid w:val="0"/>
          <w:color w:val="auto"/>
          <w:spacing w:val="11"/>
          <w:kern w:val="0"/>
          <w:sz w:val="20"/>
          <w:szCs w:val="20"/>
          <w:highlight w:val="none"/>
        </w:rPr>
        <w:t>非</w:t>
      </w:r>
      <w:r>
        <w:rPr>
          <w:rFonts w:ascii="宋体" w:hAnsi="宋体" w:cs="宋体"/>
          <w:snapToGrid w:val="0"/>
          <w:color w:val="auto"/>
          <w:spacing w:val="11"/>
          <w:kern w:val="0"/>
          <w:sz w:val="20"/>
          <w:szCs w:val="20"/>
          <w:highlight w:val="none"/>
        </w:rPr>
        <w:t>车辆</w:t>
      </w:r>
      <w:r>
        <w:rPr>
          <w:rFonts w:ascii="宋体" w:hAnsi="宋体" w:cs="宋体"/>
          <w:snapToGrid w:val="0"/>
          <w:color w:val="auto"/>
          <w:spacing w:val="9"/>
          <w:kern w:val="0"/>
          <w:sz w:val="20"/>
          <w:szCs w:val="20"/>
          <w:highlight w:val="none"/>
        </w:rPr>
        <w:t>。</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第八条机关在职在编、借用</w:t>
      </w:r>
      <w:r>
        <w:rPr>
          <w:rFonts w:ascii="宋体" w:hAnsi="宋体" w:cs="宋体"/>
          <w:snapToGrid w:val="0"/>
          <w:color w:val="auto"/>
          <w:spacing w:val="10"/>
          <w:kern w:val="0"/>
          <w:sz w:val="20"/>
          <w:szCs w:val="20"/>
          <w:highlight w:val="none"/>
        </w:rPr>
        <w:t>、挂职、聘用等人员的车辆均可停放。原</w:t>
      </w:r>
      <w:r>
        <w:rPr>
          <w:rFonts w:ascii="宋体" w:hAnsi="宋体" w:cs="宋体"/>
          <w:snapToGrid w:val="0"/>
          <w:color w:val="auto"/>
          <w:spacing w:val="11"/>
          <w:kern w:val="0"/>
          <w:sz w:val="20"/>
          <w:szCs w:val="20"/>
          <w:highlight w:val="none"/>
        </w:rPr>
        <w:t>则上每人仅限停放一辆</w:t>
      </w:r>
      <w:r>
        <w:rPr>
          <w:rFonts w:ascii="宋体" w:hAnsi="宋体" w:cs="宋体"/>
          <w:snapToGrid w:val="0"/>
          <w:color w:val="auto"/>
          <w:spacing w:val="7"/>
          <w:kern w:val="0"/>
          <w:sz w:val="20"/>
          <w:szCs w:val="20"/>
          <w:highlight w:val="none"/>
        </w:rPr>
        <w:t>。</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第九条借用、挂职、聘用等人员工作使用期满，其车辆的停放资格将予以取消。</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6"/>
          <w:kern w:val="0"/>
          <w:sz w:val="20"/>
          <w:szCs w:val="20"/>
          <w:highlight w:val="none"/>
        </w:rPr>
        <w:t>第十条办理程序</w:t>
      </w:r>
      <w:r>
        <w:rPr>
          <w:rFonts w:ascii="宋体" w:hAnsi="宋体" w:cs="宋体" w:hint="eastAsia"/>
          <w:snapToGrid w:val="0"/>
          <w:color w:val="auto"/>
          <w:spacing w:val="6"/>
          <w:kern w:val="0"/>
          <w:sz w:val="20"/>
          <w:szCs w:val="20"/>
          <w:highlight w:val="none"/>
        </w:rPr>
        <w:t>：</w:t>
      </w:r>
      <w:r>
        <w:rPr>
          <w:rFonts w:ascii="宋体" w:hAnsi="宋体" w:cs="宋体"/>
          <w:snapToGrid w:val="0"/>
          <w:color w:val="auto"/>
          <w:spacing w:val="8"/>
          <w:kern w:val="0"/>
          <w:sz w:val="20"/>
          <w:szCs w:val="20"/>
          <w:highlight w:val="none"/>
        </w:rPr>
        <w:t>持本人申请材料（行驶证、</w:t>
      </w:r>
      <w:r>
        <w:rPr>
          <w:rFonts w:ascii="宋体" w:hAnsi="宋体" w:cs="宋体" w:hint="eastAsia"/>
          <w:snapToGrid w:val="0"/>
          <w:color w:val="auto"/>
          <w:spacing w:val="8"/>
          <w:kern w:val="0"/>
          <w:sz w:val="20"/>
          <w:szCs w:val="20"/>
          <w:highlight w:val="none"/>
        </w:rPr>
        <w:t>身份证</w:t>
      </w:r>
      <w:r>
        <w:rPr>
          <w:rFonts w:ascii="宋体" w:hAnsi="宋体" w:cs="宋体"/>
          <w:snapToGrid w:val="0"/>
          <w:color w:val="auto"/>
          <w:spacing w:val="8"/>
          <w:kern w:val="0"/>
          <w:sz w:val="20"/>
          <w:szCs w:val="20"/>
          <w:highlight w:val="none"/>
        </w:rPr>
        <w:t>等</w:t>
      </w:r>
      <w:r>
        <w:rPr>
          <w:rFonts w:ascii="宋体" w:hAnsi="宋体" w:cs="宋体"/>
          <w:snapToGrid w:val="0"/>
          <w:color w:val="auto"/>
          <w:spacing w:val="-21"/>
          <w:kern w:val="0"/>
          <w:sz w:val="20"/>
          <w:szCs w:val="20"/>
          <w:highlight w:val="none"/>
        </w:rPr>
        <w:t>），</w:t>
      </w:r>
      <w:r>
        <w:rPr>
          <w:rFonts w:ascii="宋体" w:hAnsi="宋体" w:cs="宋体"/>
          <w:snapToGrid w:val="0"/>
          <w:color w:val="auto"/>
          <w:spacing w:val="8"/>
          <w:kern w:val="0"/>
          <w:sz w:val="20"/>
          <w:szCs w:val="20"/>
          <w:highlight w:val="none"/>
        </w:rPr>
        <w:t>向机关服务中心提出申请</w:t>
      </w:r>
      <w:r>
        <w:rPr>
          <w:rFonts w:ascii="宋体" w:hAnsi="宋体" w:cs="宋体" w:hint="eastAsia"/>
          <w:snapToGrid w:val="0"/>
          <w:color w:val="auto"/>
          <w:spacing w:val="8"/>
          <w:kern w:val="0"/>
          <w:sz w:val="20"/>
          <w:szCs w:val="20"/>
          <w:highlight w:val="none"/>
        </w:rPr>
        <w:t>，</w:t>
      </w:r>
      <w:r>
        <w:rPr>
          <w:rFonts w:ascii="宋体" w:hAnsi="宋体" w:cs="宋体"/>
          <w:snapToGrid w:val="0"/>
          <w:color w:val="auto"/>
          <w:spacing w:val="9"/>
          <w:kern w:val="0"/>
          <w:sz w:val="20"/>
          <w:szCs w:val="20"/>
          <w:highlight w:val="none"/>
        </w:rPr>
        <w:t>机关服务中心对申请材料进行</w:t>
      </w:r>
      <w:r>
        <w:rPr>
          <w:rFonts w:ascii="宋体" w:hAnsi="宋体" w:cs="宋体" w:hint="eastAsia"/>
          <w:snapToGrid w:val="0"/>
          <w:color w:val="auto"/>
          <w:spacing w:val="9"/>
          <w:kern w:val="0"/>
          <w:sz w:val="20"/>
          <w:szCs w:val="20"/>
          <w:highlight w:val="none"/>
        </w:rPr>
        <w:t>核实审定后</w:t>
      </w:r>
      <w:r>
        <w:rPr>
          <w:rFonts w:ascii="宋体" w:hAnsi="宋体" w:cs="宋体"/>
          <w:snapToGrid w:val="0"/>
          <w:color w:val="auto"/>
          <w:spacing w:val="9"/>
          <w:kern w:val="0"/>
          <w:sz w:val="20"/>
          <w:szCs w:val="20"/>
          <w:highlight w:val="none"/>
        </w:rPr>
        <w:t>将车辆信息录入管理系统。</w:t>
      </w: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第三章车辆出入管理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第十一条外来办事的车辆进出机关大院应自觉接受门卫值班员的查询或登记后，</w:t>
      </w:r>
      <w:r>
        <w:rPr>
          <w:rFonts w:ascii="宋体" w:hAnsi="宋体" w:cs="宋体"/>
          <w:snapToGrid w:val="0"/>
          <w:color w:val="auto"/>
          <w:spacing w:val="8"/>
          <w:kern w:val="0"/>
          <w:sz w:val="20"/>
          <w:szCs w:val="20"/>
          <w:highlight w:val="none"/>
        </w:rPr>
        <w:t>方能进入</w:t>
      </w:r>
      <w:r>
        <w:rPr>
          <w:rFonts w:ascii="宋体" w:hAnsi="宋体" w:cs="宋体" w:hint="eastAsia"/>
          <w:snapToGrid w:val="0"/>
          <w:color w:val="auto"/>
          <w:spacing w:val="8"/>
          <w:kern w:val="0"/>
          <w:sz w:val="20"/>
          <w:szCs w:val="20"/>
          <w:highlight w:val="none"/>
        </w:rPr>
        <w:t>停放</w:t>
      </w:r>
      <w:r>
        <w:rPr>
          <w:rFonts w:ascii="宋体" w:hAnsi="宋体" w:cs="宋体"/>
          <w:snapToGrid w:val="0"/>
          <w:color w:val="auto"/>
          <w:spacing w:val="8"/>
          <w:kern w:val="0"/>
          <w:sz w:val="20"/>
          <w:szCs w:val="20"/>
          <w:highlight w:val="none"/>
        </w:rPr>
        <w:t>。</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第十二条非机动车辆进出机关大院应自觉</w:t>
      </w:r>
      <w:r>
        <w:rPr>
          <w:rFonts w:ascii="宋体" w:hAnsi="宋体" w:cs="宋体"/>
          <w:snapToGrid w:val="0"/>
          <w:color w:val="auto"/>
          <w:spacing w:val="10"/>
          <w:kern w:val="0"/>
          <w:sz w:val="20"/>
          <w:szCs w:val="20"/>
          <w:highlight w:val="none"/>
        </w:rPr>
        <w:t>接受门卫值班员的查询或登记（外来车辆）后，</w:t>
      </w:r>
      <w:r>
        <w:rPr>
          <w:rFonts w:ascii="宋体" w:hAnsi="宋体" w:cs="宋体"/>
          <w:snapToGrid w:val="0"/>
          <w:color w:val="auto"/>
          <w:spacing w:val="8"/>
          <w:kern w:val="0"/>
          <w:sz w:val="20"/>
          <w:szCs w:val="20"/>
          <w:highlight w:val="none"/>
        </w:rPr>
        <w:t>方能停放于指定位置。</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第十三条车辆进出机关大院须按交通标识减速慢行，禁鸣喇叭，做到文明行驶，自觉接受保</w:t>
      </w:r>
      <w:r>
        <w:rPr>
          <w:rFonts w:ascii="宋体" w:hAnsi="宋体" w:cs="宋体"/>
          <w:snapToGrid w:val="0"/>
          <w:color w:val="auto"/>
          <w:spacing w:val="6"/>
          <w:kern w:val="0"/>
          <w:sz w:val="20"/>
          <w:szCs w:val="20"/>
          <w:highlight w:val="none"/>
        </w:rPr>
        <w:t>安人员的指挥。</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第十四条严禁外来无关车辆及携带易燃易爆危险品的车辆进入机关大院。</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9"/>
          <w:kern w:val="0"/>
          <w:sz w:val="20"/>
          <w:szCs w:val="20"/>
          <w:highlight w:val="none"/>
        </w:rPr>
      </w:pPr>
      <w:r>
        <w:rPr>
          <w:rFonts w:ascii="宋体" w:hAnsi="宋体" w:cs="宋体"/>
          <w:snapToGrid w:val="0"/>
          <w:color w:val="auto"/>
          <w:spacing w:val="7"/>
          <w:kern w:val="0"/>
          <w:sz w:val="20"/>
          <w:szCs w:val="20"/>
          <w:highlight w:val="none"/>
        </w:rPr>
        <w:t>第十五条机关大院安保实行24小时值班及应急报告制度，加强巡查力度，严格工作纪律，做</w:t>
      </w:r>
      <w:r>
        <w:rPr>
          <w:rFonts w:ascii="宋体" w:hAnsi="宋体" w:cs="宋体"/>
          <w:snapToGrid w:val="0"/>
          <w:color w:val="auto"/>
          <w:spacing w:val="9"/>
          <w:kern w:val="0"/>
          <w:sz w:val="20"/>
          <w:szCs w:val="20"/>
          <w:highlight w:val="none"/>
        </w:rPr>
        <w:t>好车辆出入的管理工作，确保车辆出入安全有序。</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9"/>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第四章车辆停放管理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6"/>
          <w:kern w:val="0"/>
          <w:sz w:val="20"/>
          <w:szCs w:val="20"/>
          <w:highlight w:val="none"/>
        </w:rPr>
        <w:t>第十六条进入机关大院停放的所有车辆，须按指</w:t>
      </w:r>
      <w:r>
        <w:rPr>
          <w:rFonts w:ascii="宋体" w:hAnsi="宋体" w:cs="宋体"/>
          <w:snapToGrid w:val="0"/>
          <w:color w:val="auto"/>
          <w:spacing w:val="5"/>
          <w:kern w:val="0"/>
          <w:sz w:val="20"/>
          <w:szCs w:val="20"/>
          <w:highlight w:val="none"/>
        </w:rPr>
        <w:t>定停车库（场）、车位及方向有序停放，自觉</w:t>
      </w:r>
    </w:p>
    <w:p>
      <w:pPr>
        <w:widowControl/>
        <w:overflowPunct w:val="0"/>
        <w:autoSpaceDE w:val="0"/>
        <w:autoSpaceDN w:val="0"/>
        <w:adjustRightInd w:val="0"/>
        <w:snapToGrid w:val="0"/>
        <w:spacing w:line="360" w:lineRule="auto"/>
        <w:jc w:val="left"/>
        <w:textAlignment w:val="baseline"/>
        <w:rPr>
          <w:rFonts w:ascii="宋体" w:hAnsi="宋体" w:cs="宋体"/>
          <w:snapToGrid w:val="0"/>
          <w:color w:val="auto"/>
          <w:spacing w:val="7"/>
          <w:kern w:val="0"/>
          <w:sz w:val="20"/>
          <w:szCs w:val="20"/>
          <w:highlight w:val="none"/>
        </w:rPr>
      </w:pPr>
      <w:r>
        <w:rPr>
          <w:rFonts w:ascii="宋体" w:hAnsi="宋体" w:cs="宋体"/>
          <w:snapToGrid w:val="0"/>
          <w:color w:val="auto"/>
          <w:spacing w:val="7"/>
          <w:kern w:val="0"/>
          <w:sz w:val="20"/>
          <w:szCs w:val="20"/>
          <w:highlight w:val="none"/>
        </w:rPr>
        <w:t>服从值班安保人员的指挥，禁止车辆乱停乱放。</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6"/>
          <w:kern w:val="0"/>
          <w:sz w:val="20"/>
          <w:szCs w:val="20"/>
          <w:highlight w:val="none"/>
        </w:rPr>
      </w:pPr>
      <w:r>
        <w:rPr>
          <w:rFonts w:ascii="宋体" w:hAnsi="宋体" w:cs="宋体"/>
          <w:snapToGrid w:val="0"/>
          <w:color w:val="auto"/>
          <w:spacing w:val="6"/>
          <w:kern w:val="0"/>
          <w:sz w:val="20"/>
          <w:szCs w:val="20"/>
          <w:highlight w:val="none"/>
        </w:rPr>
        <w:t>第十七条严禁占用消防通道停放车辆。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8"/>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第五章车辆违规出入停放的处理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8"/>
          <w:kern w:val="0"/>
          <w:sz w:val="20"/>
          <w:szCs w:val="20"/>
          <w:highlight w:val="none"/>
        </w:rPr>
        <w:t>第</w:t>
      </w:r>
      <w:r>
        <w:rPr>
          <w:rFonts w:ascii="宋体" w:hAnsi="宋体" w:cs="宋体" w:hint="eastAsia"/>
          <w:snapToGrid w:val="0"/>
          <w:color w:val="auto"/>
          <w:spacing w:val="8"/>
          <w:kern w:val="0"/>
          <w:sz w:val="20"/>
          <w:szCs w:val="20"/>
          <w:highlight w:val="none"/>
        </w:rPr>
        <w:t>十八</w:t>
      </w:r>
      <w:r>
        <w:rPr>
          <w:rFonts w:ascii="宋体" w:hAnsi="宋体" w:cs="宋体"/>
          <w:snapToGrid w:val="0"/>
          <w:color w:val="auto"/>
          <w:spacing w:val="8"/>
          <w:kern w:val="0"/>
          <w:sz w:val="20"/>
          <w:szCs w:val="20"/>
          <w:highlight w:val="none"/>
        </w:rPr>
        <w:t>条</w:t>
      </w:r>
      <w:r>
        <w:rPr>
          <w:rFonts w:ascii="宋体" w:hAnsi="宋体" w:cs="宋体" w:hint="eastAsia"/>
          <w:snapToGrid w:val="0"/>
          <w:color w:val="auto"/>
          <w:spacing w:val="8"/>
          <w:kern w:val="0"/>
          <w:sz w:val="20"/>
          <w:szCs w:val="20"/>
          <w:highlight w:val="none"/>
        </w:rPr>
        <w:t xml:space="preserve"> </w:t>
      </w:r>
      <w:r>
        <w:rPr>
          <w:rFonts w:ascii="宋体" w:hAnsi="宋体" w:cs="宋体"/>
          <w:snapToGrid w:val="0"/>
          <w:color w:val="auto"/>
          <w:spacing w:val="8"/>
          <w:kern w:val="0"/>
          <w:sz w:val="20"/>
          <w:szCs w:val="20"/>
          <w:highlight w:val="none"/>
        </w:rPr>
        <w:t>进入机关大院的车辆（含非机动车辆</w:t>
      </w:r>
      <w:r>
        <w:rPr>
          <w:rFonts w:ascii="宋体" w:hAnsi="宋体" w:cs="宋体"/>
          <w:snapToGrid w:val="0"/>
          <w:color w:val="auto"/>
          <w:spacing w:val="-37"/>
          <w:kern w:val="0"/>
          <w:sz w:val="20"/>
          <w:szCs w:val="20"/>
          <w:highlight w:val="none"/>
        </w:rPr>
        <w:t>），</w:t>
      </w:r>
      <w:r>
        <w:rPr>
          <w:rFonts w:ascii="宋体" w:hAnsi="宋体" w:cs="宋体"/>
          <w:snapToGrid w:val="0"/>
          <w:color w:val="auto"/>
          <w:spacing w:val="8"/>
          <w:kern w:val="0"/>
          <w:sz w:val="20"/>
          <w:szCs w:val="20"/>
          <w:highlight w:val="none"/>
        </w:rPr>
        <w:t>应自觉按规定停放，对违规停放的车辆，</w:t>
      </w:r>
      <w:r>
        <w:rPr>
          <w:rFonts w:ascii="宋体" w:hAnsi="宋体" w:cs="宋体"/>
          <w:snapToGrid w:val="0"/>
          <w:color w:val="auto"/>
          <w:spacing w:val="11"/>
          <w:kern w:val="0"/>
          <w:sz w:val="20"/>
          <w:szCs w:val="20"/>
          <w:highlight w:val="none"/>
        </w:rPr>
        <w:t>保安人员将对该车张贴违规停放书面整改通知单；对不服从管理及多次</w:t>
      </w:r>
      <w:r>
        <w:rPr>
          <w:rFonts w:ascii="宋体" w:hAnsi="宋体" w:cs="宋体"/>
          <w:snapToGrid w:val="0"/>
          <w:color w:val="auto"/>
          <w:spacing w:val="10"/>
          <w:kern w:val="0"/>
          <w:sz w:val="20"/>
          <w:szCs w:val="20"/>
          <w:highlight w:val="none"/>
        </w:rPr>
        <w:t>违规停放的车辆，将采取锁</w:t>
      </w:r>
      <w:r>
        <w:rPr>
          <w:rFonts w:ascii="宋体" w:hAnsi="宋体" w:cs="宋体"/>
          <w:snapToGrid w:val="0"/>
          <w:color w:val="auto"/>
          <w:spacing w:val="7"/>
          <w:kern w:val="0"/>
          <w:sz w:val="20"/>
          <w:szCs w:val="20"/>
          <w:highlight w:val="none"/>
        </w:rPr>
        <w:t>住车辆等措施。</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0"/>
          <w:kern w:val="0"/>
          <w:sz w:val="20"/>
          <w:szCs w:val="20"/>
          <w:highlight w:val="none"/>
        </w:rPr>
        <w:t>第</w:t>
      </w:r>
      <w:r>
        <w:rPr>
          <w:rFonts w:ascii="宋体" w:hAnsi="宋体" w:cs="宋体" w:hint="eastAsia"/>
          <w:snapToGrid w:val="0"/>
          <w:color w:val="auto"/>
          <w:spacing w:val="10"/>
          <w:kern w:val="0"/>
          <w:sz w:val="20"/>
          <w:szCs w:val="20"/>
          <w:highlight w:val="none"/>
        </w:rPr>
        <w:t>十九</w:t>
      </w:r>
      <w:r>
        <w:rPr>
          <w:rFonts w:ascii="宋体" w:hAnsi="宋体" w:cs="宋体"/>
          <w:snapToGrid w:val="0"/>
          <w:color w:val="auto"/>
          <w:spacing w:val="10"/>
          <w:kern w:val="0"/>
          <w:sz w:val="20"/>
          <w:szCs w:val="20"/>
          <w:highlight w:val="none"/>
        </w:rPr>
        <w:t>条</w:t>
      </w:r>
      <w:r>
        <w:rPr>
          <w:rFonts w:ascii="宋体" w:hAnsi="宋体" w:cs="宋体" w:hint="eastAsia"/>
          <w:snapToGrid w:val="0"/>
          <w:color w:val="auto"/>
          <w:spacing w:val="10"/>
          <w:kern w:val="0"/>
          <w:sz w:val="20"/>
          <w:szCs w:val="20"/>
          <w:highlight w:val="none"/>
        </w:rPr>
        <w:t xml:space="preserve"> </w:t>
      </w:r>
      <w:r>
        <w:rPr>
          <w:rFonts w:ascii="宋体" w:hAnsi="宋体" w:cs="宋体"/>
          <w:snapToGrid w:val="0"/>
          <w:color w:val="auto"/>
          <w:spacing w:val="10"/>
          <w:kern w:val="0"/>
          <w:sz w:val="20"/>
          <w:szCs w:val="20"/>
          <w:highlight w:val="none"/>
        </w:rPr>
        <w:t>进出机关大院的车辆（含非机动车辆</w:t>
      </w:r>
      <w:r>
        <w:rPr>
          <w:rFonts w:ascii="宋体" w:hAnsi="宋体" w:cs="宋体"/>
          <w:snapToGrid w:val="0"/>
          <w:color w:val="auto"/>
          <w:spacing w:val="-42"/>
          <w:kern w:val="0"/>
          <w:sz w:val="20"/>
          <w:szCs w:val="20"/>
          <w:highlight w:val="none"/>
        </w:rPr>
        <w:t>），</w:t>
      </w:r>
      <w:r>
        <w:rPr>
          <w:rFonts w:ascii="宋体" w:hAnsi="宋体" w:cs="宋体"/>
          <w:snapToGrid w:val="0"/>
          <w:color w:val="auto"/>
          <w:spacing w:val="10"/>
          <w:kern w:val="0"/>
          <w:sz w:val="20"/>
          <w:szCs w:val="20"/>
          <w:highlight w:val="none"/>
        </w:rPr>
        <w:t>应自觉服从安保值班人员的指挥，不得</w:t>
      </w:r>
      <w:r>
        <w:rPr>
          <w:rFonts w:ascii="宋体" w:hAnsi="宋体" w:cs="宋体"/>
          <w:snapToGrid w:val="0"/>
          <w:color w:val="auto"/>
          <w:spacing w:val="11"/>
          <w:kern w:val="0"/>
          <w:sz w:val="20"/>
          <w:szCs w:val="20"/>
          <w:highlight w:val="none"/>
        </w:rPr>
        <w:t>妨碍其正常执勤，否则，将视情节予以通报批评，造成严重后果的，</w:t>
      </w:r>
      <w:r>
        <w:rPr>
          <w:rFonts w:ascii="宋体" w:hAnsi="宋体" w:cs="宋体"/>
          <w:snapToGrid w:val="0"/>
          <w:color w:val="auto"/>
          <w:spacing w:val="10"/>
          <w:kern w:val="0"/>
          <w:sz w:val="20"/>
          <w:szCs w:val="20"/>
          <w:highlight w:val="none"/>
        </w:rPr>
        <w:t>除赔偿损失外，必要时移交有</w:t>
      </w:r>
      <w:r>
        <w:rPr>
          <w:rFonts w:ascii="宋体" w:hAnsi="宋体" w:cs="宋体"/>
          <w:snapToGrid w:val="0"/>
          <w:color w:val="auto"/>
          <w:spacing w:val="8"/>
          <w:kern w:val="0"/>
          <w:sz w:val="20"/>
          <w:szCs w:val="20"/>
          <w:highlight w:val="none"/>
        </w:rPr>
        <w:t>关部门追究法律责任。</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8"/>
          <w:kern w:val="0"/>
          <w:sz w:val="20"/>
          <w:szCs w:val="20"/>
          <w:highlight w:val="none"/>
        </w:rPr>
      </w:pPr>
      <w:r>
        <w:rPr>
          <w:rFonts w:ascii="宋体" w:hAnsi="宋体" w:cs="宋体"/>
          <w:snapToGrid w:val="0"/>
          <w:color w:val="auto"/>
          <w:spacing w:val="8"/>
          <w:kern w:val="0"/>
          <w:sz w:val="20"/>
          <w:szCs w:val="20"/>
          <w:highlight w:val="none"/>
        </w:rPr>
        <w:t>第</w:t>
      </w:r>
      <w:r>
        <w:rPr>
          <w:rFonts w:ascii="宋体" w:hAnsi="宋体" w:cs="宋体" w:hint="eastAsia"/>
          <w:snapToGrid w:val="0"/>
          <w:color w:val="auto"/>
          <w:spacing w:val="8"/>
          <w:kern w:val="0"/>
          <w:sz w:val="20"/>
          <w:szCs w:val="20"/>
          <w:highlight w:val="none"/>
        </w:rPr>
        <w:t>二十</w:t>
      </w:r>
      <w:r>
        <w:rPr>
          <w:rFonts w:ascii="宋体" w:hAnsi="宋体" w:cs="宋体"/>
          <w:snapToGrid w:val="0"/>
          <w:color w:val="auto"/>
          <w:spacing w:val="8"/>
          <w:kern w:val="0"/>
          <w:sz w:val="20"/>
          <w:szCs w:val="20"/>
          <w:highlight w:val="none"/>
        </w:rPr>
        <w:t>条</w:t>
      </w:r>
      <w:r>
        <w:rPr>
          <w:rFonts w:ascii="宋体" w:hAnsi="宋体" w:cs="宋体" w:hint="eastAsia"/>
          <w:snapToGrid w:val="0"/>
          <w:color w:val="auto"/>
          <w:spacing w:val="8"/>
          <w:kern w:val="0"/>
          <w:sz w:val="20"/>
          <w:szCs w:val="20"/>
          <w:highlight w:val="none"/>
        </w:rPr>
        <w:t xml:space="preserve"> </w:t>
      </w:r>
      <w:r>
        <w:rPr>
          <w:rFonts w:ascii="宋体" w:hAnsi="宋体" w:cs="宋体"/>
          <w:snapToGrid w:val="0"/>
          <w:color w:val="auto"/>
          <w:spacing w:val="8"/>
          <w:kern w:val="0"/>
          <w:sz w:val="20"/>
          <w:szCs w:val="20"/>
          <w:highlight w:val="none"/>
        </w:rPr>
        <w:t>机关服务中心要加强机关大院车辆出入停放</w:t>
      </w:r>
      <w:r>
        <w:rPr>
          <w:rFonts w:ascii="宋体" w:hAnsi="宋体" w:cs="宋体"/>
          <w:snapToGrid w:val="0"/>
          <w:color w:val="auto"/>
          <w:spacing w:val="7"/>
          <w:kern w:val="0"/>
          <w:sz w:val="20"/>
          <w:szCs w:val="20"/>
          <w:highlight w:val="none"/>
        </w:rPr>
        <w:t>的管理工作，认真督促检查，落实</w:t>
      </w:r>
      <w:r>
        <w:rPr>
          <w:rFonts w:ascii="宋体" w:hAnsi="宋体" w:cs="宋体"/>
          <w:snapToGrid w:val="0"/>
          <w:color w:val="auto"/>
          <w:spacing w:val="8"/>
          <w:kern w:val="0"/>
          <w:sz w:val="20"/>
          <w:szCs w:val="20"/>
          <w:highlight w:val="none"/>
        </w:rPr>
        <w:t>责任，确保机关大院畅通无阻，安全有序。</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8"/>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第六章附则</w:t>
      </w:r>
    </w:p>
    <w:p>
      <w:pPr>
        <w:widowControl/>
        <w:overflowPunct w:val="0"/>
        <w:autoSpaceDE w:val="0"/>
        <w:autoSpaceDN w:val="0"/>
        <w:adjustRightInd w:val="0"/>
        <w:snapToGrid w:val="0"/>
        <w:spacing w:line="299" w:lineRule="auto"/>
        <w:ind w:firstLine="400" w:firstLineChars="200"/>
        <w:jc w:val="left"/>
        <w:textAlignment w:val="baseline"/>
        <w:rPr>
          <w:rFonts w:ascii="Arial" w:eastAsia="Arial" w:hAnsi="Arial" w:cs="Arial"/>
          <w:snapToGrid w:val="0"/>
          <w:color w:val="auto"/>
          <w:kern w:val="0"/>
          <w:szCs w:val="21"/>
          <w:highlight w:val="none"/>
        </w:rPr>
      </w:pPr>
      <w:r>
        <w:rPr>
          <w:rFonts w:ascii="Arial" w:eastAsia="Arial" w:hAnsi="Arial" w:cs="Arial"/>
          <w:snapToGrid w:val="0"/>
          <w:color w:val="auto"/>
          <w:spacing w:val="10"/>
          <w:kern w:val="0"/>
          <w:sz w:val="20"/>
          <w:szCs w:val="20"/>
          <w:highlight w:val="none"/>
        </w:rPr>
        <w:t>第二十</w:t>
      </w:r>
      <w:r>
        <w:rPr>
          <w:rFonts w:ascii="Arial" w:eastAsia="Arial" w:hAnsi="Arial" w:cs="Arial" w:hint="eastAsia"/>
          <w:snapToGrid w:val="0"/>
          <w:color w:val="auto"/>
          <w:spacing w:val="10"/>
          <w:kern w:val="0"/>
          <w:sz w:val="20"/>
          <w:szCs w:val="20"/>
          <w:highlight w:val="none"/>
        </w:rPr>
        <w:t>一</w:t>
      </w:r>
      <w:r>
        <w:rPr>
          <w:rFonts w:ascii="Arial" w:eastAsia="Arial" w:hAnsi="Arial" w:cs="Arial"/>
          <w:snapToGrid w:val="0"/>
          <w:color w:val="auto"/>
          <w:spacing w:val="10"/>
          <w:kern w:val="0"/>
          <w:sz w:val="20"/>
          <w:szCs w:val="20"/>
          <w:highlight w:val="none"/>
        </w:rPr>
        <w:t>条本规定由机关服务中心负责解释。</w:t>
      </w:r>
    </w:p>
    <w:p>
      <w:pPr>
        <w:widowControl/>
        <w:kinsoku w:val="0"/>
        <w:autoSpaceDE w:val="0"/>
        <w:autoSpaceDN w:val="0"/>
        <w:adjustRightInd w:val="0"/>
        <w:snapToGrid w:val="0"/>
        <w:jc w:val="left"/>
        <w:textAlignment w:val="baseline"/>
        <w:rPr>
          <w:rFonts w:ascii="Arial" w:eastAsia="Arial" w:hAnsi="Arial" w:cs="Arial"/>
          <w:b/>
          <w:bCs/>
          <w:snapToGrid w:val="0"/>
          <w:color w:val="auto"/>
          <w:spacing w:val="-34"/>
          <w:kern w:val="0"/>
          <w:sz w:val="28"/>
          <w:szCs w:val="28"/>
          <w:highlight w:val="none"/>
        </w:rPr>
      </w:pPr>
      <w:r>
        <w:rPr>
          <w:rFonts w:ascii="Arial" w:eastAsia="Arial" w:hAnsi="Arial" w:cs="Arial"/>
          <w:b/>
          <w:bCs/>
          <w:snapToGrid w:val="0"/>
          <w:color w:val="auto"/>
          <w:spacing w:val="-34"/>
          <w:kern w:val="0"/>
          <w:sz w:val="28"/>
          <w:szCs w:val="28"/>
          <w:highlight w:val="none"/>
        </w:rPr>
        <w:br w:type="page"/>
      </w:r>
    </w:p>
    <w:p>
      <w:pPr>
        <w:wordWrap w:val="0"/>
        <w:autoSpaceDE w:val="0"/>
        <w:autoSpaceDN w:val="0"/>
        <w:adjustRightInd w:val="0"/>
        <w:snapToGrid w:val="0"/>
        <w:spacing w:before="149" w:line="355" w:lineRule="auto"/>
        <w:ind w:left="8" w:firstLine="431"/>
        <w:jc w:val="center"/>
        <w:textAlignment w:val="baseline"/>
        <w:rPr>
          <w:rFonts w:ascii="仿宋" w:eastAsia="仿宋" w:hAnsi="仿宋" w:cs="仿宋"/>
          <w:b/>
          <w:bCs/>
          <w:snapToGrid w:val="0"/>
          <w:color w:val="auto"/>
          <w:spacing w:val="8"/>
          <w:kern w:val="0"/>
          <w:sz w:val="24"/>
          <w:szCs w:val="24"/>
          <w:highlight w:val="none"/>
        </w:rPr>
      </w:pPr>
      <w:r>
        <w:rPr>
          <w:rFonts w:ascii="仿宋" w:eastAsia="仿宋" w:hAnsi="仿宋" w:cs="仿宋" w:hint="eastAsia"/>
          <w:b/>
          <w:bCs/>
          <w:snapToGrid w:val="0"/>
          <w:color w:val="auto"/>
          <w:spacing w:val="8"/>
          <w:kern w:val="0"/>
          <w:sz w:val="24"/>
          <w:szCs w:val="24"/>
          <w:highlight w:val="none"/>
        </w:rPr>
        <w:t>柳州市税务局公共机构节能管理制度</w:t>
      </w:r>
    </w:p>
    <w:p>
      <w:pPr>
        <w:widowControl/>
        <w:overflowPunct w:val="0"/>
        <w:autoSpaceDE w:val="0"/>
        <w:autoSpaceDN w:val="0"/>
        <w:adjustRightInd w:val="0"/>
        <w:snapToGrid w:val="0"/>
        <w:spacing w:line="299" w:lineRule="auto"/>
        <w:ind w:firstLine="420" w:firstLineChars="200"/>
        <w:jc w:val="left"/>
        <w:textAlignment w:val="baseline"/>
        <w:rPr>
          <w:rFonts w:ascii="Arial" w:eastAsia="Arial" w:hAnsi="Arial" w:cs="Arial"/>
          <w:snapToGrid w:val="0"/>
          <w:color w:val="auto"/>
          <w:kern w:val="0"/>
          <w:szCs w:val="21"/>
          <w:highlight w:val="none"/>
        </w:rPr>
      </w:pP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为加强税务系统公共机构节约能源资源的管</w:t>
      </w:r>
      <w:r>
        <w:rPr>
          <w:rFonts w:ascii="宋体" w:hAnsi="宋体" w:cs="宋体"/>
          <w:snapToGrid w:val="0"/>
          <w:color w:val="auto"/>
          <w:spacing w:val="10"/>
          <w:kern w:val="0"/>
          <w:sz w:val="20"/>
          <w:szCs w:val="20"/>
          <w:highlight w:val="none"/>
        </w:rPr>
        <w:t>理，提高能源资源利用效率，发挥公共机构在建</w:t>
      </w:r>
      <w:r>
        <w:rPr>
          <w:rFonts w:ascii="宋体" w:hAnsi="宋体" w:cs="宋体"/>
          <w:snapToGrid w:val="0"/>
          <w:color w:val="auto"/>
          <w:spacing w:val="6"/>
          <w:kern w:val="0"/>
          <w:sz w:val="20"/>
          <w:szCs w:val="20"/>
          <w:highlight w:val="none"/>
        </w:rPr>
        <w:t>设节约型社会中的表率作用，减少公用经费支出，依照《公共机构节能条例》、《广西壮族自治区公</w:t>
      </w:r>
      <w:r>
        <w:rPr>
          <w:rFonts w:ascii="宋体" w:hAnsi="宋体" w:cs="宋体"/>
          <w:snapToGrid w:val="0"/>
          <w:color w:val="auto"/>
          <w:spacing w:val="9"/>
          <w:kern w:val="0"/>
          <w:sz w:val="20"/>
          <w:szCs w:val="20"/>
          <w:highlight w:val="none"/>
        </w:rPr>
        <w:t>共机构节能管理办法》特制定如下管理制度。</w:t>
      </w: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7"/>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snapToGrid w:val="0"/>
          <w:color w:val="auto"/>
          <w:kern w:val="0"/>
          <w:sz w:val="20"/>
          <w:szCs w:val="20"/>
          <w:highlight w:val="none"/>
        </w:rPr>
      </w:pPr>
      <w:r>
        <w:rPr>
          <w:rFonts w:ascii="宋体" w:hAnsi="宋体" w:cs="宋体"/>
          <w:b/>
          <w:bCs/>
          <w:snapToGrid w:val="0"/>
          <w:color w:val="auto"/>
          <w:spacing w:val="7"/>
          <w:kern w:val="0"/>
          <w:sz w:val="20"/>
          <w:szCs w:val="20"/>
          <w:highlight w:val="none"/>
        </w:rPr>
        <w:t>【节电管理制度】</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第一条实行定额管理。按照单位性质、业</w:t>
      </w:r>
      <w:r>
        <w:rPr>
          <w:rFonts w:ascii="宋体" w:hAnsi="宋体" w:cs="宋体"/>
          <w:snapToGrid w:val="0"/>
          <w:color w:val="auto"/>
          <w:spacing w:val="10"/>
          <w:kern w:val="0"/>
          <w:sz w:val="20"/>
          <w:szCs w:val="20"/>
          <w:highlight w:val="none"/>
        </w:rPr>
        <w:t>务量和各年度能耗状况，科学确定本单位年度电耗</w:t>
      </w:r>
      <w:r>
        <w:rPr>
          <w:rFonts w:ascii="宋体" w:hAnsi="宋体" w:cs="宋体"/>
          <w:snapToGrid w:val="0"/>
          <w:color w:val="auto"/>
          <w:spacing w:val="11"/>
          <w:kern w:val="0"/>
          <w:sz w:val="20"/>
          <w:szCs w:val="20"/>
          <w:highlight w:val="none"/>
        </w:rPr>
        <w:t>总量、人均电耗、单位建筑面积电耗定额。各公共机构</w:t>
      </w:r>
      <w:r>
        <w:rPr>
          <w:rFonts w:ascii="宋体" w:hAnsi="宋体" w:cs="宋体"/>
          <w:snapToGrid w:val="0"/>
          <w:color w:val="auto"/>
          <w:spacing w:val="10"/>
          <w:kern w:val="0"/>
          <w:sz w:val="20"/>
          <w:szCs w:val="20"/>
          <w:highlight w:val="none"/>
        </w:rPr>
        <w:t>要在能耗定额内使用能源，超过用电定额的</w:t>
      </w:r>
      <w:r>
        <w:rPr>
          <w:rFonts w:ascii="宋体" w:hAnsi="宋体" w:cs="宋体"/>
          <w:snapToGrid w:val="0"/>
          <w:color w:val="auto"/>
          <w:spacing w:val="8"/>
          <w:kern w:val="0"/>
          <w:sz w:val="20"/>
          <w:szCs w:val="20"/>
          <w:highlight w:val="none"/>
        </w:rPr>
        <w:t>公共机构要向上级机关管理部门作出书面说明。</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第二条加强用电消耗统计工作，建立统计</w:t>
      </w:r>
      <w:r>
        <w:rPr>
          <w:rFonts w:ascii="宋体" w:hAnsi="宋体" w:cs="宋体"/>
          <w:snapToGrid w:val="0"/>
          <w:color w:val="auto"/>
          <w:spacing w:val="10"/>
          <w:kern w:val="0"/>
          <w:sz w:val="20"/>
          <w:szCs w:val="20"/>
          <w:highlight w:val="none"/>
        </w:rPr>
        <w:t>台账。统计台账登记要全面、准确、及时，数据要</w:t>
      </w:r>
      <w:r>
        <w:rPr>
          <w:rFonts w:ascii="宋体" w:hAnsi="宋体" w:cs="宋体"/>
          <w:snapToGrid w:val="0"/>
          <w:color w:val="auto"/>
          <w:spacing w:val="8"/>
          <w:kern w:val="0"/>
          <w:sz w:val="20"/>
          <w:szCs w:val="20"/>
          <w:highlight w:val="none"/>
        </w:rPr>
        <w:t>与实际发生的原始凭证相符，不得造假虚填。</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第三条空调用电。严格执行国家有关空调</w:t>
      </w:r>
      <w:r>
        <w:rPr>
          <w:rFonts w:ascii="宋体" w:hAnsi="宋体" w:cs="宋体"/>
          <w:snapToGrid w:val="0"/>
          <w:color w:val="auto"/>
          <w:spacing w:val="10"/>
          <w:kern w:val="0"/>
          <w:sz w:val="20"/>
          <w:szCs w:val="20"/>
          <w:highlight w:val="none"/>
        </w:rPr>
        <w:t>室内温度控制标准规定，夏季室内空调温度设置不</w:t>
      </w:r>
      <w:r>
        <w:rPr>
          <w:rFonts w:ascii="宋体" w:hAnsi="宋体" w:cs="宋体"/>
          <w:snapToGrid w:val="0"/>
          <w:color w:val="auto"/>
          <w:spacing w:val="9"/>
          <w:kern w:val="0"/>
          <w:sz w:val="20"/>
          <w:szCs w:val="20"/>
          <w:highlight w:val="none"/>
        </w:rPr>
        <w:t>低于26摄氏度，冬季室内空调温度设置不高于20摄氏度。空调运行期间应关闭门窗，坚持每天少</w:t>
      </w:r>
      <w:r>
        <w:rPr>
          <w:rFonts w:ascii="宋体" w:hAnsi="宋体" w:cs="宋体"/>
          <w:snapToGrid w:val="0"/>
          <w:color w:val="auto"/>
          <w:spacing w:val="10"/>
          <w:kern w:val="0"/>
          <w:sz w:val="20"/>
          <w:szCs w:val="20"/>
          <w:highlight w:val="none"/>
        </w:rPr>
        <w:t>开1小时空调，办公室无人时要随手关闭空调</w:t>
      </w:r>
      <w:r>
        <w:rPr>
          <w:rFonts w:ascii="宋体" w:hAnsi="宋体" w:cs="宋体"/>
          <w:snapToGrid w:val="0"/>
          <w:color w:val="auto"/>
          <w:spacing w:val="9"/>
          <w:kern w:val="0"/>
          <w:sz w:val="20"/>
          <w:szCs w:val="20"/>
          <w:highlight w:val="none"/>
        </w:rPr>
        <w:t>。优化空调运行模式</w:t>
      </w:r>
      <w:r>
        <w:rPr>
          <w:rFonts w:ascii="宋体" w:hAnsi="宋体" w:cs="宋体" w:hint="eastAsia"/>
          <w:snapToGrid w:val="0"/>
          <w:color w:val="auto"/>
          <w:spacing w:val="9"/>
          <w:kern w:val="0"/>
          <w:sz w:val="20"/>
          <w:szCs w:val="20"/>
          <w:highlight w:val="none"/>
        </w:rPr>
        <w:t>。</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第四条加强用电设备的维护保养，坚持定期巡查，按时保养，做好养护台账。</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第五条照明用电。办公照明实行电路独立</w:t>
      </w:r>
      <w:r>
        <w:rPr>
          <w:rFonts w:ascii="宋体" w:hAnsi="宋体" w:cs="宋体"/>
          <w:snapToGrid w:val="0"/>
          <w:color w:val="auto"/>
          <w:spacing w:val="10"/>
          <w:kern w:val="0"/>
          <w:sz w:val="20"/>
          <w:szCs w:val="20"/>
          <w:highlight w:val="none"/>
        </w:rPr>
        <w:t>分控和智能化控制。开展绿色照明活动，更换使用</w:t>
      </w:r>
      <w:r>
        <w:rPr>
          <w:rFonts w:ascii="宋体" w:hAnsi="宋体" w:cs="宋体"/>
          <w:snapToGrid w:val="0"/>
          <w:color w:val="auto"/>
          <w:spacing w:val="8"/>
          <w:kern w:val="0"/>
          <w:sz w:val="20"/>
          <w:szCs w:val="20"/>
          <w:highlight w:val="none"/>
        </w:rPr>
        <w:t>高效照明新产品，淘汰低效照明产品。</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楼梯、走廊过道、卫生间等公共场所照明，安装技术较为成熟的声控、</w:t>
      </w:r>
      <w:r>
        <w:rPr>
          <w:rFonts w:ascii="宋体" w:hAnsi="宋体" w:cs="宋体"/>
          <w:snapToGrid w:val="0"/>
          <w:color w:val="auto"/>
          <w:spacing w:val="10"/>
          <w:kern w:val="0"/>
          <w:sz w:val="20"/>
          <w:szCs w:val="20"/>
          <w:highlight w:val="none"/>
        </w:rPr>
        <w:t>光控、感应等自控装置</w:t>
      </w:r>
      <w:r>
        <w:rPr>
          <w:rFonts w:ascii="宋体" w:hAnsi="宋体" w:cs="宋体"/>
          <w:snapToGrid w:val="0"/>
          <w:color w:val="auto"/>
          <w:spacing w:val="5"/>
          <w:kern w:val="0"/>
          <w:sz w:val="20"/>
          <w:szCs w:val="20"/>
          <w:highlight w:val="none"/>
        </w:rPr>
        <w:t>照明新产品。</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7"/>
          <w:kern w:val="0"/>
          <w:sz w:val="20"/>
          <w:szCs w:val="20"/>
          <w:highlight w:val="none"/>
        </w:rPr>
        <w:t>办公区道路用灯每晚定时开关，严格控制建筑物外部泛光照明以及装饰照明。除重大节假日外，</w:t>
      </w:r>
      <w:r>
        <w:rPr>
          <w:rFonts w:ascii="宋体" w:hAnsi="宋体" w:cs="宋体"/>
          <w:snapToGrid w:val="0"/>
          <w:color w:val="auto"/>
          <w:spacing w:val="8"/>
          <w:kern w:val="0"/>
          <w:sz w:val="20"/>
          <w:szCs w:val="20"/>
          <w:highlight w:val="none"/>
        </w:rPr>
        <w:t>不得开启装饰灯、景观照明灯。</w:t>
      </w:r>
    </w:p>
    <w:p>
      <w:pPr>
        <w:widowControl/>
        <w:overflowPunct w:val="0"/>
        <w:autoSpaceDE w:val="0"/>
        <w:autoSpaceDN w:val="0"/>
        <w:adjustRightInd w:val="0"/>
        <w:snapToGrid w:val="0"/>
        <w:spacing w:line="360" w:lineRule="auto"/>
        <w:ind w:firstLine="400" w:firstLineChars="200"/>
        <w:jc w:val="left"/>
        <w:textAlignment w:val="baseline"/>
        <w:rPr>
          <w:rFonts w:ascii="Arial" w:hAnsi="宋体" w:cs="宋体"/>
          <w:snapToGrid w:val="0"/>
          <w:color w:val="auto"/>
          <w:kern w:val="0"/>
          <w:szCs w:val="31"/>
          <w:highlight w:val="none"/>
        </w:rPr>
      </w:pPr>
      <w:r>
        <w:rPr>
          <w:rFonts w:ascii="宋体" w:hAnsi="宋体" w:cs="宋体"/>
          <w:snapToGrid w:val="0"/>
          <w:color w:val="auto"/>
          <w:spacing w:val="8"/>
          <w:kern w:val="0"/>
          <w:sz w:val="20"/>
          <w:szCs w:val="20"/>
          <w:highlight w:val="none"/>
        </w:rPr>
        <w:t>杜绝白昼灯、长明灯。自然采光条件较好的办公区域，白天要充分利用自然光，夜间楼内公共区域（含卫生间）尽量减少照明灯数量。</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第六条电梯用电。采用新型节能电梯，合</w:t>
      </w:r>
      <w:r>
        <w:rPr>
          <w:rFonts w:ascii="宋体" w:hAnsi="宋体" w:cs="宋体"/>
          <w:snapToGrid w:val="0"/>
          <w:color w:val="auto"/>
          <w:spacing w:val="10"/>
          <w:kern w:val="0"/>
          <w:sz w:val="20"/>
          <w:szCs w:val="20"/>
          <w:highlight w:val="none"/>
        </w:rPr>
        <w:t>理设置电梯开启的数量、楼层和时间。</w:t>
      </w:r>
      <w:r>
        <w:rPr>
          <w:rFonts w:ascii="宋体" w:hAnsi="宋体" w:cs="宋体"/>
          <w:snapToGrid w:val="0"/>
          <w:color w:val="auto"/>
          <w:spacing w:val="11"/>
          <w:kern w:val="0"/>
          <w:sz w:val="20"/>
          <w:szCs w:val="20"/>
          <w:highlight w:val="none"/>
        </w:rPr>
        <w:t>三层以内的短距离不搭乘电梯。</w:t>
      </w:r>
      <w:r>
        <w:rPr>
          <w:rFonts w:ascii="宋体" w:hAnsi="宋体" w:cs="宋体"/>
          <w:snapToGrid w:val="0"/>
          <w:color w:val="auto"/>
          <w:spacing w:val="10"/>
          <w:kern w:val="0"/>
          <w:sz w:val="20"/>
          <w:szCs w:val="20"/>
          <w:highlight w:val="none"/>
        </w:rPr>
        <w:t>加强对电梯的运行调节和维护保</w:t>
      </w:r>
      <w:r>
        <w:rPr>
          <w:rFonts w:ascii="宋体" w:hAnsi="宋体" w:cs="宋体"/>
          <w:snapToGrid w:val="0"/>
          <w:color w:val="auto"/>
          <w:spacing w:val="9"/>
          <w:kern w:val="0"/>
          <w:sz w:val="20"/>
          <w:szCs w:val="20"/>
          <w:highlight w:val="none"/>
        </w:rPr>
        <w:t>养，实施电梯系统智能化控制，提倡多人合乘一部电梯。</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第七条其它办公设备用电。建立办公设施</w:t>
      </w:r>
      <w:r>
        <w:rPr>
          <w:rFonts w:ascii="宋体" w:hAnsi="宋体" w:cs="宋体"/>
          <w:snapToGrid w:val="0"/>
          <w:color w:val="auto"/>
          <w:spacing w:val="10"/>
          <w:kern w:val="0"/>
          <w:sz w:val="20"/>
          <w:szCs w:val="20"/>
          <w:highlight w:val="none"/>
        </w:rPr>
        <w:t>设备下班后断电制度，办公设备不使用时要设置为</w:t>
      </w:r>
      <w:r>
        <w:rPr>
          <w:rFonts w:ascii="宋体" w:hAnsi="宋体" w:cs="宋体"/>
          <w:snapToGrid w:val="0"/>
          <w:color w:val="auto"/>
          <w:spacing w:val="11"/>
          <w:kern w:val="0"/>
          <w:sz w:val="20"/>
          <w:szCs w:val="20"/>
          <w:highlight w:val="none"/>
        </w:rPr>
        <w:t>节电模式，长时间不使用的要及时关闭，减少待机能耗。加快淘汰高</w:t>
      </w:r>
      <w:r>
        <w:rPr>
          <w:rFonts w:ascii="宋体" w:hAnsi="宋体" w:cs="宋体"/>
          <w:snapToGrid w:val="0"/>
          <w:color w:val="auto"/>
          <w:spacing w:val="10"/>
          <w:kern w:val="0"/>
          <w:sz w:val="20"/>
          <w:szCs w:val="20"/>
          <w:highlight w:val="none"/>
        </w:rPr>
        <w:t>能耗办公设备，新购买的办公设备必须达到规定的能效标识。电热水器使用智能调控定时开关，节假日</w:t>
      </w:r>
      <w:r>
        <w:rPr>
          <w:rFonts w:ascii="宋体" w:hAnsi="宋体" w:cs="宋体"/>
          <w:snapToGrid w:val="0"/>
          <w:color w:val="auto"/>
          <w:spacing w:val="9"/>
          <w:kern w:val="0"/>
          <w:sz w:val="20"/>
          <w:szCs w:val="20"/>
          <w:highlight w:val="none"/>
        </w:rPr>
        <w:t>和非工作时间关闭电热水</w:t>
      </w:r>
      <w:r>
        <w:rPr>
          <w:rFonts w:ascii="宋体" w:hAnsi="宋体" w:cs="宋体"/>
          <w:snapToGrid w:val="0"/>
          <w:color w:val="auto"/>
          <w:spacing w:val="7"/>
          <w:kern w:val="0"/>
          <w:sz w:val="20"/>
          <w:szCs w:val="20"/>
          <w:highlight w:val="none"/>
        </w:rPr>
        <w:t>器等用电设备。</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第八条实施办公区用电设备的节电改造。</w:t>
      </w:r>
      <w:r>
        <w:rPr>
          <w:rFonts w:ascii="宋体" w:hAnsi="宋体" w:cs="宋体"/>
          <w:snapToGrid w:val="0"/>
          <w:color w:val="auto"/>
          <w:spacing w:val="10"/>
          <w:kern w:val="0"/>
          <w:sz w:val="20"/>
          <w:szCs w:val="20"/>
          <w:highlight w:val="none"/>
        </w:rPr>
        <w:t>办公区用电设备安装节能调控装置，逐步更新改造</w:t>
      </w:r>
      <w:r>
        <w:rPr>
          <w:rFonts w:ascii="宋体" w:hAnsi="宋体" w:cs="宋体"/>
          <w:snapToGrid w:val="0"/>
          <w:color w:val="auto"/>
          <w:spacing w:val="8"/>
          <w:kern w:val="0"/>
          <w:sz w:val="20"/>
          <w:szCs w:val="20"/>
          <w:highlight w:val="none"/>
        </w:rPr>
        <w:t>非节能灯和其它高能耗设备。</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第九条定期监测定量分析。安排专人定时</w:t>
      </w:r>
      <w:r>
        <w:rPr>
          <w:rFonts w:ascii="宋体" w:hAnsi="宋体" w:cs="宋体"/>
          <w:snapToGrid w:val="0"/>
          <w:color w:val="auto"/>
          <w:spacing w:val="10"/>
          <w:kern w:val="0"/>
          <w:sz w:val="20"/>
          <w:szCs w:val="20"/>
          <w:highlight w:val="none"/>
        </w:rPr>
        <w:t>、定期检查抄录电表，比较分析用量，发现情况异</w:t>
      </w:r>
      <w:r>
        <w:rPr>
          <w:rFonts w:ascii="宋体" w:hAnsi="宋体" w:cs="宋体"/>
          <w:snapToGrid w:val="0"/>
          <w:color w:val="auto"/>
          <w:spacing w:val="7"/>
          <w:kern w:val="0"/>
          <w:sz w:val="20"/>
          <w:szCs w:val="20"/>
          <w:highlight w:val="none"/>
        </w:rPr>
        <w:t>常，立即进行线网检查。</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7"/>
          <w:kern w:val="0"/>
          <w:sz w:val="20"/>
          <w:szCs w:val="20"/>
          <w:highlight w:val="none"/>
        </w:rPr>
        <w:t>第十条加强用电统计分析。指定专人负责电消耗情况季度和年度统计汇总及分析报</w:t>
      </w:r>
      <w:r>
        <w:rPr>
          <w:rFonts w:ascii="宋体" w:hAnsi="宋体" w:cs="宋体"/>
          <w:snapToGrid w:val="0"/>
          <w:color w:val="auto"/>
          <w:spacing w:val="6"/>
          <w:kern w:val="0"/>
          <w:sz w:val="20"/>
          <w:szCs w:val="20"/>
          <w:highlight w:val="none"/>
        </w:rPr>
        <w:t>告工作，</w:t>
      </w:r>
      <w:r>
        <w:rPr>
          <w:rFonts w:ascii="宋体" w:hAnsi="宋体" w:cs="宋体"/>
          <w:snapToGrid w:val="0"/>
          <w:color w:val="auto"/>
          <w:spacing w:val="11"/>
          <w:kern w:val="0"/>
          <w:sz w:val="20"/>
          <w:szCs w:val="20"/>
          <w:highlight w:val="none"/>
        </w:rPr>
        <w:t>每季度形成电消耗情况统计汇总和分析报告，提出改进措施建议。每</w:t>
      </w:r>
      <w:r>
        <w:rPr>
          <w:rFonts w:ascii="宋体" w:hAnsi="宋体" w:cs="宋体"/>
          <w:snapToGrid w:val="0"/>
          <w:color w:val="auto"/>
          <w:spacing w:val="10"/>
          <w:kern w:val="0"/>
          <w:sz w:val="20"/>
          <w:szCs w:val="20"/>
          <w:highlight w:val="none"/>
        </w:rPr>
        <w:t>季度和年度电消耗情况统计汇</w:t>
      </w:r>
      <w:r>
        <w:rPr>
          <w:rFonts w:ascii="宋体" w:hAnsi="宋体" w:cs="宋体"/>
          <w:snapToGrid w:val="0"/>
          <w:color w:val="auto"/>
          <w:spacing w:val="8"/>
          <w:kern w:val="0"/>
          <w:sz w:val="20"/>
          <w:szCs w:val="20"/>
          <w:highlight w:val="none"/>
        </w:rPr>
        <w:t>总及分析报告在规定时间内报送。</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第十</w:t>
      </w:r>
      <w:r>
        <w:rPr>
          <w:rFonts w:ascii="宋体" w:hAnsi="宋体" w:cs="宋体" w:hint="eastAsia"/>
          <w:snapToGrid w:val="0"/>
          <w:color w:val="auto"/>
          <w:spacing w:val="9"/>
          <w:kern w:val="0"/>
          <w:sz w:val="20"/>
          <w:szCs w:val="20"/>
          <w:highlight w:val="none"/>
        </w:rPr>
        <w:t>一</w:t>
      </w:r>
      <w:r>
        <w:rPr>
          <w:rFonts w:ascii="宋体" w:hAnsi="宋体" w:cs="宋体"/>
          <w:snapToGrid w:val="0"/>
          <w:color w:val="auto"/>
          <w:spacing w:val="9"/>
          <w:kern w:val="0"/>
          <w:sz w:val="20"/>
          <w:szCs w:val="20"/>
          <w:highlight w:val="none"/>
        </w:rPr>
        <w:t>条在办公区域显著位置张贴节电标志，设置温馨提示，公布维修电话。</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第十</w:t>
      </w:r>
      <w:r>
        <w:rPr>
          <w:rFonts w:ascii="宋体" w:hAnsi="宋体" w:cs="宋体" w:hint="eastAsia"/>
          <w:snapToGrid w:val="0"/>
          <w:color w:val="auto"/>
          <w:spacing w:val="11"/>
          <w:kern w:val="0"/>
          <w:sz w:val="20"/>
          <w:szCs w:val="20"/>
          <w:highlight w:val="none"/>
        </w:rPr>
        <w:t>二</w:t>
      </w:r>
      <w:r>
        <w:rPr>
          <w:rFonts w:ascii="宋体" w:hAnsi="宋体" w:cs="宋体"/>
          <w:snapToGrid w:val="0"/>
          <w:color w:val="auto"/>
          <w:spacing w:val="11"/>
          <w:kern w:val="0"/>
          <w:sz w:val="20"/>
          <w:szCs w:val="20"/>
          <w:highlight w:val="none"/>
        </w:rPr>
        <w:t>条加强节电宣传。运用各种宣传形</w:t>
      </w:r>
      <w:r>
        <w:rPr>
          <w:rFonts w:ascii="宋体" w:hAnsi="宋体" w:cs="宋体"/>
          <w:snapToGrid w:val="0"/>
          <w:color w:val="auto"/>
          <w:spacing w:val="10"/>
          <w:kern w:val="0"/>
          <w:sz w:val="20"/>
          <w:szCs w:val="20"/>
          <w:highlight w:val="none"/>
        </w:rPr>
        <w:t>式进行节约用电宣传教育，提高对电资源节约重要</w:t>
      </w:r>
      <w:r>
        <w:rPr>
          <w:rFonts w:ascii="宋体" w:hAnsi="宋体" w:cs="宋体"/>
          <w:snapToGrid w:val="0"/>
          <w:color w:val="auto"/>
          <w:spacing w:val="5"/>
          <w:kern w:val="0"/>
          <w:sz w:val="20"/>
          <w:szCs w:val="20"/>
          <w:highlight w:val="none"/>
        </w:rPr>
        <w:t>性的认识，增强节能责任心。加强用电管理，利用每年6</w:t>
      </w:r>
      <w:r>
        <w:rPr>
          <w:rFonts w:ascii="宋体" w:hAnsi="宋体" w:cs="宋体"/>
          <w:snapToGrid w:val="0"/>
          <w:color w:val="auto"/>
          <w:spacing w:val="4"/>
          <w:kern w:val="0"/>
          <w:sz w:val="20"/>
          <w:szCs w:val="20"/>
          <w:highlight w:val="none"/>
        </w:rPr>
        <w:t>月公共机构“节能宣传周”、“能源紧缺体</w:t>
      </w:r>
      <w:r>
        <w:rPr>
          <w:rFonts w:ascii="宋体" w:hAnsi="宋体" w:cs="宋体"/>
          <w:snapToGrid w:val="0"/>
          <w:color w:val="auto"/>
          <w:spacing w:val="9"/>
          <w:kern w:val="0"/>
          <w:sz w:val="20"/>
          <w:szCs w:val="20"/>
          <w:highlight w:val="none"/>
        </w:rPr>
        <w:t>验日”广泛开展节电宣传活动，教育机关广大干部职工在日常工作生活中科学用电、自</w:t>
      </w:r>
      <w:r>
        <w:rPr>
          <w:rFonts w:ascii="宋体" w:hAnsi="宋体" w:cs="宋体"/>
          <w:snapToGrid w:val="0"/>
          <w:color w:val="auto"/>
          <w:spacing w:val="8"/>
          <w:kern w:val="0"/>
          <w:sz w:val="20"/>
          <w:szCs w:val="20"/>
          <w:highlight w:val="none"/>
        </w:rPr>
        <w:t>觉节电，节</w:t>
      </w:r>
      <w:r>
        <w:rPr>
          <w:rFonts w:ascii="宋体" w:hAnsi="宋体" w:cs="宋体"/>
          <w:snapToGrid w:val="0"/>
          <w:color w:val="auto"/>
          <w:spacing w:val="5"/>
          <w:kern w:val="0"/>
          <w:sz w:val="20"/>
          <w:szCs w:val="20"/>
          <w:highlight w:val="none"/>
        </w:rPr>
        <w:t>约用电。</w:t>
      </w: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7"/>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7"/>
          <w:kern w:val="0"/>
          <w:sz w:val="20"/>
          <w:szCs w:val="20"/>
          <w:highlight w:val="none"/>
        </w:rPr>
      </w:pPr>
      <w:r>
        <w:rPr>
          <w:rFonts w:ascii="宋体" w:hAnsi="宋体" w:cs="宋体"/>
          <w:b/>
          <w:bCs/>
          <w:snapToGrid w:val="0"/>
          <w:color w:val="auto"/>
          <w:spacing w:val="7"/>
          <w:kern w:val="0"/>
          <w:sz w:val="20"/>
          <w:szCs w:val="20"/>
          <w:highlight w:val="none"/>
        </w:rPr>
        <w:t>【节水管理制度】</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第一条实行定额管理。按照单位性质、业</w:t>
      </w:r>
      <w:r>
        <w:rPr>
          <w:rFonts w:ascii="宋体" w:hAnsi="宋体" w:cs="宋体"/>
          <w:snapToGrid w:val="0"/>
          <w:color w:val="auto"/>
          <w:spacing w:val="10"/>
          <w:kern w:val="0"/>
          <w:sz w:val="20"/>
          <w:szCs w:val="20"/>
          <w:highlight w:val="none"/>
        </w:rPr>
        <w:t>务量和各年度能耗状况，科学确定本单位年度水耗</w:t>
      </w:r>
      <w:r>
        <w:rPr>
          <w:rFonts w:ascii="宋体" w:hAnsi="宋体" w:cs="宋体"/>
          <w:snapToGrid w:val="0"/>
          <w:color w:val="auto"/>
          <w:spacing w:val="11"/>
          <w:kern w:val="0"/>
          <w:sz w:val="20"/>
          <w:szCs w:val="20"/>
          <w:highlight w:val="none"/>
        </w:rPr>
        <w:t>总量、人均水耗、单位建筑面积水耗定额。各公共机构</w:t>
      </w:r>
      <w:r>
        <w:rPr>
          <w:rFonts w:ascii="宋体" w:hAnsi="宋体" w:cs="宋体"/>
          <w:snapToGrid w:val="0"/>
          <w:color w:val="auto"/>
          <w:spacing w:val="10"/>
          <w:kern w:val="0"/>
          <w:sz w:val="20"/>
          <w:szCs w:val="20"/>
          <w:highlight w:val="none"/>
        </w:rPr>
        <w:t>要在消耗定额内使用资源，超过水消耗定额</w:t>
      </w:r>
      <w:r>
        <w:rPr>
          <w:rFonts w:ascii="宋体" w:hAnsi="宋体" w:cs="宋体"/>
          <w:snapToGrid w:val="0"/>
          <w:color w:val="auto"/>
          <w:spacing w:val="8"/>
          <w:kern w:val="0"/>
          <w:sz w:val="20"/>
          <w:szCs w:val="20"/>
          <w:highlight w:val="none"/>
        </w:rPr>
        <w:t>的公共机构要向上级机关管理部门作出书面说明。</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第二条加强用水消耗统计工作，建立统计</w:t>
      </w:r>
      <w:r>
        <w:rPr>
          <w:rFonts w:ascii="宋体" w:hAnsi="宋体" w:cs="宋体"/>
          <w:snapToGrid w:val="0"/>
          <w:color w:val="auto"/>
          <w:spacing w:val="10"/>
          <w:kern w:val="0"/>
          <w:sz w:val="20"/>
          <w:szCs w:val="20"/>
          <w:highlight w:val="none"/>
        </w:rPr>
        <w:t>台账。统计台账登记要全面、准确、及时，数据要</w:t>
      </w:r>
      <w:r>
        <w:rPr>
          <w:rFonts w:ascii="宋体" w:hAnsi="宋体" w:cs="宋体"/>
          <w:snapToGrid w:val="0"/>
          <w:color w:val="auto"/>
          <w:spacing w:val="8"/>
          <w:kern w:val="0"/>
          <w:sz w:val="20"/>
          <w:szCs w:val="20"/>
          <w:highlight w:val="none"/>
        </w:rPr>
        <w:t>与实际发生的原始凭证相符，不得造假虚填。</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第三条注重办公区用水节约。加强用水设备的日</w:t>
      </w:r>
      <w:r>
        <w:rPr>
          <w:rFonts w:ascii="宋体" w:hAnsi="宋体" w:cs="宋体"/>
          <w:snapToGrid w:val="0"/>
          <w:color w:val="auto"/>
          <w:spacing w:val="10"/>
          <w:kern w:val="0"/>
          <w:sz w:val="20"/>
          <w:szCs w:val="20"/>
          <w:highlight w:val="none"/>
        </w:rPr>
        <w:t>常维护管理，严禁跑冒滴漏，避免出现“长流水”现象；大力推广使用感应式节水龙头和器具，在办公区域适当位置放置盛水器具收集保洁用</w:t>
      </w:r>
      <w:r>
        <w:rPr>
          <w:rFonts w:ascii="宋体" w:hAnsi="宋体" w:cs="宋体"/>
          <w:snapToGrid w:val="0"/>
          <w:color w:val="auto"/>
          <w:kern w:val="0"/>
          <w:sz w:val="20"/>
          <w:szCs w:val="20"/>
          <w:highlight w:val="none"/>
        </w:rPr>
        <w:t>水。</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第四条加强食堂用水管理。蓄水池应定期清洗消毒，防止污染，减少浪费。</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第五条注重绿化用水节约。单位内部绿地</w:t>
      </w:r>
      <w:r>
        <w:rPr>
          <w:rFonts w:ascii="宋体" w:hAnsi="宋体" w:cs="宋体"/>
          <w:snapToGrid w:val="0"/>
          <w:color w:val="auto"/>
          <w:spacing w:val="10"/>
          <w:kern w:val="0"/>
          <w:sz w:val="20"/>
          <w:szCs w:val="20"/>
          <w:highlight w:val="none"/>
        </w:rPr>
        <w:t>用水尽量使用雨水或再生水，采用喷灌、微灌、滴</w:t>
      </w:r>
      <w:r>
        <w:rPr>
          <w:rFonts w:ascii="宋体" w:hAnsi="宋体" w:cs="宋体"/>
          <w:snapToGrid w:val="0"/>
          <w:color w:val="auto"/>
          <w:spacing w:val="7"/>
          <w:kern w:val="0"/>
          <w:sz w:val="20"/>
          <w:szCs w:val="20"/>
          <w:highlight w:val="none"/>
        </w:rPr>
        <w:t>灌等节水灌溉方式。</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第六条加强供水设施检修。加强对供水设施的日常检修和巡查，重点检查管网和预埋管道，</w:t>
      </w:r>
      <w:r>
        <w:rPr>
          <w:rFonts w:ascii="宋体" w:hAnsi="宋体" w:cs="宋体"/>
          <w:snapToGrid w:val="0"/>
          <w:color w:val="auto"/>
          <w:spacing w:val="7"/>
          <w:kern w:val="0"/>
          <w:sz w:val="20"/>
          <w:szCs w:val="20"/>
          <w:highlight w:val="none"/>
        </w:rPr>
        <w:t>发现问题及时检修。</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第七条定期观测定量分析。安排专人定时、定期抄录水表，比较分析用量，发现情况异常，</w:t>
      </w:r>
      <w:r>
        <w:rPr>
          <w:rFonts w:ascii="宋体" w:hAnsi="宋体" w:cs="宋体"/>
          <w:snapToGrid w:val="0"/>
          <w:color w:val="auto"/>
          <w:spacing w:val="7"/>
          <w:kern w:val="0"/>
          <w:sz w:val="20"/>
          <w:szCs w:val="20"/>
          <w:highlight w:val="none"/>
        </w:rPr>
        <w:t>立即进行管网检查。</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第八条提倡使用循环水冲洗车辆，禁止用自来水直接冲洗，鼓励驾驶员自行冲洗车辆。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w:t>
      </w:r>
      <w:r>
        <w:rPr>
          <w:rFonts w:ascii="宋体" w:hAnsi="宋体" w:cs="宋体" w:hint="eastAsia"/>
          <w:snapToGrid w:val="0"/>
          <w:color w:val="auto"/>
          <w:spacing w:val="11"/>
          <w:kern w:val="0"/>
          <w:sz w:val="20"/>
          <w:szCs w:val="20"/>
          <w:highlight w:val="none"/>
        </w:rPr>
        <w:t>九</w:t>
      </w:r>
      <w:r>
        <w:rPr>
          <w:rFonts w:ascii="宋体" w:hAnsi="宋体" w:cs="宋体"/>
          <w:snapToGrid w:val="0"/>
          <w:color w:val="auto"/>
          <w:spacing w:val="11"/>
          <w:kern w:val="0"/>
          <w:sz w:val="20"/>
          <w:szCs w:val="20"/>
          <w:highlight w:val="none"/>
        </w:rPr>
        <w:t>条在办公区域显著位置张贴节水标志</w:t>
      </w:r>
      <w:r>
        <w:rPr>
          <w:rFonts w:ascii="宋体" w:hAnsi="宋体" w:cs="宋体"/>
          <w:snapToGrid w:val="0"/>
          <w:color w:val="auto"/>
          <w:spacing w:val="10"/>
          <w:kern w:val="0"/>
          <w:sz w:val="20"/>
          <w:szCs w:val="20"/>
          <w:highlight w:val="none"/>
        </w:rPr>
        <w:t>，设置温馨提示，并公布维修电话。发现跑冒滴漏</w:t>
      </w:r>
      <w:r>
        <w:rPr>
          <w:rFonts w:ascii="宋体" w:hAnsi="宋体" w:cs="宋体"/>
          <w:snapToGrid w:val="0"/>
          <w:color w:val="auto"/>
          <w:spacing w:val="9"/>
          <w:kern w:val="0"/>
          <w:sz w:val="20"/>
          <w:szCs w:val="20"/>
          <w:highlight w:val="none"/>
        </w:rPr>
        <w:t>或其他浪费情况及时向维修部门报修，报修时要说明准确地点。对报修情况维修部门要及时解决。</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第一条加强节水宣传。运用各种宣传形</w:t>
      </w:r>
      <w:r>
        <w:rPr>
          <w:rFonts w:ascii="宋体" w:hAnsi="宋体" w:cs="宋体"/>
          <w:snapToGrid w:val="0"/>
          <w:color w:val="auto"/>
          <w:spacing w:val="10"/>
          <w:kern w:val="0"/>
          <w:sz w:val="20"/>
          <w:szCs w:val="20"/>
          <w:highlight w:val="none"/>
        </w:rPr>
        <w:t>式进行节约用水宣传教育，提高对水资源节约重要</w:t>
      </w:r>
      <w:r>
        <w:rPr>
          <w:rFonts w:ascii="宋体" w:hAnsi="宋体" w:cs="宋体"/>
          <w:snapToGrid w:val="0"/>
          <w:color w:val="auto"/>
          <w:spacing w:val="9"/>
          <w:kern w:val="0"/>
          <w:sz w:val="20"/>
          <w:szCs w:val="20"/>
          <w:highlight w:val="none"/>
        </w:rPr>
        <w:t>性的认识，增强节能责任心。加强用水管理，利用每年6月公共机构“节能宣传周”和“世界无水日”广泛开展节水宣传活动，教育机关广大干部职工在日常工作生活中科学用水、</w:t>
      </w:r>
      <w:r>
        <w:rPr>
          <w:rFonts w:ascii="宋体" w:hAnsi="宋体" w:cs="宋体"/>
          <w:snapToGrid w:val="0"/>
          <w:color w:val="auto"/>
          <w:spacing w:val="8"/>
          <w:kern w:val="0"/>
          <w:sz w:val="20"/>
          <w:szCs w:val="20"/>
          <w:highlight w:val="none"/>
        </w:rPr>
        <w:t>自觉节水，节约</w:t>
      </w:r>
      <w:r>
        <w:rPr>
          <w:rFonts w:ascii="宋体" w:hAnsi="宋体" w:cs="宋体"/>
          <w:snapToGrid w:val="0"/>
          <w:color w:val="auto"/>
          <w:spacing w:val="2"/>
          <w:kern w:val="0"/>
          <w:sz w:val="20"/>
          <w:szCs w:val="20"/>
          <w:highlight w:val="none"/>
        </w:rPr>
        <w:t>用水。</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8"/>
          <w:kern w:val="0"/>
          <w:sz w:val="20"/>
          <w:szCs w:val="20"/>
          <w:highlight w:val="none"/>
        </w:rPr>
      </w:pPr>
      <w:r>
        <w:rPr>
          <w:rFonts w:ascii="宋体" w:hAnsi="宋体" w:cs="宋体"/>
          <w:snapToGrid w:val="0"/>
          <w:color w:val="auto"/>
          <w:spacing w:val="9"/>
          <w:kern w:val="0"/>
          <w:sz w:val="20"/>
          <w:szCs w:val="20"/>
          <w:highlight w:val="none"/>
        </w:rPr>
        <w:t>第十</w:t>
      </w:r>
      <w:r>
        <w:rPr>
          <w:rFonts w:ascii="宋体" w:hAnsi="宋体" w:cs="宋体" w:hint="eastAsia"/>
          <w:snapToGrid w:val="0"/>
          <w:color w:val="auto"/>
          <w:spacing w:val="9"/>
          <w:kern w:val="0"/>
          <w:sz w:val="20"/>
          <w:szCs w:val="20"/>
          <w:highlight w:val="none"/>
        </w:rPr>
        <w:t>一</w:t>
      </w:r>
      <w:r>
        <w:rPr>
          <w:rFonts w:ascii="宋体" w:hAnsi="宋体" w:cs="宋体"/>
          <w:snapToGrid w:val="0"/>
          <w:color w:val="auto"/>
          <w:spacing w:val="9"/>
          <w:kern w:val="0"/>
          <w:sz w:val="20"/>
          <w:szCs w:val="20"/>
          <w:highlight w:val="none"/>
        </w:rPr>
        <w:t>条加强水资源循环利用工作。广泛开展再生水回收和雨水收集利用工作。</w:t>
      </w:r>
      <w:r>
        <w:rPr>
          <w:rFonts w:ascii="宋体" w:hAnsi="宋体" w:cs="宋体"/>
          <w:snapToGrid w:val="0"/>
          <w:color w:val="auto"/>
          <w:spacing w:val="10"/>
          <w:kern w:val="0"/>
          <w:sz w:val="20"/>
          <w:szCs w:val="20"/>
          <w:highlight w:val="none"/>
        </w:rPr>
        <w:t>第十三条加强用水统计分析。指定专人负责水消耗季度和年度统计</w:t>
      </w:r>
      <w:r>
        <w:rPr>
          <w:rFonts w:ascii="宋体" w:hAnsi="宋体" w:cs="宋体"/>
          <w:snapToGrid w:val="0"/>
          <w:color w:val="auto"/>
          <w:spacing w:val="9"/>
          <w:kern w:val="0"/>
          <w:sz w:val="20"/>
          <w:szCs w:val="20"/>
          <w:highlight w:val="none"/>
        </w:rPr>
        <w:t>汇总和分析报告工作，</w:t>
      </w:r>
      <w:r>
        <w:rPr>
          <w:rFonts w:ascii="宋体" w:hAnsi="宋体" w:cs="宋体"/>
          <w:snapToGrid w:val="0"/>
          <w:color w:val="auto"/>
          <w:spacing w:val="11"/>
          <w:kern w:val="0"/>
          <w:sz w:val="20"/>
          <w:szCs w:val="20"/>
          <w:highlight w:val="none"/>
        </w:rPr>
        <w:t>每季度形成水消耗情况统计汇总和分析报告，提出改进措施建议。每</w:t>
      </w:r>
      <w:r>
        <w:rPr>
          <w:rFonts w:ascii="宋体" w:hAnsi="宋体" w:cs="宋体"/>
          <w:snapToGrid w:val="0"/>
          <w:color w:val="auto"/>
          <w:spacing w:val="10"/>
          <w:kern w:val="0"/>
          <w:sz w:val="20"/>
          <w:szCs w:val="20"/>
          <w:highlight w:val="none"/>
        </w:rPr>
        <w:t>季度和年度水消耗情况统计汇</w:t>
      </w:r>
      <w:r>
        <w:rPr>
          <w:rFonts w:ascii="宋体" w:hAnsi="宋体" w:cs="宋体"/>
          <w:snapToGrid w:val="0"/>
          <w:color w:val="auto"/>
          <w:spacing w:val="8"/>
          <w:kern w:val="0"/>
          <w:sz w:val="20"/>
          <w:szCs w:val="20"/>
          <w:highlight w:val="none"/>
        </w:rPr>
        <w:t>总及分析报告在规定时间内报送。</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8"/>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7"/>
          <w:kern w:val="0"/>
          <w:sz w:val="20"/>
          <w:szCs w:val="20"/>
          <w:highlight w:val="none"/>
        </w:rPr>
      </w:pPr>
      <w:r>
        <w:rPr>
          <w:rFonts w:ascii="宋体" w:hAnsi="宋体" w:cs="宋体"/>
          <w:b/>
          <w:bCs/>
          <w:snapToGrid w:val="0"/>
          <w:color w:val="auto"/>
          <w:spacing w:val="7"/>
          <w:kern w:val="0"/>
          <w:sz w:val="20"/>
          <w:szCs w:val="20"/>
          <w:highlight w:val="none"/>
        </w:rPr>
        <w:t>【节气管理制度】</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第一条实行定额管理。按照单位性质、业</w:t>
      </w:r>
      <w:r>
        <w:rPr>
          <w:rFonts w:ascii="宋体" w:hAnsi="宋体" w:cs="宋体"/>
          <w:snapToGrid w:val="0"/>
          <w:color w:val="auto"/>
          <w:spacing w:val="10"/>
          <w:kern w:val="0"/>
          <w:sz w:val="20"/>
          <w:szCs w:val="20"/>
          <w:highlight w:val="none"/>
        </w:rPr>
        <w:t>务量、就餐人数和各年度能耗状况，科学确定本单</w:t>
      </w:r>
      <w:r>
        <w:rPr>
          <w:rFonts w:ascii="宋体" w:hAnsi="宋体" w:cs="宋体"/>
          <w:snapToGrid w:val="0"/>
          <w:color w:val="auto"/>
          <w:spacing w:val="8"/>
          <w:kern w:val="0"/>
          <w:sz w:val="20"/>
          <w:szCs w:val="20"/>
          <w:highlight w:val="none"/>
        </w:rPr>
        <w:t>位年度燃气消耗总量、人均燃气消耗。</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第二条加强燃气消耗统计工作，建立统计</w:t>
      </w:r>
      <w:r>
        <w:rPr>
          <w:rFonts w:ascii="宋体" w:hAnsi="宋体" w:cs="宋体"/>
          <w:snapToGrid w:val="0"/>
          <w:color w:val="auto"/>
          <w:spacing w:val="10"/>
          <w:kern w:val="0"/>
          <w:sz w:val="20"/>
          <w:szCs w:val="20"/>
          <w:highlight w:val="none"/>
        </w:rPr>
        <w:t>台账。统计台账登记要全面、准确、及时，数据要</w:t>
      </w:r>
      <w:r>
        <w:rPr>
          <w:rFonts w:ascii="宋体" w:hAnsi="宋体" w:cs="宋体"/>
          <w:snapToGrid w:val="0"/>
          <w:color w:val="auto"/>
          <w:spacing w:val="8"/>
          <w:kern w:val="0"/>
          <w:sz w:val="20"/>
          <w:szCs w:val="20"/>
          <w:highlight w:val="none"/>
        </w:rPr>
        <w:t>与实际发生的原始凭证相符，不得造假虚填。</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第三条定期观测定量分析。安排专人定期</w:t>
      </w:r>
      <w:r>
        <w:rPr>
          <w:rFonts w:ascii="宋体" w:hAnsi="宋体" w:cs="宋体"/>
          <w:snapToGrid w:val="0"/>
          <w:color w:val="auto"/>
          <w:spacing w:val="10"/>
          <w:kern w:val="0"/>
          <w:sz w:val="20"/>
          <w:szCs w:val="20"/>
          <w:highlight w:val="none"/>
        </w:rPr>
        <w:t>抄录燃气表，比较分析用量，发现情况异常，立即</w:t>
      </w:r>
      <w:r>
        <w:rPr>
          <w:rFonts w:ascii="宋体" w:hAnsi="宋体" w:cs="宋体"/>
          <w:snapToGrid w:val="0"/>
          <w:color w:val="auto"/>
          <w:spacing w:val="8"/>
          <w:kern w:val="0"/>
          <w:sz w:val="20"/>
          <w:szCs w:val="20"/>
          <w:highlight w:val="none"/>
        </w:rPr>
        <w:t>报告燃气公司进行管网检查。</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第四条实施燃气设备的更新改造。采用高</w:t>
      </w:r>
      <w:r>
        <w:rPr>
          <w:rFonts w:ascii="宋体" w:hAnsi="宋体" w:cs="宋体"/>
          <w:snapToGrid w:val="0"/>
          <w:color w:val="auto"/>
          <w:spacing w:val="10"/>
          <w:kern w:val="0"/>
          <w:sz w:val="20"/>
          <w:szCs w:val="20"/>
          <w:highlight w:val="none"/>
        </w:rPr>
        <w:t>效节能环保型燃烧器具，燃料充分燃烧，防止燃烧</w:t>
      </w:r>
      <w:r>
        <w:rPr>
          <w:rFonts w:ascii="宋体" w:hAnsi="宋体" w:cs="宋体"/>
          <w:snapToGrid w:val="0"/>
          <w:color w:val="auto"/>
          <w:spacing w:val="3"/>
          <w:kern w:val="0"/>
          <w:sz w:val="20"/>
          <w:szCs w:val="20"/>
          <w:highlight w:val="none"/>
        </w:rPr>
        <w:t>的热量流失。</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第五条严格操作规程，加强节气培训教育，杜绝空火燃烧，使其燃烧热量利用效率最大化。</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第六条张贴节气标志，设置温馨提示，公</w:t>
      </w:r>
      <w:r>
        <w:rPr>
          <w:rFonts w:ascii="宋体" w:hAnsi="宋体" w:cs="宋体"/>
          <w:snapToGrid w:val="0"/>
          <w:color w:val="auto"/>
          <w:spacing w:val="8"/>
          <w:kern w:val="0"/>
          <w:sz w:val="20"/>
          <w:szCs w:val="20"/>
          <w:highlight w:val="none"/>
        </w:rPr>
        <w:t>布维修电话。</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第七条加强节约燃气宣传。运用各种宣传</w:t>
      </w:r>
      <w:r>
        <w:rPr>
          <w:rFonts w:ascii="宋体" w:hAnsi="宋体" w:cs="宋体"/>
          <w:snapToGrid w:val="0"/>
          <w:color w:val="auto"/>
          <w:spacing w:val="10"/>
          <w:kern w:val="0"/>
          <w:sz w:val="20"/>
          <w:szCs w:val="20"/>
          <w:highlight w:val="none"/>
        </w:rPr>
        <w:t>形式进行节约燃气宣传教育，提高对燃气资源节约</w:t>
      </w:r>
      <w:r>
        <w:rPr>
          <w:rFonts w:ascii="宋体" w:hAnsi="宋体" w:cs="宋体"/>
          <w:snapToGrid w:val="0"/>
          <w:color w:val="auto"/>
          <w:spacing w:val="8"/>
          <w:kern w:val="0"/>
          <w:sz w:val="20"/>
          <w:szCs w:val="20"/>
          <w:highlight w:val="none"/>
        </w:rPr>
        <w:t>重要性的认识，引导广大干部职工在日常工作生活中科学使用燃气、自觉节约燃气。</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第八条加强燃气消耗统计分析。指定专人</w:t>
      </w:r>
      <w:r>
        <w:rPr>
          <w:rFonts w:ascii="宋体" w:hAnsi="宋体" w:cs="宋体"/>
          <w:snapToGrid w:val="0"/>
          <w:color w:val="auto"/>
          <w:spacing w:val="10"/>
          <w:kern w:val="0"/>
          <w:sz w:val="20"/>
          <w:szCs w:val="20"/>
          <w:highlight w:val="none"/>
        </w:rPr>
        <w:t>负责燃气资源消耗季度和年度统计汇总和分析报告</w:t>
      </w:r>
      <w:r>
        <w:rPr>
          <w:rFonts w:ascii="宋体" w:hAnsi="宋体" w:cs="宋体"/>
          <w:snapToGrid w:val="0"/>
          <w:color w:val="auto"/>
          <w:spacing w:val="11"/>
          <w:kern w:val="0"/>
          <w:sz w:val="20"/>
          <w:szCs w:val="20"/>
          <w:highlight w:val="none"/>
        </w:rPr>
        <w:t>工作，每季度形成燃气消耗情况统计汇总和分析报告，提出改进措</w:t>
      </w:r>
      <w:r>
        <w:rPr>
          <w:rFonts w:ascii="宋体" w:hAnsi="宋体" w:cs="宋体"/>
          <w:snapToGrid w:val="0"/>
          <w:color w:val="auto"/>
          <w:spacing w:val="10"/>
          <w:kern w:val="0"/>
          <w:sz w:val="20"/>
          <w:szCs w:val="20"/>
          <w:highlight w:val="none"/>
        </w:rPr>
        <w:t>施建议。每季度和年度燃气消耗</w:t>
      </w:r>
      <w:r>
        <w:rPr>
          <w:rFonts w:ascii="宋体" w:hAnsi="宋体" w:cs="宋体"/>
          <w:snapToGrid w:val="0"/>
          <w:color w:val="auto"/>
          <w:spacing w:val="8"/>
          <w:kern w:val="0"/>
          <w:sz w:val="20"/>
          <w:szCs w:val="20"/>
          <w:highlight w:val="none"/>
        </w:rPr>
        <w:t>情况统计汇总及分析报告在规定时间内报送。</w:t>
      </w: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7"/>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7"/>
          <w:kern w:val="0"/>
          <w:sz w:val="20"/>
          <w:szCs w:val="20"/>
          <w:highlight w:val="none"/>
        </w:rPr>
      </w:pPr>
      <w:r>
        <w:rPr>
          <w:rFonts w:ascii="宋体" w:hAnsi="宋体" w:cs="宋体"/>
          <w:b/>
          <w:bCs/>
          <w:snapToGrid w:val="0"/>
          <w:color w:val="auto"/>
          <w:spacing w:val="7"/>
          <w:kern w:val="0"/>
          <w:sz w:val="20"/>
          <w:szCs w:val="20"/>
          <w:highlight w:val="none"/>
        </w:rPr>
        <w:t>【节油管理制度】</w:t>
      </w:r>
    </w:p>
    <w:p>
      <w:pPr>
        <w:widowControl/>
        <w:overflowPunct w:val="0"/>
        <w:autoSpaceDE w:val="0"/>
        <w:autoSpaceDN w:val="0"/>
        <w:adjustRightInd w:val="0"/>
        <w:snapToGrid w:val="0"/>
        <w:spacing w:line="360" w:lineRule="auto"/>
        <w:ind w:firstLine="400" w:firstLineChars="200"/>
        <w:jc w:val="left"/>
        <w:textAlignment w:val="baseline"/>
        <w:rPr>
          <w:rFonts w:ascii="Arial" w:hAnsi="宋体" w:cs="宋体"/>
          <w:snapToGrid w:val="0"/>
          <w:color w:val="auto"/>
          <w:kern w:val="0"/>
          <w:szCs w:val="31"/>
          <w:highlight w:val="none"/>
        </w:rPr>
      </w:pPr>
      <w:r>
        <w:rPr>
          <w:rFonts w:ascii="宋体" w:hAnsi="宋体" w:cs="宋体"/>
          <w:snapToGrid w:val="0"/>
          <w:color w:val="auto"/>
          <w:spacing w:val="11"/>
          <w:kern w:val="0"/>
          <w:sz w:val="20"/>
          <w:szCs w:val="20"/>
          <w:highlight w:val="none"/>
        </w:rPr>
        <w:t>第一条实行定额管理。按照单位性质、业</w:t>
      </w:r>
      <w:r>
        <w:rPr>
          <w:rFonts w:ascii="宋体" w:hAnsi="宋体" w:cs="宋体"/>
          <w:snapToGrid w:val="0"/>
          <w:color w:val="auto"/>
          <w:spacing w:val="10"/>
          <w:kern w:val="0"/>
          <w:sz w:val="20"/>
          <w:szCs w:val="20"/>
          <w:highlight w:val="none"/>
        </w:rPr>
        <w:t>务量和各年度油耗状况，科学确定本单位年度油耗</w:t>
      </w:r>
      <w:r>
        <w:rPr>
          <w:rFonts w:ascii="宋体" w:hAnsi="宋体" w:cs="宋体"/>
          <w:snapToGrid w:val="0"/>
          <w:color w:val="auto"/>
          <w:spacing w:val="11"/>
          <w:kern w:val="0"/>
          <w:sz w:val="20"/>
          <w:szCs w:val="20"/>
          <w:highlight w:val="none"/>
        </w:rPr>
        <w:t>总量和车均油耗定额。各公共机构要在油耗定额内使用能源</w:t>
      </w:r>
      <w:r>
        <w:rPr>
          <w:rFonts w:ascii="宋体" w:hAnsi="宋体" w:cs="宋体"/>
          <w:snapToGrid w:val="0"/>
          <w:color w:val="auto"/>
          <w:spacing w:val="10"/>
          <w:kern w:val="0"/>
          <w:sz w:val="20"/>
          <w:szCs w:val="20"/>
          <w:highlight w:val="none"/>
        </w:rPr>
        <w:t>，超过油耗定额的公共机构要向上级机</w:t>
      </w:r>
      <w:r>
        <w:rPr>
          <w:rFonts w:ascii="宋体" w:hAnsi="宋体" w:cs="宋体"/>
          <w:snapToGrid w:val="0"/>
          <w:color w:val="auto"/>
          <w:spacing w:val="8"/>
          <w:kern w:val="0"/>
          <w:sz w:val="20"/>
          <w:szCs w:val="20"/>
          <w:highlight w:val="none"/>
        </w:rPr>
        <w:t>关管理部门作出书面说明。</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第二条建立统计台账，加强车辆用油消耗</w:t>
      </w:r>
      <w:r>
        <w:rPr>
          <w:rFonts w:ascii="宋体" w:hAnsi="宋体" w:cs="宋体"/>
          <w:snapToGrid w:val="0"/>
          <w:color w:val="auto"/>
          <w:spacing w:val="10"/>
          <w:kern w:val="0"/>
          <w:sz w:val="20"/>
          <w:szCs w:val="20"/>
          <w:highlight w:val="none"/>
        </w:rPr>
        <w:t>统计工作。统计台账登记要全面、准确、及时，数</w:t>
      </w:r>
      <w:r>
        <w:rPr>
          <w:rFonts w:ascii="宋体" w:hAnsi="宋体" w:cs="宋体"/>
          <w:snapToGrid w:val="0"/>
          <w:color w:val="auto"/>
          <w:spacing w:val="9"/>
          <w:kern w:val="0"/>
          <w:sz w:val="20"/>
          <w:szCs w:val="20"/>
          <w:highlight w:val="none"/>
        </w:rPr>
        <w:t>据要与实际发生的原始凭证相符，不得造假虚填。</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6"/>
          <w:kern w:val="0"/>
          <w:sz w:val="20"/>
          <w:szCs w:val="20"/>
          <w:highlight w:val="none"/>
        </w:rPr>
        <w:t>第三条加强车辆编制和配备管理。严控车辆编制，严格执行公务用车购置审</w:t>
      </w:r>
      <w:r>
        <w:rPr>
          <w:rFonts w:ascii="宋体" w:hAnsi="宋体" w:cs="宋体"/>
          <w:snapToGrid w:val="0"/>
          <w:color w:val="auto"/>
          <w:spacing w:val="5"/>
          <w:kern w:val="0"/>
          <w:sz w:val="20"/>
          <w:szCs w:val="20"/>
          <w:highlight w:val="none"/>
        </w:rPr>
        <w:t>批程序，未经批准</w:t>
      </w:r>
      <w:r>
        <w:rPr>
          <w:rFonts w:ascii="宋体" w:hAnsi="宋体" w:cs="宋体"/>
          <w:snapToGrid w:val="0"/>
          <w:color w:val="auto"/>
          <w:spacing w:val="1"/>
          <w:kern w:val="0"/>
          <w:sz w:val="20"/>
          <w:szCs w:val="20"/>
          <w:highlight w:val="none"/>
        </w:rPr>
        <w:t>不得自行购买和配备公务用车。</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第四条加快节能与新能源车辆推广使用。</w:t>
      </w:r>
      <w:r>
        <w:rPr>
          <w:rFonts w:ascii="宋体" w:hAnsi="宋体" w:cs="宋体"/>
          <w:snapToGrid w:val="0"/>
          <w:color w:val="auto"/>
          <w:spacing w:val="10"/>
          <w:kern w:val="0"/>
          <w:sz w:val="20"/>
          <w:szCs w:val="20"/>
          <w:highlight w:val="none"/>
        </w:rPr>
        <w:t>公务用车的购置全部纳入政府节能采购，优先选购</w:t>
      </w:r>
      <w:r>
        <w:rPr>
          <w:rFonts w:ascii="宋体" w:hAnsi="宋体" w:cs="宋体"/>
          <w:snapToGrid w:val="0"/>
          <w:color w:val="auto"/>
          <w:spacing w:val="8"/>
          <w:kern w:val="0"/>
          <w:sz w:val="20"/>
          <w:szCs w:val="20"/>
          <w:highlight w:val="none"/>
        </w:rPr>
        <w:t>节能、环保、清洁能源的车辆。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第五条严格执行国家有关汽车报废标准制</w:t>
      </w:r>
      <w:r>
        <w:rPr>
          <w:rFonts w:ascii="宋体" w:hAnsi="宋体" w:cs="宋体"/>
          <w:snapToGrid w:val="0"/>
          <w:color w:val="auto"/>
          <w:spacing w:val="10"/>
          <w:kern w:val="0"/>
          <w:sz w:val="20"/>
          <w:szCs w:val="20"/>
          <w:highlight w:val="none"/>
        </w:rPr>
        <w:t>度，对油耗高、车况差、尾气排放不达标的车辆必</w:t>
      </w:r>
      <w:r>
        <w:rPr>
          <w:rFonts w:ascii="宋体" w:hAnsi="宋体" w:cs="宋体"/>
          <w:snapToGrid w:val="0"/>
          <w:color w:val="auto"/>
          <w:spacing w:val="9"/>
          <w:kern w:val="0"/>
          <w:sz w:val="20"/>
          <w:szCs w:val="20"/>
          <w:highlight w:val="none"/>
        </w:rPr>
        <w:t>须予以淘汰，对达到报废标准的车辆及时予以报</w:t>
      </w:r>
      <w:r>
        <w:rPr>
          <w:rFonts w:ascii="宋体" w:hAnsi="宋体" w:cs="宋体"/>
          <w:snapToGrid w:val="0"/>
          <w:color w:val="auto"/>
          <w:spacing w:val="8"/>
          <w:kern w:val="0"/>
          <w:sz w:val="20"/>
          <w:szCs w:val="20"/>
          <w:highlight w:val="none"/>
        </w:rPr>
        <w:t>废。</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第六条严格执行政府采购招标定点加油和定点维修规定，实行“一车一卡”定点定车加油、</w:t>
      </w:r>
      <w:r>
        <w:rPr>
          <w:rFonts w:ascii="宋体" w:hAnsi="宋体" w:cs="宋体"/>
          <w:snapToGrid w:val="0"/>
          <w:color w:val="auto"/>
          <w:spacing w:val="8"/>
          <w:kern w:val="0"/>
          <w:sz w:val="20"/>
          <w:szCs w:val="20"/>
          <w:highlight w:val="none"/>
        </w:rPr>
        <w:t>定点维修、定点保险和定期保养制度。</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0"/>
          <w:kern w:val="0"/>
          <w:sz w:val="20"/>
          <w:szCs w:val="20"/>
          <w:highlight w:val="none"/>
        </w:rPr>
        <w:t>第七条加强公务用车节能管理。制定车辆节油驾驶规范，设置车辆行驶登记表，使用前应</w:t>
      </w:r>
      <w:r>
        <w:rPr>
          <w:rFonts w:ascii="宋体" w:hAnsi="宋体" w:cs="宋体"/>
          <w:snapToGrid w:val="0"/>
          <w:color w:val="auto"/>
          <w:spacing w:val="9"/>
          <w:kern w:val="0"/>
          <w:sz w:val="20"/>
          <w:szCs w:val="20"/>
          <w:highlight w:val="none"/>
        </w:rPr>
        <w:t>核对车辆里程表与登记表是否相符，使用后应记录里程、时间、地点、用途。</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7"/>
          <w:kern w:val="0"/>
          <w:sz w:val="20"/>
          <w:szCs w:val="20"/>
          <w:highlight w:val="none"/>
        </w:rPr>
        <w:t>第八条严格执行节假日公务车辆封存停驶制度。节</w:t>
      </w:r>
      <w:r>
        <w:rPr>
          <w:rFonts w:ascii="宋体" w:hAnsi="宋体" w:cs="宋体"/>
          <w:snapToGrid w:val="0"/>
          <w:color w:val="auto"/>
          <w:spacing w:val="6"/>
          <w:kern w:val="0"/>
          <w:sz w:val="20"/>
          <w:szCs w:val="20"/>
          <w:highlight w:val="none"/>
        </w:rPr>
        <w:t>假日除特殊公务活动需要使用的车辆外，</w:t>
      </w:r>
      <w:r>
        <w:rPr>
          <w:rFonts w:ascii="宋体" w:hAnsi="宋体" w:cs="宋体"/>
          <w:snapToGrid w:val="0"/>
          <w:color w:val="auto"/>
          <w:spacing w:val="8"/>
          <w:kern w:val="0"/>
          <w:sz w:val="20"/>
          <w:szCs w:val="20"/>
          <w:highlight w:val="none"/>
        </w:rPr>
        <w:t>其余公务车辆应集中停用。</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7"/>
          <w:kern w:val="0"/>
          <w:sz w:val="20"/>
          <w:szCs w:val="20"/>
          <w:highlight w:val="none"/>
        </w:rPr>
        <w:t>第九条实行车辆集中统一管理、统一调度。严格执行车辆统一派遣规定，提高车辆利用效率。</w:t>
      </w:r>
      <w:r>
        <w:rPr>
          <w:rFonts w:ascii="宋体" w:hAnsi="宋体" w:cs="宋体"/>
          <w:snapToGrid w:val="0"/>
          <w:color w:val="auto"/>
          <w:spacing w:val="11"/>
          <w:kern w:val="0"/>
          <w:sz w:val="20"/>
          <w:szCs w:val="20"/>
          <w:highlight w:val="none"/>
        </w:rPr>
        <w:t>能安排同行的，不分乘多辆公务车辆；能用小轿车的，不用旅行车；严</w:t>
      </w:r>
      <w:r>
        <w:rPr>
          <w:rFonts w:ascii="宋体" w:hAnsi="宋体" w:cs="宋体"/>
          <w:snapToGrid w:val="0"/>
          <w:color w:val="auto"/>
          <w:spacing w:val="10"/>
          <w:kern w:val="0"/>
          <w:sz w:val="20"/>
          <w:szCs w:val="20"/>
          <w:highlight w:val="none"/>
        </w:rPr>
        <w:t>格控制长途用车，能乘坐公</w:t>
      </w:r>
      <w:r>
        <w:rPr>
          <w:rFonts w:ascii="宋体" w:hAnsi="宋体" w:cs="宋体"/>
          <w:snapToGrid w:val="0"/>
          <w:color w:val="auto"/>
          <w:spacing w:val="8"/>
          <w:kern w:val="0"/>
          <w:sz w:val="20"/>
          <w:szCs w:val="20"/>
          <w:highlight w:val="none"/>
        </w:rPr>
        <w:t>共交通工具的，不派公务用车。</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第十条公务人员在离车参加公务活动时，</w:t>
      </w:r>
      <w:r>
        <w:rPr>
          <w:rFonts w:ascii="宋体" w:hAnsi="宋体" w:cs="宋体"/>
          <w:snapToGrid w:val="0"/>
          <w:color w:val="auto"/>
          <w:spacing w:val="10"/>
          <w:kern w:val="0"/>
          <w:sz w:val="20"/>
          <w:szCs w:val="20"/>
          <w:highlight w:val="none"/>
        </w:rPr>
        <w:t>驾驶人员应将车辆熄火待命，禁止停车开启空调等</w:t>
      </w:r>
      <w:r>
        <w:rPr>
          <w:rFonts w:ascii="宋体" w:hAnsi="宋体" w:cs="宋体"/>
          <w:snapToGrid w:val="0"/>
          <w:color w:val="auto"/>
          <w:spacing w:val="9"/>
          <w:kern w:val="0"/>
          <w:sz w:val="20"/>
          <w:szCs w:val="20"/>
          <w:highlight w:val="none"/>
        </w:rPr>
        <w:t>待，同时公务活动主办单位应尽可能安排好驾驶人员的等待休息场所。</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第十一条驾驶人员应遵守操作规程。正确</w:t>
      </w:r>
      <w:r>
        <w:rPr>
          <w:rFonts w:ascii="宋体" w:hAnsi="宋体" w:cs="宋体"/>
          <w:snapToGrid w:val="0"/>
          <w:color w:val="auto"/>
          <w:spacing w:val="10"/>
          <w:kern w:val="0"/>
          <w:sz w:val="20"/>
          <w:szCs w:val="20"/>
          <w:highlight w:val="none"/>
        </w:rPr>
        <w:t>判断和处理汽车行驶过程中的各种情况，保持经济</w:t>
      </w:r>
      <w:r>
        <w:rPr>
          <w:rFonts w:ascii="宋体" w:hAnsi="宋体" w:cs="宋体"/>
          <w:snapToGrid w:val="0"/>
          <w:color w:val="auto"/>
          <w:spacing w:val="9"/>
          <w:kern w:val="0"/>
          <w:sz w:val="20"/>
          <w:szCs w:val="20"/>
          <w:highlight w:val="none"/>
        </w:rPr>
        <w:t>车速，严禁超速行驶。在确保行车安全的情况下，最大节省油耗。</w:t>
      </w:r>
    </w:p>
    <w:p>
      <w:pPr>
        <w:widowControl/>
        <w:overflowPunct w:val="0"/>
        <w:autoSpaceDE w:val="0"/>
        <w:autoSpaceDN w:val="0"/>
        <w:adjustRightInd w:val="0"/>
        <w:snapToGrid w:val="0"/>
        <w:spacing w:line="360" w:lineRule="auto"/>
        <w:ind w:firstLine="400" w:firstLineChars="200"/>
        <w:jc w:val="left"/>
        <w:textAlignment w:val="baseline"/>
        <w:rPr>
          <w:rFonts w:ascii="Arial" w:hAnsi="宋体" w:cs="宋体"/>
          <w:snapToGrid w:val="0"/>
          <w:color w:val="auto"/>
          <w:kern w:val="0"/>
          <w:szCs w:val="31"/>
          <w:highlight w:val="none"/>
        </w:rPr>
      </w:pPr>
      <w:r>
        <w:rPr>
          <w:rFonts w:ascii="宋体" w:hAnsi="宋体" w:cs="宋体"/>
          <w:snapToGrid w:val="0"/>
          <w:color w:val="auto"/>
          <w:spacing w:val="11"/>
          <w:kern w:val="0"/>
          <w:sz w:val="20"/>
          <w:szCs w:val="20"/>
          <w:highlight w:val="none"/>
        </w:rPr>
        <w:t>第十二条定期维修保养车辆。及时更换空气滤芯、汽油滤芯、润滑油，保持轮胎气压正常，做到车辆技术状况完好。</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第十三条加强公务用车的管理，严禁公车</w:t>
      </w:r>
      <w:r>
        <w:rPr>
          <w:rFonts w:ascii="宋体" w:hAnsi="宋体" w:cs="宋体"/>
          <w:snapToGrid w:val="0"/>
          <w:color w:val="auto"/>
          <w:spacing w:val="10"/>
          <w:kern w:val="0"/>
          <w:sz w:val="20"/>
          <w:szCs w:val="20"/>
          <w:highlight w:val="none"/>
        </w:rPr>
        <w:t>私用、公油私加，堵塞管理漏洞。对违反规定的要</w:t>
      </w:r>
      <w:r>
        <w:rPr>
          <w:rFonts w:ascii="宋体" w:hAnsi="宋体" w:cs="宋体"/>
          <w:snapToGrid w:val="0"/>
          <w:color w:val="auto"/>
          <w:spacing w:val="8"/>
          <w:kern w:val="0"/>
          <w:sz w:val="20"/>
          <w:szCs w:val="20"/>
          <w:highlight w:val="none"/>
        </w:rPr>
        <w:t>认真进行查处，情节严重的依法依纪查处。</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第十四条定期开展车辆节油知识讲座，开</w:t>
      </w:r>
      <w:r>
        <w:rPr>
          <w:rFonts w:ascii="宋体" w:hAnsi="宋体" w:cs="宋体"/>
          <w:snapToGrid w:val="0"/>
          <w:color w:val="auto"/>
          <w:spacing w:val="10"/>
          <w:kern w:val="0"/>
          <w:sz w:val="20"/>
          <w:szCs w:val="20"/>
          <w:highlight w:val="none"/>
        </w:rPr>
        <w:t>展车辆维护保养、节油驾驶等业务技能培训，不断</w:t>
      </w:r>
      <w:r>
        <w:rPr>
          <w:rFonts w:ascii="宋体" w:hAnsi="宋体" w:cs="宋体"/>
          <w:snapToGrid w:val="0"/>
          <w:color w:val="auto"/>
          <w:spacing w:val="8"/>
          <w:kern w:val="0"/>
          <w:sz w:val="20"/>
          <w:szCs w:val="20"/>
          <w:highlight w:val="none"/>
        </w:rPr>
        <w:t>提高驾驶人员业务知识水平和驾驶技能。</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第十五条定期开展车辆节能竞赛活动。对</w:t>
      </w:r>
      <w:r>
        <w:rPr>
          <w:rFonts w:ascii="宋体" w:hAnsi="宋体" w:cs="宋体"/>
          <w:snapToGrid w:val="0"/>
          <w:color w:val="auto"/>
          <w:spacing w:val="10"/>
          <w:kern w:val="0"/>
          <w:sz w:val="20"/>
          <w:szCs w:val="20"/>
          <w:highlight w:val="none"/>
        </w:rPr>
        <w:t>在车辆节油工作中成绩显著的单位和个人应予以表</w:t>
      </w:r>
      <w:r>
        <w:rPr>
          <w:rFonts w:ascii="宋体" w:hAnsi="宋体" w:cs="宋体"/>
          <w:snapToGrid w:val="0"/>
          <w:color w:val="auto"/>
          <w:spacing w:val="9"/>
          <w:kern w:val="0"/>
          <w:sz w:val="20"/>
          <w:szCs w:val="20"/>
          <w:highlight w:val="none"/>
        </w:rPr>
        <w:t>彰奖励；对车辆油耗定额严重超标、费用严重超支的单位给予通报批评。</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第十六条运用各种宣传形式进行节约用油</w:t>
      </w:r>
      <w:r>
        <w:rPr>
          <w:rFonts w:ascii="宋体" w:hAnsi="宋体" w:cs="宋体"/>
          <w:snapToGrid w:val="0"/>
          <w:color w:val="auto"/>
          <w:spacing w:val="10"/>
          <w:kern w:val="0"/>
          <w:sz w:val="20"/>
          <w:szCs w:val="20"/>
          <w:highlight w:val="none"/>
        </w:rPr>
        <w:t>宣传教育，提高对资源节约重要性的认识，增强公</w:t>
      </w:r>
      <w:r>
        <w:rPr>
          <w:rFonts w:ascii="宋体" w:hAnsi="宋体" w:cs="宋体"/>
          <w:snapToGrid w:val="0"/>
          <w:color w:val="auto"/>
          <w:spacing w:val="8"/>
          <w:kern w:val="0"/>
          <w:sz w:val="20"/>
          <w:szCs w:val="20"/>
          <w:highlight w:val="none"/>
        </w:rPr>
        <w:t>共机构广大干部职工车辆节油自觉性。</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第十七条加强油消耗统计分析。指定专人负责油消耗季度和年度统计汇总和分析报告工作，每季度形成油消耗情况统计汇总和分析报告。</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7"/>
          <w:kern w:val="0"/>
          <w:sz w:val="20"/>
          <w:szCs w:val="20"/>
          <w:highlight w:val="none"/>
        </w:rPr>
      </w:pPr>
      <w:r>
        <w:rPr>
          <w:rFonts w:ascii="宋体" w:hAnsi="宋体" w:cs="宋体"/>
          <w:snapToGrid w:val="0"/>
          <w:color w:val="auto"/>
          <w:spacing w:val="9"/>
          <w:kern w:val="0"/>
          <w:sz w:val="20"/>
          <w:szCs w:val="20"/>
          <w:highlight w:val="none"/>
        </w:rPr>
        <w:t>第十八条认真落实国务院每周少开1天车规定，每年6月公共机构“</w:t>
      </w:r>
      <w:r>
        <w:rPr>
          <w:rFonts w:ascii="宋体" w:hAnsi="宋体" w:cs="宋体"/>
          <w:snapToGrid w:val="0"/>
          <w:color w:val="auto"/>
          <w:spacing w:val="8"/>
          <w:kern w:val="0"/>
          <w:sz w:val="20"/>
          <w:szCs w:val="20"/>
          <w:highlight w:val="none"/>
        </w:rPr>
        <w:t>能源紧缺体验日”和9</w:t>
      </w:r>
      <w:r>
        <w:rPr>
          <w:rFonts w:ascii="宋体" w:hAnsi="宋体" w:cs="宋体"/>
          <w:snapToGrid w:val="0"/>
          <w:color w:val="auto"/>
          <w:spacing w:val="7"/>
          <w:kern w:val="0"/>
          <w:sz w:val="20"/>
          <w:szCs w:val="20"/>
          <w:highlight w:val="none"/>
        </w:rPr>
        <w:t>月22日世界无车日，公共机构工作人员当日应停用公</w:t>
      </w:r>
      <w:r>
        <w:rPr>
          <w:rFonts w:ascii="宋体" w:hAnsi="宋体" w:cs="宋体"/>
          <w:snapToGrid w:val="0"/>
          <w:color w:val="auto"/>
          <w:spacing w:val="6"/>
          <w:kern w:val="0"/>
          <w:sz w:val="20"/>
          <w:szCs w:val="20"/>
          <w:highlight w:val="none"/>
        </w:rPr>
        <w:t>务车或私家车，选择公交车、自行车、步行等</w:t>
      </w:r>
      <w:r>
        <w:rPr>
          <w:rFonts w:ascii="宋体" w:hAnsi="宋体" w:cs="宋体"/>
          <w:snapToGrid w:val="0"/>
          <w:color w:val="auto"/>
          <w:spacing w:val="7"/>
          <w:kern w:val="0"/>
          <w:sz w:val="20"/>
          <w:szCs w:val="20"/>
          <w:highlight w:val="none"/>
        </w:rPr>
        <w:t>绿色出行方式出行。</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7"/>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7"/>
          <w:kern w:val="0"/>
          <w:sz w:val="20"/>
          <w:szCs w:val="20"/>
          <w:highlight w:val="none"/>
        </w:rPr>
      </w:pPr>
      <w:r>
        <w:rPr>
          <w:rFonts w:ascii="宋体" w:hAnsi="宋体" w:cs="宋体"/>
          <w:b/>
          <w:bCs/>
          <w:snapToGrid w:val="0"/>
          <w:color w:val="auto"/>
          <w:spacing w:val="7"/>
          <w:kern w:val="0"/>
          <w:sz w:val="20"/>
          <w:szCs w:val="20"/>
          <w:highlight w:val="none"/>
        </w:rPr>
        <w:t>【办公用品管理制度】</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第一条实行定额管理。按照单位性质、业</w:t>
      </w:r>
      <w:r>
        <w:rPr>
          <w:rFonts w:ascii="宋体" w:hAnsi="宋体" w:cs="宋体"/>
          <w:snapToGrid w:val="0"/>
          <w:color w:val="auto"/>
          <w:spacing w:val="10"/>
          <w:kern w:val="0"/>
          <w:sz w:val="20"/>
          <w:szCs w:val="20"/>
          <w:highlight w:val="none"/>
        </w:rPr>
        <w:t>务量和各年度办公用品耗费状况，科学确定本单位</w:t>
      </w:r>
      <w:r>
        <w:rPr>
          <w:rFonts w:ascii="宋体" w:hAnsi="宋体" w:cs="宋体"/>
          <w:snapToGrid w:val="0"/>
          <w:color w:val="auto"/>
          <w:spacing w:val="9"/>
          <w:kern w:val="0"/>
          <w:sz w:val="20"/>
          <w:szCs w:val="20"/>
          <w:highlight w:val="none"/>
        </w:rPr>
        <w:t>年度各类办公用品总耗费、人均耗费定额。各公共机构要在定额内使用办公用品。</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第二条严格执行政府采购制度。办公用品采购必须按政府采购规定的标准、程序进行。</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7"/>
          <w:kern w:val="0"/>
          <w:sz w:val="20"/>
          <w:szCs w:val="20"/>
          <w:highlight w:val="none"/>
        </w:rPr>
        <w:t>第三条严格采购审批制度。随用随买的个别零散性采购的办公用品实行按级申报、逐级审批。</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第四条增强办公用品采购透明度。采购前</w:t>
      </w:r>
      <w:r>
        <w:rPr>
          <w:rFonts w:ascii="宋体" w:hAnsi="宋体" w:cs="宋体"/>
          <w:snapToGrid w:val="0"/>
          <w:color w:val="auto"/>
          <w:spacing w:val="10"/>
          <w:kern w:val="0"/>
          <w:sz w:val="20"/>
          <w:szCs w:val="20"/>
          <w:highlight w:val="none"/>
        </w:rPr>
        <w:t>应做好市场调查，充分掌握欲购物品的性能、价格</w:t>
      </w:r>
      <w:r>
        <w:rPr>
          <w:rFonts w:ascii="宋体" w:hAnsi="宋体" w:cs="宋体"/>
          <w:snapToGrid w:val="0"/>
          <w:color w:val="auto"/>
          <w:spacing w:val="9"/>
          <w:kern w:val="0"/>
          <w:sz w:val="20"/>
          <w:szCs w:val="20"/>
          <w:highlight w:val="none"/>
        </w:rPr>
        <w:t>及附加优惠条件，货比三家，货真价实，物美价廉。</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0"/>
          <w:kern w:val="0"/>
          <w:sz w:val="20"/>
          <w:szCs w:val="20"/>
          <w:highlight w:val="none"/>
        </w:rPr>
        <w:t>第五条指派专人负责保管办公用品。办公用品的保管与采购人员应由</w:t>
      </w:r>
      <w:r>
        <w:rPr>
          <w:rFonts w:ascii="宋体" w:hAnsi="宋体" w:cs="宋体"/>
          <w:snapToGrid w:val="0"/>
          <w:color w:val="auto"/>
          <w:spacing w:val="9"/>
          <w:kern w:val="0"/>
          <w:sz w:val="20"/>
          <w:szCs w:val="20"/>
          <w:highlight w:val="none"/>
        </w:rPr>
        <w:t>2人以上分别担任，各</w:t>
      </w:r>
      <w:r>
        <w:rPr>
          <w:rFonts w:ascii="宋体" w:hAnsi="宋体" w:cs="宋体"/>
          <w:snapToGrid w:val="0"/>
          <w:color w:val="auto"/>
          <w:spacing w:val="7"/>
          <w:kern w:val="0"/>
          <w:sz w:val="20"/>
          <w:szCs w:val="20"/>
          <w:highlight w:val="none"/>
        </w:rPr>
        <w:t>负其责，不得一人双兼。</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0"/>
          <w:kern w:val="0"/>
          <w:sz w:val="20"/>
          <w:szCs w:val="20"/>
          <w:highlight w:val="none"/>
        </w:rPr>
        <w:t>第六条库存办公用品的种类和数量要科学确定、合理控制，避免不必要的储存或过量积压，</w:t>
      </w:r>
      <w:r>
        <w:rPr>
          <w:rFonts w:ascii="宋体" w:hAnsi="宋体" w:cs="宋体"/>
          <w:snapToGrid w:val="0"/>
          <w:color w:val="auto"/>
          <w:spacing w:val="8"/>
          <w:kern w:val="0"/>
          <w:sz w:val="20"/>
          <w:szCs w:val="20"/>
          <w:highlight w:val="none"/>
        </w:rPr>
        <w:t>确保供应好、周转快、消耗低、费用省。</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第七条批量购入的办公用品应即时入库存</w:t>
      </w:r>
      <w:r>
        <w:rPr>
          <w:rFonts w:ascii="宋体" w:hAnsi="宋体" w:cs="宋体"/>
          <w:snapToGrid w:val="0"/>
          <w:color w:val="auto"/>
          <w:spacing w:val="10"/>
          <w:kern w:val="0"/>
          <w:sz w:val="20"/>
          <w:szCs w:val="20"/>
          <w:highlight w:val="none"/>
        </w:rPr>
        <w:t>储，物品采购员和仓库保管员要搞好验收交接，在</w:t>
      </w:r>
      <w:r>
        <w:rPr>
          <w:rFonts w:ascii="宋体" w:hAnsi="宋体" w:cs="宋体"/>
          <w:snapToGrid w:val="0"/>
          <w:color w:val="auto"/>
          <w:spacing w:val="9"/>
          <w:kern w:val="0"/>
          <w:sz w:val="20"/>
          <w:szCs w:val="20"/>
          <w:highlight w:val="none"/>
        </w:rPr>
        <w:t>《办公用品入库登记簿》上如实填写接收物品的名称、规格、单价和数量，并签字备案。</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第八条加强对旧办公用品管理。阶段性使</w:t>
      </w:r>
      <w:r>
        <w:rPr>
          <w:rFonts w:ascii="宋体" w:hAnsi="宋体" w:cs="宋体"/>
          <w:snapToGrid w:val="0"/>
          <w:color w:val="auto"/>
          <w:spacing w:val="10"/>
          <w:kern w:val="0"/>
          <w:sz w:val="20"/>
          <w:szCs w:val="20"/>
          <w:highlight w:val="none"/>
        </w:rPr>
        <w:t>用和暂时闲置的物品要妥善保管，随时待用；替换</w:t>
      </w:r>
      <w:r>
        <w:rPr>
          <w:rFonts w:ascii="宋体" w:hAnsi="宋体" w:cs="宋体"/>
          <w:snapToGrid w:val="0"/>
          <w:color w:val="auto"/>
          <w:spacing w:val="9"/>
          <w:kern w:val="0"/>
          <w:sz w:val="20"/>
          <w:szCs w:val="20"/>
          <w:highlight w:val="none"/>
        </w:rPr>
        <w:t>下的各类办公设备交由各部门自行保管，及时回收，登记造册，修旧利废，充分利用。</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9"/>
          <w:kern w:val="0"/>
          <w:sz w:val="20"/>
          <w:szCs w:val="20"/>
          <w:highlight w:val="none"/>
        </w:rPr>
        <w:t>第九条定期进行办公用品库房盘点，确</w:t>
      </w:r>
      <w:r>
        <w:rPr>
          <w:rFonts w:ascii="宋体" w:hAnsi="宋体" w:cs="宋体"/>
          <w:snapToGrid w:val="0"/>
          <w:color w:val="auto"/>
          <w:spacing w:val="8"/>
          <w:kern w:val="0"/>
          <w:sz w:val="20"/>
          <w:szCs w:val="20"/>
          <w:highlight w:val="none"/>
        </w:rPr>
        <w:t>保账物相符。</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第十条领取时，领取人须在《办公用品领</w:t>
      </w:r>
      <w:r>
        <w:rPr>
          <w:rFonts w:ascii="宋体" w:hAnsi="宋体" w:cs="宋体"/>
          <w:snapToGrid w:val="0"/>
          <w:color w:val="auto"/>
          <w:spacing w:val="10"/>
          <w:kern w:val="0"/>
          <w:sz w:val="20"/>
          <w:szCs w:val="20"/>
          <w:highlight w:val="none"/>
        </w:rPr>
        <w:t>取登记簿》上写明日期、领取物品名称及规格、数</w:t>
      </w:r>
      <w:r>
        <w:rPr>
          <w:rFonts w:ascii="宋体" w:hAnsi="宋体" w:cs="宋体"/>
          <w:snapToGrid w:val="0"/>
          <w:color w:val="auto"/>
          <w:spacing w:val="8"/>
          <w:kern w:val="0"/>
          <w:sz w:val="20"/>
          <w:szCs w:val="20"/>
          <w:highlight w:val="none"/>
        </w:rPr>
        <w:t>量、用途等项内容并签字。</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第十一条办公用品管理部门及人员应恪尽</w:t>
      </w:r>
      <w:r>
        <w:rPr>
          <w:rFonts w:ascii="宋体" w:hAnsi="宋体" w:cs="宋体"/>
          <w:snapToGrid w:val="0"/>
          <w:color w:val="auto"/>
          <w:spacing w:val="10"/>
          <w:kern w:val="0"/>
          <w:sz w:val="20"/>
          <w:szCs w:val="20"/>
          <w:highlight w:val="none"/>
        </w:rPr>
        <w:t>职守，坚持原则，照章办事，严格控制办公用品的</w:t>
      </w:r>
      <w:r>
        <w:rPr>
          <w:rFonts w:ascii="宋体" w:hAnsi="宋体" w:cs="宋体"/>
          <w:snapToGrid w:val="0"/>
          <w:color w:val="auto"/>
          <w:spacing w:val="11"/>
          <w:kern w:val="0"/>
          <w:sz w:val="20"/>
          <w:szCs w:val="20"/>
          <w:highlight w:val="none"/>
        </w:rPr>
        <w:t>领取数量和次数，对于消耗品，可根据历史记录和经验法则设定领取</w:t>
      </w:r>
      <w:r>
        <w:rPr>
          <w:rFonts w:ascii="宋体" w:hAnsi="宋体" w:cs="宋体"/>
          <w:snapToGrid w:val="0"/>
          <w:color w:val="auto"/>
          <w:spacing w:val="10"/>
          <w:kern w:val="0"/>
          <w:sz w:val="20"/>
          <w:szCs w:val="20"/>
          <w:highlight w:val="none"/>
        </w:rPr>
        <w:t>基准。明显超出常规的申领，</w:t>
      </w:r>
      <w:r>
        <w:rPr>
          <w:rFonts w:ascii="宋体" w:hAnsi="宋体" w:cs="宋体"/>
          <w:snapToGrid w:val="0"/>
          <w:color w:val="auto"/>
          <w:spacing w:val="8"/>
          <w:kern w:val="0"/>
          <w:sz w:val="20"/>
          <w:szCs w:val="20"/>
          <w:highlight w:val="none"/>
        </w:rPr>
        <w:t>领取人应作出解释，否则保管员有权拒付。</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8"/>
          <w:kern w:val="0"/>
          <w:sz w:val="20"/>
          <w:szCs w:val="20"/>
          <w:highlight w:val="none"/>
        </w:rPr>
        <w:t>第十二条领取的非消耗性办公用品（如订书机、计算器、剪刀）应列入移交。如重复申领，</w:t>
      </w:r>
      <w:r>
        <w:rPr>
          <w:rFonts w:ascii="宋体" w:hAnsi="宋体" w:cs="宋体"/>
          <w:snapToGrid w:val="0"/>
          <w:color w:val="auto"/>
          <w:spacing w:val="9"/>
          <w:kern w:val="0"/>
          <w:sz w:val="20"/>
          <w:szCs w:val="20"/>
          <w:highlight w:val="none"/>
        </w:rPr>
        <w:t>应说明原因或凭损毁原物以旧换新，杜绝虚报冒领。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8"/>
          <w:kern w:val="0"/>
          <w:sz w:val="20"/>
          <w:szCs w:val="20"/>
          <w:highlight w:val="none"/>
        </w:rPr>
        <w:t>第十三条大件物品领取后，应列入办公固定资产管理序列，明确责任人。办公用品领取后，</w:t>
      </w:r>
      <w:r>
        <w:rPr>
          <w:rFonts w:ascii="宋体" w:hAnsi="宋体" w:cs="宋体"/>
          <w:snapToGrid w:val="0"/>
          <w:color w:val="auto"/>
          <w:spacing w:val="9"/>
          <w:kern w:val="0"/>
          <w:sz w:val="20"/>
          <w:szCs w:val="20"/>
          <w:highlight w:val="none"/>
        </w:rPr>
        <w:t>发现不适用或未用完部分应立即退还给保管员，保管人员根据情况予以调换或收回入库。</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5"/>
          <w:kern w:val="0"/>
          <w:sz w:val="20"/>
          <w:szCs w:val="20"/>
          <w:highlight w:val="none"/>
        </w:rPr>
        <w:t>第十四条加强资源循环利用工作。推行</w:t>
      </w:r>
      <w:r>
        <w:rPr>
          <w:rFonts w:ascii="宋体" w:hAnsi="宋体" w:cs="宋体"/>
          <w:snapToGrid w:val="0"/>
          <w:color w:val="auto"/>
          <w:spacing w:val="4"/>
          <w:kern w:val="0"/>
          <w:sz w:val="20"/>
          <w:szCs w:val="20"/>
          <w:highlight w:val="none"/>
        </w:rPr>
        <w:t>无纸化办公，推广再生纸使用，提倡办公耗材再利用，</w:t>
      </w:r>
      <w:r>
        <w:rPr>
          <w:rFonts w:ascii="宋体" w:hAnsi="宋体" w:cs="宋体"/>
          <w:snapToGrid w:val="0"/>
          <w:color w:val="auto"/>
          <w:spacing w:val="11"/>
          <w:kern w:val="0"/>
          <w:sz w:val="20"/>
          <w:szCs w:val="20"/>
          <w:highlight w:val="none"/>
        </w:rPr>
        <w:t>限制使用塑料购物袋。禁止将办公用品随意丢弃废置，开展办公垃</w:t>
      </w:r>
      <w:r>
        <w:rPr>
          <w:rFonts w:ascii="宋体" w:hAnsi="宋体" w:cs="宋体"/>
          <w:snapToGrid w:val="0"/>
          <w:color w:val="auto"/>
          <w:spacing w:val="10"/>
          <w:kern w:val="0"/>
          <w:sz w:val="20"/>
          <w:szCs w:val="20"/>
          <w:highlight w:val="none"/>
        </w:rPr>
        <w:t>圾分类处理，建立废旧灯管，电</w:t>
      </w:r>
      <w:r>
        <w:rPr>
          <w:rFonts w:ascii="宋体" w:hAnsi="宋体" w:cs="宋体"/>
          <w:snapToGrid w:val="0"/>
          <w:color w:val="auto"/>
          <w:spacing w:val="8"/>
          <w:kern w:val="0"/>
          <w:sz w:val="20"/>
          <w:szCs w:val="20"/>
          <w:highlight w:val="none"/>
        </w:rPr>
        <w:t>子产品和办公设备的回收处理机制。</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第十五条印制文件材料要有科学性和计划性</w:t>
      </w:r>
      <w:r>
        <w:rPr>
          <w:rFonts w:ascii="宋体" w:hAnsi="宋体" w:cs="宋体"/>
          <w:snapToGrid w:val="0"/>
          <w:color w:val="auto"/>
          <w:spacing w:val="10"/>
          <w:kern w:val="0"/>
          <w:sz w:val="20"/>
          <w:szCs w:val="20"/>
          <w:highlight w:val="none"/>
        </w:rPr>
        <w:t>。根据文件材料印制要求及数量选择合适的印制方式，既要方便快捷，又要使成本最低，力</w:t>
      </w:r>
      <w:r>
        <w:rPr>
          <w:rFonts w:ascii="宋体" w:hAnsi="宋体" w:cs="宋体"/>
          <w:snapToGrid w:val="0"/>
          <w:color w:val="auto"/>
          <w:spacing w:val="9"/>
          <w:kern w:val="0"/>
          <w:sz w:val="20"/>
          <w:szCs w:val="20"/>
          <w:highlight w:val="none"/>
        </w:rPr>
        <w:t>求使印制数与需用数基本相符，避免不必要的浪费。</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0"/>
          <w:kern w:val="0"/>
          <w:sz w:val="20"/>
          <w:szCs w:val="20"/>
          <w:highlight w:val="none"/>
        </w:rPr>
        <w:t>第十六条对于高档耐用、但不常用的办公用品，各单位间应尽量协调相互借用，一般不得重复购置。办公设备出现故障，由原采购人员负责协调和联系退换、保</w:t>
      </w:r>
      <w:r>
        <w:rPr>
          <w:rFonts w:ascii="宋体" w:hAnsi="宋体" w:cs="宋体"/>
          <w:snapToGrid w:val="0"/>
          <w:color w:val="auto"/>
          <w:spacing w:val="9"/>
          <w:kern w:val="0"/>
          <w:sz w:val="20"/>
          <w:szCs w:val="20"/>
          <w:highlight w:val="none"/>
        </w:rPr>
        <w:t>修、维修、配件事宜。故意</w:t>
      </w:r>
      <w:r>
        <w:rPr>
          <w:rFonts w:ascii="宋体" w:hAnsi="宋体" w:cs="宋体"/>
          <w:snapToGrid w:val="0"/>
          <w:color w:val="auto"/>
          <w:spacing w:val="6"/>
          <w:kern w:val="0"/>
          <w:sz w:val="20"/>
          <w:szCs w:val="20"/>
          <w:highlight w:val="none"/>
        </w:rPr>
        <w:t>造成设备损坏的，由直接责任人赔偿。</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8"/>
          <w:kern w:val="0"/>
          <w:sz w:val="20"/>
          <w:szCs w:val="20"/>
          <w:highlight w:val="none"/>
        </w:rPr>
        <w:t>第十七条本制度自发布之日起执行。</w:t>
      </w:r>
    </w:p>
    <w:p>
      <w:pPr>
        <w:widowControl/>
        <w:overflowPunct w:val="0"/>
        <w:autoSpaceDE w:val="0"/>
        <w:autoSpaceDN w:val="0"/>
        <w:adjustRightInd w:val="0"/>
        <w:snapToGrid w:val="0"/>
        <w:spacing w:line="360" w:lineRule="auto"/>
        <w:ind w:firstLine="420" w:firstLineChars="200"/>
        <w:jc w:val="left"/>
        <w:textAlignment w:val="baseline"/>
        <w:rPr>
          <w:rFonts w:ascii="Arial" w:eastAsia="Arial" w:hAnsi="Arial" w:cs="Arial"/>
          <w:snapToGrid w:val="0"/>
          <w:color w:val="auto"/>
          <w:kern w:val="0"/>
          <w:szCs w:val="21"/>
          <w:highlight w:val="none"/>
        </w:rPr>
      </w:pPr>
    </w:p>
    <w:p>
      <w:pPr>
        <w:widowControl/>
        <w:overflowPunct w:val="0"/>
        <w:autoSpaceDE w:val="0"/>
        <w:autoSpaceDN w:val="0"/>
        <w:adjustRightInd w:val="0"/>
        <w:snapToGrid w:val="0"/>
        <w:spacing w:line="360" w:lineRule="auto"/>
        <w:ind w:firstLine="420" w:firstLineChars="200"/>
        <w:jc w:val="left"/>
        <w:textAlignment w:val="baseline"/>
        <w:rPr>
          <w:rFonts w:ascii="Arial" w:eastAsia="Arial" w:hAnsi="Arial" w:cs="Arial"/>
          <w:snapToGrid w:val="0"/>
          <w:color w:val="auto"/>
          <w:kern w:val="0"/>
          <w:szCs w:val="21"/>
          <w:highlight w:val="none"/>
        </w:rPr>
      </w:pPr>
    </w:p>
    <w:p>
      <w:pPr>
        <w:widowControl/>
        <w:overflowPunct w:val="0"/>
        <w:autoSpaceDE w:val="0"/>
        <w:autoSpaceDN w:val="0"/>
        <w:adjustRightInd w:val="0"/>
        <w:snapToGrid w:val="0"/>
        <w:spacing w:line="265" w:lineRule="auto"/>
        <w:ind w:firstLine="420" w:firstLineChars="200"/>
        <w:jc w:val="left"/>
        <w:textAlignment w:val="baseline"/>
        <w:rPr>
          <w:rFonts w:ascii="Arial" w:eastAsia="Arial" w:hAnsi="Arial" w:cs="Arial"/>
          <w:snapToGrid w:val="0"/>
          <w:color w:val="auto"/>
          <w:kern w:val="0"/>
          <w:szCs w:val="21"/>
          <w:highlight w:val="none"/>
        </w:rPr>
      </w:pPr>
    </w:p>
    <w:p>
      <w:pPr>
        <w:widowControl/>
        <w:overflowPunct w:val="0"/>
        <w:autoSpaceDE w:val="0"/>
        <w:autoSpaceDN w:val="0"/>
        <w:adjustRightInd w:val="0"/>
        <w:snapToGrid w:val="0"/>
        <w:spacing w:line="265" w:lineRule="auto"/>
        <w:ind w:firstLine="420" w:firstLineChars="200"/>
        <w:jc w:val="left"/>
        <w:textAlignment w:val="baseline"/>
        <w:rPr>
          <w:rFonts w:ascii="Arial" w:eastAsia="Arial" w:hAnsi="Arial" w:cs="Arial"/>
          <w:snapToGrid w:val="0"/>
          <w:color w:val="auto"/>
          <w:kern w:val="0"/>
          <w:szCs w:val="21"/>
          <w:highlight w:val="none"/>
        </w:rPr>
      </w:pPr>
    </w:p>
    <w:p>
      <w:pPr>
        <w:widowControl/>
        <w:overflowPunct w:val="0"/>
        <w:autoSpaceDE w:val="0"/>
        <w:autoSpaceDN w:val="0"/>
        <w:adjustRightInd w:val="0"/>
        <w:snapToGrid w:val="0"/>
        <w:spacing w:line="265" w:lineRule="auto"/>
        <w:ind w:firstLine="420" w:firstLineChars="200"/>
        <w:jc w:val="left"/>
        <w:textAlignment w:val="baseline"/>
        <w:rPr>
          <w:rFonts w:ascii="Arial" w:eastAsia="Arial" w:hAnsi="Arial" w:cs="Arial"/>
          <w:snapToGrid w:val="0"/>
          <w:color w:val="auto"/>
          <w:kern w:val="0"/>
          <w:szCs w:val="21"/>
          <w:highlight w:val="none"/>
        </w:rPr>
      </w:pPr>
    </w:p>
    <w:p>
      <w:pPr>
        <w:widowControl/>
        <w:overflowPunct w:val="0"/>
        <w:autoSpaceDE w:val="0"/>
        <w:autoSpaceDN w:val="0"/>
        <w:adjustRightInd w:val="0"/>
        <w:snapToGrid w:val="0"/>
        <w:spacing w:line="265" w:lineRule="auto"/>
        <w:ind w:firstLine="420" w:firstLineChars="200"/>
        <w:jc w:val="left"/>
        <w:textAlignment w:val="baseline"/>
        <w:rPr>
          <w:rFonts w:ascii="Arial" w:eastAsia="Arial" w:hAnsi="Arial" w:cs="Arial"/>
          <w:snapToGrid w:val="0"/>
          <w:color w:val="auto"/>
          <w:kern w:val="0"/>
          <w:szCs w:val="21"/>
          <w:highlight w:val="none"/>
        </w:rPr>
      </w:pPr>
    </w:p>
    <w:p>
      <w:pPr>
        <w:widowControl/>
        <w:overflowPunct w:val="0"/>
        <w:autoSpaceDE w:val="0"/>
        <w:autoSpaceDN w:val="0"/>
        <w:adjustRightInd w:val="0"/>
        <w:snapToGrid w:val="0"/>
        <w:spacing w:line="265" w:lineRule="auto"/>
        <w:ind w:firstLine="420" w:firstLineChars="200"/>
        <w:jc w:val="left"/>
        <w:textAlignment w:val="baseline"/>
        <w:rPr>
          <w:rFonts w:ascii="Arial" w:eastAsia="Arial" w:hAnsi="Arial" w:cs="Arial"/>
          <w:snapToGrid w:val="0"/>
          <w:color w:val="auto"/>
          <w:kern w:val="0"/>
          <w:szCs w:val="21"/>
          <w:highlight w:val="none"/>
        </w:rPr>
      </w:pPr>
    </w:p>
    <w:p>
      <w:pPr>
        <w:widowControl/>
        <w:overflowPunct w:val="0"/>
        <w:autoSpaceDE w:val="0"/>
        <w:autoSpaceDN w:val="0"/>
        <w:adjustRightInd w:val="0"/>
        <w:snapToGrid w:val="0"/>
        <w:spacing w:line="265" w:lineRule="auto"/>
        <w:ind w:firstLine="420" w:firstLineChars="200"/>
        <w:jc w:val="left"/>
        <w:textAlignment w:val="baseline"/>
        <w:rPr>
          <w:rFonts w:ascii="Arial" w:eastAsia="Arial" w:hAnsi="Arial" w:cs="Arial"/>
          <w:snapToGrid w:val="0"/>
          <w:color w:val="auto"/>
          <w:kern w:val="0"/>
          <w:szCs w:val="21"/>
          <w:highlight w:val="none"/>
        </w:rPr>
      </w:pPr>
    </w:p>
    <w:p>
      <w:pPr>
        <w:widowControl/>
        <w:kinsoku w:val="0"/>
        <w:autoSpaceDE w:val="0"/>
        <w:autoSpaceDN w:val="0"/>
        <w:adjustRightInd w:val="0"/>
        <w:snapToGrid w:val="0"/>
        <w:jc w:val="left"/>
        <w:textAlignment w:val="baseline"/>
        <w:rPr>
          <w:rFonts w:ascii="Arial" w:eastAsia="Arial" w:hAnsi="Arial" w:cs="Arial"/>
          <w:b/>
          <w:bCs/>
          <w:snapToGrid w:val="0"/>
          <w:color w:val="auto"/>
          <w:spacing w:val="-34"/>
          <w:kern w:val="0"/>
          <w:sz w:val="28"/>
          <w:szCs w:val="28"/>
          <w:highlight w:val="none"/>
        </w:rPr>
      </w:pPr>
      <w:r>
        <w:rPr>
          <w:rFonts w:ascii="Arial" w:eastAsia="Arial" w:hAnsi="Arial" w:cs="Arial"/>
          <w:b/>
          <w:bCs/>
          <w:snapToGrid w:val="0"/>
          <w:color w:val="auto"/>
          <w:spacing w:val="-34"/>
          <w:kern w:val="0"/>
          <w:sz w:val="28"/>
          <w:szCs w:val="28"/>
          <w:highlight w:val="none"/>
        </w:rPr>
        <w:br w:type="page"/>
      </w:r>
    </w:p>
    <w:p>
      <w:pPr>
        <w:wordWrap w:val="0"/>
        <w:autoSpaceDE w:val="0"/>
        <w:autoSpaceDN w:val="0"/>
        <w:adjustRightInd w:val="0"/>
        <w:snapToGrid w:val="0"/>
        <w:spacing w:before="149" w:line="355" w:lineRule="auto"/>
        <w:ind w:left="8" w:firstLine="431"/>
        <w:jc w:val="center"/>
        <w:textAlignment w:val="baseline"/>
        <w:rPr>
          <w:rFonts w:ascii="仿宋" w:eastAsia="仿宋" w:hAnsi="仿宋" w:cs="仿宋"/>
          <w:b/>
          <w:bCs/>
          <w:snapToGrid w:val="0"/>
          <w:color w:val="auto"/>
          <w:spacing w:val="8"/>
          <w:kern w:val="0"/>
          <w:sz w:val="24"/>
          <w:szCs w:val="24"/>
          <w:highlight w:val="none"/>
        </w:rPr>
      </w:pPr>
      <w:r>
        <w:rPr>
          <w:rFonts w:ascii="仿宋" w:eastAsia="仿宋" w:hAnsi="仿宋" w:cs="仿宋" w:hint="eastAsia"/>
          <w:b/>
          <w:bCs/>
          <w:snapToGrid w:val="0"/>
          <w:color w:val="auto"/>
          <w:spacing w:val="8"/>
          <w:kern w:val="0"/>
          <w:sz w:val="24"/>
          <w:szCs w:val="24"/>
          <w:highlight w:val="none"/>
        </w:rPr>
        <w:t>柳州市税务局消防安全管理办法</w:t>
      </w: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Arial" w:hAnsi="宋体" w:cs="宋体"/>
          <w:snapToGrid w:val="0"/>
          <w:color w:val="auto"/>
          <w:kern w:val="0"/>
          <w:szCs w:val="31"/>
          <w:highlight w:val="none"/>
        </w:rPr>
      </w:pPr>
      <w:r>
        <w:rPr>
          <w:rFonts w:ascii="宋体" w:hAnsi="宋体" w:cs="宋体"/>
          <w:b/>
          <w:bCs/>
          <w:snapToGrid w:val="0"/>
          <w:color w:val="auto"/>
          <w:spacing w:val="1"/>
          <w:kern w:val="0"/>
          <w:sz w:val="20"/>
          <w:szCs w:val="20"/>
          <w:highlight w:val="none"/>
        </w:rPr>
        <w:t>第一章总则</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1"/>
          <w:kern w:val="0"/>
          <w:sz w:val="20"/>
          <w:szCs w:val="20"/>
          <w:highlight w:val="none"/>
        </w:rPr>
        <w:t>第一条为加强机关消防安全管理，预防火</w:t>
      </w:r>
      <w:r>
        <w:rPr>
          <w:rFonts w:ascii="宋体" w:hAnsi="宋体" w:cs="宋体"/>
          <w:snapToGrid w:val="0"/>
          <w:color w:val="auto"/>
          <w:spacing w:val="10"/>
          <w:kern w:val="0"/>
          <w:sz w:val="20"/>
          <w:szCs w:val="20"/>
          <w:highlight w:val="none"/>
        </w:rPr>
        <w:t>灾，消除火险隐患，切实保障国有资产及干部职工</w:t>
      </w:r>
      <w:r>
        <w:rPr>
          <w:rFonts w:ascii="宋体" w:hAnsi="宋体" w:cs="宋体"/>
          <w:snapToGrid w:val="0"/>
          <w:color w:val="auto"/>
          <w:spacing w:val="8"/>
          <w:kern w:val="0"/>
          <w:sz w:val="20"/>
          <w:szCs w:val="20"/>
          <w:highlight w:val="none"/>
        </w:rPr>
        <w:t>的生命财产安全，维护良好的工作生活秩序，根据《中华</w:t>
      </w:r>
      <w:r>
        <w:rPr>
          <w:rFonts w:ascii="宋体" w:hAnsi="宋体" w:cs="宋体"/>
          <w:snapToGrid w:val="0"/>
          <w:color w:val="auto"/>
          <w:spacing w:val="7"/>
          <w:kern w:val="0"/>
          <w:sz w:val="20"/>
          <w:szCs w:val="20"/>
          <w:highlight w:val="none"/>
        </w:rPr>
        <w:t>人民共和国消防法》及《机关、团体企业、</w:t>
      </w:r>
      <w:r>
        <w:rPr>
          <w:rFonts w:ascii="宋体" w:hAnsi="宋体" w:cs="宋体"/>
          <w:snapToGrid w:val="0"/>
          <w:color w:val="auto"/>
          <w:spacing w:val="8"/>
          <w:kern w:val="0"/>
          <w:sz w:val="20"/>
          <w:szCs w:val="20"/>
          <w:highlight w:val="none"/>
        </w:rPr>
        <w:t>事业单位消防安全管理规定》（公安部令第</w:t>
      </w:r>
      <w:r>
        <w:rPr>
          <w:rFonts w:ascii="宋体" w:hAnsi="宋体" w:cs="宋体"/>
          <w:snapToGrid w:val="0"/>
          <w:color w:val="auto"/>
          <w:spacing w:val="7"/>
          <w:kern w:val="0"/>
          <w:sz w:val="20"/>
          <w:szCs w:val="20"/>
          <w:highlight w:val="none"/>
        </w:rPr>
        <w:t>61号</w:t>
      </w:r>
      <w:r>
        <w:rPr>
          <w:rFonts w:ascii="宋体" w:hAnsi="宋体" w:cs="宋体"/>
          <w:snapToGrid w:val="0"/>
          <w:color w:val="auto"/>
          <w:spacing w:val="14"/>
          <w:kern w:val="0"/>
          <w:sz w:val="20"/>
          <w:szCs w:val="20"/>
          <w:highlight w:val="none"/>
        </w:rPr>
        <w:t>），</w:t>
      </w:r>
      <w:r>
        <w:rPr>
          <w:rFonts w:ascii="宋体" w:hAnsi="宋体" w:cs="宋体"/>
          <w:snapToGrid w:val="0"/>
          <w:color w:val="auto"/>
          <w:spacing w:val="7"/>
          <w:kern w:val="0"/>
          <w:sz w:val="20"/>
          <w:szCs w:val="20"/>
          <w:highlight w:val="none"/>
        </w:rPr>
        <w:t>制定本办法。</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8"/>
          <w:kern w:val="0"/>
          <w:sz w:val="20"/>
          <w:szCs w:val="20"/>
          <w:highlight w:val="none"/>
        </w:rPr>
        <w:t>第二条本办法适用于</w:t>
      </w:r>
      <w:r>
        <w:rPr>
          <w:rFonts w:ascii="宋体" w:hAnsi="宋体" w:cs="宋体" w:hint="eastAsia"/>
          <w:snapToGrid w:val="0"/>
          <w:color w:val="auto"/>
          <w:spacing w:val="8"/>
          <w:kern w:val="0"/>
          <w:sz w:val="20"/>
          <w:szCs w:val="20"/>
          <w:highlight w:val="none"/>
        </w:rPr>
        <w:t>柳州市税务局</w:t>
      </w:r>
      <w:r>
        <w:rPr>
          <w:rFonts w:ascii="宋体" w:hAnsi="宋体" w:cs="宋体"/>
          <w:snapToGrid w:val="0"/>
          <w:color w:val="auto"/>
          <w:spacing w:val="8"/>
          <w:kern w:val="0"/>
          <w:sz w:val="20"/>
          <w:szCs w:val="20"/>
          <w:highlight w:val="none"/>
        </w:rPr>
        <w:t>机关的消防安全管理。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kern w:val="0"/>
          <w:sz w:val="20"/>
          <w:szCs w:val="20"/>
          <w:highlight w:val="none"/>
        </w:rPr>
      </w:pPr>
      <w:r>
        <w:rPr>
          <w:rFonts w:ascii="宋体" w:hAnsi="宋体" w:cs="宋体"/>
          <w:snapToGrid w:val="0"/>
          <w:color w:val="auto"/>
          <w:spacing w:val="10"/>
          <w:kern w:val="0"/>
          <w:sz w:val="20"/>
          <w:szCs w:val="20"/>
          <w:highlight w:val="none"/>
        </w:rPr>
        <w:t>第三条严格遵守消防法律、法规、规章（以下统称消防法规</w:t>
      </w:r>
      <w:r>
        <w:rPr>
          <w:rFonts w:ascii="宋体" w:hAnsi="宋体" w:cs="宋体"/>
          <w:snapToGrid w:val="0"/>
          <w:color w:val="auto"/>
          <w:spacing w:val="20"/>
          <w:kern w:val="0"/>
          <w:sz w:val="20"/>
          <w:szCs w:val="20"/>
          <w:highlight w:val="none"/>
        </w:rPr>
        <w:t>），</w:t>
      </w:r>
      <w:r>
        <w:rPr>
          <w:rFonts w:ascii="宋体" w:hAnsi="宋体" w:cs="宋体"/>
          <w:snapToGrid w:val="0"/>
          <w:color w:val="auto"/>
          <w:spacing w:val="10"/>
          <w:kern w:val="0"/>
          <w:sz w:val="20"/>
          <w:szCs w:val="20"/>
          <w:highlight w:val="none"/>
        </w:rPr>
        <w:t>贯彻预防为主、防消结合的</w:t>
      </w:r>
      <w:r>
        <w:rPr>
          <w:rFonts w:ascii="宋体" w:hAnsi="宋体" w:cs="宋体"/>
          <w:snapToGrid w:val="0"/>
          <w:color w:val="auto"/>
          <w:spacing w:val="9"/>
          <w:kern w:val="0"/>
          <w:sz w:val="20"/>
          <w:szCs w:val="20"/>
          <w:highlight w:val="none"/>
        </w:rPr>
        <w:t>消防工作方针，履行消防安全职责，确保消防</w:t>
      </w:r>
      <w:r>
        <w:rPr>
          <w:rFonts w:ascii="宋体" w:hAnsi="宋体" w:cs="宋体"/>
          <w:snapToGrid w:val="0"/>
          <w:color w:val="auto"/>
          <w:spacing w:val="8"/>
          <w:kern w:val="0"/>
          <w:sz w:val="20"/>
          <w:szCs w:val="20"/>
          <w:highlight w:val="none"/>
        </w:rPr>
        <w:t>安全。</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8"/>
          <w:kern w:val="0"/>
          <w:sz w:val="20"/>
          <w:szCs w:val="20"/>
          <w:highlight w:val="none"/>
        </w:rPr>
      </w:pPr>
      <w:r>
        <w:rPr>
          <w:rFonts w:ascii="宋体" w:hAnsi="宋体" w:cs="宋体"/>
          <w:snapToGrid w:val="0"/>
          <w:color w:val="auto"/>
          <w:spacing w:val="9"/>
          <w:kern w:val="0"/>
          <w:sz w:val="20"/>
          <w:szCs w:val="20"/>
          <w:highlight w:val="none"/>
        </w:rPr>
        <w:t>第四条落实岗位消防安全责任制，明确岗位消防安</w:t>
      </w:r>
      <w:r>
        <w:rPr>
          <w:rFonts w:ascii="宋体" w:hAnsi="宋体" w:cs="宋体"/>
          <w:snapToGrid w:val="0"/>
          <w:color w:val="auto"/>
          <w:spacing w:val="8"/>
          <w:kern w:val="0"/>
          <w:sz w:val="20"/>
          <w:szCs w:val="20"/>
          <w:highlight w:val="none"/>
        </w:rPr>
        <w:t>全职责。</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8"/>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第二章消防安全职责</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第五条根据需要确定机关的消防安全管理人。消防安全管理人对机关的消防安全责任人负责，实施和组织落实下列消防安全管理工作：</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（一）组织实施日常消防安全管理工作。</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（二）组织消防设施防火巡查、检查；消防设施、器材维护管理；火灾隐患整改；实施防火检查和火灾隐患整改工作。</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（三）组织实施对机关消防设施、灭火器材和消防安全标志的维护保养，确保其完好有效和处于正常运行状态，确保疏散通道和安全出口的畅通。</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（四）组织干部职工开展消防知识、技能的教育和培训，组织灭火和应急疏散预案的实施和演练。</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（五）及时报告涉及消防安全的重大问题。</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第六条在建工程施工现场的消防安全由施工单位负责。对建筑物进行局部改建、扩建和装修的工程，应当与施工单位在订立的合同中明确各方对施工现场的消防安全责任。</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第三章消防安全宣传教育和培训</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第七条通过多种形式开展经常性的消防安全宣传教育。宣传教育和培训内容应当包括：</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（一）有关消防法规、消防安全制度和保障消防安全的操作规程。</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（二）本单位、本岗位的火灾危险性和防火措施。</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（三）有关消防设施的性能、灭火器材的使用方法。</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（四）报火警、扑救初起火灾以及自救逃生的知识和技能。</w:t>
      </w: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第四章消防安全管理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第八条将容易发生火灾、一旦发生火灾可能严重危及人身和财产安全，以及对消防安全有重大影响的部位，确定为消防安全重点部位，设置明显的防火标志，重点配备消防设施器材，实行严格消防管理。</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（一）重点消防安全部位：机房、配电房、机要室、档案室（含人事档案室）、发票库房、财务室等。</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（二）凡重点部位工作人员，必须严格遵守防火安全制度，遵守操作规程。因违章操作、违反防火制度，造成事故的，要严肃追究责任。</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第九条办公场所用火安全管理规定：</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（一）办公场所内不得擅自燃用明火或焚烧物品。</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二）办公场所内未经主管安全部门批准，不得擅自使用电焊、氧焊等明火作业。如遇办公室改造、装修等必须使用电、氧焊等明火作业时，需经主管安全部门批准。在动用明火施工前，要做好相应的防护措施，要将施工区域内的易燃物品转移到远离火点的安全地带，设立施工防护区，并配足灭火器，在确认安全后，方可施工。</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（三）严禁在办公场所禁烟区域内吸烟。在非禁烟区的吸烟者要将吸剩的烟头掐灭后放入垃圾桶内，不得随地丢弃。</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第十条办公场所用电安全管理规定：</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（一）办公场所内各种电器设备的施工、安装及维修保养等工作，由主管安全部门统一负责。</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（二）加强电路的负荷管理，严禁超出用电总负荷。</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（三）办公场所内一切电器设备和线路必须符合安全要求，下班时要关闭电灯和切断电器电源。</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十一条保障疏散通道、安全出口畅通，并设置符合国家规定的消防安全疏散指示标志和应急照明设施，保持防火门、防火卷帘、消防安全疏散指示标志、应急照明、机械排烟送风、火灾事故广播等设施处于正常状态。</w:t>
      </w: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第五章防火检查</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第十二条每季度进行一次防火检查，检查的内容应当包括：</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（一）火灾隐患的整改情况以及防范措施的落实情况。</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（二）安全疏散通道、疏散指示标志、应急照明和安全出口情况。</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（三）消防车通道、消防水源情况。</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（四）灭火器材配置及有效情况。</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（五）用火、用电有无违章情况。</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（六）消防安全重点部位的管理情况。</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（七）消防设施运行、记录情况。</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（八）防火巡查情况。</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（九）消防安全标志的设置情况和完好、有效情况。</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（十）其他需要检查的内容。</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防火检查应当填写检查记录备案。</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第十三条按照建筑消防设施检查维修保养有关规定的要求，对建筑消防设施的完好有效情况进行检查和维修保养。</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第十四条按照有关规定定期对自动消防设施进行全面检查测试，并出具检测报告，存档备查。</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第十五条按照有关规定定期对灭火器进行维护保养和维修检查。对灭火器应当建立档案资料，记明配置类型、数量、设置位置、检查维修单位（人员）、更换药剂的时间等有关情况。</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第六章火险隐患整改</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第十六条对存在的火灾隐患，及时予以消除。</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第十七条对下列违反消防安全规定的行为，责成有关人员当场改正并督促落实：</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（一）违章使用明火作业或者在具有火灾、爆炸危险的场所吸烟、使用明火等违反禁令的行为。</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（二）将安全出口上锁、遮挡，或者占用、堆放物品影响疏散通道畅通的。</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（三）消火栓、灭火器材被遮挡影响使用或者被挪作他用的。</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（四）防火卷帘下堆放物品影响使用的。</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（五）消防设施管理、值班人员和防火巡查人员脱岗的。</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（六）违章关闭消防设施、切断消防电源的。</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（七）其他可以当场改正的行为。</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第十八条对不能当场改正的火灾隐患，消防安全管理人或者消防安全责任人应当确定整改的措施、期限以及负责整改的部门、人员，并落实整改资金。在火灾隐患未消除之前，应当采取防范措施，保障消防安全。</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第七章灭火、应急疏散预案和演练</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第十九条机关制定的灭火和应急疏散预案应当包括下列内容：</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（一）应急疏散的组织程序和措施。</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（二）扑救初起火灾的程序和措施。</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（三）通讯联络、安全防护救护的程序和措施。</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第二十条按照灭火和应急疏散预案，结合机关实际组织演练，并根据演练情况，不断完善机关灭火和应急疏散预案。</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消防演练时，应当设置明显标识并事先告知演练范围内的所有人员。</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第八章责任追究</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第二十一条消防安全管理工作实行工作责任制和责任追究制，如出现消防安全责任事故，按照有关规定，严肃追究责任人及当事人责任。</w:t>
      </w:r>
    </w:p>
    <w:p>
      <w:pPr>
        <w:widowControl/>
        <w:overflowPunct w:val="0"/>
        <w:autoSpaceDE w:val="0"/>
        <w:autoSpaceDN w:val="0"/>
        <w:adjustRightInd w:val="0"/>
        <w:snapToGrid w:val="0"/>
        <w:spacing w:line="360" w:lineRule="auto"/>
        <w:jc w:val="center"/>
        <w:textAlignment w:val="baseline"/>
        <w:rPr>
          <w:rFonts w:ascii="宋体" w:hAnsi="宋体" w:cs="宋体"/>
          <w:b/>
          <w:bCs/>
          <w:snapToGrid w:val="0"/>
          <w:color w:val="auto"/>
          <w:spacing w:val="1"/>
          <w:kern w:val="0"/>
          <w:sz w:val="20"/>
          <w:szCs w:val="20"/>
          <w:highlight w:val="none"/>
        </w:rPr>
      </w:pPr>
      <w:r>
        <w:rPr>
          <w:rFonts w:ascii="宋体" w:hAnsi="宋体" w:cs="宋体"/>
          <w:b/>
          <w:bCs/>
          <w:snapToGrid w:val="0"/>
          <w:color w:val="auto"/>
          <w:spacing w:val="1"/>
          <w:kern w:val="0"/>
          <w:sz w:val="20"/>
          <w:szCs w:val="20"/>
          <w:highlight w:val="none"/>
        </w:rPr>
        <w:t>第九章附则</w:t>
      </w:r>
    </w:p>
    <w:p>
      <w:pPr>
        <w:widowControl/>
        <w:overflowPunct w:val="0"/>
        <w:autoSpaceDE w:val="0"/>
        <w:autoSpaceDN w:val="0"/>
        <w:adjustRightInd w:val="0"/>
        <w:snapToGrid w:val="0"/>
        <w:spacing w:line="360" w:lineRule="auto"/>
        <w:ind w:firstLine="400" w:firstLineChars="200"/>
        <w:jc w:val="left"/>
        <w:textAlignment w:val="baseline"/>
        <w:rPr>
          <w:rFonts w:ascii="宋体" w:hAnsi="宋体" w:cs="宋体"/>
          <w:snapToGrid w:val="0"/>
          <w:color w:val="auto"/>
          <w:spacing w:val="11"/>
          <w:kern w:val="0"/>
          <w:sz w:val="20"/>
          <w:szCs w:val="20"/>
          <w:highlight w:val="none"/>
        </w:rPr>
      </w:pPr>
      <w:r>
        <w:rPr>
          <w:rFonts w:ascii="宋体" w:hAnsi="宋体" w:cs="宋体"/>
          <w:snapToGrid w:val="0"/>
          <w:color w:val="auto"/>
          <w:spacing w:val="11"/>
          <w:kern w:val="0"/>
          <w:sz w:val="20"/>
          <w:szCs w:val="20"/>
          <w:highlight w:val="none"/>
        </w:rPr>
        <w:t>第二十二条机关服务中心负责本办法的组织及实施。</w:t>
      </w:r>
    </w:p>
    <w:p>
      <w:pPr>
        <w:widowControl/>
        <w:overflowPunct w:val="0"/>
        <w:autoSpaceDE w:val="0"/>
        <w:autoSpaceDN w:val="0"/>
        <w:adjustRightInd w:val="0"/>
        <w:snapToGrid w:val="0"/>
        <w:spacing w:line="360" w:lineRule="auto"/>
        <w:ind w:firstLine="400" w:firstLineChars="200"/>
        <w:jc w:val="left"/>
        <w:textAlignment w:val="baseline"/>
      </w:pPr>
      <w:r>
        <w:rPr>
          <w:rFonts w:ascii="宋体" w:hAnsi="宋体" w:cs="宋体"/>
          <w:snapToGrid w:val="0"/>
          <w:color w:val="auto"/>
          <w:spacing w:val="11"/>
          <w:kern w:val="0"/>
          <w:sz w:val="20"/>
          <w:szCs w:val="20"/>
          <w:highlight w:val="none"/>
        </w:rPr>
        <w:t>第二十三条本办法自发布之日起执行。</w:t>
      </w:r>
    </w:p>
    <w:p/>
    <w:sectPr>
      <w:footerReference w:type="default" r:id="rId7"/>
      <w:pgSz w:w="11906" w:h="16838"/>
      <w:pgMar w:top="1418" w:right="1418" w:bottom="1418" w:left="1418" w:header="851" w:footer="992" w:gutter="0"/>
      <w:cols w:num="1" w:space="425"/>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kinsoku w:val="0"/>
      <w:autoSpaceDE w:val="0"/>
      <w:autoSpaceDN w:val="0"/>
      <w:adjustRightInd w:val="0"/>
      <w:snapToGrid w:val="0"/>
      <w:spacing w:line="169" w:lineRule="auto"/>
      <w:jc w:val="right"/>
      <w:textAlignment w:val="baseline"/>
      <w:rPr>
        <w:rFonts w:eastAsia="Calibri" w:cs="Calibri"/>
        <w:snapToGrid w:val="0"/>
        <w:color w:val="000000"/>
        <w:kern w:val="0"/>
        <w:sz w:val="18"/>
        <w:szCs w:val="18"/>
        <w:lang w:eastAsia="en-US"/>
      </w:rPr>
    </w:pPr>
    <w:r>
      <w:rPr>
        <w:rFonts w:ascii="Arial" w:eastAsia="Arial" w:hAnsi="Arial" w:cs="Arial"/>
        <w:snapToGrid w:val="0"/>
        <w:color w:val="000000"/>
        <w:kern w:val="0"/>
        <w:sz w:val="18"/>
        <w:szCs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insoku w:val="0"/>
                            <w:autoSpaceDE w:val="0"/>
                            <w:autoSpaceDN w:val="0"/>
                            <w:adjustRightInd w:val="0"/>
                            <w:snapToGrid w:val="0"/>
                            <w:jc w:val="left"/>
                            <w:textAlignment w:val="baseline"/>
                            <w:rPr>
                              <w:rFonts w:ascii="Arial" w:eastAsia="Arial" w:hAnsi="Arial" w:cs="Arial"/>
                              <w:snapToGrid w:val="0"/>
                              <w:color w:val="000000"/>
                              <w:kern w:val="0"/>
                              <w:sz w:val="18"/>
                              <w:szCs w:val="21"/>
                              <w:lang w:eastAsia="en-US"/>
                            </w:rPr>
                          </w:pPr>
                          <w:r>
                            <w:rPr>
                              <w:rFonts w:ascii="Arial" w:eastAsia="Arial" w:hAnsi="Arial" w:cs="Arial"/>
                              <w:snapToGrid w:val="0"/>
                              <w:color w:val="000000"/>
                              <w:kern w:val="0"/>
                              <w:sz w:val="18"/>
                              <w:szCs w:val="21"/>
                              <w:lang w:eastAsia="en-US"/>
                            </w:rPr>
                            <w:fldChar w:fldCharType="begin"/>
                          </w:r>
                          <w:r>
                            <w:rPr>
                              <w:rFonts w:ascii="Arial" w:eastAsia="Arial" w:hAnsi="Arial" w:cs="Arial"/>
                              <w:snapToGrid w:val="0"/>
                              <w:color w:val="000000"/>
                              <w:kern w:val="0"/>
                              <w:sz w:val="18"/>
                              <w:szCs w:val="21"/>
                              <w:lang w:eastAsia="en-US"/>
                            </w:rPr>
                            <w:instrText xml:space="preserve"> PAGE  \* MERGEFORMAT </w:instrText>
                          </w:r>
                          <w:r>
                            <w:rPr>
                              <w:rFonts w:ascii="Arial" w:eastAsia="Arial" w:hAnsi="Arial" w:cs="Arial"/>
                              <w:snapToGrid w:val="0"/>
                              <w:color w:val="000000"/>
                              <w:kern w:val="0"/>
                              <w:sz w:val="18"/>
                              <w:szCs w:val="21"/>
                              <w:lang w:eastAsia="en-US"/>
                            </w:rPr>
                            <w:fldChar w:fldCharType="separate"/>
                          </w:r>
                          <w:r>
                            <w:rPr>
                              <w:rFonts w:ascii="Arial" w:eastAsia="Arial" w:hAnsi="Arial" w:cs="Arial"/>
                              <w:snapToGrid w:val="0"/>
                              <w:color w:val="000000"/>
                              <w:kern w:val="0"/>
                              <w:sz w:val="18"/>
                              <w:szCs w:val="21"/>
                              <w:lang w:eastAsia="en-US"/>
                            </w:rPr>
                            <w:t>106</w:t>
                          </w:r>
                          <w:r>
                            <w:rPr>
                              <w:rFonts w:ascii="Arial" w:eastAsia="Arial" w:hAnsi="Arial" w:cs="Arial"/>
                              <w:snapToGrid w:val="0"/>
                              <w:color w:val="000000"/>
                              <w:kern w:val="0"/>
                              <w:sz w:val="18"/>
                              <w:szCs w:val="21"/>
                              <w:lang w:eastAsia="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kinsoku w:val="0"/>
                      <w:autoSpaceDE w:val="0"/>
                      <w:autoSpaceDN w:val="0"/>
                      <w:adjustRightInd w:val="0"/>
                      <w:snapToGrid w:val="0"/>
                      <w:jc w:val="left"/>
                      <w:textAlignment w:val="baseline"/>
                      <w:rPr>
                        <w:rFonts w:ascii="Arial" w:eastAsia="Arial" w:hAnsi="Arial" w:cs="Arial"/>
                        <w:snapToGrid w:val="0"/>
                        <w:color w:val="000000"/>
                        <w:kern w:val="0"/>
                        <w:sz w:val="18"/>
                        <w:szCs w:val="21"/>
                        <w:lang w:eastAsia="en-US"/>
                      </w:rPr>
                    </w:pPr>
                    <w:r>
                      <w:rPr>
                        <w:rFonts w:ascii="Arial" w:eastAsia="Arial" w:hAnsi="Arial" w:cs="Arial"/>
                        <w:snapToGrid w:val="0"/>
                        <w:color w:val="000000"/>
                        <w:kern w:val="0"/>
                        <w:sz w:val="18"/>
                        <w:szCs w:val="21"/>
                        <w:lang w:eastAsia="en-US"/>
                      </w:rPr>
                      <w:fldChar w:fldCharType="begin"/>
                    </w:r>
                    <w:r>
                      <w:rPr>
                        <w:rFonts w:ascii="Arial" w:eastAsia="Arial" w:hAnsi="Arial" w:cs="Arial"/>
                        <w:snapToGrid w:val="0"/>
                        <w:color w:val="000000"/>
                        <w:kern w:val="0"/>
                        <w:sz w:val="18"/>
                        <w:szCs w:val="21"/>
                        <w:lang w:eastAsia="en-US"/>
                      </w:rPr>
                      <w:instrText xml:space="preserve"> PAGE  \* MERGEFORMAT </w:instrText>
                    </w:r>
                    <w:r>
                      <w:rPr>
                        <w:rFonts w:ascii="Arial" w:eastAsia="Arial" w:hAnsi="Arial" w:cs="Arial"/>
                        <w:snapToGrid w:val="0"/>
                        <w:color w:val="000000"/>
                        <w:kern w:val="0"/>
                        <w:sz w:val="18"/>
                        <w:szCs w:val="21"/>
                        <w:lang w:eastAsia="en-US"/>
                      </w:rPr>
                      <w:fldChar w:fldCharType="separate"/>
                    </w:r>
                    <w:r>
                      <w:rPr>
                        <w:rFonts w:ascii="Arial" w:eastAsia="Arial" w:hAnsi="Arial" w:cs="Arial"/>
                        <w:snapToGrid w:val="0"/>
                        <w:color w:val="000000"/>
                        <w:kern w:val="0"/>
                        <w:sz w:val="18"/>
                        <w:szCs w:val="21"/>
                        <w:lang w:eastAsia="en-US"/>
                      </w:rPr>
                      <w:t>106</w:t>
                    </w:r>
                    <w:r>
                      <w:rPr>
                        <w:rFonts w:ascii="Arial" w:eastAsia="Arial" w:hAnsi="Arial" w:cs="Arial"/>
                        <w:snapToGrid w:val="0"/>
                        <w:color w:val="000000"/>
                        <w:kern w:val="0"/>
                        <w:sz w:val="18"/>
                        <w:szCs w:val="21"/>
                        <w:lang w:eastAsia="en-US"/>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kinsoku w:val="0"/>
      <w:autoSpaceDE w:val="0"/>
      <w:autoSpaceDN w:val="0"/>
      <w:adjustRightInd w:val="0"/>
      <w:snapToGrid w:val="0"/>
      <w:spacing w:line="169" w:lineRule="auto"/>
      <w:jc w:val="left"/>
      <w:textAlignment w:val="baseline"/>
      <w:rPr>
        <w:rFonts w:eastAsia="Calibri" w:cs="Calibri"/>
        <w:snapToGrid w:val="0"/>
        <w:color w:val="000000"/>
        <w:kern w:val="0"/>
        <w:sz w:val="18"/>
        <w:szCs w:val="18"/>
        <w:lang w:eastAsia="en-US"/>
      </w:rPr>
    </w:pPr>
    <w:r>
      <w:rPr>
        <w:rFonts w:ascii="Arial" w:eastAsia="Arial" w:hAnsi="Arial" w:cs="Arial"/>
        <w:snapToGrid w:val="0"/>
        <w:color w:val="000000"/>
        <w:kern w:val="0"/>
        <w:sz w:val="18"/>
        <w:szCs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insoku w:val="0"/>
                            <w:autoSpaceDE w:val="0"/>
                            <w:autoSpaceDN w:val="0"/>
                            <w:adjustRightInd w:val="0"/>
                            <w:snapToGrid w:val="0"/>
                            <w:jc w:val="left"/>
                            <w:textAlignment w:val="baseline"/>
                            <w:rPr>
                              <w:rFonts w:ascii="Arial" w:eastAsia="Arial" w:hAnsi="Arial" w:cs="Arial"/>
                              <w:snapToGrid w:val="0"/>
                              <w:color w:val="000000"/>
                              <w:kern w:val="0"/>
                              <w:sz w:val="18"/>
                              <w:szCs w:val="21"/>
                              <w:lang w:eastAsia="en-US"/>
                            </w:rPr>
                          </w:pPr>
                          <w:r>
                            <w:rPr>
                              <w:rFonts w:ascii="Arial" w:eastAsia="Arial" w:hAnsi="Arial" w:cs="Arial"/>
                              <w:snapToGrid w:val="0"/>
                              <w:color w:val="000000"/>
                              <w:kern w:val="0"/>
                              <w:sz w:val="18"/>
                              <w:szCs w:val="21"/>
                              <w:lang w:eastAsia="en-US"/>
                            </w:rPr>
                            <w:fldChar w:fldCharType="begin"/>
                          </w:r>
                          <w:r>
                            <w:rPr>
                              <w:rFonts w:ascii="Arial" w:eastAsia="Arial" w:hAnsi="Arial" w:cs="Arial"/>
                              <w:snapToGrid w:val="0"/>
                              <w:color w:val="000000"/>
                              <w:kern w:val="0"/>
                              <w:sz w:val="18"/>
                              <w:szCs w:val="21"/>
                              <w:lang w:eastAsia="en-US"/>
                            </w:rPr>
                            <w:instrText xml:space="preserve"> PAGE  \* MERGEFORMAT </w:instrText>
                          </w:r>
                          <w:r>
                            <w:rPr>
                              <w:rFonts w:ascii="Arial" w:eastAsia="Arial" w:hAnsi="Arial" w:cs="Arial"/>
                              <w:snapToGrid w:val="0"/>
                              <w:color w:val="000000"/>
                              <w:kern w:val="0"/>
                              <w:sz w:val="18"/>
                              <w:szCs w:val="21"/>
                              <w:lang w:eastAsia="en-US"/>
                            </w:rPr>
                            <w:fldChar w:fldCharType="separate"/>
                          </w:r>
                          <w:r>
                            <w:rPr>
                              <w:rFonts w:ascii="Arial" w:eastAsia="Arial" w:hAnsi="Arial" w:cs="Arial"/>
                              <w:snapToGrid w:val="0"/>
                              <w:color w:val="000000"/>
                              <w:kern w:val="0"/>
                              <w:sz w:val="18"/>
                              <w:szCs w:val="21"/>
                              <w:lang w:eastAsia="en-US"/>
                            </w:rPr>
                            <w:t>109</w:t>
                          </w:r>
                          <w:r>
                            <w:rPr>
                              <w:rFonts w:ascii="Arial" w:eastAsia="Arial" w:hAnsi="Arial" w:cs="Arial"/>
                              <w:snapToGrid w:val="0"/>
                              <w:color w:val="000000"/>
                              <w:kern w:val="0"/>
                              <w:sz w:val="18"/>
                              <w:szCs w:val="21"/>
                              <w:lang w:eastAsia="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0" type="#_x0000_t202" style="width:2in;height:2in;margin-top:0;margin-left:0;mso-height-relative:page;mso-position-horizontal:outside;mso-position-horizontal-relative:margin;mso-width-relative:page;mso-wrap-style:none;position:absolute;z-index:251661312" coordsize="21600,21600" filled="f" stroked="f">
              <o:lock v:ext="edit" aspectratio="f"/>
              <v:textbox style="mso-fit-shape-to-text:t" inset="0,0,0,0">
                <w:txbxContent>
                  <w:p>
                    <w:pPr>
                      <w:kinsoku w:val="0"/>
                      <w:autoSpaceDE w:val="0"/>
                      <w:autoSpaceDN w:val="0"/>
                      <w:adjustRightInd w:val="0"/>
                      <w:snapToGrid w:val="0"/>
                      <w:jc w:val="left"/>
                      <w:textAlignment w:val="baseline"/>
                      <w:rPr>
                        <w:rFonts w:ascii="Arial" w:eastAsia="Arial" w:hAnsi="Arial" w:cs="Arial"/>
                        <w:snapToGrid w:val="0"/>
                        <w:color w:val="000000"/>
                        <w:kern w:val="0"/>
                        <w:sz w:val="18"/>
                        <w:szCs w:val="21"/>
                        <w:lang w:eastAsia="en-US"/>
                      </w:rPr>
                    </w:pPr>
                    <w:r>
                      <w:rPr>
                        <w:rFonts w:ascii="Arial" w:eastAsia="Arial" w:hAnsi="Arial" w:cs="Arial"/>
                        <w:snapToGrid w:val="0"/>
                        <w:color w:val="000000"/>
                        <w:kern w:val="0"/>
                        <w:sz w:val="18"/>
                        <w:szCs w:val="21"/>
                        <w:lang w:eastAsia="en-US"/>
                      </w:rPr>
                      <w:fldChar w:fldCharType="begin"/>
                    </w:r>
                    <w:r>
                      <w:rPr>
                        <w:rFonts w:ascii="Arial" w:eastAsia="Arial" w:hAnsi="Arial" w:cs="Arial"/>
                        <w:snapToGrid w:val="0"/>
                        <w:color w:val="000000"/>
                        <w:kern w:val="0"/>
                        <w:sz w:val="18"/>
                        <w:szCs w:val="21"/>
                        <w:lang w:eastAsia="en-US"/>
                      </w:rPr>
                      <w:instrText xml:space="preserve"> PAGE  \* MERGEFORMAT </w:instrText>
                    </w:r>
                    <w:r>
                      <w:rPr>
                        <w:rFonts w:ascii="Arial" w:eastAsia="Arial" w:hAnsi="Arial" w:cs="Arial"/>
                        <w:snapToGrid w:val="0"/>
                        <w:color w:val="000000"/>
                        <w:kern w:val="0"/>
                        <w:sz w:val="18"/>
                        <w:szCs w:val="21"/>
                        <w:lang w:eastAsia="en-US"/>
                      </w:rPr>
                      <w:fldChar w:fldCharType="separate"/>
                    </w:r>
                    <w:r>
                      <w:rPr>
                        <w:rFonts w:ascii="Arial" w:eastAsia="Arial" w:hAnsi="Arial" w:cs="Arial"/>
                        <w:snapToGrid w:val="0"/>
                        <w:color w:val="000000"/>
                        <w:kern w:val="0"/>
                        <w:sz w:val="18"/>
                        <w:szCs w:val="21"/>
                        <w:lang w:eastAsia="en-US"/>
                      </w:rPr>
                      <w:t>109</w:t>
                    </w:r>
                    <w:r>
                      <w:rPr>
                        <w:rFonts w:ascii="Arial" w:eastAsia="Arial" w:hAnsi="Arial" w:cs="Arial"/>
                        <w:snapToGrid w:val="0"/>
                        <w:color w:val="000000"/>
                        <w:kern w:val="0"/>
                        <w:sz w:val="18"/>
                        <w:szCs w:val="21"/>
                        <w:lang w:eastAsia="en-US"/>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line="169" w:lineRule="auto"/>
      <w:rPr>
        <w:rFonts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outside;mso-position-horizontal-relative:margin;mso-width-relative:page;mso-wrap-style:none;position:absolute;z-index:251663360"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120</w:t>
                    </w:r>
                    <w: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69C2F1D"/>
    <w:multiLevelType w:val="singleLevel"/>
    <w:tmpl w:val="B69C2F1D"/>
    <w:lvl w:ilvl="0">
      <w:start w:val="1"/>
      <w:numFmt w:val="decimal"/>
      <w:suff w:val="nothing"/>
      <w:lvlText w:val="（%1）"/>
      <w:lvlJc w:val="left"/>
    </w:lvl>
  </w:abstractNum>
  <w:abstractNum w:abstractNumId="1">
    <w:nsid w:val="1B9FC4CD"/>
    <w:multiLevelType w:val="singleLevel"/>
    <w:tmpl w:val="1B9FC4CD"/>
    <w:lvl w:ilvl="0">
      <w:start w:val="6"/>
      <w:numFmt w:val="chineseCounting"/>
      <w:suff w:val="space"/>
      <w:lvlText w:val="第%1章"/>
      <w:lvlJc w:val="left"/>
      <w:rPr>
        <w:rFonts w:hint="eastAsia"/>
      </w:rPr>
    </w:lvl>
  </w:abstractNum>
  <w:abstractNum w:abstractNumId="2">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0"/>
      <w:numFmt w:val="none"/>
      <w:lvlJc w:val="left"/>
      <w:pPr>
        <w:tabs>
          <w:tab w:val="left" w:pos="360"/>
        </w:tabs>
      </w:pPr>
      <w:rPr>
        <w:rFonts w:cs="Times New Roman"/>
      </w:rPr>
    </w:lvl>
    <w:lvl w:ilvl="3">
      <w:start w:val="0"/>
      <w:numFmt w:val="none"/>
      <w:lvlJc w:val="left"/>
      <w:pPr>
        <w:tabs>
          <w:tab w:val="left" w:pos="360"/>
        </w:tabs>
      </w:pPr>
      <w:rPr>
        <w:rFonts w:cs="Times New Roman"/>
      </w:rPr>
    </w:lvl>
    <w:lvl w:ilvl="4">
      <w:start w:val="0"/>
      <w:numFmt w:val="decimal"/>
      <w:pStyle w:val="5"/>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3">
    <w:nsid w:val="52C63988"/>
    <w:multiLevelType w:val="multilevel"/>
    <w:tmpl w:val="52C63988"/>
    <w:lvl w:ilvl="0">
      <w:start w:val="1"/>
      <w:numFmt w:val="decimal"/>
      <w:lvlText w:val="%1"/>
      <w:lvlJc w:val="left"/>
      <w:pPr>
        <w:tabs>
          <w:tab w:val="left" w:pos="1537"/>
        </w:tabs>
        <w:ind w:left="1537" w:hanging="1432"/>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C36158"/>
    <w:rsid w:val="06C36158"/>
    <w:rsid w:val="3CA46E60"/>
    <w:rsid w:val="7F8DD39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3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5"/>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5">
    <w:name w:val="标题 5（有编号）（绿盟科技）"/>
    <w:basedOn w:val="Normal"/>
    <w:next w:val="a"/>
    <w:qFormat/>
    <w:pPr>
      <w:keepNext/>
      <w:keepLines/>
      <w:numPr>
        <w:ilvl w:val="4"/>
        <w:numId w:val="1"/>
      </w:numPr>
      <w:spacing w:before="280" w:after="156" w:line="377" w:lineRule="auto"/>
      <w:jc w:val="left"/>
      <w:outlineLvl w:val="4"/>
    </w:pPr>
    <w:rPr>
      <w:rFonts w:ascii="Arial" w:eastAsia="黑体" w:hAnsi="Arial" w:cs="黑体"/>
      <w:b/>
      <w:kern w:val="0"/>
      <w:sz w:val="24"/>
      <w:szCs w:val="28"/>
    </w:rPr>
  </w:style>
  <w:style w:type="paragraph" w:customStyle="1" w:styleId="a">
    <w:name w:val="正文（绿盟科技）"/>
    <w:qFormat/>
    <w:pPr>
      <w:spacing w:line="300" w:lineRule="auto"/>
    </w:pPr>
    <w:rPr>
      <w:rFonts w:ascii="Arial" w:eastAsia="宋体" w:hAnsi="Arial" w:cs="黑体"/>
      <w:sz w:val="21"/>
      <w:szCs w:val="21"/>
      <w:lang w:val="en-US" w:eastAsia="zh-CN" w:bidi="ar-SA"/>
    </w:rPr>
  </w:style>
  <w:style w:type="paragraph" w:styleId="BodyText">
    <w:name w:val="Body Text"/>
    <w:basedOn w:val="Normal"/>
    <w:qFormat/>
    <w:rPr>
      <w:b/>
      <w:szCs w:val="24"/>
    </w:rPr>
  </w:style>
  <w:style w:type="paragraph" w:styleId="PlainText">
    <w:name w:val="Plain Text"/>
    <w:basedOn w:val="Normal"/>
    <w:next w:val="Normal"/>
    <w:uiPriority w:val="99"/>
    <w:unhideWhenUsed/>
    <w:qFormat/>
    <w:rPr>
      <w:rFonts w:ascii="宋体" w:hAnsi="Courier New" w:cs="Courier New"/>
      <w:szCs w:val="21"/>
    </w:r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pPr>
      <w:widowControl w:val="0"/>
    </w:pPr>
    <w:rPr>
      <w:rFonts w:eastAsia="Times New Roman"/>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仇文艳</dc:creator>
  <cp:lastModifiedBy>覃燕倩</cp:lastModifiedBy>
  <cp:revision>1</cp:revision>
  <dcterms:created xsi:type="dcterms:W3CDTF">2024-10-22T18:32:00Z</dcterms:created>
  <dcterms:modified xsi:type="dcterms:W3CDTF">2024-10-22T19:22:23Z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