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hAnsi="华文新魏" w:eastAsia="华文新魏"/>
          <w:color w:val="auto"/>
          <w:spacing w:val="116"/>
          <w:sz w:val="52"/>
        </w:rPr>
      </w:pPr>
    </w:p>
    <w:p>
      <w:pPr>
        <w:jc w:val="center"/>
        <w:rPr>
          <w:rFonts w:ascii="华文新魏" w:hAnsi="华文新魏" w:eastAsia="华文新魏"/>
          <w:color w:val="auto"/>
          <w:sz w:val="72"/>
          <w:szCs w:val="72"/>
        </w:rPr>
      </w:pPr>
    </w:p>
    <w:p>
      <w:pPr>
        <w:jc w:val="center"/>
        <w:rPr>
          <w:color w:val="auto"/>
          <w:sz w:val="72"/>
          <w:szCs w:val="72"/>
        </w:rPr>
      </w:pPr>
      <w:r>
        <w:rPr>
          <w:rFonts w:hint="eastAsia" w:ascii="华文新魏" w:hAnsi="华文新魏" w:eastAsia="华文新魏"/>
          <w:color w:val="auto"/>
          <w:sz w:val="72"/>
          <w:szCs w:val="72"/>
        </w:rPr>
        <w:t>广西科联招标中心有限公司</w:t>
      </w:r>
    </w:p>
    <w:p>
      <w:pPr>
        <w:jc w:val="center"/>
        <w:rPr>
          <w:rFonts w:ascii="华文新魏" w:hAnsi="华文新魏" w:eastAsia="华文新魏"/>
          <w:color w:val="auto"/>
          <w:spacing w:val="116"/>
          <w:sz w:val="52"/>
        </w:rPr>
      </w:pPr>
    </w:p>
    <w:p>
      <w:pPr>
        <w:jc w:val="center"/>
        <w:rPr>
          <w:color w:val="auto"/>
          <w:szCs w:val="84"/>
        </w:rPr>
      </w:pPr>
      <w:r>
        <w:rPr>
          <w:rFonts w:hint="eastAsia" w:ascii="楷体_GB2312" w:eastAsia="楷体_GB2312"/>
          <w:b/>
          <w:bCs/>
          <w:color w:val="auto"/>
          <w:spacing w:val="100"/>
          <w:sz w:val="84"/>
          <w:szCs w:val="84"/>
        </w:rPr>
        <w:t>磋商文件</w:t>
      </w:r>
    </w:p>
    <w:p>
      <w:pPr>
        <w:jc w:val="center"/>
        <w:rPr>
          <w:color w:val="auto"/>
        </w:rPr>
      </w:pPr>
    </w:p>
    <w:p>
      <w:pPr>
        <w:jc w:val="center"/>
        <w:rPr>
          <w:b/>
          <w:color w:val="auto"/>
          <w:sz w:val="36"/>
          <w:szCs w:val="36"/>
        </w:rPr>
      </w:pPr>
    </w:p>
    <w:p>
      <w:pPr>
        <w:jc w:val="center"/>
        <w:rPr>
          <w:color w:val="auto"/>
        </w:rPr>
      </w:pPr>
    </w:p>
    <w:p>
      <w:pPr>
        <w:jc w:val="center"/>
        <w:rPr>
          <w:color w:val="auto"/>
        </w:rPr>
      </w:pPr>
    </w:p>
    <w:p>
      <w:pPr>
        <w:spacing w:line="480" w:lineRule="auto"/>
        <w:rPr>
          <w:rFonts w:hint="default" w:eastAsia="宋体"/>
          <w:b/>
          <w:color w:val="auto"/>
          <w:sz w:val="32"/>
          <w:lang w:val="en-US" w:eastAsia="zh-CN"/>
        </w:rPr>
      </w:pPr>
      <w:r>
        <w:rPr>
          <w:rFonts w:hint="eastAsia"/>
          <w:b/>
          <w:color w:val="auto"/>
          <w:sz w:val="32"/>
        </w:rPr>
        <w:t>项目名称：国家税务总局融安县税务局</w:t>
      </w:r>
      <w:r>
        <w:rPr>
          <w:rFonts w:hint="eastAsia"/>
          <w:b/>
          <w:color w:val="auto"/>
          <w:sz w:val="32"/>
          <w:lang w:val="en-US" w:eastAsia="zh-CN"/>
        </w:rPr>
        <w:t>2022年物业服务采购</w:t>
      </w:r>
    </w:p>
    <w:p>
      <w:pPr>
        <w:spacing w:line="480" w:lineRule="auto"/>
        <w:ind w:firstLine="1606" w:firstLineChars="500"/>
        <w:rPr>
          <w:b/>
          <w:color w:val="auto"/>
          <w:sz w:val="32"/>
        </w:rPr>
      </w:pPr>
      <w:r>
        <w:rPr>
          <w:rFonts w:hint="eastAsia"/>
          <w:b/>
          <w:color w:val="auto"/>
          <w:sz w:val="32"/>
        </w:rPr>
        <w:t>（本项目为目录外标准下）</w:t>
      </w:r>
    </w:p>
    <w:p>
      <w:pPr>
        <w:spacing w:line="480" w:lineRule="auto"/>
        <w:rPr>
          <w:rFonts w:hint="default" w:eastAsia="宋体"/>
          <w:b/>
          <w:color w:val="auto"/>
          <w:sz w:val="32"/>
          <w:lang w:val="en-US" w:eastAsia="zh-CN"/>
        </w:rPr>
      </w:pPr>
      <w:r>
        <w:rPr>
          <w:rFonts w:hint="eastAsia"/>
          <w:b/>
          <w:color w:val="auto"/>
          <w:sz w:val="32"/>
        </w:rPr>
        <w:t>项目编号：</w:t>
      </w:r>
      <w:r>
        <w:rPr>
          <w:rFonts w:hint="eastAsia" w:ascii="宋体" w:hAnsi="宋体" w:cs="宋体"/>
          <w:b/>
          <w:color w:val="auto"/>
          <w:sz w:val="32"/>
        </w:rPr>
        <w:t>KLLZC21</w:t>
      </w:r>
      <w:r>
        <w:rPr>
          <w:rFonts w:hint="eastAsia" w:ascii="宋体" w:hAnsi="宋体" w:cs="宋体"/>
          <w:b/>
          <w:color w:val="auto"/>
          <w:sz w:val="32"/>
          <w:lang w:val="en-US" w:eastAsia="zh-CN"/>
        </w:rPr>
        <w:t>3017</w:t>
      </w:r>
    </w:p>
    <w:p>
      <w:pPr>
        <w:spacing w:line="480" w:lineRule="auto"/>
        <w:ind w:left="838" w:leftChars="399"/>
        <w:jc w:val="center"/>
        <w:rPr>
          <w:b/>
          <w:color w:val="auto"/>
          <w:sz w:val="32"/>
        </w:rPr>
      </w:pPr>
    </w:p>
    <w:p>
      <w:pPr>
        <w:spacing w:line="480" w:lineRule="auto"/>
        <w:ind w:left="838" w:leftChars="399" w:firstLine="964" w:firstLineChars="300"/>
        <w:rPr>
          <w:b/>
          <w:color w:val="auto"/>
          <w:sz w:val="32"/>
          <w:szCs w:val="32"/>
        </w:rPr>
      </w:pPr>
    </w:p>
    <w:p>
      <w:pPr>
        <w:spacing w:line="480" w:lineRule="auto"/>
        <w:ind w:left="838" w:leftChars="399" w:firstLine="964" w:firstLineChars="300"/>
        <w:rPr>
          <w:b/>
          <w:color w:val="auto"/>
          <w:sz w:val="32"/>
          <w:szCs w:val="32"/>
        </w:rPr>
      </w:pPr>
    </w:p>
    <w:p>
      <w:pPr>
        <w:spacing w:line="480" w:lineRule="auto"/>
        <w:ind w:left="838" w:leftChars="399" w:firstLine="948" w:firstLineChars="295"/>
        <w:rPr>
          <w:b/>
          <w:color w:val="auto"/>
          <w:sz w:val="32"/>
          <w:szCs w:val="32"/>
        </w:rPr>
      </w:pPr>
      <w:r>
        <w:rPr>
          <w:rFonts w:hint="eastAsia"/>
          <w:b/>
          <w:color w:val="auto"/>
          <w:sz w:val="32"/>
          <w:szCs w:val="32"/>
        </w:rPr>
        <w:t>采购</w:t>
      </w:r>
      <w:r>
        <w:rPr>
          <w:rFonts w:hint="eastAsia"/>
          <w:b/>
          <w:color w:val="auto"/>
          <w:sz w:val="32"/>
          <w:szCs w:val="32"/>
          <w:lang w:val="en-US" w:eastAsia="zh-CN"/>
        </w:rPr>
        <w:t>人</w:t>
      </w:r>
      <w:r>
        <w:rPr>
          <w:rFonts w:hint="eastAsia"/>
          <w:b/>
          <w:color w:val="auto"/>
          <w:sz w:val="32"/>
          <w:szCs w:val="32"/>
        </w:rPr>
        <w:t>：</w:t>
      </w:r>
      <w:r>
        <w:rPr>
          <w:rFonts w:hint="eastAsia"/>
          <w:b/>
          <w:color w:val="auto"/>
          <w:sz w:val="32"/>
        </w:rPr>
        <w:t>国家税务总局融安县税务局</w:t>
      </w:r>
      <w:r>
        <w:rPr>
          <w:b/>
          <w:color w:val="auto"/>
          <w:sz w:val="32"/>
          <w:szCs w:val="32"/>
        </w:rPr>
        <w:t xml:space="preserve"> </w:t>
      </w:r>
    </w:p>
    <w:p>
      <w:pPr>
        <w:spacing w:line="480" w:lineRule="auto"/>
        <w:ind w:left="-2" w:leftChars="-1" w:firstLine="1767" w:firstLineChars="550"/>
        <w:rPr>
          <w:b/>
          <w:color w:val="auto"/>
          <w:sz w:val="32"/>
          <w:szCs w:val="32"/>
        </w:rPr>
      </w:pPr>
      <w:r>
        <w:rPr>
          <w:rFonts w:hint="eastAsia"/>
          <w:b/>
          <w:color w:val="auto"/>
          <w:sz w:val="32"/>
          <w:szCs w:val="32"/>
        </w:rPr>
        <w:t>采购代理机构：广西科联招标中心有限公司</w:t>
      </w:r>
    </w:p>
    <w:p>
      <w:pPr>
        <w:spacing w:line="480" w:lineRule="auto"/>
        <w:ind w:left="-2" w:leftChars="-1" w:firstLine="1767" w:firstLineChars="550"/>
        <w:rPr>
          <w:b/>
          <w:color w:val="auto"/>
          <w:sz w:val="32"/>
          <w:szCs w:val="32"/>
        </w:rPr>
      </w:pPr>
    </w:p>
    <w:p>
      <w:pPr>
        <w:spacing w:line="480" w:lineRule="auto"/>
        <w:jc w:val="center"/>
        <w:rPr>
          <w:rFonts w:ascii="宋体"/>
          <w:b/>
          <w:color w:val="auto"/>
          <w:sz w:val="32"/>
          <w:szCs w:val="32"/>
        </w:rPr>
      </w:pPr>
      <w:r>
        <w:rPr>
          <w:b/>
          <w:color w:val="auto"/>
          <w:sz w:val="32"/>
          <w:szCs w:val="32"/>
        </w:rPr>
        <w:t>202</w:t>
      </w:r>
      <w:r>
        <w:rPr>
          <w:rFonts w:hint="eastAsia"/>
          <w:b/>
          <w:color w:val="auto"/>
          <w:sz w:val="32"/>
          <w:szCs w:val="32"/>
          <w:lang w:val="en-US" w:eastAsia="zh-CN"/>
        </w:rPr>
        <w:t>2</w:t>
      </w:r>
      <w:r>
        <w:rPr>
          <w:b/>
          <w:color w:val="auto"/>
          <w:sz w:val="32"/>
          <w:szCs w:val="32"/>
        </w:rPr>
        <w:t>年</w:t>
      </w:r>
      <w:r>
        <w:rPr>
          <w:rFonts w:hint="eastAsia"/>
          <w:b/>
          <w:color w:val="auto"/>
          <w:sz w:val="32"/>
          <w:szCs w:val="32"/>
          <w:lang w:val="en-US" w:eastAsia="zh-CN"/>
        </w:rPr>
        <w:t>1</w:t>
      </w:r>
      <w:r>
        <w:rPr>
          <w:rFonts w:hint="eastAsia"/>
          <w:b/>
          <w:color w:val="auto"/>
          <w:sz w:val="32"/>
          <w:szCs w:val="32"/>
        </w:rPr>
        <w:t>月</w:t>
      </w:r>
      <w:r>
        <w:rPr>
          <w:rFonts w:hint="eastAsia"/>
          <w:b/>
          <w:color w:val="auto"/>
          <w:sz w:val="32"/>
          <w:szCs w:val="32"/>
          <w:lang w:val="en-US" w:eastAsia="zh-CN"/>
        </w:rPr>
        <w:t>4</w:t>
      </w:r>
      <w:r>
        <w:rPr>
          <w:rFonts w:hint="eastAsia"/>
          <w:b/>
          <w:color w:val="auto"/>
          <w:sz w:val="32"/>
          <w:szCs w:val="32"/>
        </w:rPr>
        <w:t>日</w:t>
      </w:r>
    </w:p>
    <w:p>
      <w:pPr>
        <w:spacing w:line="600" w:lineRule="auto"/>
        <w:jc w:val="center"/>
        <w:rPr>
          <w:rFonts w:ascii="宋体" w:hAnsi="宋体" w:cs="宋体"/>
          <w:b/>
          <w:color w:val="auto"/>
          <w:sz w:val="52"/>
          <w:szCs w:val="52"/>
        </w:rPr>
      </w:pPr>
      <w:r>
        <w:rPr>
          <w:rFonts w:ascii="仿宋_GB2312" w:eastAsia="仿宋_GB2312"/>
          <w:b/>
          <w:color w:val="auto"/>
          <w:sz w:val="52"/>
          <w:szCs w:val="52"/>
        </w:rPr>
        <w:br w:type="page"/>
      </w:r>
      <w:r>
        <w:rPr>
          <w:rFonts w:hint="eastAsia" w:ascii="宋体" w:hAnsi="宋体" w:cs="宋体"/>
          <w:b/>
          <w:color w:val="auto"/>
          <w:sz w:val="44"/>
          <w:szCs w:val="52"/>
        </w:rPr>
        <w:t>目录</w:t>
      </w:r>
    </w:p>
    <w:p>
      <w:pPr>
        <w:pStyle w:val="27"/>
        <w:spacing w:line="600" w:lineRule="auto"/>
        <w:jc w:val="center"/>
        <w:rPr>
          <w:rFonts w:eastAsia="宋体" w:cs="宋体"/>
          <w:color w:val="auto"/>
          <w:szCs w:val="30"/>
        </w:rPr>
      </w:pPr>
      <w:r>
        <w:rPr>
          <w:rFonts w:hint="eastAsia" w:eastAsia="宋体" w:cs="宋体"/>
          <w:color w:val="auto"/>
          <w:szCs w:val="30"/>
        </w:rPr>
        <w:t>第一部分　商务部分</w:t>
      </w:r>
    </w:p>
    <w:p>
      <w:pPr>
        <w:pStyle w:val="27"/>
        <w:tabs>
          <w:tab w:val="right" w:leader="dot" w:pos="8845"/>
          <w:tab w:val="clear" w:pos="9628"/>
        </w:tabs>
        <w:spacing w:line="600" w:lineRule="auto"/>
        <w:rPr>
          <w:color w:val="auto"/>
        </w:rPr>
      </w:pPr>
      <w:r>
        <w:rPr>
          <w:rFonts w:hint="eastAsia" w:eastAsia="宋体" w:cs="宋体"/>
          <w:color w:val="auto"/>
          <w:szCs w:val="30"/>
        </w:rPr>
        <w:fldChar w:fldCharType="begin"/>
      </w:r>
      <w:r>
        <w:rPr>
          <w:rFonts w:hint="eastAsia" w:eastAsia="宋体" w:cs="宋体"/>
          <w:color w:val="auto"/>
          <w:szCs w:val="30"/>
        </w:rPr>
        <w:instrText xml:space="preserve"> TOC \o "1-3" \h \z \u </w:instrText>
      </w:r>
      <w:r>
        <w:rPr>
          <w:rFonts w:hint="eastAsia" w:eastAsia="宋体" w:cs="宋体"/>
          <w:color w:val="auto"/>
          <w:szCs w:val="30"/>
        </w:rPr>
        <w:fldChar w:fldCharType="separate"/>
      </w:r>
      <w:r>
        <w:rPr>
          <w:color w:val="auto"/>
        </w:rPr>
        <w:fldChar w:fldCharType="begin"/>
      </w:r>
      <w:r>
        <w:rPr>
          <w:color w:val="auto"/>
        </w:rPr>
        <w:instrText xml:space="preserve"> HYPERLINK \l "_Toc9180" </w:instrText>
      </w:r>
      <w:r>
        <w:rPr>
          <w:color w:val="auto"/>
        </w:rPr>
        <w:fldChar w:fldCharType="separate"/>
      </w:r>
      <w:r>
        <w:rPr>
          <w:rFonts w:hint="eastAsia" w:eastAsia="宋体" w:cs="宋体"/>
          <w:color w:val="auto"/>
          <w:szCs w:val="28"/>
        </w:rPr>
        <w:t>第一章 磋商邀请</w:t>
      </w:r>
      <w:r>
        <w:rPr>
          <w:color w:val="auto"/>
        </w:rPr>
        <w:tab/>
      </w:r>
      <w:r>
        <w:rPr>
          <w:color w:val="auto"/>
        </w:rPr>
        <w:fldChar w:fldCharType="begin"/>
      </w:r>
      <w:r>
        <w:rPr>
          <w:color w:val="auto"/>
        </w:rPr>
        <w:instrText xml:space="preserve"> PAGEREF _Toc9180 </w:instrText>
      </w:r>
      <w:r>
        <w:rPr>
          <w:color w:val="auto"/>
        </w:rPr>
        <w:fldChar w:fldCharType="separate"/>
      </w:r>
      <w:r>
        <w:rPr>
          <w:color w:val="auto"/>
        </w:rPr>
        <w:t>3</w:t>
      </w:r>
      <w:r>
        <w:rPr>
          <w:color w:val="auto"/>
        </w:rPr>
        <w:fldChar w:fldCharType="end"/>
      </w:r>
      <w:r>
        <w:rPr>
          <w:color w:val="auto"/>
        </w:rPr>
        <w:fldChar w:fldCharType="end"/>
      </w:r>
    </w:p>
    <w:p>
      <w:pPr>
        <w:pStyle w:val="27"/>
        <w:tabs>
          <w:tab w:val="right" w:leader="dot" w:pos="8845"/>
          <w:tab w:val="clear" w:pos="9628"/>
        </w:tabs>
        <w:spacing w:line="600" w:lineRule="auto"/>
        <w:rPr>
          <w:color w:val="auto"/>
        </w:rPr>
      </w:pPr>
      <w:r>
        <w:rPr>
          <w:color w:val="auto"/>
        </w:rPr>
        <w:fldChar w:fldCharType="begin"/>
      </w:r>
      <w:r>
        <w:rPr>
          <w:color w:val="auto"/>
        </w:rPr>
        <w:instrText xml:space="preserve"> HYPERLINK \l "_Toc31183" </w:instrText>
      </w:r>
      <w:r>
        <w:rPr>
          <w:color w:val="auto"/>
        </w:rPr>
        <w:fldChar w:fldCharType="separate"/>
      </w:r>
      <w:r>
        <w:rPr>
          <w:rFonts w:hint="eastAsia" w:eastAsia="宋体" w:cs="宋体"/>
          <w:color w:val="auto"/>
          <w:szCs w:val="28"/>
        </w:rPr>
        <w:t>第二章 磋商须知</w:t>
      </w:r>
      <w:r>
        <w:rPr>
          <w:color w:val="auto"/>
        </w:rPr>
        <w:tab/>
      </w:r>
      <w:r>
        <w:rPr>
          <w:color w:val="auto"/>
        </w:rPr>
        <w:fldChar w:fldCharType="begin"/>
      </w:r>
      <w:r>
        <w:rPr>
          <w:color w:val="auto"/>
        </w:rPr>
        <w:instrText xml:space="preserve"> PAGEREF _Toc31183 </w:instrText>
      </w:r>
      <w:r>
        <w:rPr>
          <w:color w:val="auto"/>
        </w:rPr>
        <w:fldChar w:fldCharType="separate"/>
      </w:r>
      <w:r>
        <w:rPr>
          <w:color w:val="auto"/>
        </w:rPr>
        <w:t>7</w:t>
      </w:r>
      <w:r>
        <w:rPr>
          <w:color w:val="auto"/>
        </w:rPr>
        <w:fldChar w:fldCharType="end"/>
      </w:r>
      <w:r>
        <w:rPr>
          <w:color w:val="auto"/>
        </w:rPr>
        <w:fldChar w:fldCharType="end"/>
      </w:r>
    </w:p>
    <w:p>
      <w:pPr>
        <w:pStyle w:val="27"/>
        <w:tabs>
          <w:tab w:val="right" w:leader="dot" w:pos="8845"/>
          <w:tab w:val="clear" w:pos="9628"/>
        </w:tabs>
        <w:spacing w:line="600" w:lineRule="auto"/>
        <w:rPr>
          <w:color w:val="auto"/>
        </w:rPr>
      </w:pPr>
      <w:r>
        <w:rPr>
          <w:color w:val="auto"/>
        </w:rPr>
        <w:fldChar w:fldCharType="begin"/>
      </w:r>
      <w:r>
        <w:rPr>
          <w:color w:val="auto"/>
        </w:rPr>
        <w:instrText xml:space="preserve"> HYPERLINK \l "_Toc22872" </w:instrText>
      </w:r>
      <w:r>
        <w:rPr>
          <w:color w:val="auto"/>
        </w:rPr>
        <w:fldChar w:fldCharType="separate"/>
      </w:r>
      <w:r>
        <w:rPr>
          <w:rFonts w:hint="eastAsia" w:eastAsia="宋体" w:cs="宋体"/>
          <w:color w:val="auto"/>
          <w:szCs w:val="28"/>
        </w:rPr>
        <w:t>第三章 评审方法及标准</w:t>
      </w:r>
      <w:r>
        <w:rPr>
          <w:color w:val="auto"/>
        </w:rPr>
        <w:tab/>
      </w:r>
      <w:r>
        <w:rPr>
          <w:color w:val="auto"/>
        </w:rPr>
        <w:fldChar w:fldCharType="begin"/>
      </w:r>
      <w:r>
        <w:rPr>
          <w:color w:val="auto"/>
        </w:rPr>
        <w:instrText xml:space="preserve"> PAGEREF _Toc22872 </w:instrText>
      </w:r>
      <w:r>
        <w:rPr>
          <w:color w:val="auto"/>
        </w:rPr>
        <w:fldChar w:fldCharType="separate"/>
      </w:r>
      <w:r>
        <w:rPr>
          <w:color w:val="auto"/>
        </w:rPr>
        <w:t>25</w:t>
      </w:r>
      <w:r>
        <w:rPr>
          <w:color w:val="auto"/>
        </w:rPr>
        <w:fldChar w:fldCharType="end"/>
      </w:r>
      <w:r>
        <w:rPr>
          <w:color w:val="auto"/>
        </w:rPr>
        <w:fldChar w:fldCharType="end"/>
      </w:r>
    </w:p>
    <w:p>
      <w:pPr>
        <w:pStyle w:val="27"/>
        <w:tabs>
          <w:tab w:val="right" w:leader="dot" w:pos="8845"/>
          <w:tab w:val="clear" w:pos="9628"/>
        </w:tabs>
        <w:spacing w:line="600" w:lineRule="auto"/>
        <w:rPr>
          <w:color w:val="auto"/>
        </w:rPr>
      </w:pPr>
      <w:r>
        <w:rPr>
          <w:color w:val="auto"/>
        </w:rPr>
        <w:fldChar w:fldCharType="begin"/>
      </w:r>
      <w:r>
        <w:rPr>
          <w:color w:val="auto"/>
        </w:rPr>
        <w:instrText xml:space="preserve"> HYPERLINK \l "_Toc26773" </w:instrText>
      </w:r>
      <w:r>
        <w:rPr>
          <w:color w:val="auto"/>
        </w:rPr>
        <w:fldChar w:fldCharType="separate"/>
      </w:r>
      <w:r>
        <w:rPr>
          <w:rFonts w:hint="eastAsia" w:eastAsia="宋体" w:cs="宋体"/>
          <w:color w:val="auto"/>
          <w:szCs w:val="28"/>
        </w:rPr>
        <w:t>第四章 合同草案条款</w:t>
      </w:r>
      <w:r>
        <w:rPr>
          <w:color w:val="auto"/>
        </w:rPr>
        <w:tab/>
      </w:r>
      <w:r>
        <w:rPr>
          <w:color w:val="auto"/>
        </w:rPr>
        <w:fldChar w:fldCharType="begin"/>
      </w:r>
      <w:r>
        <w:rPr>
          <w:color w:val="auto"/>
        </w:rPr>
        <w:instrText xml:space="preserve"> PAGEREF _Toc26773 </w:instrText>
      </w:r>
      <w:r>
        <w:rPr>
          <w:color w:val="auto"/>
        </w:rPr>
        <w:fldChar w:fldCharType="separate"/>
      </w:r>
      <w:r>
        <w:rPr>
          <w:color w:val="auto"/>
        </w:rPr>
        <w:t>28</w:t>
      </w:r>
      <w:r>
        <w:rPr>
          <w:color w:val="auto"/>
        </w:rPr>
        <w:fldChar w:fldCharType="end"/>
      </w:r>
      <w:r>
        <w:rPr>
          <w:color w:val="auto"/>
        </w:rPr>
        <w:fldChar w:fldCharType="end"/>
      </w:r>
    </w:p>
    <w:p>
      <w:pPr>
        <w:pStyle w:val="27"/>
        <w:tabs>
          <w:tab w:val="right" w:leader="dot" w:pos="8845"/>
          <w:tab w:val="clear" w:pos="9628"/>
        </w:tabs>
        <w:spacing w:line="600" w:lineRule="auto"/>
        <w:rPr>
          <w:color w:val="auto"/>
        </w:rPr>
      </w:pPr>
      <w:r>
        <w:rPr>
          <w:color w:val="auto"/>
        </w:rPr>
        <w:fldChar w:fldCharType="begin"/>
      </w:r>
      <w:r>
        <w:rPr>
          <w:color w:val="auto"/>
        </w:rPr>
        <w:instrText xml:space="preserve"> HYPERLINK \l "_Toc3075" </w:instrText>
      </w:r>
      <w:r>
        <w:rPr>
          <w:color w:val="auto"/>
        </w:rPr>
        <w:fldChar w:fldCharType="separate"/>
      </w:r>
      <w:r>
        <w:rPr>
          <w:rFonts w:hint="eastAsia" w:eastAsia="宋体" w:cs="宋体"/>
          <w:color w:val="auto"/>
          <w:szCs w:val="28"/>
        </w:rPr>
        <w:t>第五章 响应文件组成</w:t>
      </w:r>
      <w:r>
        <w:rPr>
          <w:color w:val="auto"/>
        </w:rPr>
        <w:tab/>
      </w:r>
      <w:r>
        <w:rPr>
          <w:color w:val="auto"/>
        </w:rPr>
        <w:fldChar w:fldCharType="begin"/>
      </w:r>
      <w:r>
        <w:rPr>
          <w:color w:val="auto"/>
        </w:rPr>
        <w:instrText xml:space="preserve"> PAGEREF _Toc3075 </w:instrText>
      </w:r>
      <w:r>
        <w:rPr>
          <w:color w:val="auto"/>
        </w:rPr>
        <w:fldChar w:fldCharType="separate"/>
      </w:r>
      <w:r>
        <w:rPr>
          <w:color w:val="auto"/>
        </w:rPr>
        <w:t>39</w:t>
      </w:r>
      <w:r>
        <w:rPr>
          <w:color w:val="auto"/>
        </w:rPr>
        <w:fldChar w:fldCharType="end"/>
      </w:r>
      <w:r>
        <w:rPr>
          <w:color w:val="auto"/>
        </w:rPr>
        <w:fldChar w:fldCharType="end"/>
      </w:r>
    </w:p>
    <w:p>
      <w:pPr>
        <w:tabs>
          <w:tab w:val="right" w:leader="dot" w:pos="9639"/>
        </w:tabs>
        <w:spacing w:line="600" w:lineRule="auto"/>
        <w:jc w:val="center"/>
        <w:rPr>
          <w:rFonts w:ascii="宋体" w:hAnsi="宋体" w:cs="宋体"/>
          <w:b/>
          <w:color w:val="auto"/>
          <w:sz w:val="36"/>
          <w:szCs w:val="32"/>
          <w:u w:val="single"/>
        </w:rPr>
      </w:pPr>
      <w:r>
        <w:rPr>
          <w:rFonts w:hint="eastAsia" w:ascii="宋体" w:hAnsi="宋体" w:cs="宋体"/>
          <w:b/>
          <w:color w:val="auto"/>
          <w:sz w:val="32"/>
          <w:szCs w:val="30"/>
        </w:rPr>
        <w:t>第二部分　技术部分</w:t>
      </w:r>
    </w:p>
    <w:p>
      <w:pPr>
        <w:pStyle w:val="27"/>
        <w:tabs>
          <w:tab w:val="right" w:leader="dot" w:pos="8845"/>
          <w:tab w:val="clear" w:pos="9628"/>
        </w:tabs>
        <w:spacing w:line="600" w:lineRule="auto"/>
        <w:rPr>
          <w:color w:val="auto"/>
        </w:rPr>
      </w:pPr>
      <w:r>
        <w:rPr>
          <w:color w:val="auto"/>
        </w:rPr>
        <w:fldChar w:fldCharType="begin"/>
      </w:r>
      <w:r>
        <w:rPr>
          <w:color w:val="auto"/>
        </w:rPr>
        <w:instrText xml:space="preserve"> HYPERLINK \l "_Toc17978" </w:instrText>
      </w:r>
      <w:r>
        <w:rPr>
          <w:color w:val="auto"/>
        </w:rPr>
        <w:fldChar w:fldCharType="separate"/>
      </w:r>
      <w:r>
        <w:rPr>
          <w:rFonts w:hint="eastAsia" w:eastAsia="宋体" w:cs="宋体"/>
          <w:color w:val="auto"/>
          <w:szCs w:val="28"/>
        </w:rPr>
        <w:t>第六章 项目采购需求</w:t>
      </w:r>
      <w:r>
        <w:rPr>
          <w:color w:val="auto"/>
        </w:rPr>
        <w:tab/>
      </w:r>
      <w:r>
        <w:rPr>
          <w:color w:val="auto"/>
        </w:rPr>
        <w:fldChar w:fldCharType="begin"/>
      </w:r>
      <w:r>
        <w:rPr>
          <w:color w:val="auto"/>
        </w:rPr>
        <w:instrText xml:space="preserve"> PAGEREF _Toc17978 </w:instrText>
      </w:r>
      <w:r>
        <w:rPr>
          <w:color w:val="auto"/>
        </w:rPr>
        <w:fldChar w:fldCharType="separate"/>
      </w:r>
      <w:r>
        <w:rPr>
          <w:color w:val="auto"/>
        </w:rPr>
        <w:t>62</w:t>
      </w:r>
      <w:r>
        <w:rPr>
          <w:color w:val="auto"/>
        </w:rPr>
        <w:fldChar w:fldCharType="end"/>
      </w:r>
      <w:r>
        <w:rPr>
          <w:color w:val="auto"/>
        </w:rPr>
        <w:fldChar w:fldCharType="end"/>
      </w:r>
    </w:p>
    <w:p>
      <w:pPr>
        <w:pStyle w:val="19"/>
        <w:tabs>
          <w:tab w:val="right" w:leader="dot" w:pos="8845"/>
        </w:tabs>
        <w:spacing w:line="600" w:lineRule="auto"/>
        <w:ind w:left="840"/>
        <w:rPr>
          <w:color w:val="auto"/>
        </w:rPr>
      </w:pPr>
    </w:p>
    <w:p>
      <w:pPr>
        <w:pStyle w:val="27"/>
        <w:tabs>
          <w:tab w:val="right" w:leader="dot" w:pos="9639"/>
          <w:tab w:val="clear" w:pos="9628"/>
        </w:tabs>
        <w:spacing w:line="600" w:lineRule="auto"/>
        <w:rPr>
          <w:rStyle w:val="50"/>
          <w:rFonts w:ascii="宋体" w:hAnsi="宋体" w:eastAsia="宋体" w:cs="宋体"/>
          <w:color w:val="auto"/>
        </w:rPr>
      </w:pPr>
      <w:r>
        <w:rPr>
          <w:rFonts w:hint="eastAsia" w:eastAsia="宋体" w:cs="宋体"/>
          <w:color w:val="auto"/>
          <w:szCs w:val="30"/>
        </w:rPr>
        <w:fldChar w:fldCharType="end"/>
      </w:r>
    </w:p>
    <w:p>
      <w:pPr>
        <w:pStyle w:val="20"/>
        <w:spacing w:line="700" w:lineRule="exact"/>
        <w:rPr>
          <w:rFonts w:hAnsi="宋体" w:cs="宋体"/>
          <w:color w:val="auto"/>
        </w:rPr>
      </w:pPr>
    </w:p>
    <w:p>
      <w:pPr>
        <w:pStyle w:val="20"/>
        <w:spacing w:line="700" w:lineRule="exact"/>
        <w:rPr>
          <w:rFonts w:hAnsi="宋体" w:cs="宋体"/>
          <w:color w:val="auto"/>
        </w:rPr>
      </w:pPr>
    </w:p>
    <w:p>
      <w:pPr>
        <w:pStyle w:val="20"/>
        <w:spacing w:line="700" w:lineRule="exact"/>
        <w:rPr>
          <w:rFonts w:hAnsi="宋体" w:cs="宋体"/>
          <w:color w:val="auto"/>
        </w:rPr>
      </w:pPr>
    </w:p>
    <w:p>
      <w:pPr>
        <w:spacing w:line="160" w:lineRule="exact"/>
        <w:rPr>
          <w:rFonts w:ascii="宋体" w:hAnsi="宋体" w:cs="宋体"/>
          <w:b/>
          <w:bCs/>
          <w:color w:val="auto"/>
        </w:rPr>
      </w:pPr>
      <w:r>
        <w:rPr>
          <w:rFonts w:hint="eastAsia" w:ascii="宋体" w:hAnsi="宋体" w:cs="宋体"/>
          <w:color w:val="auto"/>
          <w:sz w:val="36"/>
        </w:rPr>
        <w:br w:type="page"/>
      </w:r>
    </w:p>
    <w:p>
      <w:pPr>
        <w:spacing w:line="400" w:lineRule="exact"/>
        <w:jc w:val="center"/>
        <w:outlineLvl w:val="0"/>
        <w:rPr>
          <w:rFonts w:ascii="宋体" w:hAnsi="宋体" w:cs="宋体"/>
          <w:b/>
          <w:color w:val="auto"/>
          <w:sz w:val="28"/>
          <w:szCs w:val="28"/>
        </w:rPr>
      </w:pPr>
      <w:bookmarkStart w:id="0" w:name="_Toc9180"/>
      <w:r>
        <w:rPr>
          <w:rFonts w:hint="eastAsia" w:ascii="宋体" w:hAnsi="宋体" w:cs="宋体"/>
          <w:b/>
          <w:color w:val="auto"/>
          <w:sz w:val="28"/>
          <w:szCs w:val="28"/>
        </w:rPr>
        <w:t>第一章 磋商邀请</w:t>
      </w:r>
      <w:bookmarkEnd w:id="0"/>
    </w:p>
    <w:p>
      <w:pPr>
        <w:spacing w:line="400" w:lineRule="exact"/>
        <w:jc w:val="center"/>
        <w:outlineLvl w:val="0"/>
        <w:rPr>
          <w:rFonts w:ascii="宋体" w:hAnsi="宋体" w:cs="宋体"/>
          <w:b/>
          <w:color w:val="auto"/>
          <w:sz w:val="28"/>
          <w:szCs w:val="28"/>
        </w:rPr>
      </w:pPr>
    </w:p>
    <w:p>
      <w:pPr>
        <w:spacing w:line="360" w:lineRule="auto"/>
        <w:jc w:val="center"/>
        <w:outlineLvl w:val="0"/>
        <w:rPr>
          <w:rFonts w:ascii="宋体" w:hAnsi="宋体" w:cs="宋体"/>
          <w:b/>
          <w:color w:val="auto"/>
          <w:sz w:val="28"/>
          <w:szCs w:val="28"/>
        </w:rPr>
      </w:pPr>
      <w:bookmarkStart w:id="1" w:name="_Toc46761412"/>
      <w:bookmarkStart w:id="2" w:name="_Toc2589"/>
      <w:r>
        <w:rPr>
          <w:rFonts w:hint="eastAsia" w:ascii="宋体" w:hAnsi="宋体" w:cs="宋体"/>
          <w:b/>
          <w:color w:val="auto"/>
          <w:sz w:val="28"/>
          <w:szCs w:val="28"/>
        </w:rPr>
        <w:t>国家税务总局融安县税务局2022年物业服务采购（KLLZC21</w:t>
      </w:r>
      <w:r>
        <w:rPr>
          <w:rFonts w:hint="eastAsia" w:ascii="宋体" w:hAnsi="宋体" w:cs="宋体"/>
          <w:b/>
          <w:color w:val="auto"/>
          <w:sz w:val="28"/>
          <w:szCs w:val="28"/>
          <w:lang w:val="en-US" w:eastAsia="zh-CN"/>
        </w:rPr>
        <w:t>3017</w:t>
      </w:r>
      <w:r>
        <w:rPr>
          <w:rFonts w:hint="eastAsia" w:ascii="宋体" w:hAnsi="宋体" w:cs="宋体"/>
          <w:b/>
          <w:color w:val="auto"/>
          <w:sz w:val="28"/>
          <w:szCs w:val="28"/>
        </w:rPr>
        <w:t>）</w:t>
      </w:r>
    </w:p>
    <w:p>
      <w:pPr>
        <w:spacing w:line="360" w:lineRule="auto"/>
        <w:jc w:val="center"/>
        <w:outlineLvl w:val="0"/>
        <w:rPr>
          <w:rFonts w:ascii="宋体" w:hAnsi="宋体" w:cs="宋体"/>
          <w:b/>
          <w:color w:val="auto"/>
          <w:sz w:val="28"/>
          <w:szCs w:val="28"/>
        </w:rPr>
      </w:pPr>
      <w:r>
        <w:rPr>
          <w:rFonts w:hint="eastAsia" w:ascii="宋体" w:hAnsi="宋体" w:cs="宋体"/>
          <w:b/>
          <w:color w:val="auto"/>
          <w:sz w:val="28"/>
          <w:szCs w:val="28"/>
        </w:rPr>
        <w:t>磋商公告</w:t>
      </w:r>
      <w:bookmarkEnd w:id="1"/>
      <w:bookmarkEnd w:id="2"/>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rPr>
        <w:t>国家税务总局融安县税务局2022年物业服务采购的潜在供应商应在柳州市城中区东环大道256号万达中心写字楼13-22室获取采购文件，并于</w:t>
      </w:r>
      <w:r>
        <w:rPr>
          <w:rFonts w:hint="eastAsia" w:ascii="宋体" w:hAnsi="宋体" w:cs="宋体"/>
          <w:bCs/>
          <w:color w:val="auto"/>
          <w:szCs w:val="21"/>
          <w:u w:val="single"/>
        </w:rPr>
        <w:t>202</w:t>
      </w:r>
      <w:r>
        <w:rPr>
          <w:rFonts w:hint="eastAsia" w:ascii="宋体" w:hAnsi="宋体" w:cs="宋体"/>
          <w:bCs/>
          <w:color w:val="auto"/>
          <w:szCs w:val="21"/>
          <w:u w:val="single"/>
          <w:lang w:val="en-US" w:eastAsia="zh-CN"/>
        </w:rPr>
        <w:t>2</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1</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日09点30分</w:t>
      </w:r>
      <w:r>
        <w:rPr>
          <w:rFonts w:hint="eastAsia" w:ascii="宋体" w:hAnsi="宋体" w:cs="宋体"/>
          <w:bCs/>
          <w:color w:val="auto"/>
          <w:szCs w:val="21"/>
        </w:rPr>
        <w:t>（北京时间）前提交响应文件</w:t>
      </w:r>
      <w:r>
        <w:rPr>
          <w:rFonts w:hint="eastAsia" w:ascii="宋体" w:hAnsi="宋体" w:cs="宋体"/>
          <w:color w:val="auto"/>
          <w:szCs w:val="21"/>
        </w:rPr>
        <w:t>。</w:t>
      </w:r>
    </w:p>
    <w:p>
      <w:pPr>
        <w:keepNext/>
        <w:keepLines/>
        <w:spacing w:before="240" w:beforeLines="100" w:line="360" w:lineRule="auto"/>
        <w:outlineLvl w:val="1"/>
        <w:rPr>
          <w:rFonts w:ascii="宋体" w:hAnsi="宋体" w:cs="宋体"/>
          <w:bCs/>
          <w:color w:val="auto"/>
          <w:szCs w:val="21"/>
        </w:rPr>
      </w:pPr>
      <w:bookmarkStart w:id="3" w:name="_Toc35393629"/>
      <w:bookmarkStart w:id="4" w:name="_Toc28359089"/>
      <w:bookmarkStart w:id="5" w:name="_Toc46761413"/>
      <w:bookmarkStart w:id="6" w:name="_Toc35393798"/>
      <w:bookmarkStart w:id="7" w:name="_Toc28359012"/>
      <w:bookmarkStart w:id="8" w:name="_Toc24411"/>
      <w:r>
        <w:rPr>
          <w:rFonts w:hint="eastAsia" w:ascii="宋体" w:hAnsi="宋体" w:cs="宋体"/>
          <w:bCs/>
          <w:color w:val="auto"/>
          <w:szCs w:val="21"/>
        </w:rPr>
        <w:t>一、项目基本情况</w:t>
      </w:r>
      <w:bookmarkEnd w:id="3"/>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KLLZC213017</w:t>
      </w:r>
    </w:p>
    <w:p>
      <w:pPr>
        <w:spacing w:line="360" w:lineRule="auto"/>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项目名称：</w:t>
      </w:r>
      <w:r>
        <w:rPr>
          <w:rFonts w:hint="eastAsia" w:ascii="宋体" w:hAnsi="宋体" w:cs="宋体"/>
          <w:color w:val="auto"/>
          <w:szCs w:val="21"/>
          <w:lang w:eastAsia="zh-CN"/>
        </w:rPr>
        <w:t>国家税务总局融安县税务局2022年物业服务采购</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采购方式：磋商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预算金额：人民币</w:t>
      </w:r>
      <w:r>
        <w:rPr>
          <w:rFonts w:hint="eastAsia" w:ascii="宋体" w:hAnsi="宋体" w:cs="宋体"/>
          <w:color w:val="auto"/>
          <w:szCs w:val="21"/>
          <w:lang w:val="en-US" w:eastAsia="zh-CN"/>
        </w:rPr>
        <w:t>陆拾叁万伍仟元整</w:t>
      </w:r>
      <w:r>
        <w:rPr>
          <w:rFonts w:hint="eastAsia" w:ascii="宋体" w:hAnsi="宋体" w:cs="宋体"/>
          <w:color w:val="auto"/>
          <w:szCs w:val="21"/>
        </w:rPr>
        <w:t>（¥635</w:t>
      </w:r>
      <w:r>
        <w:rPr>
          <w:rFonts w:hint="eastAsia" w:ascii="宋体" w:hAnsi="宋体" w:cs="宋体"/>
          <w:color w:val="auto"/>
          <w:szCs w:val="21"/>
          <w:lang w:val="en-US" w:eastAsia="zh-CN"/>
        </w:rPr>
        <w:t>000.00</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最高限价：人民币陆拾叁万伍仟元整（¥635000.00）</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采购需求：</w:t>
      </w:r>
      <w:r>
        <w:rPr>
          <w:rFonts w:hint="eastAsia" w:ascii="宋体" w:hAnsi="宋体" w:cs="宋体"/>
          <w:color w:val="auto"/>
          <w:szCs w:val="21"/>
          <w:lang w:eastAsia="zh-CN"/>
        </w:rPr>
        <w:t>国家税务总局融安县税务局2022年物业服务采购</w:t>
      </w:r>
      <w:r>
        <w:rPr>
          <w:rFonts w:hint="eastAsia" w:ascii="宋体" w:hAnsi="宋体" w:cs="宋体"/>
          <w:color w:val="auto"/>
          <w:szCs w:val="21"/>
        </w:rPr>
        <w:t>一项，如需进一步了解详细内容，详见磋商文件。</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合同履行期限：12个月（2022年2月1日至2023年1月31日）</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本项目（是/否）接受联合体：不接受。</w:t>
      </w:r>
      <w:bookmarkStart w:id="9" w:name="_Toc35393799"/>
      <w:bookmarkStart w:id="10" w:name="_Toc28359090"/>
      <w:bookmarkStart w:id="11" w:name="_Toc35393630"/>
      <w:bookmarkStart w:id="12" w:name="_Toc28359013"/>
    </w:p>
    <w:p>
      <w:pPr>
        <w:spacing w:line="360" w:lineRule="auto"/>
        <w:rPr>
          <w:rFonts w:ascii="宋体" w:hAnsi="宋体" w:cs="宋体"/>
          <w:bCs/>
          <w:color w:val="auto"/>
          <w:szCs w:val="21"/>
        </w:rPr>
      </w:pPr>
      <w:r>
        <w:rPr>
          <w:rFonts w:hint="eastAsia" w:ascii="宋体" w:hAnsi="宋体" w:cs="宋体"/>
          <w:bCs/>
          <w:color w:val="auto"/>
          <w:szCs w:val="21"/>
        </w:rPr>
        <w:t>二、申请人的资格要求：</w:t>
      </w:r>
      <w:bookmarkEnd w:id="9"/>
      <w:bookmarkEnd w:id="10"/>
      <w:bookmarkEnd w:id="11"/>
      <w:bookmarkEnd w:id="12"/>
      <w:bookmarkStart w:id="13" w:name="_Toc35393800"/>
      <w:bookmarkStart w:id="14" w:name="_Toc28359091"/>
      <w:bookmarkStart w:id="15" w:name="_Toc28359014"/>
      <w:bookmarkStart w:id="16" w:name="_Toc35393631"/>
    </w:p>
    <w:p>
      <w:pPr>
        <w:spacing w:line="360" w:lineRule="auto"/>
        <w:ind w:firstLine="420" w:firstLineChars="200"/>
        <w:rPr>
          <w:color w:val="auto"/>
        </w:rPr>
      </w:pPr>
      <w:r>
        <w:rPr>
          <w:rFonts w:hint="eastAsia" w:ascii="宋体" w:hAnsi="宋体" w:cs="宋体"/>
          <w:color w:val="auto"/>
          <w:szCs w:val="21"/>
        </w:rPr>
        <w:t>1.供应商参加本采购活动应当具备下列条件</w:t>
      </w:r>
      <w:r>
        <w:rPr>
          <w:rFonts w:hint="eastAsia"/>
          <w:color w:val="auto"/>
        </w:rPr>
        <w:t>：</w:t>
      </w:r>
    </w:p>
    <w:p>
      <w:pPr>
        <w:spacing w:line="360" w:lineRule="auto"/>
        <w:ind w:left="420" w:leftChars="200"/>
        <w:rPr>
          <w:rFonts w:ascii="宋体" w:hAnsi="宋体" w:cs="宋体"/>
          <w:bCs/>
          <w:color w:val="auto"/>
          <w:szCs w:val="21"/>
        </w:rPr>
      </w:pPr>
      <w:r>
        <w:rPr>
          <w:rFonts w:hint="eastAsia" w:ascii="宋体" w:hAnsi="宋体" w:cs="宋体"/>
          <w:bCs/>
          <w:color w:val="auto"/>
          <w:szCs w:val="21"/>
        </w:rPr>
        <w:t>（一）具有独立承担民事责任的能力；</w:t>
      </w:r>
    </w:p>
    <w:p>
      <w:pPr>
        <w:spacing w:line="360" w:lineRule="auto"/>
        <w:ind w:left="420" w:leftChars="200"/>
        <w:rPr>
          <w:rFonts w:ascii="宋体" w:hAnsi="宋体" w:cs="宋体"/>
          <w:bCs/>
          <w:color w:val="auto"/>
          <w:szCs w:val="21"/>
        </w:rPr>
      </w:pPr>
      <w:r>
        <w:rPr>
          <w:rFonts w:hint="eastAsia" w:ascii="宋体" w:hAnsi="宋体" w:cs="宋体"/>
          <w:bCs/>
          <w:color w:val="auto"/>
          <w:szCs w:val="21"/>
        </w:rPr>
        <w:t>（二）具有良好的商业信誉和健全的财务会计制度；</w:t>
      </w:r>
    </w:p>
    <w:p>
      <w:pPr>
        <w:spacing w:line="360" w:lineRule="auto"/>
        <w:ind w:left="420" w:leftChars="200"/>
        <w:rPr>
          <w:rFonts w:ascii="宋体" w:hAnsi="宋体" w:cs="宋体"/>
          <w:bCs/>
          <w:color w:val="auto"/>
          <w:szCs w:val="21"/>
        </w:rPr>
      </w:pPr>
      <w:r>
        <w:rPr>
          <w:rFonts w:hint="eastAsia" w:ascii="宋体" w:hAnsi="宋体" w:cs="宋体"/>
          <w:bCs/>
          <w:color w:val="auto"/>
          <w:szCs w:val="21"/>
        </w:rPr>
        <w:t>（三）具有履行合同所必需的设备和专业技术能力；</w:t>
      </w:r>
    </w:p>
    <w:p>
      <w:pPr>
        <w:spacing w:line="360" w:lineRule="auto"/>
        <w:ind w:left="420" w:leftChars="200"/>
        <w:rPr>
          <w:rFonts w:ascii="宋体" w:hAnsi="宋体" w:cs="宋体"/>
          <w:bCs/>
          <w:color w:val="auto"/>
          <w:szCs w:val="21"/>
        </w:rPr>
      </w:pPr>
      <w:r>
        <w:rPr>
          <w:rFonts w:hint="eastAsia" w:ascii="宋体" w:hAnsi="宋体" w:cs="宋体"/>
          <w:bCs/>
          <w:color w:val="auto"/>
          <w:szCs w:val="21"/>
        </w:rPr>
        <w:t>（四）有依法缴纳税收和社会保障资金的良好记录；</w:t>
      </w:r>
    </w:p>
    <w:p>
      <w:pPr>
        <w:spacing w:line="360" w:lineRule="auto"/>
        <w:ind w:left="420" w:leftChars="200"/>
        <w:rPr>
          <w:rFonts w:ascii="宋体" w:hAnsi="宋体" w:cs="宋体"/>
          <w:bCs/>
          <w:color w:val="auto"/>
          <w:szCs w:val="21"/>
        </w:rPr>
      </w:pPr>
      <w:r>
        <w:rPr>
          <w:rFonts w:hint="eastAsia" w:ascii="宋体" w:hAnsi="宋体" w:cs="宋体"/>
          <w:bCs/>
          <w:color w:val="auto"/>
          <w:szCs w:val="21"/>
        </w:rPr>
        <w:t>（五）参加采购活动前三年内，在经营活动中没有重大违法记录；</w:t>
      </w:r>
    </w:p>
    <w:p>
      <w:pPr>
        <w:spacing w:line="360" w:lineRule="auto"/>
        <w:ind w:left="420" w:leftChars="200"/>
        <w:rPr>
          <w:rFonts w:ascii="宋体" w:hAnsi="宋体" w:cs="宋体"/>
          <w:bCs/>
          <w:color w:val="auto"/>
          <w:szCs w:val="21"/>
          <w:highlight w:val="cyan"/>
        </w:rPr>
      </w:pPr>
      <w:r>
        <w:rPr>
          <w:rFonts w:hint="eastAsia" w:ascii="宋体" w:hAnsi="宋体" w:cs="宋体"/>
          <w:bCs/>
          <w:color w:val="auto"/>
          <w:szCs w:val="21"/>
        </w:rPr>
        <w:t>（六）法律、行政法规规定的其他条件。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本项目采购标的对应的中小企业划分标准所属行业为</w:t>
      </w:r>
      <w:r>
        <w:rPr>
          <w:rFonts w:hint="eastAsia" w:ascii="宋体" w:hAnsi="宋体" w:cs="宋体"/>
          <w:color w:val="auto"/>
          <w:szCs w:val="21"/>
          <w:lang w:val="en-US" w:eastAsia="zh-CN"/>
        </w:rPr>
        <w:t>物业管理</w:t>
      </w:r>
      <w:r>
        <w:rPr>
          <w:rFonts w:hint="eastAsia" w:ascii="宋体" w:hAnsi="宋体" w:cs="宋体"/>
          <w:color w:val="auto"/>
          <w:szCs w:val="21"/>
        </w:rPr>
        <w:t>。</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3.本项目的特定资格要求：</w:t>
      </w:r>
      <w:r>
        <w:rPr>
          <w:rFonts w:hint="eastAsia" w:ascii="宋体" w:hAnsi="宋体" w:cs="宋体"/>
          <w:color w:val="auto"/>
          <w:szCs w:val="21"/>
          <w:lang w:val="en-US" w:eastAsia="zh-CN"/>
        </w:rPr>
        <w:t>无。</w:t>
      </w:r>
    </w:p>
    <w:p>
      <w:pPr>
        <w:pStyle w:val="2"/>
        <w:spacing w:line="380" w:lineRule="exact"/>
        <w:ind w:firstLine="420" w:firstLineChars="200"/>
        <w:rPr>
          <w:rFonts w:ascii="宋体" w:hAnsi="宋体" w:cs="宋体"/>
          <w:color w:val="auto"/>
          <w:szCs w:val="21"/>
        </w:rPr>
      </w:pPr>
      <w:r>
        <w:rPr>
          <w:rFonts w:hint="eastAsia" w:ascii="宋体" w:hAnsi="宋体" w:cs="宋体"/>
          <w:color w:val="auto"/>
          <w:szCs w:val="21"/>
        </w:rPr>
        <w:t>4.本项目由符合国家有关法律法规规定、同时满足本项目资质要求、在中国境内注册的合格供应商参加磋商。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5.在“信用中国”网站(www.creditchina.gov.cn)、中国政府采购网(www.ccgp.gov.cn)等渠道查询</w:t>
      </w:r>
      <w:r>
        <w:rPr>
          <w:rFonts w:ascii="宋体" w:hAnsi="宋体" w:cs="宋体"/>
          <w:color w:val="auto"/>
          <w:kern w:val="0"/>
          <w:szCs w:val="21"/>
        </w:rPr>
        <w:t>对列入失信被执行人、重大税收违法案件当事人名单、政府采购严重违法失信行为记录名单</w:t>
      </w:r>
      <w:r>
        <w:rPr>
          <w:rFonts w:hint="eastAsia" w:ascii="宋体" w:hAnsi="宋体" w:cs="宋体"/>
          <w:color w:val="auto"/>
          <w:kern w:val="0"/>
          <w:szCs w:val="21"/>
        </w:rPr>
        <w:t>的供应商</w:t>
      </w:r>
      <w:r>
        <w:rPr>
          <w:rFonts w:ascii="宋体" w:hAnsi="宋体" w:cs="宋体"/>
          <w:color w:val="auto"/>
          <w:kern w:val="0"/>
          <w:szCs w:val="21"/>
        </w:rPr>
        <w:t>，应当拒绝其参与</w:t>
      </w:r>
      <w:r>
        <w:rPr>
          <w:rFonts w:hint="eastAsia" w:ascii="宋体" w:hAnsi="宋体" w:cs="宋体"/>
          <w:color w:val="auto"/>
          <w:kern w:val="0"/>
          <w:szCs w:val="21"/>
        </w:rPr>
        <w:t>本次</w:t>
      </w:r>
      <w:r>
        <w:rPr>
          <w:rFonts w:ascii="宋体" w:hAnsi="宋体" w:cs="宋体"/>
          <w:color w:val="auto"/>
          <w:kern w:val="0"/>
          <w:szCs w:val="21"/>
        </w:rPr>
        <w:t>采购活动</w:t>
      </w:r>
      <w:r>
        <w:rPr>
          <w:rFonts w:hint="eastAsia" w:ascii="宋体" w:hAnsi="宋体" w:cs="宋体"/>
          <w:color w:val="auto"/>
          <w:szCs w:val="21"/>
        </w:rPr>
        <w:t>。</w:t>
      </w:r>
    </w:p>
    <w:p>
      <w:pPr>
        <w:pStyle w:val="2"/>
        <w:spacing w:line="360" w:lineRule="auto"/>
        <w:ind w:firstLine="420" w:firstLineChars="200"/>
        <w:rPr>
          <w:rFonts w:ascii="宋体" w:hAnsi="宋体" w:cs="宋体"/>
          <w:color w:val="auto"/>
          <w:szCs w:val="21"/>
        </w:rPr>
      </w:pPr>
      <w:r>
        <w:rPr>
          <w:rFonts w:hint="eastAsia" w:ascii="宋体" w:hAnsi="宋体" w:cs="宋体"/>
          <w:color w:val="auto"/>
          <w:szCs w:val="21"/>
        </w:rPr>
        <w:t>6.单位负责人为同一人或者存在直接控股、管理关系的不同供应商，不得参加同一合同项下的采购活动。</w:t>
      </w:r>
    </w:p>
    <w:p>
      <w:pPr>
        <w:pStyle w:val="2"/>
        <w:spacing w:line="360" w:lineRule="auto"/>
        <w:ind w:firstLine="420" w:firstLineChars="200"/>
        <w:rPr>
          <w:rFonts w:ascii="宋体" w:hAnsi="宋体" w:cs="宋体"/>
          <w:color w:val="auto"/>
          <w:szCs w:val="21"/>
        </w:rPr>
      </w:pPr>
      <w:r>
        <w:rPr>
          <w:rFonts w:hint="eastAsia" w:ascii="宋体" w:hAnsi="宋体" w:cs="宋体"/>
          <w:color w:val="auto"/>
          <w:szCs w:val="21"/>
        </w:rPr>
        <w:t>7.为本项目提供整体设计、规范编制或者项目管理、监理、检测等服务的供应商，不得再参加本次采购活动。</w:t>
      </w:r>
    </w:p>
    <w:p>
      <w:pPr>
        <w:spacing w:line="360" w:lineRule="auto"/>
        <w:rPr>
          <w:rFonts w:ascii="宋体" w:hAnsi="宋体" w:cs="宋体"/>
          <w:color w:val="auto"/>
          <w:szCs w:val="21"/>
        </w:rPr>
      </w:pPr>
      <w:r>
        <w:rPr>
          <w:rFonts w:hint="eastAsia" w:ascii="宋体" w:hAnsi="宋体" w:cs="宋体"/>
          <w:bCs/>
          <w:color w:val="auto"/>
          <w:szCs w:val="21"/>
        </w:rPr>
        <w:t>三、获取采购文件</w:t>
      </w:r>
      <w:bookmarkEnd w:id="13"/>
      <w:bookmarkEnd w:id="14"/>
      <w:bookmarkEnd w:id="15"/>
      <w:bookmarkEnd w:id="16"/>
    </w:p>
    <w:p>
      <w:pPr>
        <w:spacing w:line="360" w:lineRule="auto"/>
        <w:ind w:firstLine="424" w:firstLineChars="202"/>
        <w:rPr>
          <w:rFonts w:ascii="宋体" w:hAnsi="宋体" w:cs="宋体"/>
          <w:color w:val="auto"/>
          <w:szCs w:val="21"/>
        </w:rPr>
      </w:pPr>
      <w:r>
        <w:rPr>
          <w:rFonts w:hint="eastAsia" w:ascii="宋体" w:hAnsi="宋体" w:cs="宋体"/>
          <w:color w:val="auto"/>
          <w:szCs w:val="21"/>
        </w:rPr>
        <w:t>时间：</w:t>
      </w:r>
      <w:r>
        <w:rPr>
          <w:rFonts w:hint="eastAsia" w:ascii="宋体" w:hAnsi="宋体" w:cs="宋体"/>
          <w:bCs/>
          <w:color w:val="auto"/>
          <w:szCs w:val="21"/>
          <w:u w:val="none"/>
        </w:rPr>
        <w:t>202</w:t>
      </w:r>
      <w:r>
        <w:rPr>
          <w:rFonts w:hint="eastAsia" w:ascii="宋体" w:hAnsi="宋体" w:cs="宋体"/>
          <w:bCs/>
          <w:color w:val="auto"/>
          <w:szCs w:val="21"/>
          <w:u w:val="none"/>
          <w:lang w:val="en-US" w:eastAsia="zh-CN"/>
        </w:rPr>
        <w:t>2</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1</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4</w:t>
      </w:r>
      <w:r>
        <w:rPr>
          <w:rFonts w:hint="eastAsia" w:ascii="宋体" w:hAnsi="宋体" w:cs="宋体"/>
          <w:bCs/>
          <w:color w:val="auto"/>
          <w:szCs w:val="21"/>
          <w:u w:val="none"/>
        </w:rPr>
        <w:t>日</w:t>
      </w:r>
      <w:r>
        <w:rPr>
          <w:rFonts w:hint="eastAsia" w:ascii="宋体" w:hAnsi="宋体" w:cs="宋体"/>
          <w:color w:val="auto"/>
          <w:szCs w:val="21"/>
          <w:u w:val="none"/>
        </w:rPr>
        <w:t>公告发布之时起至</w:t>
      </w:r>
      <w:r>
        <w:rPr>
          <w:rFonts w:hint="eastAsia" w:ascii="宋体" w:hAnsi="宋体" w:cs="宋体"/>
          <w:bCs/>
          <w:color w:val="auto"/>
          <w:szCs w:val="21"/>
          <w:u w:val="none"/>
        </w:rPr>
        <w:t>202</w:t>
      </w:r>
      <w:r>
        <w:rPr>
          <w:rFonts w:hint="eastAsia" w:ascii="宋体" w:hAnsi="宋体" w:cs="宋体"/>
          <w:bCs/>
          <w:color w:val="auto"/>
          <w:szCs w:val="21"/>
          <w:u w:val="none"/>
          <w:lang w:val="en-US" w:eastAsia="zh-CN"/>
        </w:rPr>
        <w:t>2</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1</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7</w:t>
      </w:r>
      <w:r>
        <w:rPr>
          <w:rFonts w:hint="eastAsia" w:ascii="宋体" w:hAnsi="宋体" w:cs="宋体"/>
          <w:bCs/>
          <w:color w:val="auto"/>
          <w:szCs w:val="21"/>
          <w:u w:val="none"/>
        </w:rPr>
        <w:t>日</w:t>
      </w:r>
      <w:r>
        <w:rPr>
          <w:rFonts w:hint="eastAsia" w:ascii="宋体" w:hAnsi="宋体" w:cs="宋体"/>
          <w:color w:val="auto"/>
          <w:szCs w:val="21"/>
          <w:u w:val="none"/>
        </w:rPr>
        <w:t>止</w:t>
      </w:r>
      <w:r>
        <w:rPr>
          <w:rFonts w:hint="eastAsia" w:ascii="宋体" w:hAnsi="宋体" w:cs="宋体"/>
          <w:color w:val="auto"/>
          <w:szCs w:val="21"/>
        </w:rPr>
        <w:t>，工作日上午9时至12时，下午14时至17时（北京时间，法定节假日除外 ）。</w:t>
      </w:r>
    </w:p>
    <w:p>
      <w:pPr>
        <w:spacing w:line="360" w:lineRule="auto"/>
        <w:ind w:firstLine="424" w:firstLineChars="202"/>
        <w:rPr>
          <w:rFonts w:ascii="宋体" w:hAnsi="宋体" w:cs="宋体"/>
          <w:color w:val="auto"/>
          <w:szCs w:val="21"/>
          <w:u w:val="single"/>
        </w:rPr>
      </w:pPr>
      <w:r>
        <w:rPr>
          <w:rFonts w:hint="eastAsia" w:ascii="宋体" w:hAnsi="宋体" w:cs="宋体"/>
          <w:color w:val="auto"/>
          <w:szCs w:val="21"/>
        </w:rPr>
        <w:t>地点：广西科联招标中心有限公司柳州分公司（柳州市城中区东环大道256号万达中心写字楼13-22室）。</w:t>
      </w:r>
    </w:p>
    <w:p>
      <w:pPr>
        <w:spacing w:line="360" w:lineRule="auto"/>
        <w:ind w:firstLine="426" w:firstLineChars="202"/>
        <w:rPr>
          <w:rFonts w:ascii="宋体" w:hAnsi="宋体" w:cs="宋体"/>
          <w:b/>
          <w:bCs/>
          <w:color w:val="auto"/>
          <w:szCs w:val="21"/>
        </w:rPr>
      </w:pPr>
      <w:r>
        <w:rPr>
          <w:rFonts w:hint="eastAsia" w:ascii="宋体" w:hAnsi="宋体" w:cs="宋体"/>
          <w:b/>
          <w:bCs/>
          <w:color w:val="auto"/>
          <w:szCs w:val="21"/>
        </w:rPr>
        <w:t>方式：</w:t>
      </w:r>
    </w:p>
    <w:p>
      <w:pPr>
        <w:spacing w:line="360" w:lineRule="auto"/>
        <w:ind w:firstLine="632" w:firstLineChars="300"/>
        <w:rPr>
          <w:rFonts w:ascii="宋体" w:hAnsi="宋体" w:cs="宋体"/>
          <w:color w:val="auto"/>
          <w:szCs w:val="21"/>
        </w:rPr>
      </w:pPr>
      <w:r>
        <w:rPr>
          <w:rFonts w:hint="eastAsia" w:ascii="宋体" w:hAnsi="宋体" w:cs="宋体"/>
          <w:b/>
          <w:color w:val="auto"/>
          <w:szCs w:val="21"/>
        </w:rPr>
        <w:t>方式一:邮购。</w:t>
      </w:r>
      <w:r>
        <w:rPr>
          <w:rFonts w:hint="eastAsia"/>
          <w:color w:val="auto"/>
          <w:lang w:eastAsia="zh-CN"/>
        </w:rPr>
        <w:t>潜在</w:t>
      </w:r>
      <w:r>
        <w:rPr>
          <w:rFonts w:hint="eastAsia" w:ascii="宋体" w:hAnsi="宋体" w:cs="宋体"/>
          <w:color w:val="auto"/>
          <w:szCs w:val="21"/>
        </w:rPr>
        <w:t>供应商将项目名称、项目编号、收件人姓名、联系电话、收件地址、开票信息在获取采购文件的时间内发送至指定邮箱：KL0772@126.com（联系电话：</w:t>
      </w:r>
      <w:bookmarkStart w:id="17" w:name="_Hlk44660280"/>
      <w:r>
        <w:rPr>
          <w:rFonts w:hint="eastAsia" w:ascii="宋体" w:hAnsi="宋体" w:cs="宋体"/>
          <w:color w:val="auto"/>
          <w:szCs w:val="21"/>
        </w:rPr>
        <w:t>李思瑶0772-2995575</w:t>
      </w:r>
      <w:bookmarkEnd w:id="17"/>
      <w:r>
        <w:rPr>
          <w:rFonts w:hint="eastAsia" w:ascii="宋体" w:hAnsi="宋体" w:cs="宋体"/>
          <w:color w:val="auto"/>
          <w:szCs w:val="21"/>
        </w:rPr>
        <w:t>）。供应商报名成功后，采购代理机构将采购文件的电子版发送至供应商报名时的电子邮箱。未按本公告要求提供有效收件人联系方式的，不予办理纸质版采购文件的邮寄手续；因此造成供应商无法按时获取纸质版采购文件的，责任由供应商承担。</w:t>
      </w:r>
    </w:p>
    <w:p>
      <w:pPr>
        <w:spacing w:line="360" w:lineRule="auto"/>
        <w:ind w:firstLine="426" w:firstLineChars="202"/>
        <w:rPr>
          <w:rFonts w:ascii="宋体" w:hAnsi="宋体" w:cs="宋体"/>
          <w:b/>
          <w:color w:val="auto"/>
          <w:szCs w:val="21"/>
        </w:rPr>
      </w:pPr>
      <w:r>
        <w:rPr>
          <w:rFonts w:hint="eastAsia" w:ascii="宋体" w:hAnsi="宋体" w:cs="宋体"/>
          <w:b/>
          <w:color w:val="auto"/>
          <w:szCs w:val="21"/>
        </w:rPr>
        <w:t>方式二：现场报名获取（供应商无需携带报名资料）。</w:t>
      </w:r>
    </w:p>
    <w:p>
      <w:pPr>
        <w:spacing w:line="360" w:lineRule="auto"/>
        <w:ind w:firstLine="424" w:firstLineChars="202"/>
        <w:rPr>
          <w:rFonts w:ascii="宋体" w:hAnsi="宋体" w:cs="宋体"/>
          <w:color w:val="auto"/>
          <w:szCs w:val="21"/>
        </w:rPr>
      </w:pPr>
      <w:r>
        <w:rPr>
          <w:rFonts w:hint="eastAsia" w:ascii="宋体" w:hAnsi="宋体" w:cs="宋体"/>
          <w:color w:val="auto"/>
          <w:szCs w:val="21"/>
        </w:rPr>
        <w:t>售价：采购文件工本费每本</w:t>
      </w:r>
      <w:r>
        <w:rPr>
          <w:rFonts w:hint="eastAsia"/>
          <w:color w:val="auto"/>
          <w:lang w:eastAsia="zh-CN"/>
        </w:rPr>
        <w:t>人民币</w:t>
      </w:r>
      <w:r>
        <w:rPr>
          <w:rFonts w:hint="eastAsia" w:ascii="宋体" w:hAnsi="宋体" w:cs="宋体"/>
          <w:color w:val="auto"/>
          <w:szCs w:val="21"/>
        </w:rPr>
        <w:t>250元，售后不退。如需邮寄采购文件纸质版，每本另加邮费</w:t>
      </w:r>
      <w:r>
        <w:rPr>
          <w:rFonts w:hint="eastAsia" w:ascii="宋体" w:hAnsi="宋体" w:cs="宋体"/>
          <w:color w:val="auto"/>
          <w:szCs w:val="21"/>
          <w:lang w:val="en-US" w:eastAsia="zh-CN"/>
        </w:rPr>
        <w:t>人民币</w:t>
      </w:r>
      <w:r>
        <w:rPr>
          <w:rFonts w:hint="eastAsia" w:ascii="宋体" w:hAnsi="宋体" w:cs="宋体"/>
          <w:color w:val="auto"/>
          <w:szCs w:val="21"/>
        </w:rPr>
        <w:t>50元。</w:t>
      </w:r>
    </w:p>
    <w:p>
      <w:pPr>
        <w:spacing w:line="360" w:lineRule="auto"/>
        <w:ind w:firstLine="424" w:firstLineChars="202"/>
        <w:rPr>
          <w:rFonts w:ascii="宋体" w:hAnsi="宋体" w:cs="宋体"/>
          <w:color w:val="auto"/>
          <w:szCs w:val="21"/>
        </w:rPr>
      </w:pPr>
      <w:r>
        <w:rPr>
          <w:rFonts w:hint="eastAsia" w:ascii="宋体" w:hAnsi="宋体" w:cs="宋体"/>
          <w:color w:val="auto"/>
          <w:szCs w:val="21"/>
        </w:rPr>
        <w:t>【注：供应商须于获取采购文件截止时间前将工本费、邮费（如需邮寄）汇到广西科联招标中心有限公司柳州分公司指定账户，汇款、转账时请备注项目名称或项目编号信息】。</w:t>
      </w:r>
    </w:p>
    <w:p>
      <w:pPr>
        <w:spacing w:line="360" w:lineRule="auto"/>
        <w:rPr>
          <w:rFonts w:ascii="宋体" w:hAnsi="宋体" w:cs="宋体"/>
          <w:color w:val="auto"/>
          <w:szCs w:val="21"/>
        </w:rPr>
      </w:pPr>
      <w:bookmarkStart w:id="18" w:name="_Toc28359092"/>
      <w:bookmarkStart w:id="19" w:name="_Toc35393632"/>
      <w:bookmarkStart w:id="20" w:name="_Toc28359015"/>
      <w:bookmarkStart w:id="21" w:name="_Toc35393801"/>
      <w:r>
        <w:rPr>
          <w:rFonts w:hint="eastAsia" w:ascii="宋体" w:hAnsi="宋体" w:cs="宋体"/>
          <w:bCs/>
          <w:color w:val="auto"/>
          <w:szCs w:val="21"/>
        </w:rPr>
        <w:t>四、响应文件提交</w:t>
      </w:r>
      <w:bookmarkEnd w:id="18"/>
      <w:bookmarkEnd w:id="19"/>
      <w:bookmarkEnd w:id="20"/>
      <w:bookmarkEnd w:id="21"/>
    </w:p>
    <w:p>
      <w:pP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截止时间：</w:t>
      </w:r>
      <w:r>
        <w:rPr>
          <w:rFonts w:hint="eastAsia" w:ascii="宋体" w:hAnsi="宋体" w:cs="宋体"/>
          <w:bCs/>
          <w:color w:val="auto"/>
          <w:szCs w:val="21"/>
          <w:u w:val="none"/>
        </w:rPr>
        <w:t>202</w:t>
      </w:r>
      <w:r>
        <w:rPr>
          <w:rFonts w:hint="eastAsia" w:ascii="宋体" w:hAnsi="宋体" w:cs="宋体"/>
          <w:bCs/>
          <w:color w:val="auto"/>
          <w:szCs w:val="21"/>
          <w:u w:val="none"/>
          <w:lang w:val="en-US" w:eastAsia="zh-CN"/>
        </w:rPr>
        <w:t>2</w:t>
      </w:r>
      <w:r>
        <w:rPr>
          <w:rFonts w:hint="eastAsia" w:ascii="宋体" w:hAnsi="宋体" w:cs="宋体"/>
          <w:bCs/>
          <w:color w:val="auto"/>
          <w:szCs w:val="21"/>
          <w:u w:val="none"/>
        </w:rPr>
        <w:t>年</w:t>
      </w:r>
      <w:r>
        <w:rPr>
          <w:rFonts w:hint="eastAsia" w:ascii="宋体" w:hAnsi="宋体" w:cs="宋体"/>
          <w:bCs/>
          <w:color w:val="auto"/>
          <w:szCs w:val="21"/>
          <w:u w:val="none"/>
          <w:lang w:val="en-US" w:eastAsia="zh-CN"/>
        </w:rPr>
        <w:t>1</w:t>
      </w:r>
      <w:r>
        <w:rPr>
          <w:rFonts w:hint="eastAsia" w:ascii="宋体" w:hAnsi="宋体" w:cs="宋体"/>
          <w:bCs/>
          <w:color w:val="auto"/>
          <w:szCs w:val="21"/>
          <w:u w:val="none"/>
        </w:rPr>
        <w:t>月</w:t>
      </w:r>
      <w:r>
        <w:rPr>
          <w:rFonts w:hint="eastAsia" w:ascii="宋体" w:hAnsi="宋体" w:cs="宋体"/>
          <w:bCs/>
          <w:color w:val="auto"/>
          <w:szCs w:val="21"/>
          <w:u w:val="none"/>
          <w:lang w:val="en-US" w:eastAsia="zh-CN"/>
        </w:rPr>
        <w:t>11</w:t>
      </w:r>
      <w:r>
        <w:rPr>
          <w:rFonts w:hint="eastAsia" w:ascii="宋体" w:hAnsi="宋体" w:cs="宋体"/>
          <w:bCs/>
          <w:color w:val="auto"/>
          <w:szCs w:val="21"/>
          <w:u w:val="none"/>
        </w:rPr>
        <w:t>日上午9点30分</w:t>
      </w:r>
      <w:r>
        <w:rPr>
          <w:rFonts w:hint="eastAsia" w:ascii="宋体" w:hAnsi="宋体" w:cs="宋体"/>
          <w:bCs/>
          <w:color w:val="auto"/>
          <w:szCs w:val="21"/>
        </w:rPr>
        <w:t>（北京时间）</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地点：广西科联招标中心有限公司柳州分公司开标室（柳州市城中区东环大道256号万达中心写字楼13-22室），逾期送达的将予以拒收。</w:t>
      </w:r>
      <w:bookmarkStart w:id="22" w:name="_Toc28359093"/>
      <w:bookmarkStart w:id="23" w:name="_Toc35393633"/>
      <w:bookmarkStart w:id="24" w:name="_Toc28359016"/>
      <w:bookmarkStart w:id="25" w:name="_Toc35393802"/>
    </w:p>
    <w:p>
      <w:pPr>
        <w:spacing w:line="360" w:lineRule="auto"/>
        <w:ind w:firstLine="420" w:firstLineChars="200"/>
        <w:rPr>
          <w:rFonts w:ascii="宋体" w:hAnsi="宋体" w:cs="宋体"/>
          <w:bCs/>
          <w:color w:val="auto"/>
          <w:szCs w:val="21"/>
          <w:u w:val="single"/>
        </w:rPr>
      </w:pPr>
      <w:r>
        <w:rPr>
          <w:rFonts w:hint="eastAsia" w:ascii="宋体" w:hAnsi="宋体" w:cs="宋体"/>
          <w:bCs/>
          <w:color w:val="auto"/>
          <w:szCs w:val="21"/>
        </w:rPr>
        <w:t>五、开启</w:t>
      </w:r>
      <w:bookmarkEnd w:id="22"/>
      <w:bookmarkEnd w:id="23"/>
      <w:bookmarkEnd w:id="24"/>
      <w:bookmarkEnd w:id="25"/>
    </w:p>
    <w:p>
      <w:pPr>
        <w:spacing w:line="360" w:lineRule="auto"/>
        <w:ind w:firstLine="420" w:firstLineChars="200"/>
        <w:rPr>
          <w:rFonts w:hint="eastAsia" w:ascii="宋体" w:hAnsi="宋体" w:eastAsia="宋体" w:cs="宋体"/>
          <w:bCs/>
          <w:color w:val="auto"/>
          <w:szCs w:val="21"/>
          <w:u w:val="single"/>
          <w:lang w:val="en-US" w:eastAsia="zh-CN"/>
        </w:rPr>
      </w:pPr>
      <w:r>
        <w:rPr>
          <w:rFonts w:hint="eastAsia" w:ascii="宋体" w:hAnsi="宋体" w:cs="宋体"/>
          <w:color w:val="auto"/>
          <w:szCs w:val="21"/>
        </w:rPr>
        <w:t>时间：2022年1月11日上午9点30分（北京时间）</w:t>
      </w:r>
      <w:r>
        <w:rPr>
          <w:rFonts w:hint="eastAsia"/>
          <w:color w:val="auto"/>
          <w:lang w:val="en-US" w:eastAsia="zh-CN"/>
        </w:rPr>
        <w:t>后</w:t>
      </w:r>
    </w:p>
    <w:p>
      <w:pP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地点：</w:t>
      </w:r>
      <w:bookmarkStart w:id="26" w:name="_Toc28359094"/>
      <w:bookmarkStart w:id="27" w:name="_Toc35393634"/>
      <w:bookmarkStart w:id="28" w:name="_Toc28359017"/>
      <w:bookmarkStart w:id="29" w:name="_Toc35393803"/>
      <w:r>
        <w:rPr>
          <w:rFonts w:hint="eastAsia" w:ascii="宋体" w:hAnsi="宋体" w:cs="宋体"/>
          <w:color w:val="auto"/>
          <w:szCs w:val="21"/>
        </w:rPr>
        <w:t>广西科联招标中心有限公司柳州分公司开标室（柳州市城中区东环大道256号万达中心写字楼13-22室）</w:t>
      </w:r>
    </w:p>
    <w:p>
      <w:pPr>
        <w:spacing w:line="360" w:lineRule="auto"/>
        <w:rPr>
          <w:rFonts w:ascii="宋体" w:hAnsi="宋体" w:cs="宋体"/>
          <w:bCs/>
          <w:color w:val="auto"/>
          <w:szCs w:val="21"/>
          <w:u w:val="single"/>
        </w:rPr>
      </w:pPr>
      <w:r>
        <w:rPr>
          <w:rFonts w:hint="eastAsia" w:ascii="宋体" w:hAnsi="宋体" w:cs="宋体"/>
          <w:bCs/>
          <w:color w:val="auto"/>
          <w:szCs w:val="21"/>
        </w:rPr>
        <w:t>六、公告期限</w:t>
      </w:r>
      <w:bookmarkEnd w:id="26"/>
      <w:bookmarkEnd w:id="27"/>
      <w:bookmarkEnd w:id="28"/>
      <w:bookmarkEnd w:id="29"/>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bookmarkStart w:id="30" w:name="_Toc35393635"/>
      <w:bookmarkStart w:id="31" w:name="_Toc35393804"/>
    </w:p>
    <w:p>
      <w:pPr>
        <w:spacing w:line="360" w:lineRule="auto"/>
        <w:rPr>
          <w:rFonts w:ascii="宋体" w:hAnsi="宋体" w:cs="宋体"/>
          <w:color w:val="auto"/>
          <w:kern w:val="0"/>
          <w:szCs w:val="21"/>
        </w:rPr>
      </w:pPr>
      <w:r>
        <w:rPr>
          <w:rFonts w:hint="eastAsia" w:ascii="宋体" w:hAnsi="宋体" w:cs="宋体"/>
          <w:bCs/>
          <w:color w:val="auto"/>
          <w:szCs w:val="21"/>
        </w:rPr>
        <w:t>七、其他补充事宜</w:t>
      </w:r>
      <w:bookmarkEnd w:id="30"/>
      <w:bookmarkEnd w:id="31"/>
      <w:r>
        <w:rPr>
          <w:rFonts w:hint="eastAsia" w:ascii="宋体" w:hAnsi="宋体" w:cs="宋体"/>
          <w:bCs/>
          <w:color w:val="auto"/>
          <w:szCs w:val="21"/>
        </w:rPr>
        <w:t>：</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1.磋商保证金：金额为人民币</w:t>
      </w:r>
      <w:r>
        <w:rPr>
          <w:rFonts w:hint="eastAsia" w:ascii="宋体" w:hAnsi="宋体" w:cs="宋体"/>
          <w:b/>
          <w:color w:val="auto"/>
          <w:szCs w:val="21"/>
          <w:lang w:val="en-US" w:eastAsia="zh-CN"/>
        </w:rPr>
        <w:t>叁</w:t>
      </w:r>
      <w:r>
        <w:rPr>
          <w:rFonts w:hint="eastAsia" w:ascii="宋体" w:hAnsi="宋体" w:cs="宋体"/>
          <w:b/>
          <w:color w:val="auto"/>
          <w:szCs w:val="21"/>
        </w:rPr>
        <w:t>仟元整（¥</w:t>
      </w:r>
      <w:r>
        <w:rPr>
          <w:rFonts w:hint="eastAsia" w:ascii="宋体" w:hAnsi="宋体" w:cs="宋体"/>
          <w:b/>
          <w:color w:val="auto"/>
          <w:szCs w:val="21"/>
          <w:lang w:val="en-US" w:eastAsia="zh-CN"/>
        </w:rPr>
        <w:t>3</w:t>
      </w:r>
      <w:r>
        <w:rPr>
          <w:rFonts w:hint="eastAsia" w:ascii="宋体" w:hAnsi="宋体" w:cs="宋体"/>
          <w:b/>
          <w:color w:val="auto"/>
          <w:szCs w:val="21"/>
        </w:rPr>
        <w:t>000.00）。</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供应商必须于</w:t>
      </w:r>
      <w:r>
        <w:rPr>
          <w:rFonts w:hint="eastAsia"/>
          <w:color w:val="auto"/>
          <w:lang w:eastAsia="zh-CN"/>
        </w:rPr>
        <w:t>首次</w:t>
      </w:r>
      <w:r>
        <w:rPr>
          <w:rFonts w:hint="eastAsia" w:ascii="宋体" w:hAnsi="宋体" w:cs="宋体"/>
          <w:color w:val="auto"/>
          <w:szCs w:val="21"/>
        </w:rPr>
        <w:t>响应文件递交截止时间前以转账、支票、汇票、本票或者金融机构、担保机构出具的保函等非现金形式提交。</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2.磋商保证金交纳的指定账号：</w:t>
      </w:r>
    </w:p>
    <w:p>
      <w:pPr>
        <w:pStyle w:val="193"/>
        <w:spacing w:line="360" w:lineRule="auto"/>
        <w:ind w:left="495" w:firstLine="0" w:firstLineChars="0"/>
        <w:rPr>
          <w:rFonts w:ascii="宋体" w:hAnsi="宋体" w:cs="宋体"/>
          <w:color w:val="auto"/>
          <w:kern w:val="0"/>
          <w:szCs w:val="21"/>
        </w:rPr>
      </w:pPr>
      <w:r>
        <w:rPr>
          <w:rFonts w:hint="eastAsia" w:ascii="宋体" w:hAnsi="宋体" w:cs="宋体"/>
          <w:color w:val="auto"/>
          <w:kern w:val="0"/>
          <w:szCs w:val="21"/>
        </w:rPr>
        <w:t>开户银行：广西北部湾银行南宁相思湖支行</w:t>
      </w:r>
    </w:p>
    <w:p>
      <w:pPr>
        <w:pStyle w:val="193"/>
        <w:spacing w:line="360" w:lineRule="auto"/>
        <w:ind w:left="495" w:firstLine="0" w:firstLineChars="0"/>
        <w:rPr>
          <w:rFonts w:ascii="宋体" w:hAnsi="宋体" w:cs="宋体"/>
          <w:color w:val="auto"/>
          <w:kern w:val="0"/>
          <w:szCs w:val="21"/>
        </w:rPr>
      </w:pPr>
      <w:r>
        <w:rPr>
          <w:rFonts w:hint="eastAsia" w:ascii="宋体" w:hAnsi="宋体" w:cs="宋体"/>
          <w:color w:val="auto"/>
          <w:kern w:val="0"/>
          <w:szCs w:val="21"/>
        </w:rPr>
        <w:t>开户名称：广西科联招标中心有限公司</w:t>
      </w:r>
    </w:p>
    <w:p>
      <w:pPr>
        <w:pStyle w:val="193"/>
        <w:spacing w:line="360" w:lineRule="auto"/>
        <w:ind w:left="495" w:firstLine="0" w:firstLineChars="0"/>
        <w:rPr>
          <w:rFonts w:ascii="宋体" w:hAnsi="宋体" w:cs="宋体"/>
          <w:color w:val="auto"/>
          <w:kern w:val="0"/>
          <w:szCs w:val="21"/>
        </w:rPr>
      </w:pPr>
      <w:r>
        <w:rPr>
          <w:rFonts w:hint="eastAsia" w:ascii="宋体" w:hAnsi="宋体" w:cs="宋体"/>
          <w:color w:val="auto"/>
          <w:kern w:val="0"/>
          <w:szCs w:val="21"/>
        </w:rPr>
        <w:t>银行账号：8000  5435  9168  889</w:t>
      </w:r>
    </w:p>
    <w:p>
      <w:pPr>
        <w:pStyle w:val="193"/>
        <w:spacing w:line="360" w:lineRule="auto"/>
        <w:ind w:left="495" w:firstLine="0" w:firstLineChars="0"/>
        <w:rPr>
          <w:rFonts w:ascii="宋体" w:hAnsi="宋体" w:cs="宋体"/>
          <w:color w:val="auto"/>
          <w:szCs w:val="21"/>
        </w:rPr>
      </w:pPr>
      <w:r>
        <w:rPr>
          <w:rFonts w:hint="eastAsia" w:ascii="宋体" w:hAnsi="宋体" w:cs="宋体"/>
          <w:color w:val="auto"/>
          <w:kern w:val="0"/>
          <w:szCs w:val="21"/>
        </w:rPr>
        <w:t>开户行行号：3136 1101 8066</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 购买采购文件的价款及邮费交纳的指定账户：</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开户名称：广西科联招标中心有限公司柳州分公司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开户银行：中国建设银行股份有限公司柳州文昌路支行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银行账号：45050162524000000145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注：办理磋商保证金手续时，请务必在银行进账单或电汇单的用途或空白栏上注明“柳州+项目编号” 及用途（磋商保证金）。</w:t>
      </w:r>
    </w:p>
    <w:p>
      <w:pPr>
        <w:numPr>
          <w:ilvl w:val="0"/>
          <w:numId w:val="1"/>
        </w:numPr>
        <w:spacing w:line="360" w:lineRule="auto"/>
        <w:ind w:firstLine="420" w:firstLineChars="200"/>
        <w:rPr>
          <w:rFonts w:ascii="宋体" w:hAnsi="宋体" w:cs="宋体"/>
          <w:color w:val="auto"/>
          <w:szCs w:val="21"/>
        </w:rPr>
      </w:pPr>
      <w:r>
        <w:rPr>
          <w:rFonts w:hint="eastAsia" w:ascii="宋体" w:hAnsi="宋体" w:cs="宋体"/>
          <w:color w:val="auto"/>
          <w:szCs w:val="21"/>
        </w:rPr>
        <w:t>磋商时间及地点：于2022年1月11日上午9点30分（北京时间）截标后为磋商小组与供应商磋商时间，具体时间由采购代理机构另行通知。地点：广西科联招标中心有限公司柳州分公司开标室（以具体通知为准），参加磋商的法定代表人（负责人）或委托代理人必须持证件（法定代表人（负责人）凭资格证书和身份证或委托代理人凭法人授权委托书原件或复印件和身份证原件）依时到达指定地点等候当面磋商。</w:t>
      </w:r>
    </w:p>
    <w:p>
      <w:pPr>
        <w:numPr>
          <w:ilvl w:val="0"/>
          <w:numId w:val="1"/>
        </w:numPr>
        <w:spacing w:line="360" w:lineRule="auto"/>
        <w:ind w:firstLine="420" w:firstLineChars="200"/>
        <w:rPr>
          <w:rFonts w:ascii="宋体" w:hAnsi="宋体" w:cs="宋体"/>
          <w:color w:val="auto"/>
          <w:szCs w:val="21"/>
        </w:rPr>
      </w:pPr>
      <w:r>
        <w:rPr>
          <w:rFonts w:hint="eastAsia" w:ascii="宋体" w:hAnsi="宋体" w:cs="宋体"/>
          <w:color w:val="auto"/>
          <w:szCs w:val="21"/>
        </w:rPr>
        <w:t>公告媒体：国家税务总局柳州市税务局门户网站（http://guangxi.chinatax. gov.cn/liuzhou）</w:t>
      </w:r>
      <w:r>
        <w:rPr>
          <w:rFonts w:hint="eastAsia" w:ascii="宋体" w:hAnsi="宋体" w:cs="宋体"/>
          <w:color w:val="auto"/>
          <w:szCs w:val="21"/>
          <w:lang w:val="en-US" w:eastAsia="zh-CN"/>
        </w:rPr>
        <w:t>、</w:t>
      </w:r>
      <w:r>
        <w:rPr>
          <w:rFonts w:hint="eastAsia" w:ascii="宋体" w:hAnsi="宋体" w:cs="宋体"/>
          <w:color w:val="auto"/>
          <w:szCs w:val="21"/>
        </w:rPr>
        <w:t>广西科联招标中心有限公司网站（www.gxkl.com）。</w:t>
      </w:r>
    </w:p>
    <w:p>
      <w:pPr>
        <w:numPr>
          <w:ilvl w:val="0"/>
          <w:numId w:val="1"/>
        </w:numPr>
        <w:spacing w:line="360" w:lineRule="auto"/>
        <w:ind w:firstLine="420" w:firstLineChars="200"/>
        <w:rPr>
          <w:rFonts w:ascii="宋体" w:hAnsi="宋体" w:cs="宋体"/>
          <w:color w:val="auto"/>
          <w:szCs w:val="21"/>
        </w:rPr>
      </w:pPr>
      <w:r>
        <w:rPr>
          <w:rFonts w:hint="eastAsia" w:ascii="宋体" w:hAnsi="宋体" w:cs="宋体"/>
          <w:color w:val="auto"/>
          <w:szCs w:val="21"/>
        </w:rPr>
        <w:t>本项目为目录外标准下项目。</w:t>
      </w:r>
    </w:p>
    <w:p>
      <w:pPr>
        <w:keepNext/>
        <w:keepLines/>
        <w:spacing w:line="360" w:lineRule="auto"/>
        <w:outlineLvl w:val="1"/>
        <w:rPr>
          <w:rFonts w:ascii="宋体" w:hAnsi="宋体" w:cs="宋体"/>
          <w:bCs/>
          <w:color w:val="auto"/>
          <w:szCs w:val="21"/>
        </w:rPr>
      </w:pPr>
      <w:bookmarkStart w:id="32" w:name="_Toc35393636"/>
      <w:bookmarkStart w:id="33" w:name="_Toc13006"/>
      <w:bookmarkStart w:id="34" w:name="_Toc46761414"/>
      <w:bookmarkStart w:id="35" w:name="_Toc28359095"/>
      <w:bookmarkStart w:id="36" w:name="_Toc28359018"/>
      <w:bookmarkStart w:id="37" w:name="_Toc35393805"/>
      <w:r>
        <w:rPr>
          <w:rFonts w:hint="eastAsia" w:ascii="宋体" w:hAnsi="宋体" w:cs="宋体"/>
          <w:bCs/>
          <w:color w:val="auto"/>
          <w:szCs w:val="21"/>
        </w:rPr>
        <w:t>八、凡对本次采购提出询问，请按以下方式联系。</w:t>
      </w:r>
      <w:bookmarkEnd w:id="32"/>
      <w:bookmarkEnd w:id="33"/>
      <w:bookmarkEnd w:id="34"/>
      <w:bookmarkEnd w:id="35"/>
      <w:bookmarkEnd w:id="36"/>
      <w:bookmarkEnd w:id="37"/>
    </w:p>
    <w:p>
      <w:pPr>
        <w:keepNext/>
        <w:keepLines/>
        <w:spacing w:line="360" w:lineRule="auto"/>
        <w:ind w:firstLine="424" w:firstLineChars="202"/>
        <w:outlineLvl w:val="1"/>
        <w:rPr>
          <w:rFonts w:ascii="宋体" w:hAnsi="宋体" w:cs="宋体"/>
          <w:bCs/>
          <w:color w:val="auto"/>
          <w:szCs w:val="21"/>
        </w:rPr>
      </w:pPr>
      <w:bookmarkStart w:id="38" w:name="_Toc28359096"/>
      <w:bookmarkStart w:id="39" w:name="_Toc15710"/>
      <w:bookmarkStart w:id="40" w:name="_Toc46761415"/>
      <w:bookmarkStart w:id="41" w:name="_Toc35393806"/>
      <w:bookmarkStart w:id="42" w:name="_Toc35393637"/>
      <w:bookmarkStart w:id="43" w:name="_Toc28359019"/>
      <w:r>
        <w:rPr>
          <w:rFonts w:hint="eastAsia" w:ascii="宋体" w:hAnsi="宋体" w:cs="宋体"/>
          <w:bCs/>
          <w:color w:val="auto"/>
          <w:szCs w:val="21"/>
        </w:rPr>
        <w:t>1.采购人信息</w:t>
      </w:r>
      <w:bookmarkEnd w:id="38"/>
      <w:bookmarkEnd w:id="39"/>
      <w:bookmarkEnd w:id="40"/>
      <w:bookmarkEnd w:id="41"/>
      <w:bookmarkEnd w:id="42"/>
      <w:bookmarkEnd w:id="43"/>
    </w:p>
    <w:p>
      <w:pPr>
        <w:spacing w:line="360" w:lineRule="auto"/>
        <w:ind w:left="775" w:leftChars="336" w:hanging="69" w:hangingChars="33"/>
        <w:jc w:val="left"/>
        <w:rPr>
          <w:rFonts w:ascii="宋体" w:hAnsi="宋体" w:cs="宋体"/>
          <w:color w:val="auto"/>
          <w:szCs w:val="21"/>
        </w:rPr>
      </w:pPr>
      <w:r>
        <w:rPr>
          <w:rFonts w:hint="eastAsia" w:ascii="宋体" w:hAnsi="宋体" w:cs="宋体"/>
          <w:color w:val="auto"/>
          <w:szCs w:val="21"/>
        </w:rPr>
        <w:t>名    称：国家税务总局融安县税务局</w:t>
      </w:r>
    </w:p>
    <w:p>
      <w:pPr>
        <w:spacing w:line="360" w:lineRule="auto"/>
        <w:ind w:left="775" w:leftChars="336" w:hanging="69" w:hangingChars="33"/>
        <w:jc w:val="left"/>
        <w:rPr>
          <w:rFonts w:hint="eastAsia" w:ascii="宋体" w:hAnsi="宋体" w:cs="宋体"/>
          <w:color w:val="auto"/>
          <w:szCs w:val="21"/>
        </w:rPr>
      </w:pPr>
      <w:r>
        <w:rPr>
          <w:rFonts w:hint="eastAsia" w:ascii="宋体" w:hAnsi="宋体" w:cs="宋体"/>
          <w:color w:val="auto"/>
          <w:szCs w:val="21"/>
        </w:rPr>
        <w:t>地    址：柳州市融安县长安镇融州路588号</w:t>
      </w:r>
    </w:p>
    <w:p>
      <w:pPr>
        <w:spacing w:line="360" w:lineRule="auto"/>
        <w:ind w:left="775" w:leftChars="336" w:hanging="69" w:hangingChars="33"/>
        <w:jc w:val="left"/>
        <w:rPr>
          <w:rFonts w:ascii="宋体" w:hAnsi="宋体" w:cs="宋体"/>
          <w:bCs/>
          <w:color w:val="auto"/>
          <w:szCs w:val="21"/>
        </w:rPr>
      </w:pPr>
      <w:r>
        <w:rPr>
          <w:rFonts w:hint="eastAsia" w:ascii="宋体" w:hAnsi="宋体" w:cs="宋体"/>
          <w:color w:val="auto"/>
          <w:szCs w:val="21"/>
          <w:lang w:val="en-US" w:eastAsia="zh-CN"/>
        </w:rPr>
        <w:t>联系方式：郑工， 0772-8116050</w:t>
      </w:r>
    </w:p>
    <w:p>
      <w:pPr>
        <w:keepNext/>
        <w:keepLines/>
        <w:spacing w:line="360" w:lineRule="auto"/>
        <w:ind w:firstLine="424" w:firstLineChars="202"/>
        <w:outlineLvl w:val="1"/>
        <w:rPr>
          <w:rFonts w:ascii="宋体" w:hAnsi="宋体" w:cs="宋体"/>
          <w:bCs/>
          <w:color w:val="auto"/>
          <w:szCs w:val="21"/>
        </w:rPr>
      </w:pPr>
      <w:bookmarkStart w:id="44" w:name="_Toc35393807"/>
      <w:bookmarkStart w:id="45" w:name="_Toc24805"/>
      <w:bookmarkStart w:id="46" w:name="_Toc28359020"/>
      <w:bookmarkStart w:id="47" w:name="_Toc46761417"/>
      <w:bookmarkStart w:id="48" w:name="_Toc28359097"/>
      <w:bookmarkStart w:id="49" w:name="_Toc35393638"/>
      <w:r>
        <w:rPr>
          <w:rFonts w:hint="eastAsia" w:ascii="宋体" w:hAnsi="宋体" w:cs="宋体"/>
          <w:bCs/>
          <w:color w:val="auto"/>
          <w:szCs w:val="21"/>
        </w:rPr>
        <w:t>2.采购代理机构信息</w:t>
      </w:r>
      <w:bookmarkEnd w:id="44"/>
      <w:bookmarkEnd w:id="45"/>
      <w:bookmarkEnd w:id="46"/>
      <w:bookmarkEnd w:id="47"/>
      <w:bookmarkEnd w:id="48"/>
      <w:bookmarkEnd w:id="49"/>
    </w:p>
    <w:p>
      <w:pPr>
        <w:spacing w:line="360" w:lineRule="auto"/>
        <w:ind w:firstLine="630" w:firstLineChars="300"/>
        <w:rPr>
          <w:rFonts w:ascii="宋体" w:hAnsi="宋体" w:cs="宋体"/>
          <w:color w:val="auto"/>
          <w:szCs w:val="21"/>
        </w:rPr>
      </w:pPr>
      <w:bookmarkStart w:id="50" w:name="_Toc20517"/>
      <w:bookmarkStart w:id="51" w:name="_Toc28359021"/>
      <w:bookmarkStart w:id="52" w:name="_Toc28359098"/>
      <w:bookmarkStart w:id="53" w:name="_Toc35393808"/>
      <w:bookmarkStart w:id="54" w:name="_Toc46761418"/>
      <w:bookmarkStart w:id="55" w:name="_Toc35393639"/>
      <w:r>
        <w:rPr>
          <w:rFonts w:hint="eastAsia" w:ascii="宋体" w:hAnsi="宋体" w:cs="宋体"/>
          <w:color w:val="auto"/>
          <w:szCs w:val="21"/>
        </w:rPr>
        <w:t>名    称：广西科联招标中心有限公司</w:t>
      </w:r>
    </w:p>
    <w:p>
      <w:pPr>
        <w:spacing w:line="360" w:lineRule="auto"/>
        <w:ind w:firstLine="630" w:firstLineChars="300"/>
        <w:rPr>
          <w:rFonts w:ascii="宋体" w:hAnsi="宋体" w:cs="宋体"/>
          <w:color w:val="auto"/>
          <w:szCs w:val="21"/>
        </w:rPr>
      </w:pPr>
      <w:r>
        <w:rPr>
          <w:rFonts w:hint="eastAsia" w:ascii="宋体" w:hAnsi="宋体" w:cs="宋体"/>
          <w:color w:val="auto"/>
          <w:szCs w:val="21"/>
        </w:rPr>
        <w:t>地    址：柳州市城中区东环大道256号万达中心写字楼13-22室</w:t>
      </w:r>
    </w:p>
    <w:p>
      <w:pPr>
        <w:spacing w:line="360" w:lineRule="auto"/>
        <w:ind w:firstLine="630" w:firstLineChars="300"/>
        <w:rPr>
          <w:rFonts w:ascii="宋体" w:hAnsi="宋体" w:cs="宋体"/>
          <w:color w:val="auto"/>
          <w:szCs w:val="21"/>
        </w:rPr>
      </w:pPr>
      <w:r>
        <w:rPr>
          <w:rFonts w:hint="eastAsia" w:ascii="宋体" w:hAnsi="宋体" w:cs="宋体"/>
          <w:color w:val="auto"/>
          <w:szCs w:val="21"/>
        </w:rPr>
        <w:t>联系方式：0772-2995575</w:t>
      </w:r>
    </w:p>
    <w:p>
      <w:pPr>
        <w:keepNext/>
        <w:keepLines/>
        <w:spacing w:line="360" w:lineRule="auto"/>
        <w:ind w:firstLine="424" w:firstLineChars="202"/>
        <w:outlineLvl w:val="1"/>
        <w:rPr>
          <w:rFonts w:ascii="宋体" w:hAnsi="宋体" w:cs="宋体"/>
          <w:bCs/>
          <w:color w:val="auto"/>
          <w:szCs w:val="21"/>
        </w:rPr>
      </w:pPr>
      <w:r>
        <w:rPr>
          <w:rFonts w:hint="eastAsia" w:ascii="宋体" w:hAnsi="宋体" w:cs="宋体"/>
          <w:bCs/>
          <w:color w:val="auto"/>
          <w:szCs w:val="21"/>
        </w:rPr>
        <w:t>3.项目联系方式</w:t>
      </w:r>
      <w:bookmarkEnd w:id="50"/>
      <w:bookmarkEnd w:id="51"/>
      <w:bookmarkEnd w:id="52"/>
      <w:bookmarkEnd w:id="53"/>
      <w:bookmarkEnd w:id="54"/>
      <w:bookmarkEnd w:id="55"/>
    </w:p>
    <w:p>
      <w:pPr>
        <w:pStyle w:val="2"/>
        <w:rPr>
          <w:color w:val="auto"/>
        </w:rPr>
      </w:pPr>
      <w:r>
        <w:rPr>
          <w:rFonts w:hint="eastAsia"/>
          <w:color w:val="auto"/>
        </w:rPr>
        <w:t xml:space="preserve">      项目联系人：</w:t>
      </w:r>
      <w:r>
        <w:rPr>
          <w:rFonts w:hint="eastAsia" w:ascii="宋体" w:hAnsi="宋体" w:cs="宋体"/>
          <w:bCs/>
          <w:color w:val="auto"/>
          <w:szCs w:val="21"/>
        </w:rPr>
        <w:t>李思瑶</w:t>
      </w:r>
    </w:p>
    <w:p>
      <w:pPr>
        <w:pStyle w:val="2"/>
        <w:ind w:firstLine="630" w:firstLineChars="300"/>
        <w:rPr>
          <w:color w:val="auto"/>
        </w:rPr>
      </w:pPr>
      <w:r>
        <w:rPr>
          <w:rFonts w:hint="eastAsia"/>
          <w:color w:val="auto"/>
        </w:rPr>
        <w:t>电     话：</w:t>
      </w:r>
      <w:r>
        <w:rPr>
          <w:rFonts w:hint="eastAsia" w:ascii="宋体" w:hAnsi="宋体" w:cs="宋体"/>
          <w:color w:val="auto"/>
          <w:szCs w:val="21"/>
        </w:rPr>
        <w:t>0772-2995575</w:t>
      </w:r>
    </w:p>
    <w:p>
      <w:pPr>
        <w:pStyle w:val="3"/>
        <w:rPr>
          <w:color w:val="auto"/>
        </w:rPr>
      </w:pPr>
    </w:p>
    <w:p>
      <w:pPr>
        <w:snapToGrid w:val="0"/>
        <w:spacing w:line="360" w:lineRule="auto"/>
        <w:ind w:firstLine="420" w:firstLineChars="200"/>
        <w:jc w:val="right"/>
        <w:rPr>
          <w:rFonts w:ascii="宋体" w:hAnsi="宋体" w:cs="宋体"/>
          <w:color w:val="auto"/>
          <w:szCs w:val="21"/>
        </w:rPr>
      </w:pPr>
      <w:r>
        <w:rPr>
          <w:rFonts w:hint="eastAsia" w:ascii="宋体" w:hAnsi="宋体" w:cs="宋体"/>
          <w:color w:val="auto"/>
          <w:szCs w:val="21"/>
        </w:rPr>
        <w:t xml:space="preserve">                                           采购代理机构：广西科联招标中心有限公司</w:t>
      </w:r>
    </w:p>
    <w:p>
      <w:pPr>
        <w:spacing w:line="360" w:lineRule="auto"/>
        <w:jc w:val="right"/>
        <w:rPr>
          <w:rFonts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4</w:t>
      </w:r>
      <w:r>
        <w:rPr>
          <w:rFonts w:hint="eastAsia" w:ascii="宋体" w:hAnsi="宋体" w:cs="宋体"/>
          <w:color w:val="auto"/>
          <w:szCs w:val="21"/>
        </w:rPr>
        <w:t>日</w:t>
      </w:r>
    </w:p>
    <w:p>
      <w:pPr>
        <w:spacing w:line="400" w:lineRule="exact"/>
        <w:jc w:val="center"/>
        <w:outlineLvl w:val="0"/>
        <w:rPr>
          <w:rFonts w:ascii="宋体" w:hAnsi="宋体" w:cs="宋体"/>
          <w:b/>
          <w:color w:val="auto"/>
          <w:sz w:val="28"/>
          <w:szCs w:val="28"/>
        </w:rPr>
      </w:pPr>
      <w:r>
        <w:rPr>
          <w:rFonts w:hint="eastAsia" w:ascii="宋体" w:hAnsi="宋体" w:cs="宋体"/>
          <w:b/>
          <w:color w:val="auto"/>
          <w:sz w:val="28"/>
          <w:szCs w:val="28"/>
        </w:rPr>
        <w:br w:type="page"/>
      </w:r>
      <w:bookmarkStart w:id="56" w:name="_Toc31183"/>
      <w:r>
        <w:rPr>
          <w:rFonts w:hint="eastAsia" w:ascii="宋体" w:hAnsi="宋体" w:cs="宋体"/>
          <w:b/>
          <w:color w:val="auto"/>
          <w:sz w:val="28"/>
          <w:szCs w:val="28"/>
        </w:rPr>
        <w:t>第二章 磋商须知</w:t>
      </w:r>
      <w:bookmarkEnd w:id="56"/>
    </w:p>
    <w:p>
      <w:pPr>
        <w:keepNext/>
        <w:keepLines/>
        <w:spacing w:before="340" w:after="330" w:line="578" w:lineRule="auto"/>
        <w:jc w:val="center"/>
        <w:outlineLvl w:val="0"/>
        <w:rPr>
          <w:rFonts w:ascii="宋体" w:hAnsi="宋体" w:cs="宋体"/>
          <w:bCs/>
          <w:color w:val="auto"/>
          <w:kern w:val="44"/>
          <w:sz w:val="28"/>
          <w:szCs w:val="28"/>
        </w:rPr>
      </w:pPr>
      <w:bookmarkStart w:id="57" w:name="_Toc1828"/>
      <w:bookmarkStart w:id="58" w:name="_Toc46761420"/>
      <w:bookmarkStart w:id="59" w:name="_Toc3570431"/>
      <w:r>
        <w:rPr>
          <w:rFonts w:hint="eastAsia" w:ascii="宋体" w:hAnsi="宋体" w:cs="宋体"/>
          <w:bCs/>
          <w:color w:val="auto"/>
          <w:kern w:val="44"/>
          <w:sz w:val="28"/>
          <w:szCs w:val="28"/>
        </w:rPr>
        <w:t>磋商须知前附表</w:t>
      </w:r>
      <w:bookmarkEnd w:id="57"/>
      <w:bookmarkEnd w:id="58"/>
    </w:p>
    <w:tbl>
      <w:tblPr>
        <w:tblStyle w:val="42"/>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10"/>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1735"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名称</w:t>
            </w:r>
          </w:p>
        </w:tc>
        <w:tc>
          <w:tcPr>
            <w:tcW w:w="6057" w:type="dxa"/>
            <w:gridSpan w:val="2"/>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restart"/>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1</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采购项目</w:t>
            </w:r>
          </w:p>
        </w:tc>
        <w:tc>
          <w:tcPr>
            <w:tcW w:w="6057" w:type="dxa"/>
            <w:gridSpan w:val="2"/>
            <w:vAlign w:val="center"/>
          </w:tcPr>
          <w:p>
            <w:pPr>
              <w:spacing w:line="380" w:lineRule="exact"/>
              <w:jc w:val="left"/>
              <w:rPr>
                <w:rFonts w:ascii="宋体" w:hAnsi="宋体" w:cs="宋体"/>
                <w:color w:val="auto"/>
                <w:szCs w:val="21"/>
              </w:rPr>
            </w:pPr>
            <w:r>
              <w:rPr>
                <w:rFonts w:hint="eastAsia" w:ascii="宋体" w:hAnsi="宋体" w:cs="宋体"/>
                <w:color w:val="auto"/>
                <w:kern w:val="0"/>
                <w:szCs w:val="21"/>
              </w:rPr>
              <w:t>项目名称：</w:t>
            </w:r>
            <w:r>
              <w:rPr>
                <w:rFonts w:hint="eastAsia" w:ascii="宋体" w:hAnsi="宋体" w:cs="宋体"/>
                <w:color w:val="auto"/>
                <w:szCs w:val="21"/>
                <w:lang w:eastAsia="zh-CN"/>
              </w:rPr>
              <w:t>国家税务总局融安县税务局2022年物业服务采购</w:t>
            </w:r>
            <w:r>
              <w:rPr>
                <w:rFonts w:hint="eastAsia" w:ascii="宋体" w:hAnsi="宋体" w:cs="宋体"/>
                <w:color w:val="auto"/>
                <w:szCs w:val="21"/>
              </w:rPr>
              <w:t xml:space="preserve"> </w:t>
            </w:r>
          </w:p>
          <w:p>
            <w:pPr>
              <w:spacing w:line="38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项目编号：</w:t>
            </w:r>
            <w:r>
              <w:rPr>
                <w:rFonts w:hint="eastAsia" w:ascii="宋体" w:hAnsi="宋体" w:cs="宋体"/>
                <w:color w:val="auto"/>
                <w:kern w:val="0"/>
                <w:szCs w:val="21"/>
                <w:lang w:eastAsia="zh-CN"/>
              </w:rPr>
              <w:t>KLLZC213017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380" w:lineRule="exact"/>
              <w:rPr>
                <w:rFonts w:ascii="宋体" w:hAnsi="宋体" w:cs="宋体"/>
                <w:color w:val="auto"/>
                <w:szCs w:val="21"/>
              </w:rPr>
            </w:pP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采购预算</w:t>
            </w:r>
          </w:p>
        </w:tc>
        <w:tc>
          <w:tcPr>
            <w:tcW w:w="6057"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人民币陆拾叁万伍仟元整（¥635000.00）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380" w:lineRule="exact"/>
              <w:rPr>
                <w:rFonts w:ascii="宋体" w:hAnsi="宋体" w:cs="宋体"/>
                <w:color w:val="auto"/>
                <w:szCs w:val="21"/>
              </w:rPr>
            </w:pPr>
          </w:p>
        </w:tc>
        <w:tc>
          <w:tcPr>
            <w:tcW w:w="1735" w:type="dxa"/>
          </w:tcPr>
          <w:p>
            <w:pPr>
              <w:spacing w:line="380" w:lineRule="exact"/>
              <w:jc w:val="left"/>
              <w:rPr>
                <w:rFonts w:ascii="宋体" w:hAnsi="宋体" w:cs="宋体"/>
                <w:color w:val="auto"/>
                <w:kern w:val="0"/>
                <w:szCs w:val="21"/>
              </w:rPr>
            </w:pPr>
            <w:r>
              <w:rPr>
                <w:rFonts w:hint="eastAsia" w:ascii="宋体" w:hAnsi="宋体" w:cs="宋体"/>
                <w:color w:val="auto"/>
                <w:kern w:val="0"/>
                <w:szCs w:val="21"/>
              </w:rPr>
              <w:t>本项目设定的最高限价</w:t>
            </w:r>
          </w:p>
        </w:tc>
        <w:tc>
          <w:tcPr>
            <w:tcW w:w="6057" w:type="dxa"/>
            <w:gridSpan w:val="2"/>
          </w:tcPr>
          <w:p>
            <w:pPr>
              <w:spacing w:after="60" w:line="380" w:lineRule="exact"/>
              <w:jc w:val="left"/>
              <w:rPr>
                <w:rFonts w:ascii="宋体" w:hAnsi="宋体" w:cs="宋体"/>
                <w:color w:val="auto"/>
                <w:kern w:val="0"/>
                <w:szCs w:val="21"/>
              </w:rPr>
            </w:pPr>
            <w:r>
              <w:rPr>
                <w:rFonts w:hint="eastAsia" w:ascii="宋体" w:hAnsi="宋体" w:cs="宋体"/>
                <w:color w:val="auto"/>
                <w:kern w:val="0"/>
                <w:szCs w:val="21"/>
                <w:lang w:val="zh-TW"/>
              </w:rPr>
              <w:t>□无</w:t>
            </w:r>
          </w:p>
          <w:p>
            <w:pPr>
              <w:spacing w:line="380" w:lineRule="exact"/>
              <w:jc w:val="left"/>
              <w:rPr>
                <w:rFonts w:ascii="宋体" w:hAnsi="宋体" w:cs="宋体"/>
                <w:color w:val="auto"/>
                <w:kern w:val="0"/>
                <w:szCs w:val="21"/>
              </w:rPr>
            </w:pPr>
            <w:r>
              <w:rPr>
                <w:rFonts w:hint="eastAsia" w:ascii="宋体" w:hAnsi="宋体" w:cs="宋体"/>
                <w:color w:val="auto"/>
                <w:kern w:val="0"/>
                <w:szCs w:val="21"/>
              </w:rPr>
              <w:t>☑有，金额：人民币陆拾叁万伍仟元整（¥635000.00）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380" w:lineRule="exact"/>
              <w:rPr>
                <w:rFonts w:ascii="宋体" w:hAnsi="宋体" w:cs="宋体"/>
                <w:color w:val="auto"/>
                <w:szCs w:val="21"/>
              </w:rPr>
            </w:pPr>
          </w:p>
        </w:tc>
        <w:tc>
          <w:tcPr>
            <w:tcW w:w="1735" w:type="dxa"/>
          </w:tcPr>
          <w:p>
            <w:pPr>
              <w:spacing w:line="380" w:lineRule="exact"/>
              <w:jc w:val="left"/>
              <w:rPr>
                <w:rFonts w:ascii="宋体" w:hAnsi="宋体" w:cs="宋体"/>
                <w:color w:val="auto"/>
                <w:kern w:val="0"/>
                <w:szCs w:val="21"/>
              </w:rPr>
            </w:pPr>
            <w:r>
              <w:rPr>
                <w:rFonts w:hint="eastAsia" w:ascii="宋体" w:hAnsi="宋体" w:cs="宋体"/>
                <w:color w:val="auto"/>
                <w:kern w:val="0"/>
                <w:szCs w:val="21"/>
              </w:rPr>
              <w:t>核心产品</w:t>
            </w:r>
          </w:p>
        </w:tc>
        <w:tc>
          <w:tcPr>
            <w:tcW w:w="6057" w:type="dxa"/>
            <w:gridSpan w:val="2"/>
          </w:tcPr>
          <w:p>
            <w:pPr>
              <w:spacing w:line="380" w:lineRule="exact"/>
              <w:jc w:val="left"/>
              <w:rPr>
                <w:rFonts w:ascii="宋体" w:hAnsi="宋体" w:cs="宋体"/>
                <w:color w:val="auto"/>
                <w:kern w:val="0"/>
                <w:szCs w:val="21"/>
              </w:rPr>
            </w:pPr>
            <w:r>
              <w:rPr>
                <w:rFonts w:hint="eastAsia" w:ascii="宋体" w:hAnsi="宋体" w:cs="宋体"/>
                <w:color w:val="auto"/>
                <w:kern w:val="0"/>
                <w:szCs w:val="21"/>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spacing w:line="380" w:lineRule="exact"/>
              <w:rPr>
                <w:rFonts w:ascii="宋体" w:hAnsi="宋体" w:cs="宋体"/>
                <w:color w:val="auto"/>
                <w:szCs w:val="21"/>
              </w:rPr>
            </w:pP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公告媒体</w:t>
            </w:r>
          </w:p>
        </w:tc>
        <w:tc>
          <w:tcPr>
            <w:tcW w:w="6057"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szCs w:val="21"/>
              </w:rPr>
              <w:t>国家税务总局柳州市税务局门户网站（http://guangxi.chinatax.gov.cn/liuzhou/）、广西科联招标中心有限公司网站（www.gxkl.com）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2</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采购人</w:t>
            </w:r>
          </w:p>
        </w:tc>
        <w:tc>
          <w:tcPr>
            <w:tcW w:w="6057"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名    称：国家税务总局融安县税务局</w:t>
            </w:r>
          </w:p>
          <w:p>
            <w:pPr>
              <w:spacing w:line="380" w:lineRule="exact"/>
              <w:jc w:val="left"/>
              <w:rPr>
                <w:rFonts w:hint="eastAsia" w:ascii="宋体" w:hAnsi="宋体" w:cs="宋体"/>
                <w:color w:val="auto"/>
                <w:kern w:val="0"/>
                <w:szCs w:val="21"/>
              </w:rPr>
            </w:pPr>
            <w:r>
              <w:rPr>
                <w:rFonts w:hint="eastAsia" w:ascii="宋体" w:hAnsi="宋体" w:cs="宋体"/>
                <w:color w:val="auto"/>
                <w:kern w:val="0"/>
                <w:szCs w:val="21"/>
              </w:rPr>
              <w:t>地    址：柳州市融安县长安镇融州路588号</w:t>
            </w:r>
          </w:p>
          <w:p>
            <w:pPr>
              <w:spacing w:line="380" w:lineRule="exact"/>
              <w:jc w:val="left"/>
              <w:rPr>
                <w:rFonts w:ascii="宋体" w:hAnsi="宋体" w:cs="宋体"/>
                <w:color w:val="auto"/>
                <w:kern w:val="0"/>
                <w:szCs w:val="21"/>
              </w:rPr>
            </w:pPr>
            <w:r>
              <w:rPr>
                <w:rFonts w:hint="eastAsia" w:ascii="宋体" w:hAnsi="宋体" w:cs="宋体"/>
                <w:color w:val="auto"/>
                <w:kern w:val="0"/>
                <w:szCs w:val="21"/>
              </w:rPr>
              <w:t>联系方式：</w:t>
            </w:r>
            <w:r>
              <w:rPr>
                <w:rFonts w:hint="eastAsia" w:ascii="宋体" w:hAnsi="宋体" w:eastAsia="宋体" w:cs="宋体"/>
                <w:color w:val="auto"/>
                <w:kern w:val="0"/>
                <w:sz w:val="21"/>
                <w:szCs w:val="21"/>
                <w:lang w:val="en-US" w:eastAsia="zh-CN" w:bidi="ar-SA"/>
              </w:rPr>
              <w:t>郑工</w:t>
            </w:r>
            <w:r>
              <w:rPr>
                <w:rFonts w:hint="eastAsia" w:ascii="宋体" w:hAnsi="宋体" w:cs="宋体"/>
                <w:color w:val="auto"/>
                <w:kern w:val="0"/>
                <w:sz w:val="21"/>
                <w:szCs w:val="21"/>
                <w:lang w:val="en-US" w:eastAsia="zh-CN" w:bidi="ar-SA"/>
              </w:rPr>
              <w:t>，</w:t>
            </w:r>
            <w:r>
              <w:rPr>
                <w:rFonts w:hint="eastAsia" w:ascii="宋体" w:hAnsi="宋体" w:cs="宋体"/>
                <w:color w:val="auto"/>
                <w:kern w:val="0"/>
                <w:szCs w:val="21"/>
              </w:rPr>
              <w:t>0772-8116050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3</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采购代理机构</w:t>
            </w:r>
          </w:p>
        </w:tc>
        <w:tc>
          <w:tcPr>
            <w:tcW w:w="6057" w:type="dxa"/>
            <w:gridSpan w:val="2"/>
            <w:vAlign w:val="center"/>
          </w:tcPr>
          <w:p>
            <w:pPr>
              <w:spacing w:line="380" w:lineRule="exact"/>
              <w:jc w:val="left"/>
              <w:rPr>
                <w:rFonts w:ascii="宋体" w:hAnsi="宋体" w:cs="宋体"/>
                <w:color w:val="auto"/>
                <w:szCs w:val="21"/>
              </w:rPr>
            </w:pPr>
            <w:r>
              <w:rPr>
                <w:rFonts w:hint="eastAsia" w:ascii="宋体" w:hAnsi="宋体" w:cs="宋体"/>
                <w:color w:val="auto"/>
                <w:szCs w:val="21"/>
              </w:rPr>
              <w:t>名    称：广西科联招标中心有限公司</w:t>
            </w:r>
          </w:p>
          <w:p>
            <w:pPr>
              <w:spacing w:line="380" w:lineRule="exact"/>
              <w:jc w:val="left"/>
              <w:rPr>
                <w:rFonts w:ascii="宋体" w:hAnsi="宋体" w:cs="宋体"/>
                <w:color w:val="auto"/>
                <w:szCs w:val="21"/>
              </w:rPr>
            </w:pPr>
            <w:r>
              <w:rPr>
                <w:rFonts w:hint="eastAsia" w:ascii="宋体" w:hAnsi="宋体" w:cs="宋体"/>
                <w:color w:val="auto"/>
                <w:szCs w:val="21"/>
              </w:rPr>
              <w:t>地    址：柳州市城中区东环大道256号万达中心写字楼13-22室</w:t>
            </w:r>
          </w:p>
          <w:p>
            <w:pPr>
              <w:spacing w:line="380" w:lineRule="exact"/>
              <w:jc w:val="left"/>
              <w:rPr>
                <w:rFonts w:ascii="宋体" w:hAnsi="宋体" w:cs="宋体"/>
                <w:color w:val="auto"/>
                <w:kern w:val="0"/>
                <w:szCs w:val="21"/>
              </w:rPr>
            </w:pPr>
            <w:r>
              <w:rPr>
                <w:rFonts w:hint="eastAsia" w:ascii="宋体" w:hAnsi="宋体" w:cs="宋体"/>
                <w:color w:val="auto"/>
                <w:szCs w:val="21"/>
              </w:rPr>
              <w:t>项目咨询联系人：李思瑶           联系方式：0772-2995575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4</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供应商资格条件</w:t>
            </w:r>
          </w:p>
        </w:tc>
        <w:tc>
          <w:tcPr>
            <w:tcW w:w="6057" w:type="dxa"/>
            <w:gridSpan w:val="2"/>
            <w:vAlign w:val="center"/>
          </w:tcPr>
          <w:p>
            <w:pPr>
              <w:spacing w:line="380" w:lineRule="exact"/>
              <w:jc w:val="left"/>
              <w:rPr>
                <w:rFonts w:ascii="宋体" w:hAnsi="宋体" w:cs="宋体"/>
                <w:color w:val="auto"/>
                <w:szCs w:val="21"/>
              </w:rPr>
            </w:pPr>
            <w:r>
              <w:rPr>
                <w:rFonts w:hint="eastAsia" w:ascii="宋体" w:hAnsi="宋体" w:cs="宋体"/>
                <w:color w:val="auto"/>
                <w:szCs w:val="21"/>
              </w:rPr>
              <w:t>供应商资格要求：</w:t>
            </w:r>
          </w:p>
          <w:p>
            <w:pPr>
              <w:spacing w:line="380" w:lineRule="exact"/>
              <w:ind w:firstLine="420" w:firstLineChars="200"/>
              <w:rPr>
                <w:color w:val="auto"/>
              </w:rPr>
            </w:pPr>
            <w:r>
              <w:rPr>
                <w:rFonts w:hint="eastAsia" w:ascii="宋体" w:hAnsi="宋体" w:cs="宋体"/>
                <w:color w:val="auto"/>
                <w:szCs w:val="21"/>
              </w:rPr>
              <w:t>1.供应商参加本采购活动应当具备下列条件</w:t>
            </w:r>
            <w:r>
              <w:rPr>
                <w:rFonts w:hint="eastAsia"/>
                <w:color w:val="auto"/>
              </w:rPr>
              <w:t>：</w:t>
            </w:r>
          </w:p>
          <w:p>
            <w:pPr>
              <w:spacing w:line="380" w:lineRule="exact"/>
              <w:ind w:left="420" w:leftChars="200"/>
              <w:rPr>
                <w:rFonts w:ascii="宋体" w:hAnsi="宋体" w:cs="宋体"/>
                <w:bCs/>
                <w:color w:val="auto"/>
                <w:szCs w:val="21"/>
              </w:rPr>
            </w:pPr>
            <w:r>
              <w:rPr>
                <w:rFonts w:hint="eastAsia" w:ascii="宋体" w:hAnsi="宋体" w:cs="宋体"/>
                <w:bCs/>
                <w:color w:val="auto"/>
                <w:szCs w:val="21"/>
              </w:rPr>
              <w:t>（一）具有独立承担民事责任的能力；</w:t>
            </w:r>
          </w:p>
          <w:p>
            <w:pPr>
              <w:spacing w:line="380" w:lineRule="exact"/>
              <w:ind w:left="420" w:leftChars="200"/>
              <w:rPr>
                <w:rFonts w:ascii="宋体" w:hAnsi="宋体" w:cs="宋体"/>
                <w:bCs/>
                <w:color w:val="auto"/>
                <w:szCs w:val="21"/>
              </w:rPr>
            </w:pPr>
            <w:r>
              <w:rPr>
                <w:rFonts w:hint="eastAsia" w:ascii="宋体" w:hAnsi="宋体" w:cs="宋体"/>
                <w:bCs/>
                <w:color w:val="auto"/>
                <w:szCs w:val="21"/>
              </w:rPr>
              <w:t>（二）具有良好的商业信誉和健全的财务会计制度；</w:t>
            </w:r>
          </w:p>
          <w:p>
            <w:pPr>
              <w:spacing w:line="380" w:lineRule="exact"/>
              <w:ind w:left="420" w:leftChars="200"/>
              <w:rPr>
                <w:rFonts w:ascii="宋体" w:hAnsi="宋体" w:cs="宋体"/>
                <w:bCs/>
                <w:color w:val="auto"/>
                <w:szCs w:val="21"/>
              </w:rPr>
            </w:pPr>
            <w:r>
              <w:rPr>
                <w:rFonts w:hint="eastAsia" w:ascii="宋体" w:hAnsi="宋体" w:cs="宋体"/>
                <w:bCs/>
                <w:color w:val="auto"/>
                <w:szCs w:val="21"/>
              </w:rPr>
              <w:t>（三）具有履行合同所必需的设备和专业技术能力；</w:t>
            </w:r>
          </w:p>
          <w:p>
            <w:pPr>
              <w:spacing w:line="380" w:lineRule="exact"/>
              <w:ind w:left="420" w:leftChars="200"/>
              <w:rPr>
                <w:rFonts w:ascii="宋体" w:hAnsi="宋体" w:cs="宋体"/>
                <w:bCs/>
                <w:color w:val="auto"/>
                <w:szCs w:val="21"/>
              </w:rPr>
            </w:pPr>
            <w:r>
              <w:rPr>
                <w:rFonts w:hint="eastAsia" w:ascii="宋体" w:hAnsi="宋体" w:cs="宋体"/>
                <w:bCs/>
                <w:color w:val="auto"/>
                <w:szCs w:val="21"/>
              </w:rPr>
              <w:t>（四）有依法缴纳税收和社会保障资金的良好记录；</w:t>
            </w:r>
          </w:p>
          <w:p>
            <w:pPr>
              <w:spacing w:line="380" w:lineRule="exact"/>
              <w:ind w:left="420" w:leftChars="200"/>
              <w:rPr>
                <w:rFonts w:ascii="宋体" w:hAnsi="宋体" w:cs="宋体"/>
                <w:bCs/>
                <w:color w:val="auto"/>
                <w:szCs w:val="21"/>
              </w:rPr>
            </w:pPr>
            <w:r>
              <w:rPr>
                <w:rFonts w:hint="eastAsia" w:ascii="宋体" w:hAnsi="宋体" w:cs="宋体"/>
                <w:bCs/>
                <w:color w:val="auto"/>
                <w:szCs w:val="21"/>
              </w:rPr>
              <w:t>（五）参加采购活动前三年内，在经营活动中没有重大违法记录；</w:t>
            </w:r>
          </w:p>
          <w:p>
            <w:pPr>
              <w:spacing w:line="380" w:lineRule="exact"/>
              <w:ind w:left="420" w:leftChars="200"/>
              <w:rPr>
                <w:rFonts w:ascii="宋体" w:hAnsi="宋体" w:cs="宋体"/>
                <w:bCs/>
                <w:color w:val="auto"/>
                <w:szCs w:val="21"/>
              </w:rPr>
            </w:pPr>
            <w:r>
              <w:rPr>
                <w:rFonts w:hint="eastAsia" w:ascii="宋体" w:hAnsi="宋体" w:cs="宋体"/>
                <w:bCs/>
                <w:color w:val="auto"/>
                <w:szCs w:val="21"/>
              </w:rPr>
              <w:t>（六）法律、行政法规规定的其他条件。</w:t>
            </w:r>
          </w:p>
          <w:p>
            <w:pPr>
              <w:spacing w:line="360" w:lineRule="auto"/>
              <w:ind w:firstLine="420" w:firstLineChars="200"/>
              <w:rPr>
                <w:rFonts w:ascii="宋体" w:hAnsi="宋体" w:cs="宋体"/>
                <w:color w:val="auto"/>
                <w:kern w:val="0"/>
                <w:szCs w:val="21"/>
                <w:highlight w:val="yellow"/>
              </w:rPr>
            </w:pPr>
            <w:r>
              <w:rPr>
                <w:rFonts w:hint="eastAsia" w:ascii="宋体" w:hAnsi="宋体" w:cs="宋体"/>
                <w:color w:val="auto"/>
                <w:kern w:val="0"/>
                <w:szCs w:val="21"/>
              </w:rPr>
              <w:t>2.</w:t>
            </w:r>
            <w:r>
              <w:rPr>
                <w:rFonts w:hint="eastAsia"/>
                <w:color w:val="auto"/>
              </w:rPr>
              <w:t>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本项目采购标的对应的中小企业划分标准所属行业为</w:t>
            </w:r>
            <w:r>
              <w:rPr>
                <w:rFonts w:hint="eastAsia"/>
                <w:color w:val="auto"/>
                <w:lang w:val="en-US" w:eastAsia="zh-CN"/>
              </w:rPr>
              <w:t>物业管理</w:t>
            </w:r>
            <w:r>
              <w:rPr>
                <w:rFonts w:hint="eastAsia"/>
                <w:color w:val="auto"/>
              </w:rPr>
              <w:t>。</w:t>
            </w:r>
          </w:p>
          <w:p>
            <w:pPr>
              <w:pStyle w:val="2"/>
              <w:spacing w:line="38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3.本项目的特定资格要求：</w:t>
            </w:r>
            <w:r>
              <w:rPr>
                <w:rFonts w:hint="eastAsia" w:ascii="宋体" w:hAnsi="宋体" w:cs="宋体"/>
                <w:color w:val="auto"/>
                <w:szCs w:val="21"/>
                <w:lang w:val="en-US" w:eastAsia="zh-CN"/>
              </w:rPr>
              <w:t>无。</w:t>
            </w:r>
          </w:p>
          <w:p>
            <w:pPr>
              <w:pStyle w:val="2"/>
              <w:spacing w:line="380" w:lineRule="exact"/>
              <w:ind w:firstLine="420" w:firstLineChars="200"/>
              <w:rPr>
                <w:rFonts w:ascii="宋体" w:hAnsi="宋体" w:cs="宋体"/>
                <w:color w:val="auto"/>
                <w:szCs w:val="21"/>
                <w:highlight w:val="yellow"/>
              </w:rPr>
            </w:pPr>
            <w:r>
              <w:rPr>
                <w:rFonts w:hint="eastAsia" w:ascii="宋体" w:hAnsi="宋体" w:cs="宋体"/>
                <w:color w:val="auto"/>
                <w:szCs w:val="21"/>
              </w:rPr>
              <w:t>4.本项目由符合国家有关法律法规规定、同时满足本项目资质要求、在中国境内注册的合格供应商参加磋商。</w:t>
            </w:r>
          </w:p>
          <w:p>
            <w:pPr>
              <w:pStyle w:val="2"/>
              <w:spacing w:line="380" w:lineRule="exact"/>
              <w:ind w:firstLine="420" w:firstLineChars="200"/>
              <w:rPr>
                <w:rFonts w:ascii="宋体" w:hAnsi="宋体" w:cs="宋体"/>
                <w:color w:val="auto"/>
                <w:szCs w:val="21"/>
              </w:rPr>
            </w:pPr>
            <w:r>
              <w:rPr>
                <w:rFonts w:hint="eastAsia" w:ascii="宋体" w:hAnsi="宋体" w:cs="宋体"/>
                <w:color w:val="auto"/>
                <w:szCs w:val="21"/>
              </w:rPr>
              <w:t>5.在“信用中国”网站(www.creditchina.gov.cn)、中国政府采购网(www.ccgp.gov.cn)等渠道查询对列入失信被执行人、重大税收违法案件当事人名单、政府采购严重违法失信行为记录名单的供应商，应当拒绝其参与本次采购活动。</w:t>
            </w:r>
          </w:p>
          <w:p>
            <w:pPr>
              <w:pStyle w:val="2"/>
              <w:spacing w:line="380" w:lineRule="exact"/>
              <w:ind w:firstLine="420" w:firstLineChars="200"/>
              <w:rPr>
                <w:rFonts w:ascii="宋体" w:hAnsi="宋体" w:cs="宋体"/>
                <w:color w:val="auto"/>
                <w:szCs w:val="21"/>
              </w:rPr>
            </w:pPr>
            <w:r>
              <w:rPr>
                <w:rFonts w:hint="eastAsia" w:ascii="宋体" w:hAnsi="宋体" w:cs="宋体"/>
                <w:color w:val="auto"/>
                <w:szCs w:val="21"/>
              </w:rPr>
              <w:t>6.单位负责人为同一人或者存在直接控股、管理关系的不同供应商，不得参加同一合同项下的采购活动。</w:t>
            </w:r>
          </w:p>
          <w:p>
            <w:pPr>
              <w:pStyle w:val="2"/>
              <w:spacing w:line="380" w:lineRule="exact"/>
              <w:ind w:firstLine="420" w:firstLineChars="200"/>
              <w:rPr>
                <w:rFonts w:ascii="宋体" w:hAnsi="宋体" w:cs="宋体"/>
                <w:color w:val="auto"/>
                <w:szCs w:val="21"/>
              </w:rPr>
            </w:pPr>
            <w:r>
              <w:rPr>
                <w:rFonts w:hint="eastAsia" w:ascii="宋体" w:hAnsi="宋体" w:cs="宋体"/>
                <w:color w:val="auto"/>
                <w:szCs w:val="21"/>
              </w:rPr>
              <w:t>7.为本项目提供整体设计、规范编制或者项目管理、监理、检测等服务的供应商，不得再参加本次采购活动。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5</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项目现场勘察</w:t>
            </w:r>
          </w:p>
        </w:tc>
        <w:tc>
          <w:tcPr>
            <w:tcW w:w="6057"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☑不组织</w:t>
            </w:r>
          </w:p>
          <w:p>
            <w:pPr>
              <w:spacing w:line="380" w:lineRule="exact"/>
              <w:jc w:val="left"/>
              <w:rPr>
                <w:rFonts w:ascii="宋体" w:hAnsi="宋体" w:cs="宋体"/>
                <w:color w:val="auto"/>
                <w:kern w:val="0"/>
                <w:szCs w:val="21"/>
              </w:rPr>
            </w:pPr>
            <w:r>
              <w:rPr>
                <w:rFonts w:hint="eastAsia" w:ascii="宋体" w:hAnsi="宋体" w:cs="宋体"/>
                <w:color w:val="auto"/>
                <w:kern w:val="0"/>
                <w:szCs w:val="21"/>
              </w:rPr>
              <w:t>□组织：____________________</w:t>
            </w:r>
          </w:p>
          <w:p>
            <w:pPr>
              <w:spacing w:line="380" w:lineRule="exact"/>
              <w:jc w:val="left"/>
              <w:rPr>
                <w:rFonts w:ascii="宋体" w:hAnsi="宋体" w:cs="宋体"/>
                <w:color w:val="auto"/>
                <w:szCs w:val="21"/>
              </w:rPr>
            </w:pPr>
            <w:r>
              <w:rPr>
                <w:rFonts w:hint="eastAsia" w:ascii="宋体" w:hAnsi="宋体" w:cs="宋体"/>
                <w:color w:val="auto"/>
                <w:szCs w:val="21"/>
              </w:rPr>
              <w:t>1.时间：____________________</w:t>
            </w:r>
          </w:p>
          <w:p>
            <w:pPr>
              <w:spacing w:line="380" w:lineRule="exact"/>
              <w:jc w:val="left"/>
              <w:rPr>
                <w:rFonts w:ascii="宋体" w:hAnsi="宋体" w:cs="宋体"/>
                <w:color w:val="auto"/>
                <w:szCs w:val="21"/>
              </w:rPr>
            </w:pPr>
            <w:r>
              <w:rPr>
                <w:rFonts w:hint="eastAsia" w:ascii="宋体" w:hAnsi="宋体" w:cs="宋体"/>
                <w:color w:val="auto"/>
                <w:szCs w:val="21"/>
              </w:rPr>
              <w:t>2.地点：____________________</w:t>
            </w:r>
          </w:p>
          <w:p>
            <w:pPr>
              <w:spacing w:line="380" w:lineRule="exact"/>
              <w:jc w:val="left"/>
              <w:rPr>
                <w:rFonts w:ascii="宋体" w:hAnsi="宋体" w:cs="宋体"/>
                <w:color w:val="auto"/>
                <w:kern w:val="0"/>
                <w:szCs w:val="21"/>
              </w:rPr>
            </w:pPr>
            <w:r>
              <w:rPr>
                <w:rFonts w:hint="eastAsia" w:ascii="宋体" w:hAnsi="宋体" w:cs="宋体"/>
                <w:color w:val="auto"/>
                <w:szCs w:val="21"/>
              </w:rPr>
              <w:t>3.其他：____________________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6</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样品</w:t>
            </w:r>
          </w:p>
        </w:tc>
        <w:tc>
          <w:tcPr>
            <w:tcW w:w="6057"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☑不要求提供</w:t>
            </w:r>
          </w:p>
          <w:p>
            <w:pPr>
              <w:spacing w:line="380" w:lineRule="exact"/>
              <w:jc w:val="left"/>
              <w:rPr>
                <w:rFonts w:ascii="宋体" w:hAnsi="宋体" w:cs="宋体"/>
                <w:color w:val="auto"/>
                <w:kern w:val="0"/>
                <w:szCs w:val="21"/>
              </w:rPr>
            </w:pPr>
            <w:r>
              <w:rPr>
                <w:rFonts w:hint="eastAsia" w:ascii="宋体" w:hAnsi="宋体" w:cs="宋体"/>
                <w:color w:val="auto"/>
                <w:kern w:val="0"/>
                <w:szCs w:val="21"/>
              </w:rPr>
              <w:t xml:space="preserve">□要求提供 </w:t>
            </w:r>
          </w:p>
          <w:p>
            <w:pPr>
              <w:spacing w:line="380" w:lineRule="exact"/>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rPr>
              <w:tab/>
            </w:r>
            <w:r>
              <w:rPr>
                <w:rFonts w:hint="eastAsia" w:ascii="宋体" w:hAnsi="宋体" w:cs="宋体"/>
                <w:color w:val="auto"/>
                <w:kern w:val="0"/>
                <w:szCs w:val="21"/>
              </w:rPr>
              <w:t>样品制作的标准和要求：</w:t>
            </w:r>
          </w:p>
          <w:p>
            <w:pPr>
              <w:spacing w:line="380" w:lineRule="exact"/>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rPr>
              <w:tab/>
            </w:r>
            <w:r>
              <w:rPr>
                <w:rFonts w:hint="eastAsia" w:ascii="宋体" w:hAnsi="宋体" w:cs="宋体"/>
                <w:color w:val="auto"/>
                <w:kern w:val="0"/>
                <w:szCs w:val="21"/>
              </w:rPr>
              <w:t>样品检测报告：（□否；□是，检测机构的要求、检测内容详见第六章 项目采购需求）</w:t>
            </w:r>
          </w:p>
          <w:p>
            <w:pPr>
              <w:spacing w:line="380" w:lineRule="exact"/>
              <w:jc w:val="left"/>
              <w:rPr>
                <w:rFonts w:ascii="宋体" w:hAnsi="宋体" w:cs="宋体"/>
                <w:color w:val="auto"/>
                <w:kern w:val="0"/>
                <w:szCs w:val="21"/>
              </w:rPr>
            </w:pPr>
            <w:r>
              <w:rPr>
                <w:rFonts w:hint="eastAsia" w:ascii="宋体" w:hAnsi="宋体" w:cs="宋体"/>
                <w:color w:val="auto"/>
                <w:kern w:val="0"/>
                <w:szCs w:val="21"/>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restart"/>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7</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联合体</w:t>
            </w:r>
          </w:p>
        </w:tc>
        <w:tc>
          <w:tcPr>
            <w:tcW w:w="6057"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☑不接受</w:t>
            </w:r>
          </w:p>
          <w:p>
            <w:pPr>
              <w:spacing w:line="380" w:lineRule="exact"/>
              <w:jc w:val="left"/>
              <w:rPr>
                <w:rFonts w:ascii="宋体" w:hAnsi="宋体" w:cs="宋体"/>
                <w:color w:val="auto"/>
                <w:kern w:val="0"/>
                <w:szCs w:val="21"/>
              </w:rPr>
            </w:pPr>
            <w:r>
              <w:rPr>
                <w:rFonts w:hint="eastAsia" w:ascii="宋体" w:hAnsi="宋体" w:cs="宋体"/>
                <w:color w:val="auto"/>
                <w:kern w:val="0"/>
                <w:szCs w:val="21"/>
                <w:lang w:val="zh-TW"/>
              </w:rPr>
              <w:t>□</w:t>
            </w:r>
            <w:r>
              <w:rPr>
                <w:rFonts w:hint="eastAsia" w:ascii="宋体" w:hAnsi="宋体" w:cs="宋体"/>
                <w:color w:val="auto"/>
                <w:kern w:val="0"/>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continue"/>
            <w:vAlign w:val="center"/>
          </w:tcPr>
          <w:p>
            <w:pPr>
              <w:spacing w:line="380" w:lineRule="exact"/>
              <w:jc w:val="center"/>
              <w:rPr>
                <w:rFonts w:ascii="宋体" w:hAnsi="宋体" w:cs="宋体"/>
                <w:color w:val="auto"/>
                <w:kern w:val="0"/>
                <w:szCs w:val="21"/>
              </w:rPr>
            </w:pPr>
          </w:p>
        </w:tc>
        <w:tc>
          <w:tcPr>
            <w:tcW w:w="1735" w:type="dxa"/>
          </w:tcPr>
          <w:p>
            <w:pPr>
              <w:spacing w:line="380" w:lineRule="exact"/>
              <w:rPr>
                <w:rFonts w:ascii="宋体" w:hAnsi="宋体" w:cs="宋体"/>
                <w:color w:val="auto"/>
                <w:kern w:val="0"/>
                <w:szCs w:val="21"/>
              </w:rPr>
            </w:pPr>
            <w:r>
              <w:rPr>
                <w:rFonts w:hint="eastAsia" w:ascii="宋体" w:hAnsi="宋体" w:cs="宋体"/>
                <w:color w:val="auto"/>
                <w:kern w:val="0"/>
                <w:szCs w:val="21"/>
                <w:lang w:val="zh-TW"/>
              </w:rPr>
              <w:t>分包</w:t>
            </w:r>
          </w:p>
        </w:tc>
        <w:tc>
          <w:tcPr>
            <w:tcW w:w="6057" w:type="dxa"/>
            <w:gridSpan w:val="2"/>
          </w:tcPr>
          <w:p>
            <w:pPr>
              <w:spacing w:line="380" w:lineRule="exact"/>
              <w:ind w:left="80"/>
              <w:jc w:val="left"/>
              <w:rPr>
                <w:color w:val="auto"/>
              </w:rPr>
            </w:pPr>
            <w:r>
              <w:rPr>
                <w:rFonts w:hint="eastAsia"/>
                <w:color w:val="auto"/>
              </w:rPr>
              <w:t>☑</w:t>
            </w:r>
            <w:r>
              <w:rPr>
                <w:rFonts w:hint="eastAsia"/>
                <w:color w:val="auto"/>
                <w:lang w:val="zh-TW"/>
              </w:rPr>
              <w:t>不接受</w:t>
            </w:r>
          </w:p>
          <w:p>
            <w:pPr>
              <w:spacing w:line="380" w:lineRule="exact"/>
              <w:ind w:left="80"/>
              <w:jc w:val="left"/>
              <w:rPr>
                <w:color w:val="auto"/>
                <w:lang w:val="zh-TW"/>
              </w:rPr>
            </w:pPr>
            <w:r>
              <w:rPr>
                <w:rFonts w:hint="eastAsia"/>
                <w:color w:val="auto"/>
              </w:rPr>
              <w:t>□</w:t>
            </w:r>
            <w:r>
              <w:rPr>
                <w:rFonts w:hint="eastAsia"/>
                <w:color w:val="auto"/>
                <w:lang w:val="zh-TW"/>
              </w:rPr>
              <w:t>接受：分包要求详见第六章项目采购需求</w:t>
            </w:r>
          </w:p>
          <w:p>
            <w:pPr>
              <w:pStyle w:val="3"/>
              <w:rPr>
                <w:color w:val="auto"/>
              </w:rPr>
            </w:pPr>
            <w:r>
              <w:rPr>
                <w:rFonts w:hint="eastAsia"/>
                <w:b w:val="0"/>
                <w:bCs/>
                <w:color w:val="auto"/>
                <w:szCs w:val="21"/>
                <w:u w:val="single"/>
              </w:rPr>
              <w:t>注：享受扶持政策获得采购合同的，小微企业不得将合同分包给大中型企业，中型企业不得将合同分包给大型企业。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8</w:t>
            </w:r>
          </w:p>
        </w:tc>
        <w:tc>
          <w:tcPr>
            <w:tcW w:w="1735" w:type="dxa"/>
            <w:vAlign w:val="center"/>
          </w:tcPr>
          <w:p>
            <w:pPr>
              <w:spacing w:line="380" w:lineRule="exact"/>
              <w:jc w:val="center"/>
              <w:rPr>
                <w:rFonts w:ascii="宋体" w:hAnsi="宋体" w:cs="宋体"/>
                <w:color w:val="auto"/>
                <w:kern w:val="0"/>
                <w:szCs w:val="21"/>
                <w:lang w:val="zh-TW"/>
              </w:rPr>
            </w:pPr>
            <w:r>
              <w:rPr>
                <w:rFonts w:hint="eastAsia" w:ascii="宋体" w:hAnsi="宋体" w:cs="宋体"/>
                <w:color w:val="auto"/>
                <w:kern w:val="0"/>
                <w:szCs w:val="21"/>
                <w:lang w:val="zh-TW"/>
              </w:rPr>
              <w:t>支持中小企业发展（监狱企业、残疾人福利性单位视同小型、微型企业，享受预留份额、评审中价格扣除等促进中小企业发展的政府采购政策。残疾人福利性单位属于小型、微型企业的，不重复享受政策。）</w:t>
            </w:r>
          </w:p>
        </w:tc>
        <w:tc>
          <w:tcPr>
            <w:tcW w:w="6057" w:type="dxa"/>
            <w:gridSpan w:val="2"/>
            <w:vAlign w:val="center"/>
          </w:tcPr>
          <w:p>
            <w:pPr>
              <w:spacing w:line="380" w:lineRule="exact"/>
              <w:jc w:val="left"/>
              <w:rPr>
                <w:rFonts w:ascii="宋体" w:hAnsi="宋体" w:cs="宋体"/>
                <w:color w:val="auto"/>
                <w:kern w:val="0"/>
                <w:szCs w:val="21"/>
                <w:lang w:val="zh-TW"/>
              </w:rPr>
            </w:pPr>
            <w:r>
              <w:rPr>
                <w:rFonts w:hint="eastAsia" w:ascii="宋体" w:hAnsi="宋体" w:cs="宋体"/>
                <w:color w:val="auto"/>
                <w:kern w:val="0"/>
                <w:szCs w:val="21"/>
                <w:lang w:val="zh-TW"/>
              </w:rPr>
              <w:t>□专门面向中小企业采购项目</w:t>
            </w:r>
          </w:p>
          <w:p>
            <w:pPr>
              <w:spacing w:line="380" w:lineRule="exact"/>
              <w:jc w:val="left"/>
              <w:rPr>
                <w:rFonts w:ascii="宋体" w:hAnsi="宋体" w:cs="宋体"/>
                <w:color w:val="auto"/>
                <w:kern w:val="0"/>
                <w:szCs w:val="21"/>
                <w:lang w:val="zh-TW"/>
              </w:rPr>
            </w:pPr>
            <w:r>
              <w:rPr>
                <w:rFonts w:hint="eastAsia" w:ascii="宋体" w:hAnsi="宋体" w:cs="宋体"/>
                <w:color w:val="auto"/>
                <w:kern w:val="0"/>
                <w:szCs w:val="21"/>
                <w:lang w:val="zh-TW"/>
              </w:rPr>
              <w:t>本项目为专门面对中小企业项目，小微企业、监狱企业、残疾人福利性单位不再执行价格评审优惠的扶持政策。依据本项目规定享受扶持政策获得采购合同的，小微企业不得将合同分包给大中型企业，中型企业不得将合同分包给大型企业。</w:t>
            </w:r>
          </w:p>
          <w:p>
            <w:pPr>
              <w:spacing w:line="380" w:lineRule="exact"/>
              <w:jc w:val="left"/>
              <w:rPr>
                <w:rFonts w:ascii="宋体" w:hAnsi="宋体" w:cs="宋体"/>
                <w:color w:val="auto"/>
                <w:kern w:val="0"/>
                <w:szCs w:val="21"/>
              </w:rPr>
            </w:pPr>
            <w:r>
              <w:rPr>
                <w:rFonts w:hint="eastAsia" w:ascii="宋体" w:hAnsi="宋体" w:cs="宋体"/>
                <w:color w:val="auto"/>
                <w:kern w:val="0"/>
                <w:szCs w:val="21"/>
                <w:lang w:val="zh-TW"/>
              </w:rPr>
              <w:t>☑</w:t>
            </w:r>
            <w:r>
              <w:rPr>
                <w:rFonts w:hint="eastAsia" w:ascii="宋体" w:hAnsi="宋体" w:cs="宋体"/>
                <w:color w:val="auto"/>
                <w:kern w:val="0"/>
                <w:szCs w:val="21"/>
              </w:rPr>
              <w:t>非专门面向中小企业采购项目（价格扣除）：</w:t>
            </w:r>
          </w:p>
          <w:p>
            <w:pPr>
              <w:spacing w:line="380" w:lineRule="exact"/>
              <w:jc w:val="left"/>
              <w:rPr>
                <w:rFonts w:ascii="宋体" w:hAnsi="宋体" w:cs="宋体"/>
                <w:color w:val="auto"/>
                <w:kern w:val="0"/>
                <w:szCs w:val="21"/>
              </w:rPr>
            </w:pPr>
            <w:r>
              <w:rPr>
                <w:rFonts w:hint="eastAsia" w:ascii="宋体" w:hAnsi="宋体" w:cs="宋体"/>
                <w:color w:val="auto"/>
                <w:kern w:val="0"/>
                <w:szCs w:val="21"/>
              </w:rPr>
              <w:t>1.对小型和微型企业产品的价格给予6%～10%的扣除，用扣除后的价格参与评审。本项目的扣除比例为：小型企业扣除7%，微型企业扣除7%。</w:t>
            </w:r>
          </w:p>
          <w:p>
            <w:pPr>
              <w:spacing w:line="380" w:lineRule="exact"/>
              <w:jc w:val="left"/>
              <w:rPr>
                <w:rFonts w:ascii="宋体" w:hAnsi="宋体" w:cs="宋体"/>
                <w:color w:val="auto"/>
                <w:kern w:val="0"/>
                <w:szCs w:val="21"/>
              </w:rPr>
            </w:pPr>
            <w:r>
              <w:rPr>
                <w:rFonts w:hint="eastAsia" w:ascii="宋体" w:hAnsi="宋体" w:cs="宋体"/>
                <w:color w:val="auto"/>
                <w:kern w:val="0"/>
                <w:szCs w:val="21"/>
              </w:rPr>
              <w:t>2.本项目接受联合体或者分包参与磋商的，若小型和微型企业的协议合同金额占到联合体协议或者分包意向协议合同总金额30%以上的，给予联合体或者大中型企业报价2%～3%的扣除，用扣除后的价格参与评审。本项目的扣除比例为：___%。</w:t>
            </w:r>
          </w:p>
          <w:p>
            <w:pPr>
              <w:spacing w:line="380" w:lineRule="exact"/>
              <w:jc w:val="left"/>
              <w:rPr>
                <w:rFonts w:ascii="宋体" w:hAnsi="宋体" w:cs="宋体"/>
                <w:color w:val="auto"/>
                <w:kern w:val="0"/>
                <w:szCs w:val="21"/>
              </w:rPr>
            </w:pPr>
            <w:r>
              <w:rPr>
                <w:rFonts w:hint="eastAsia" w:ascii="宋体" w:hAnsi="宋体" w:cs="宋体"/>
                <w:color w:val="auto"/>
                <w:kern w:val="0"/>
                <w:szCs w:val="21"/>
              </w:rPr>
              <w:t>□ 非专门面向中小企业采购项目（其他优惠）：____________________</w:t>
            </w:r>
          </w:p>
          <w:p>
            <w:pPr>
              <w:spacing w:line="380" w:lineRule="exact"/>
              <w:jc w:val="center"/>
              <w:rPr>
                <w:rFonts w:ascii="宋体" w:hAnsi="宋体" w:cs="宋体"/>
                <w:color w:val="auto"/>
                <w:kern w:val="0"/>
                <w:szCs w:val="21"/>
                <w:lang w:val="zh-TW"/>
              </w:rPr>
            </w:pPr>
            <w:r>
              <w:rPr>
                <w:rFonts w:hint="eastAsia" w:ascii="宋体" w:hAnsi="宋体" w:cs="宋体"/>
                <w:color w:val="auto"/>
                <w:kern w:val="0"/>
                <w:szCs w:val="21"/>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出具的属于监狱企业的证明文件，否则不得享受相关扶持政策。提供声明函或证明文件内容不实的，属于提供虚假材料谋取中标、成交，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9</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其他规定</w:t>
            </w:r>
          </w:p>
        </w:tc>
        <w:tc>
          <w:tcPr>
            <w:tcW w:w="6057" w:type="dxa"/>
            <w:gridSpan w:val="2"/>
            <w:vAlign w:val="center"/>
          </w:tcPr>
          <w:p>
            <w:pPr>
              <w:spacing w:line="380" w:lineRule="exact"/>
              <w:ind w:firstLine="420" w:firstLineChars="200"/>
              <w:rPr>
                <w:rFonts w:ascii="宋体" w:hAnsi="宋体" w:cs="宋体"/>
                <w:color w:val="auto"/>
                <w:szCs w:val="21"/>
              </w:rPr>
            </w:pPr>
            <w:r>
              <w:rPr>
                <w:rFonts w:hint="eastAsia" w:ascii="宋体" w:hAnsi="宋体" w:cs="宋体"/>
                <w:color w:val="auto"/>
                <w:szCs w:val="21"/>
              </w:rPr>
              <w:t>根据《国家税务总局广西壮族自治区税务局办公室关于修订印发《国家税务总局广西壮族自治区税务局系统目录外标准下项目采购管理暂行办法》的通知》：采购代理机构按照采购文件规定的时间及要求组织评审，并形成评审报告。原则上参加采购的供应商不得少于3家，经评审小组同意也可为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10</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供应商须提供的其他资料</w:t>
            </w:r>
          </w:p>
        </w:tc>
        <w:tc>
          <w:tcPr>
            <w:tcW w:w="6057"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rPr>
              <w:t>供应商应根据采购文件和项目采购需求提供相关资料。</w:t>
            </w:r>
            <w:r>
              <w:rPr>
                <w:rFonts w:hint="eastAsia" w:ascii="宋体" w:hAnsi="宋体" w:cs="宋体"/>
                <w:color w:val="auto"/>
                <w:u w:val="single"/>
              </w:rPr>
              <w:t>除采购文件要求必要的原件核对外，对于供应商能够在线提供的材料，供应商可不提供纸质材料。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11</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澄清或者修改时间</w:t>
            </w:r>
          </w:p>
        </w:tc>
        <w:tc>
          <w:tcPr>
            <w:tcW w:w="6057" w:type="dxa"/>
            <w:gridSpan w:val="2"/>
            <w:vAlign w:val="center"/>
          </w:tcPr>
          <w:p>
            <w:pPr>
              <w:spacing w:line="380" w:lineRule="exact"/>
              <w:jc w:val="left"/>
              <w:rPr>
                <w:rFonts w:ascii="宋体" w:hAnsi="宋体" w:cs="宋体"/>
                <w:color w:val="auto"/>
              </w:rPr>
            </w:pPr>
            <w:r>
              <w:rPr>
                <w:rFonts w:hint="eastAsia" w:ascii="宋体" w:hAnsi="宋体" w:cs="宋体"/>
                <w:color w:val="auto"/>
              </w:rPr>
              <w:t>澄清或者修改的内容可能影响响应文件编制的，采购人或者采购代理机构磋商文件要求的提交首次响应文件截止时间至少2个工作日前，在磋商公告发布媒介上发布；不足2个工作日的，采购人或者采购代理机构顺延提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12</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递交磋商响应文件的截止时间和地点</w:t>
            </w:r>
          </w:p>
        </w:tc>
        <w:tc>
          <w:tcPr>
            <w:tcW w:w="6057" w:type="dxa"/>
            <w:gridSpan w:val="2"/>
            <w:vAlign w:val="center"/>
          </w:tcPr>
          <w:p>
            <w:pPr>
              <w:spacing w:line="380" w:lineRule="exact"/>
              <w:jc w:val="left"/>
              <w:rPr>
                <w:rFonts w:ascii="宋体" w:hAnsi="宋体" w:cs="宋体"/>
                <w:color w:val="auto"/>
                <w:szCs w:val="21"/>
              </w:rPr>
            </w:pPr>
            <w:r>
              <w:rPr>
                <w:rFonts w:hint="eastAsia" w:ascii="宋体" w:hAnsi="宋体" w:cs="宋体"/>
                <w:color w:val="auto"/>
                <w:szCs w:val="21"/>
              </w:rPr>
              <w:t>时间：2021年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日9时30分</w:t>
            </w:r>
            <w:r>
              <w:rPr>
                <w:rFonts w:hint="eastAsia" w:ascii="宋体" w:hAnsi="宋体" w:cs="宋体"/>
                <w:bCs/>
                <w:color w:val="auto"/>
                <w:szCs w:val="21"/>
              </w:rPr>
              <w:t>（北京时间）</w:t>
            </w:r>
          </w:p>
          <w:p>
            <w:pPr>
              <w:spacing w:line="380" w:lineRule="exact"/>
              <w:jc w:val="left"/>
              <w:rPr>
                <w:rFonts w:ascii="宋体" w:hAnsi="宋体" w:cs="宋体"/>
                <w:color w:val="auto"/>
                <w:kern w:val="0"/>
                <w:szCs w:val="21"/>
              </w:rPr>
            </w:pPr>
            <w:r>
              <w:rPr>
                <w:rFonts w:hint="eastAsia" w:ascii="宋体" w:hAnsi="宋体" w:cs="宋体"/>
                <w:color w:val="auto"/>
                <w:szCs w:val="21"/>
              </w:rPr>
              <w:t>地点：广西科联招标中心有限公司柳州分公司开标室（柳州市城中区东环大道256号万达中心写字楼13-22室）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13</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磋商响应文件开启时间和地点</w:t>
            </w:r>
          </w:p>
        </w:tc>
        <w:tc>
          <w:tcPr>
            <w:tcW w:w="6057" w:type="dxa"/>
            <w:gridSpan w:val="2"/>
            <w:vAlign w:val="center"/>
          </w:tcPr>
          <w:p>
            <w:pPr>
              <w:spacing w:line="380" w:lineRule="exact"/>
              <w:jc w:val="left"/>
              <w:rPr>
                <w:rFonts w:ascii="宋体" w:hAnsi="宋体" w:cs="宋体"/>
                <w:color w:val="auto"/>
                <w:szCs w:val="21"/>
              </w:rPr>
            </w:pPr>
            <w:r>
              <w:rPr>
                <w:rFonts w:hint="eastAsia" w:ascii="宋体" w:hAnsi="宋体" w:cs="宋体"/>
                <w:color w:val="auto"/>
                <w:szCs w:val="21"/>
              </w:rPr>
              <w:t>时间：2021年</w:t>
            </w:r>
            <w:r>
              <w:rPr>
                <w:rFonts w:hint="eastAsia" w:ascii="宋体" w:hAnsi="宋体" w:cs="宋体"/>
                <w:color w:val="auto"/>
                <w:szCs w:val="21"/>
                <w:lang w:val="en-US" w:eastAsia="zh-CN"/>
              </w:rPr>
              <w:t xml:space="preserve"> </w:t>
            </w:r>
            <w:r>
              <w:rPr>
                <w:rFonts w:hint="eastAsia" w:ascii="宋体" w:hAnsi="宋体" w:cs="宋体"/>
                <w:color w:val="auto"/>
                <w:szCs w:val="21"/>
              </w:rPr>
              <w:t>月</w:t>
            </w:r>
            <w:r>
              <w:rPr>
                <w:rFonts w:hint="eastAsia" w:ascii="宋体" w:hAnsi="宋体" w:cs="宋体"/>
                <w:color w:val="auto"/>
                <w:szCs w:val="21"/>
                <w:lang w:val="en-US" w:eastAsia="zh-CN"/>
              </w:rPr>
              <w:t xml:space="preserve"> </w:t>
            </w:r>
            <w:r>
              <w:rPr>
                <w:rFonts w:hint="eastAsia" w:ascii="宋体" w:hAnsi="宋体" w:cs="宋体"/>
                <w:color w:val="auto"/>
                <w:szCs w:val="21"/>
              </w:rPr>
              <w:t>日9时30分</w:t>
            </w:r>
            <w:r>
              <w:rPr>
                <w:rFonts w:hint="eastAsia" w:ascii="宋体" w:hAnsi="宋体" w:cs="宋体"/>
                <w:bCs/>
                <w:color w:val="auto"/>
                <w:szCs w:val="21"/>
              </w:rPr>
              <w:t>（北京时间）</w:t>
            </w:r>
            <w:r>
              <w:rPr>
                <w:rFonts w:hint="eastAsia"/>
                <w:color w:val="auto"/>
                <w:lang w:eastAsia="zh-CN"/>
              </w:rPr>
              <w:t>后</w:t>
            </w:r>
          </w:p>
          <w:p>
            <w:pPr>
              <w:spacing w:line="380" w:lineRule="exact"/>
              <w:jc w:val="left"/>
              <w:rPr>
                <w:rFonts w:ascii="宋体" w:hAnsi="宋体" w:cs="宋体"/>
                <w:color w:val="auto"/>
                <w:kern w:val="0"/>
                <w:szCs w:val="21"/>
              </w:rPr>
            </w:pPr>
            <w:r>
              <w:rPr>
                <w:rFonts w:hint="eastAsia" w:ascii="宋体" w:hAnsi="宋体" w:cs="宋体"/>
                <w:color w:val="auto"/>
                <w:szCs w:val="21"/>
              </w:rPr>
              <w:t>地点：广西科联招标中心有限公司柳州分公司开标室（柳州市城中区东环大道256号万达中心写字楼13-22室）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14</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磋商保证金</w:t>
            </w:r>
          </w:p>
        </w:tc>
        <w:tc>
          <w:tcPr>
            <w:tcW w:w="6057"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sym w:font="Wingdings 2" w:char="0052"/>
            </w:r>
            <w:r>
              <w:rPr>
                <w:rFonts w:hint="eastAsia" w:ascii="宋体" w:hAnsi="宋体" w:cs="宋体"/>
                <w:color w:val="auto"/>
                <w:kern w:val="0"/>
                <w:szCs w:val="21"/>
              </w:rPr>
              <w:t>不要求提供</w:t>
            </w:r>
          </w:p>
          <w:p>
            <w:pPr>
              <w:spacing w:line="380" w:lineRule="exact"/>
              <w:jc w:val="left"/>
              <w:rPr>
                <w:rFonts w:ascii="宋体" w:hAnsi="宋体" w:cs="宋体"/>
                <w:color w:val="auto"/>
                <w:szCs w:val="21"/>
              </w:rPr>
            </w:pPr>
            <w:r>
              <w:rPr>
                <w:rFonts w:hint="eastAsia" w:ascii="宋体" w:hAnsi="宋体" w:cs="宋体"/>
                <w:color w:val="auto"/>
                <w:kern w:val="0"/>
                <w:szCs w:val="21"/>
              </w:rPr>
              <w:t>☑要求提供。磋商保证金数额不得超过采购项目预算金额的2%，</w:t>
            </w:r>
            <w:r>
              <w:rPr>
                <w:rFonts w:hint="eastAsia" w:ascii="宋体" w:hAnsi="宋体" w:cs="宋体"/>
                <w:b/>
                <w:color w:val="auto"/>
                <w:kern w:val="0"/>
                <w:szCs w:val="21"/>
              </w:rPr>
              <w:t>本项目的磋商保证金为人民币</w:t>
            </w:r>
            <w:r>
              <w:rPr>
                <w:rFonts w:hint="eastAsia" w:ascii="宋体" w:hAnsi="宋体" w:cs="宋体"/>
                <w:b/>
                <w:color w:val="auto"/>
                <w:kern w:val="0"/>
                <w:szCs w:val="21"/>
                <w:lang w:val="en-US" w:eastAsia="zh-CN"/>
              </w:rPr>
              <w:t>叁</w:t>
            </w:r>
            <w:r>
              <w:rPr>
                <w:rFonts w:hint="eastAsia" w:ascii="宋体" w:hAnsi="宋体" w:cs="宋体"/>
                <w:b/>
                <w:bCs/>
                <w:color w:val="auto"/>
                <w:kern w:val="0"/>
                <w:szCs w:val="21"/>
              </w:rPr>
              <w:t>仟</w:t>
            </w:r>
            <w:r>
              <w:rPr>
                <w:rFonts w:hint="eastAsia" w:ascii="宋体" w:hAnsi="宋体" w:cs="宋体"/>
                <w:b/>
                <w:color w:val="auto"/>
                <w:kern w:val="0"/>
                <w:szCs w:val="21"/>
              </w:rPr>
              <w:t>元整</w:t>
            </w:r>
            <w:r>
              <w:rPr>
                <w:rFonts w:hint="eastAsia" w:ascii="宋体" w:hAnsi="宋体" w:cs="宋体"/>
                <w:b/>
                <w:color w:val="auto"/>
              </w:rPr>
              <w:t>(¥</w:t>
            </w:r>
            <w:r>
              <w:rPr>
                <w:rFonts w:hint="eastAsia" w:ascii="宋体" w:hAnsi="宋体" w:cs="宋体"/>
                <w:b/>
                <w:color w:val="auto"/>
                <w:u w:val="single"/>
                <w:lang w:val="en-US" w:eastAsia="zh-CN"/>
              </w:rPr>
              <w:t>3</w:t>
            </w:r>
            <w:r>
              <w:rPr>
                <w:rFonts w:hint="eastAsia" w:ascii="宋体" w:hAnsi="宋体" w:cs="宋体"/>
                <w:b/>
                <w:color w:val="auto"/>
                <w:u w:val="single"/>
              </w:rPr>
              <w:t>000.00</w:t>
            </w:r>
            <w:r>
              <w:rPr>
                <w:rFonts w:hint="eastAsia" w:ascii="宋体" w:hAnsi="宋体" w:cs="宋体"/>
                <w:b/>
                <w:color w:val="auto"/>
              </w:rPr>
              <w:t>)，</w:t>
            </w:r>
            <w:r>
              <w:rPr>
                <w:rFonts w:hint="eastAsia" w:ascii="宋体" w:hAnsi="宋体" w:cs="宋体"/>
                <w:color w:val="auto"/>
                <w:kern w:val="0"/>
                <w:szCs w:val="21"/>
              </w:rPr>
              <w:t>提交方式：</w:t>
            </w:r>
            <w:r>
              <w:rPr>
                <w:rFonts w:hint="eastAsia" w:ascii="宋体" w:hAnsi="宋体" w:cs="宋体"/>
                <w:color w:val="auto"/>
                <w:szCs w:val="21"/>
              </w:rPr>
              <w:t>供应商必须于</w:t>
            </w:r>
            <w:r>
              <w:rPr>
                <w:rFonts w:hint="eastAsia"/>
                <w:color w:val="auto"/>
                <w:lang w:val="en-US" w:eastAsia="zh-CN"/>
              </w:rPr>
              <w:t>首次</w:t>
            </w:r>
            <w:r>
              <w:rPr>
                <w:rFonts w:hint="eastAsia" w:ascii="宋体" w:hAnsi="宋体" w:cs="宋体"/>
                <w:color w:val="auto"/>
                <w:szCs w:val="21"/>
              </w:rPr>
              <w:t>响应文件递交截止时间前以转账、支票、汇票、本票或者金融机构、担保机构出具的保函等非现金形式提交给采购代理机构。</w:t>
            </w:r>
          </w:p>
          <w:p>
            <w:pPr>
              <w:pStyle w:val="193"/>
              <w:spacing w:line="360" w:lineRule="auto"/>
              <w:ind w:left="495" w:firstLine="0" w:firstLineChars="0"/>
              <w:rPr>
                <w:rFonts w:ascii="宋体" w:hAnsi="宋体" w:cs="宋体"/>
                <w:color w:val="auto"/>
                <w:kern w:val="0"/>
                <w:szCs w:val="21"/>
              </w:rPr>
            </w:pPr>
            <w:r>
              <w:rPr>
                <w:rFonts w:hint="eastAsia" w:ascii="宋体" w:hAnsi="宋体" w:cs="宋体"/>
                <w:color w:val="auto"/>
                <w:kern w:val="0"/>
                <w:szCs w:val="21"/>
              </w:rPr>
              <w:t>开户银行：广西北部湾银行南宁相思湖支行</w:t>
            </w:r>
          </w:p>
          <w:p>
            <w:pPr>
              <w:pStyle w:val="193"/>
              <w:spacing w:line="360" w:lineRule="auto"/>
              <w:ind w:left="495" w:firstLine="0" w:firstLineChars="0"/>
              <w:rPr>
                <w:rFonts w:ascii="宋体" w:hAnsi="宋体" w:cs="宋体"/>
                <w:color w:val="auto"/>
                <w:kern w:val="0"/>
                <w:szCs w:val="21"/>
              </w:rPr>
            </w:pPr>
            <w:r>
              <w:rPr>
                <w:rFonts w:hint="eastAsia" w:ascii="宋体" w:hAnsi="宋体" w:cs="宋体"/>
                <w:color w:val="auto"/>
                <w:kern w:val="0"/>
                <w:szCs w:val="21"/>
              </w:rPr>
              <w:t>开户名称：广西科联招标中心有限公司</w:t>
            </w:r>
          </w:p>
          <w:p>
            <w:pPr>
              <w:pStyle w:val="193"/>
              <w:spacing w:line="360" w:lineRule="auto"/>
              <w:ind w:left="495" w:firstLine="0" w:firstLineChars="0"/>
              <w:rPr>
                <w:rFonts w:ascii="宋体" w:hAnsi="宋体" w:cs="宋体"/>
                <w:color w:val="auto"/>
                <w:kern w:val="0"/>
                <w:szCs w:val="21"/>
              </w:rPr>
            </w:pPr>
            <w:r>
              <w:rPr>
                <w:rFonts w:hint="eastAsia" w:ascii="宋体" w:hAnsi="宋体" w:cs="宋体"/>
                <w:color w:val="auto"/>
                <w:kern w:val="0"/>
                <w:szCs w:val="21"/>
              </w:rPr>
              <w:t>银行账号：8000  5435  9168  889</w:t>
            </w:r>
          </w:p>
          <w:p>
            <w:pPr>
              <w:pStyle w:val="193"/>
              <w:spacing w:line="360" w:lineRule="auto"/>
              <w:ind w:left="495" w:firstLine="0" w:firstLineChars="0"/>
              <w:rPr>
                <w:rFonts w:ascii="宋体" w:hAnsi="宋体" w:cs="宋体"/>
                <w:color w:val="auto"/>
                <w:szCs w:val="21"/>
              </w:rPr>
            </w:pPr>
            <w:r>
              <w:rPr>
                <w:rFonts w:hint="eastAsia" w:ascii="宋体" w:hAnsi="宋体" w:cs="宋体"/>
                <w:color w:val="auto"/>
                <w:kern w:val="0"/>
                <w:szCs w:val="21"/>
              </w:rPr>
              <w:t>开户行行号：3136 1101 8066</w:t>
            </w:r>
          </w:p>
          <w:p>
            <w:pPr>
              <w:spacing w:line="360" w:lineRule="auto"/>
              <w:ind w:firstLine="422" w:firstLineChars="200"/>
              <w:rPr>
                <w:rFonts w:ascii="宋体" w:hAnsi="宋体" w:cs="宋体"/>
                <w:color w:val="auto"/>
                <w:szCs w:val="21"/>
              </w:rPr>
            </w:pPr>
            <w:r>
              <w:rPr>
                <w:rFonts w:hint="eastAsia" w:ascii="宋体" w:hAnsi="宋体" w:cs="宋体"/>
                <w:b/>
                <w:color w:val="auto"/>
                <w:szCs w:val="21"/>
              </w:rPr>
              <w:t>注：办理磋商保证金手续时，请务必在银行进账单或电汇单的用途或空白栏上注明“柳州+项目编号” 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15</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磋商响应有效期</w:t>
            </w:r>
          </w:p>
        </w:tc>
        <w:tc>
          <w:tcPr>
            <w:tcW w:w="6057"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自</w:t>
            </w:r>
            <w:r>
              <w:rPr>
                <w:rFonts w:hint="eastAsia"/>
                <w:color w:val="auto"/>
                <w:lang w:val="en-US" w:eastAsia="zh-CN"/>
              </w:rPr>
              <w:t>首次</w:t>
            </w:r>
            <w:r>
              <w:rPr>
                <w:rFonts w:hint="eastAsia" w:ascii="宋体" w:hAnsi="宋体" w:cs="宋体"/>
                <w:color w:val="auto"/>
                <w:kern w:val="0"/>
                <w:szCs w:val="21"/>
              </w:rPr>
              <w:t>响应文件提交截止时间</w:t>
            </w:r>
            <w:r>
              <w:rPr>
                <w:rFonts w:hint="eastAsia"/>
                <w:color w:val="auto"/>
                <w:lang w:eastAsia="zh-CN"/>
              </w:rPr>
              <w:t>之日</w:t>
            </w:r>
            <w:r>
              <w:rPr>
                <w:rFonts w:hint="eastAsia" w:ascii="宋体" w:hAnsi="宋体" w:cs="宋体"/>
                <w:color w:val="auto"/>
                <w:kern w:val="0"/>
                <w:szCs w:val="21"/>
              </w:rPr>
              <w:t>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16</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响应文件的</w:t>
            </w:r>
            <w:r>
              <w:rPr>
                <w:rFonts w:hint="eastAsia" w:ascii="宋体" w:hAnsi="宋体" w:cs="宋体"/>
                <w:color w:val="auto"/>
                <w:szCs w:val="21"/>
              </w:rPr>
              <w:t>组成和装订要求</w:t>
            </w:r>
          </w:p>
        </w:tc>
        <w:tc>
          <w:tcPr>
            <w:tcW w:w="6057" w:type="dxa"/>
            <w:gridSpan w:val="2"/>
            <w:vAlign w:val="center"/>
          </w:tcPr>
          <w:p>
            <w:pPr>
              <w:autoSpaceDE w:val="0"/>
              <w:autoSpaceDN w:val="0"/>
              <w:snapToGrid w:val="0"/>
              <w:spacing w:line="380" w:lineRule="exact"/>
              <w:textAlignment w:val="bottom"/>
              <w:rPr>
                <w:rFonts w:ascii="宋体" w:hAnsi="宋体" w:cs="宋体"/>
                <w:b/>
                <w:color w:val="auto"/>
                <w:szCs w:val="21"/>
              </w:rPr>
            </w:pPr>
            <w:r>
              <w:rPr>
                <w:rFonts w:hint="eastAsia" w:ascii="宋体" w:hAnsi="宋体" w:cs="宋体"/>
                <w:b/>
                <w:color w:val="auto"/>
                <w:szCs w:val="21"/>
              </w:rPr>
              <w:t>响应文件组成和装订要求：</w:t>
            </w:r>
          </w:p>
          <w:p>
            <w:pPr>
              <w:autoSpaceDE w:val="0"/>
              <w:autoSpaceDN w:val="0"/>
              <w:snapToGrid w:val="0"/>
              <w:spacing w:line="380" w:lineRule="exact"/>
              <w:textAlignment w:val="bottom"/>
              <w:rPr>
                <w:rFonts w:ascii="宋体" w:hAnsi="宋体" w:cs="宋体"/>
                <w:b/>
                <w:color w:val="auto"/>
                <w:szCs w:val="21"/>
              </w:rPr>
            </w:pPr>
            <w:r>
              <w:rPr>
                <w:rFonts w:hint="eastAsia" w:ascii="宋体" w:hAnsi="宋体" w:cs="宋体"/>
                <w:b/>
                <w:color w:val="auto"/>
                <w:szCs w:val="21"/>
              </w:rPr>
              <w:t>★（1）响应文件的封面注明：响应文件（“正本”或“副本”）、供应商名称、供应商地址、项目名称、项目编号；</w:t>
            </w:r>
          </w:p>
          <w:p>
            <w:pPr>
              <w:autoSpaceDE w:val="0"/>
              <w:autoSpaceDN w:val="0"/>
              <w:snapToGrid w:val="0"/>
              <w:spacing w:line="380" w:lineRule="exact"/>
              <w:textAlignment w:val="bottom"/>
              <w:rPr>
                <w:rFonts w:ascii="宋体" w:hAnsi="宋体" w:cs="宋体"/>
                <w:b/>
                <w:color w:val="auto"/>
                <w:szCs w:val="21"/>
              </w:rPr>
            </w:pPr>
            <w:r>
              <w:rPr>
                <w:rFonts w:hint="eastAsia" w:ascii="宋体" w:hAnsi="宋体" w:cs="宋体"/>
                <w:b/>
                <w:color w:val="auto"/>
                <w:szCs w:val="21"/>
              </w:rPr>
              <w:t>★（2）响应文件数量：</w:t>
            </w:r>
            <w:r>
              <w:rPr>
                <w:rFonts w:hint="eastAsia" w:ascii="宋体" w:hAnsi="宋体" w:cs="宋体"/>
                <w:b/>
                <w:color w:val="auto"/>
                <w:szCs w:val="21"/>
                <w:u w:val="single"/>
              </w:rPr>
              <w:t>正本 1 份，副本 2 份，电子文件1份(</w:t>
            </w:r>
            <w:r>
              <w:rPr>
                <w:rFonts w:hint="eastAsia" w:ascii="宋体" w:hAnsi="宋体" w:cs="宋体"/>
                <w:b/>
                <w:color w:val="auto"/>
                <w:szCs w:val="21"/>
                <w:u w:val="single"/>
              </w:rPr>
              <w:sym w:font="Wingdings 2" w:char="0052"/>
            </w:r>
            <w:r>
              <w:rPr>
                <w:rFonts w:hint="eastAsia" w:ascii="宋体" w:hAnsi="宋体" w:cs="宋体"/>
                <w:b/>
                <w:color w:val="auto"/>
                <w:szCs w:val="21"/>
                <w:u w:val="single"/>
              </w:rPr>
              <w:t>扫描件，</w:t>
            </w:r>
            <w:r>
              <w:rPr>
                <w:rFonts w:hint="eastAsia" w:ascii="宋体" w:hAnsi="宋体" w:cs="宋体"/>
                <w:b/>
                <w:color w:val="auto"/>
                <w:szCs w:val="21"/>
                <w:u w:val="single"/>
              </w:rPr>
              <w:sym w:font="Wingdings 2" w:char="0052"/>
            </w:r>
            <w:r>
              <w:rPr>
                <w:rFonts w:hint="eastAsia" w:ascii="宋体" w:hAnsi="宋体" w:cs="宋体"/>
                <w:b/>
                <w:color w:val="auto"/>
                <w:szCs w:val="21"/>
                <w:u w:val="single"/>
              </w:rPr>
              <w:t>Word，可多选)</w:t>
            </w:r>
            <w:r>
              <w:rPr>
                <w:rFonts w:hint="eastAsia" w:ascii="宋体" w:hAnsi="宋体" w:cs="宋体"/>
                <w:b/>
                <w:color w:val="auto"/>
                <w:szCs w:val="21"/>
              </w:rPr>
              <w:t>。</w:t>
            </w:r>
          </w:p>
          <w:p>
            <w:pPr>
              <w:autoSpaceDE w:val="0"/>
              <w:autoSpaceDN w:val="0"/>
              <w:snapToGrid w:val="0"/>
              <w:spacing w:line="380" w:lineRule="exact"/>
              <w:textAlignment w:val="bottom"/>
              <w:rPr>
                <w:rFonts w:ascii="宋体" w:hAnsi="宋体" w:cs="宋体"/>
                <w:b/>
                <w:color w:val="auto"/>
                <w:szCs w:val="21"/>
              </w:rPr>
            </w:pPr>
            <w:r>
              <w:rPr>
                <w:rFonts w:hint="eastAsia" w:ascii="宋体" w:hAnsi="宋体" w:cs="宋体"/>
                <w:b/>
                <w:color w:val="auto"/>
                <w:szCs w:val="21"/>
              </w:rPr>
              <w:t>★（3）装订要求：所有响应文件必须密封封装在响应（磋商）文件袋或纸箱中（如体积过大可分为几个包装）。</w:t>
            </w:r>
          </w:p>
          <w:p>
            <w:pPr>
              <w:autoSpaceDE w:val="0"/>
              <w:autoSpaceDN w:val="0"/>
              <w:snapToGrid w:val="0"/>
              <w:spacing w:line="380" w:lineRule="exact"/>
              <w:textAlignment w:val="bottom"/>
              <w:rPr>
                <w:rFonts w:ascii="宋体" w:hAnsi="宋体" w:cs="宋体"/>
                <w:color w:val="auto"/>
                <w:szCs w:val="21"/>
              </w:rPr>
            </w:pPr>
            <w:r>
              <w:rPr>
                <w:rFonts w:hint="eastAsia" w:ascii="宋体" w:hAnsi="宋体" w:cs="宋体"/>
                <w:color w:val="auto"/>
                <w:szCs w:val="21"/>
              </w:rPr>
              <w:t>（4）磋商保证金缴纳证明</w:t>
            </w:r>
            <w:r>
              <w:rPr>
                <w:rFonts w:hint="eastAsia" w:ascii="宋体" w:hAnsi="宋体" w:cs="宋体"/>
                <w:color w:val="auto"/>
                <w:szCs w:val="21"/>
                <w:u w:val="single"/>
              </w:rPr>
              <w:t xml:space="preserve"> 1 </w:t>
            </w:r>
            <w:r>
              <w:rPr>
                <w:rFonts w:hint="eastAsia" w:ascii="宋体" w:hAnsi="宋体" w:cs="宋体"/>
                <w:color w:val="auto"/>
                <w:szCs w:val="21"/>
              </w:rPr>
              <w:t>份，密封封装在文件袋中（该文件袋封面上写明项目名称、项目编号、供应商名称、以及“磋商保证金证明”字样），并单独提交。</w:t>
            </w:r>
          </w:p>
          <w:p>
            <w:pPr>
              <w:autoSpaceDE w:val="0"/>
              <w:autoSpaceDN w:val="0"/>
              <w:snapToGrid w:val="0"/>
              <w:spacing w:line="380" w:lineRule="exact"/>
              <w:textAlignment w:val="bottom"/>
              <w:rPr>
                <w:rFonts w:ascii="宋体" w:hAnsi="宋体" w:cs="宋体"/>
                <w:color w:val="auto"/>
                <w:szCs w:val="21"/>
              </w:rPr>
            </w:pPr>
            <w:r>
              <w:rPr>
                <w:rFonts w:hint="eastAsia" w:ascii="宋体" w:hAnsi="宋体" w:cs="宋体"/>
                <w:color w:val="auto"/>
                <w:szCs w:val="21"/>
              </w:rPr>
              <w:t>（5）请供应商提前准备《最终报价承诺书》，无需装订，磋商时如有要求再另行单独密封递交至磋商小组（格式详见第五章《响应文件组成》）。</w:t>
            </w:r>
          </w:p>
          <w:p>
            <w:pPr>
              <w:spacing w:line="380" w:lineRule="exact"/>
              <w:rPr>
                <w:rFonts w:ascii="宋体" w:hAnsi="宋体" w:cs="宋体"/>
                <w:color w:val="auto"/>
                <w:kern w:val="0"/>
                <w:szCs w:val="21"/>
              </w:rPr>
            </w:pPr>
            <w:r>
              <w:rPr>
                <w:rFonts w:hint="eastAsia" w:ascii="宋体" w:hAnsi="宋体" w:cs="宋体"/>
                <w:color w:val="auto"/>
                <w:szCs w:val="21"/>
              </w:rPr>
              <w:t>（6）供应商递交</w:t>
            </w:r>
            <w:r>
              <w:rPr>
                <w:rFonts w:hint="eastAsia"/>
                <w:color w:val="auto"/>
                <w:lang w:val="en-US" w:eastAsia="zh-CN"/>
              </w:rPr>
              <w:t>首次</w:t>
            </w:r>
            <w:r>
              <w:rPr>
                <w:rFonts w:hint="eastAsia" w:ascii="宋体" w:hAnsi="宋体" w:cs="宋体"/>
                <w:color w:val="auto"/>
                <w:szCs w:val="21"/>
              </w:rPr>
              <w:t>响应文件时，请同时单独递交供应商信息、响应文件签收回执，无需密封包装（格式详见第五章《响应文件组成》）。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17</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响应文件封套上应载明的信息</w:t>
            </w:r>
          </w:p>
        </w:tc>
        <w:tc>
          <w:tcPr>
            <w:tcW w:w="6057" w:type="dxa"/>
            <w:gridSpan w:val="2"/>
            <w:vAlign w:val="center"/>
          </w:tcPr>
          <w:p>
            <w:pPr>
              <w:spacing w:line="380" w:lineRule="exact"/>
              <w:jc w:val="left"/>
              <w:rPr>
                <w:rFonts w:ascii="宋体" w:hAnsi="宋体" w:cs="宋体"/>
                <w:color w:val="auto"/>
                <w:szCs w:val="21"/>
              </w:rPr>
            </w:pPr>
            <w:r>
              <w:rPr>
                <w:rFonts w:hint="eastAsia" w:ascii="宋体" w:hAnsi="宋体" w:cs="宋体"/>
                <w:color w:val="auto"/>
                <w:szCs w:val="21"/>
              </w:rPr>
              <w:t>___________________(项目名称)响应文件</w:t>
            </w:r>
          </w:p>
          <w:p>
            <w:pPr>
              <w:spacing w:line="380" w:lineRule="exact"/>
              <w:jc w:val="left"/>
              <w:rPr>
                <w:rFonts w:ascii="宋体" w:hAnsi="宋体" w:cs="宋体"/>
                <w:color w:val="auto"/>
                <w:szCs w:val="21"/>
              </w:rPr>
            </w:pPr>
            <w:r>
              <w:rPr>
                <w:rFonts w:hint="eastAsia" w:ascii="宋体" w:hAnsi="宋体" w:cs="宋体"/>
                <w:color w:val="auto"/>
                <w:szCs w:val="21"/>
              </w:rPr>
              <w:t>项目编号：____________________</w:t>
            </w:r>
          </w:p>
          <w:p>
            <w:pPr>
              <w:spacing w:line="380" w:lineRule="exact"/>
              <w:jc w:val="left"/>
              <w:rPr>
                <w:rFonts w:ascii="宋体" w:hAnsi="宋体" w:cs="宋体"/>
                <w:color w:val="auto"/>
                <w:szCs w:val="21"/>
              </w:rPr>
            </w:pPr>
            <w:r>
              <w:rPr>
                <w:rFonts w:hint="eastAsia" w:ascii="宋体" w:hAnsi="宋体" w:cs="宋体"/>
                <w:color w:val="auto"/>
                <w:szCs w:val="21"/>
              </w:rPr>
              <w:t>在______年____月____日____时____分之前不得启封</w:t>
            </w:r>
          </w:p>
          <w:p>
            <w:pPr>
              <w:spacing w:line="380" w:lineRule="exact"/>
              <w:jc w:val="left"/>
              <w:rPr>
                <w:rFonts w:ascii="宋体" w:hAnsi="宋体" w:cs="宋体"/>
                <w:color w:val="auto"/>
                <w:szCs w:val="21"/>
              </w:rPr>
            </w:pPr>
            <w:r>
              <w:rPr>
                <w:rFonts w:hint="eastAsia" w:ascii="宋体" w:hAnsi="宋体" w:cs="宋体"/>
                <w:color w:val="auto"/>
                <w:szCs w:val="21"/>
              </w:rPr>
              <w:t>供应商名称：____________________</w:t>
            </w:r>
          </w:p>
          <w:p>
            <w:pPr>
              <w:spacing w:line="380" w:lineRule="exact"/>
              <w:jc w:val="left"/>
              <w:rPr>
                <w:rFonts w:ascii="宋体" w:hAnsi="宋体" w:cs="宋体"/>
                <w:color w:val="auto"/>
                <w:kern w:val="0"/>
                <w:szCs w:val="21"/>
              </w:rPr>
            </w:pPr>
            <w:r>
              <w:rPr>
                <w:rFonts w:hint="eastAsia" w:ascii="宋体" w:hAnsi="宋体" w:cs="宋体"/>
                <w:color w:val="auto"/>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18</w:t>
            </w:r>
          </w:p>
        </w:tc>
        <w:tc>
          <w:tcPr>
            <w:tcW w:w="1735"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信用查询</w:t>
            </w:r>
          </w:p>
        </w:tc>
        <w:tc>
          <w:tcPr>
            <w:tcW w:w="6057"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采购人或采购代理机构通过“信用中国”网站(www. creditchina. gov.cn)、中国政府采购网(www.ccgp.gov.cn)查询相关主体信用记录。本次查询的信用记录打印的网页版将留存在评审报告中。本项目信用记录查询截止时点为文件开启当日。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19</w:t>
            </w:r>
          </w:p>
        </w:tc>
        <w:tc>
          <w:tcPr>
            <w:tcW w:w="1735" w:type="dxa"/>
            <w:vAlign w:val="center"/>
          </w:tcPr>
          <w:p>
            <w:pPr>
              <w:pStyle w:val="20"/>
              <w:spacing w:line="380" w:lineRule="exact"/>
              <w:jc w:val="left"/>
              <w:rPr>
                <w:rFonts w:hAnsi="宋体" w:cs="宋体"/>
                <w:color w:val="auto"/>
              </w:rPr>
            </w:pPr>
            <w:r>
              <w:rPr>
                <w:rFonts w:hint="eastAsia" w:hAnsi="宋体" w:cs="宋体"/>
                <w:color w:val="auto"/>
                <w:sz w:val="21"/>
                <w:szCs w:val="21"/>
              </w:rPr>
              <w:t>评定成交的标准</w:t>
            </w:r>
          </w:p>
        </w:tc>
        <w:tc>
          <w:tcPr>
            <w:tcW w:w="6057" w:type="dxa"/>
            <w:gridSpan w:val="2"/>
            <w:vAlign w:val="center"/>
          </w:tcPr>
          <w:p>
            <w:pPr>
              <w:pStyle w:val="20"/>
              <w:spacing w:line="380" w:lineRule="exact"/>
              <w:jc w:val="left"/>
              <w:rPr>
                <w:rFonts w:hAnsi="宋体" w:cs="宋体"/>
                <w:color w:val="auto"/>
                <w:sz w:val="21"/>
                <w:szCs w:val="21"/>
              </w:rPr>
            </w:pPr>
            <w:r>
              <w:rPr>
                <w:rFonts w:hint="eastAsia" w:hAnsi="宋体" w:cs="宋体"/>
                <w:color w:val="auto"/>
                <w:sz w:val="21"/>
                <w:szCs w:val="21"/>
              </w:rPr>
              <w:sym w:font="Wingdings 2" w:char="0052"/>
            </w:r>
            <w:r>
              <w:rPr>
                <w:rFonts w:hint="eastAsia" w:hAnsi="宋体" w:cs="宋体"/>
                <w:color w:val="auto"/>
                <w:sz w:val="21"/>
                <w:szCs w:val="21"/>
              </w:rPr>
              <w:t xml:space="preserve"> 1.采购人在评审报告确定的成交候选人名单中按顺序确定成交供应商。</w:t>
            </w:r>
          </w:p>
          <w:p>
            <w:pPr>
              <w:pStyle w:val="20"/>
              <w:spacing w:line="380" w:lineRule="exact"/>
              <w:jc w:val="left"/>
              <w:rPr>
                <w:rFonts w:hAnsi="宋体" w:cs="宋体"/>
                <w:color w:val="auto"/>
                <w:sz w:val="21"/>
                <w:szCs w:val="21"/>
              </w:rPr>
            </w:pPr>
            <w:r>
              <w:rPr>
                <w:rFonts w:hint="eastAsia" w:hAnsi="宋体" w:cs="宋体"/>
                <w:color w:val="auto"/>
                <w:szCs w:val="21"/>
              </w:rPr>
              <w:sym w:font="Wingdings 2" w:char="0052"/>
            </w:r>
            <w:r>
              <w:rPr>
                <w:rFonts w:hint="eastAsia" w:hAnsi="宋体" w:cs="宋体"/>
                <w:color w:val="auto"/>
                <w:sz w:val="21"/>
                <w:szCs w:val="21"/>
              </w:rPr>
              <w:t xml:space="preserve"> 2.成交候选人并列的，按照以下方式确定成交供应商。</w:t>
            </w:r>
          </w:p>
          <w:p>
            <w:pPr>
              <w:pStyle w:val="20"/>
              <w:spacing w:line="380" w:lineRule="exact"/>
              <w:jc w:val="left"/>
              <w:rPr>
                <w:rFonts w:hAnsi="宋体" w:cs="宋体"/>
                <w:color w:val="auto"/>
                <w:sz w:val="21"/>
                <w:szCs w:val="21"/>
              </w:rPr>
            </w:pPr>
            <w:r>
              <w:rPr>
                <w:rFonts w:hint="eastAsia" w:hAnsi="宋体" w:cs="宋体"/>
                <w:color w:val="auto"/>
                <w:sz w:val="21"/>
                <w:szCs w:val="21"/>
              </w:rPr>
              <w:sym w:font="Wingdings 2" w:char="00A3"/>
            </w:r>
            <w:r>
              <w:rPr>
                <w:rFonts w:hint="eastAsia" w:hAnsi="宋体" w:cs="宋体"/>
                <w:color w:val="auto"/>
                <w:sz w:val="21"/>
                <w:szCs w:val="21"/>
              </w:rPr>
              <w:t xml:space="preserve"> ①最低评标价法：</w:t>
            </w:r>
          </w:p>
          <w:p>
            <w:pPr>
              <w:spacing w:line="380" w:lineRule="exact"/>
              <w:rPr>
                <w:rFonts w:ascii="宋体" w:hAnsi="宋体" w:cs="宋体"/>
                <w:color w:val="auto"/>
                <w:szCs w:val="21"/>
              </w:rPr>
            </w:pPr>
            <w:r>
              <w:rPr>
                <w:rFonts w:hint="eastAsia" w:ascii="宋体" w:hAnsi="宋体" w:cs="宋体"/>
                <w:color w:val="auto"/>
                <w:szCs w:val="21"/>
              </w:rPr>
              <w:t>□ 随机抽取</w:t>
            </w:r>
          </w:p>
          <w:p>
            <w:pPr>
              <w:pStyle w:val="20"/>
              <w:spacing w:line="380" w:lineRule="exact"/>
              <w:jc w:val="left"/>
              <w:rPr>
                <w:rFonts w:hAnsi="宋体" w:cs="宋体"/>
                <w:color w:val="auto"/>
                <w:sz w:val="21"/>
                <w:szCs w:val="21"/>
              </w:rPr>
            </w:pPr>
            <w:r>
              <w:rPr>
                <w:rFonts w:hint="eastAsia" w:hAnsi="宋体" w:cs="宋体"/>
                <w:color w:val="auto"/>
                <w:sz w:val="21"/>
                <w:szCs w:val="21"/>
              </w:rPr>
              <w:t>□其他____________________</w:t>
            </w:r>
          </w:p>
          <w:p>
            <w:pPr>
              <w:pStyle w:val="20"/>
              <w:spacing w:line="380" w:lineRule="exact"/>
              <w:jc w:val="left"/>
              <w:rPr>
                <w:rFonts w:hAnsi="宋体" w:cs="宋体"/>
                <w:color w:val="auto"/>
                <w:sz w:val="21"/>
                <w:szCs w:val="21"/>
              </w:rPr>
            </w:pPr>
            <w:r>
              <w:rPr>
                <w:rFonts w:hint="eastAsia" w:hAnsi="宋体" w:cs="宋体"/>
                <w:color w:val="auto"/>
                <w:szCs w:val="21"/>
              </w:rPr>
              <w:t>☑</w:t>
            </w:r>
            <w:r>
              <w:rPr>
                <w:rFonts w:hint="eastAsia" w:hAnsi="宋体" w:cs="宋体"/>
                <w:color w:val="auto"/>
                <w:sz w:val="21"/>
                <w:szCs w:val="21"/>
              </w:rPr>
              <w:t xml:space="preserve"> ②综合评分法：</w:t>
            </w:r>
          </w:p>
          <w:p>
            <w:pPr>
              <w:pStyle w:val="20"/>
              <w:spacing w:line="380" w:lineRule="exact"/>
              <w:jc w:val="left"/>
              <w:rPr>
                <w:rFonts w:hAnsi="宋体" w:cs="宋体"/>
                <w:color w:val="auto"/>
                <w:sz w:val="21"/>
                <w:szCs w:val="21"/>
              </w:rPr>
            </w:pPr>
            <w:r>
              <w:rPr>
                <w:rFonts w:hint="eastAsia" w:hAnsi="宋体" w:cs="宋体"/>
                <w:color w:val="auto"/>
                <w:sz w:val="21"/>
                <w:szCs w:val="21"/>
              </w:rPr>
              <w:t>□ 随机抽取</w:t>
            </w:r>
          </w:p>
          <w:p>
            <w:pPr>
              <w:pStyle w:val="20"/>
              <w:spacing w:line="380" w:lineRule="exact"/>
              <w:jc w:val="left"/>
              <w:rPr>
                <w:rFonts w:hAnsi="宋体" w:cs="宋体"/>
                <w:color w:val="auto"/>
              </w:rPr>
            </w:pPr>
            <w:r>
              <w:rPr>
                <w:rFonts w:hint="eastAsia" w:hAnsi="宋体" w:cs="宋体"/>
                <w:color w:val="auto"/>
                <w:szCs w:val="21"/>
              </w:rPr>
              <w:t>☑</w:t>
            </w:r>
            <w:r>
              <w:rPr>
                <w:rFonts w:hint="eastAsia" w:hAnsi="宋体" w:cs="宋体"/>
                <w:color w:val="auto"/>
                <w:sz w:val="21"/>
                <w:szCs w:val="21"/>
              </w:rPr>
              <w:t>其他，</w:t>
            </w:r>
            <w:r>
              <w:rPr>
                <w:rFonts w:hint="eastAsia" w:hAnsi="宋体" w:cs="宋体"/>
                <w:color w:val="auto"/>
                <w:sz w:val="21"/>
                <w:szCs w:val="21"/>
                <w:u w:val="single"/>
              </w:rPr>
              <w:t>得分相同时，以</w:t>
            </w:r>
            <w:r>
              <w:rPr>
                <w:rFonts w:hint="eastAsia" w:hAnsi="宋体" w:cs="宋体"/>
                <w:color w:val="auto"/>
                <w:sz w:val="21"/>
                <w:szCs w:val="21"/>
                <w:u w:val="single"/>
                <w:lang w:val="en-US" w:eastAsia="zh-CN"/>
              </w:rPr>
              <w:t>最后</w:t>
            </w:r>
            <w:r>
              <w:rPr>
                <w:rFonts w:hint="eastAsia" w:hAnsi="宋体" w:cs="宋体"/>
                <w:color w:val="auto"/>
                <w:sz w:val="21"/>
                <w:szCs w:val="21"/>
                <w:u w:val="single"/>
              </w:rPr>
              <w:t>报价由低到高顺序排列；得分相同且</w:t>
            </w:r>
            <w:r>
              <w:rPr>
                <w:rFonts w:hint="eastAsia" w:hAnsi="宋体" w:cs="宋体"/>
                <w:color w:val="auto"/>
                <w:sz w:val="21"/>
                <w:szCs w:val="21"/>
                <w:u w:val="single"/>
                <w:lang w:val="en-US" w:eastAsia="zh-CN"/>
              </w:rPr>
              <w:t>最后</w:t>
            </w:r>
            <w:r>
              <w:rPr>
                <w:rFonts w:hint="eastAsia" w:hAnsi="宋体" w:cs="宋体"/>
                <w:color w:val="auto"/>
                <w:sz w:val="21"/>
                <w:szCs w:val="21"/>
                <w:u w:val="single"/>
              </w:rPr>
              <w:t>报价相同的，依次按服务方案分由高到低、履约能力分由高到低、企业信誉分由高到低顺序。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20</w:t>
            </w:r>
          </w:p>
        </w:tc>
        <w:tc>
          <w:tcPr>
            <w:tcW w:w="1745"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提供服务的时间、地点、方式、项目服务期限</w:t>
            </w:r>
          </w:p>
        </w:tc>
        <w:tc>
          <w:tcPr>
            <w:tcW w:w="6047" w:type="dxa"/>
            <w:vAlign w:val="center"/>
          </w:tcPr>
          <w:p>
            <w:pPr>
              <w:spacing w:line="380" w:lineRule="exact"/>
              <w:jc w:val="left"/>
              <w:rPr>
                <w:rFonts w:hint="eastAsia" w:ascii="宋体" w:hAnsi="宋体" w:cs="宋体"/>
                <w:color w:val="auto"/>
                <w:kern w:val="0"/>
                <w:szCs w:val="21"/>
                <w:lang w:val="en-US" w:eastAsia="zh-CN"/>
              </w:rPr>
            </w:pPr>
            <w:r>
              <w:rPr>
                <w:rFonts w:hint="eastAsia" w:ascii="宋体" w:hAnsi="宋体" w:cs="宋体"/>
                <w:color w:val="auto"/>
                <w:kern w:val="0"/>
                <w:szCs w:val="21"/>
              </w:rPr>
              <w:t>提供服务的时间：12个月（2022年2月1日至2023年1月31日）</w:t>
            </w:r>
          </w:p>
          <w:p>
            <w:pPr>
              <w:spacing w:line="38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提供服务的地点：采购人指定地点</w:t>
            </w:r>
          </w:p>
          <w:p>
            <w:pPr>
              <w:spacing w:line="38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提供服务的方式：</w:t>
            </w:r>
            <w:r>
              <w:rPr>
                <w:rFonts w:hint="eastAsia" w:ascii="宋体" w:hAnsi="宋体" w:cs="宋体"/>
                <w:color w:val="auto"/>
                <w:kern w:val="0"/>
                <w:szCs w:val="21"/>
                <w:lang w:val="en-US" w:eastAsia="zh-CN"/>
              </w:rPr>
              <w:t>按磋商文件采购需求提供</w:t>
            </w:r>
          </w:p>
          <w:p>
            <w:pPr>
              <w:spacing w:line="380" w:lineRule="exact"/>
              <w:jc w:val="left"/>
              <w:rPr>
                <w:rFonts w:ascii="宋体" w:hAnsi="宋体" w:cs="宋体"/>
                <w:color w:val="auto"/>
                <w:kern w:val="0"/>
                <w:szCs w:val="21"/>
              </w:rPr>
            </w:pPr>
            <w:r>
              <w:rPr>
                <w:rFonts w:hint="eastAsia" w:ascii="宋体" w:hAnsi="宋体" w:cs="宋体"/>
                <w:color w:val="auto"/>
                <w:kern w:val="0"/>
                <w:szCs w:val="21"/>
              </w:rPr>
              <w:t>项目服务期限：12个月（2022年2月1日至2023年1月31日）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21</w:t>
            </w:r>
          </w:p>
        </w:tc>
        <w:tc>
          <w:tcPr>
            <w:tcW w:w="1745"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采购资金的支付方式和时间</w:t>
            </w:r>
          </w:p>
        </w:tc>
        <w:tc>
          <w:tcPr>
            <w:tcW w:w="6047" w:type="dxa"/>
            <w:vAlign w:val="center"/>
          </w:tcPr>
          <w:p>
            <w:pPr>
              <w:spacing w:line="380" w:lineRule="exact"/>
              <w:rPr>
                <w:rFonts w:hint="eastAsia" w:ascii="宋体" w:hAnsi="宋体" w:cs="宋体"/>
                <w:bCs/>
                <w:color w:val="auto"/>
                <w:szCs w:val="21"/>
              </w:rPr>
            </w:pPr>
            <w:r>
              <w:rPr>
                <w:rFonts w:hint="eastAsia" w:ascii="宋体" w:hAnsi="宋体" w:cs="宋体"/>
                <w:bCs/>
                <w:color w:val="auto"/>
                <w:szCs w:val="21"/>
                <w:lang w:val="en-US" w:eastAsia="zh-CN"/>
              </w:rPr>
              <w:t>1.</w:t>
            </w:r>
            <w:r>
              <w:rPr>
                <w:rFonts w:hint="eastAsia" w:ascii="宋体" w:hAnsi="宋体" w:cs="宋体"/>
                <w:bCs/>
                <w:color w:val="auto"/>
                <w:szCs w:val="21"/>
              </w:rPr>
              <w:t>采购人自行支付。</w:t>
            </w:r>
          </w:p>
          <w:p>
            <w:pPr>
              <w:spacing w:line="380" w:lineRule="exact"/>
              <w:rPr>
                <w:rFonts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按月支付服务费用，</w:t>
            </w:r>
            <w:r>
              <w:rPr>
                <w:rFonts w:hint="eastAsia" w:ascii="宋体" w:hAnsi="宋体" w:cs="宋体"/>
                <w:bCs/>
                <w:color w:val="auto"/>
                <w:szCs w:val="21"/>
                <w:lang w:val="en-US" w:eastAsia="zh-CN"/>
              </w:rPr>
              <w:t>采购人</w:t>
            </w:r>
            <w:r>
              <w:rPr>
                <w:rFonts w:hint="eastAsia" w:ascii="宋体" w:hAnsi="宋体" w:cs="宋体"/>
                <w:bCs/>
                <w:color w:val="auto"/>
                <w:szCs w:val="21"/>
              </w:rPr>
              <w:t>在合同生效后，于每月10日前以转账方式（如遇休息日或节假日，付款日期顺延）向</w:t>
            </w:r>
            <w:r>
              <w:rPr>
                <w:rFonts w:hint="eastAsia" w:ascii="宋体" w:hAnsi="宋体" w:cs="宋体"/>
                <w:bCs/>
                <w:color w:val="auto"/>
                <w:szCs w:val="21"/>
                <w:lang w:val="en-US" w:eastAsia="zh-CN"/>
              </w:rPr>
              <w:t>成交供应商</w:t>
            </w:r>
            <w:r>
              <w:rPr>
                <w:rFonts w:hint="eastAsia" w:ascii="宋体" w:hAnsi="宋体" w:cs="宋体"/>
                <w:bCs/>
                <w:color w:val="auto"/>
                <w:szCs w:val="21"/>
              </w:rPr>
              <w:t>支付上月物业服务费；</w:t>
            </w:r>
            <w:r>
              <w:rPr>
                <w:rFonts w:hint="eastAsia" w:ascii="宋体" w:hAnsi="宋体" w:cs="宋体"/>
                <w:bCs/>
                <w:color w:val="auto"/>
                <w:szCs w:val="21"/>
                <w:lang w:val="en-US" w:eastAsia="zh-CN"/>
              </w:rPr>
              <w:t>成交供应商</w:t>
            </w:r>
            <w:r>
              <w:rPr>
                <w:rFonts w:hint="eastAsia" w:ascii="宋体" w:hAnsi="宋体" w:cs="宋体"/>
                <w:bCs/>
                <w:color w:val="auto"/>
                <w:szCs w:val="21"/>
              </w:rPr>
              <w:t>应向</w:t>
            </w:r>
            <w:r>
              <w:rPr>
                <w:rFonts w:hint="eastAsia" w:ascii="宋体" w:hAnsi="宋体" w:cs="宋体"/>
                <w:bCs/>
                <w:color w:val="auto"/>
                <w:szCs w:val="21"/>
                <w:lang w:val="en-US" w:eastAsia="zh-CN"/>
              </w:rPr>
              <w:t>采购人</w:t>
            </w:r>
            <w:r>
              <w:rPr>
                <w:rFonts w:hint="eastAsia" w:ascii="宋体" w:hAnsi="宋体" w:cs="宋体"/>
                <w:bCs/>
                <w:color w:val="auto"/>
                <w:szCs w:val="21"/>
              </w:rPr>
              <w:t>开具正式发票。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22</w:t>
            </w:r>
          </w:p>
        </w:tc>
        <w:tc>
          <w:tcPr>
            <w:tcW w:w="1745"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履约保证金</w:t>
            </w:r>
          </w:p>
        </w:tc>
        <w:tc>
          <w:tcPr>
            <w:tcW w:w="6047" w:type="dxa"/>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zCs w:val="21"/>
              </w:rPr>
              <w:t xml:space="preserve"> </w:t>
            </w:r>
            <w:r>
              <w:rPr>
                <w:rFonts w:hint="eastAsia" w:ascii="宋体" w:hAnsi="宋体" w:cs="宋体"/>
                <w:color w:val="auto"/>
                <w:kern w:val="0"/>
                <w:szCs w:val="21"/>
              </w:rPr>
              <w:t>不要求提供</w:t>
            </w:r>
          </w:p>
          <w:p>
            <w:pPr>
              <w:pStyle w:val="20"/>
              <w:spacing w:line="380" w:lineRule="exact"/>
              <w:jc w:val="left"/>
              <w:rPr>
                <w:rFonts w:hAnsi="宋体" w:cs="宋体"/>
                <w:color w:val="auto"/>
                <w:sz w:val="21"/>
                <w:szCs w:val="21"/>
              </w:rPr>
            </w:pPr>
            <w:r>
              <w:rPr>
                <w:rFonts w:hint="eastAsia" w:hAnsi="宋体" w:cs="宋体"/>
                <w:color w:val="auto"/>
                <w:sz w:val="21"/>
                <w:szCs w:val="21"/>
              </w:rPr>
              <w:t>□要求提供，履约保证金的数额不得超过合同金额的10%，本采购项目履约保证金为合同金额的</w:t>
            </w:r>
            <w:r>
              <w:rPr>
                <w:rFonts w:hint="eastAsia" w:hAnsi="宋体" w:cs="宋体"/>
                <w:color w:val="auto"/>
                <w:sz w:val="21"/>
                <w:szCs w:val="21"/>
                <w:u w:val="single"/>
              </w:rPr>
              <w:t xml:space="preserve">    </w:t>
            </w:r>
            <w:r>
              <w:rPr>
                <w:rFonts w:hint="eastAsia" w:hAnsi="宋体" w:cs="宋体"/>
                <w:color w:val="auto"/>
                <w:sz w:val="21"/>
                <w:szCs w:val="21"/>
              </w:rPr>
              <w:t>%（取整到元），提交方式为支票、汇票、本票、保函等非现金形式，成交供应商在签订合同前应提交履约保证金，否则，不予签订合同。采用转账、电汇方式的，由成交供应商在签订合同前按规定的金额从成交供应商银行账户直接缴入采购人账户。</w:t>
            </w:r>
          </w:p>
          <w:p>
            <w:pPr>
              <w:spacing w:line="380" w:lineRule="exact"/>
              <w:rPr>
                <w:rFonts w:ascii="宋体" w:hAnsi="宋体" w:cs="宋体"/>
                <w:color w:val="auto"/>
                <w:szCs w:val="21"/>
              </w:rPr>
            </w:pPr>
            <w:r>
              <w:rPr>
                <w:rFonts w:hint="eastAsia" w:ascii="宋体" w:hAnsi="宋体" w:cs="宋体"/>
                <w:color w:val="auto"/>
                <w:szCs w:val="21"/>
              </w:rPr>
              <w:t>合同约定服务期（或质量保质期）满且成交供应商完全履行了服务要求或产品质量保证义务的，采购人在收到成交供应商提出申请的30日内无息返还履约保证金；采购人如逾期退还履约保证金，每逾期一天，可按应退款项的</w:t>
            </w:r>
            <w:r>
              <w:rPr>
                <w:rFonts w:hint="eastAsia" w:ascii="宋体" w:hAnsi="宋体" w:cs="宋体"/>
                <w:color w:val="auto"/>
                <w:szCs w:val="21"/>
                <w:shd w:val="clear" w:color="auto" w:fill="FFFFFF"/>
              </w:rPr>
              <w:t>银行同期存款利息</w:t>
            </w:r>
            <w:r>
              <w:rPr>
                <w:rFonts w:hint="eastAsia" w:ascii="宋体" w:hAnsi="宋体" w:cs="宋体"/>
                <w:color w:val="auto"/>
                <w:szCs w:val="21"/>
              </w:rPr>
              <w:t>计算违约金；成交供应商在合同期限和质量保证期内不能履行合同义务或违约的，履约保证金不予退还。</w:t>
            </w:r>
          </w:p>
          <w:p>
            <w:pPr>
              <w:spacing w:line="380" w:lineRule="exact"/>
              <w:jc w:val="left"/>
              <w:rPr>
                <w:rFonts w:ascii="宋体" w:hAnsi="宋体" w:cs="宋体"/>
                <w:color w:val="auto"/>
                <w:szCs w:val="21"/>
              </w:rPr>
            </w:pPr>
            <w:r>
              <w:rPr>
                <w:rFonts w:hint="eastAsia" w:ascii="宋体" w:hAnsi="宋体" w:cs="宋体"/>
                <w:color w:val="auto"/>
                <w:szCs w:val="21"/>
              </w:rPr>
              <w:t>收款人户名：</w:t>
            </w:r>
          </w:p>
          <w:p>
            <w:pPr>
              <w:spacing w:line="380" w:lineRule="exact"/>
              <w:jc w:val="left"/>
              <w:rPr>
                <w:rFonts w:ascii="宋体" w:hAnsi="宋体" w:cs="宋体"/>
                <w:color w:val="auto"/>
                <w:szCs w:val="21"/>
              </w:rPr>
            </w:pPr>
            <w:r>
              <w:rPr>
                <w:rFonts w:hint="eastAsia" w:ascii="宋体" w:hAnsi="宋体" w:cs="宋体"/>
                <w:color w:val="auto"/>
                <w:szCs w:val="21"/>
              </w:rPr>
              <w:t>开户银行：</w:t>
            </w:r>
          </w:p>
          <w:p>
            <w:pPr>
              <w:spacing w:line="380" w:lineRule="exact"/>
              <w:jc w:val="left"/>
              <w:rPr>
                <w:rFonts w:ascii="宋体" w:hAnsi="宋体" w:cs="宋体"/>
                <w:color w:val="auto"/>
                <w:szCs w:val="21"/>
              </w:rPr>
            </w:pPr>
            <w:r>
              <w:rPr>
                <w:rFonts w:hint="eastAsia" w:ascii="宋体" w:hAnsi="宋体" w:cs="宋体"/>
                <w:color w:val="auto"/>
                <w:szCs w:val="21"/>
              </w:rPr>
              <w:t>银行账号：</w:t>
            </w:r>
          </w:p>
          <w:p>
            <w:pPr>
              <w:spacing w:line="380" w:lineRule="exact"/>
              <w:jc w:val="left"/>
              <w:rPr>
                <w:rFonts w:ascii="宋体" w:hAnsi="宋体" w:cs="宋体"/>
                <w:color w:val="auto"/>
                <w:kern w:val="0"/>
                <w:szCs w:val="21"/>
              </w:rPr>
            </w:pPr>
            <w:r>
              <w:rPr>
                <w:rFonts w:hint="eastAsia" w:ascii="宋体" w:hAnsi="宋体" w:cs="宋体"/>
                <w:color w:val="auto"/>
                <w:szCs w:val="21"/>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23</w:t>
            </w:r>
          </w:p>
        </w:tc>
        <w:tc>
          <w:tcPr>
            <w:tcW w:w="1745"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采购代理费</w:t>
            </w:r>
          </w:p>
        </w:tc>
        <w:tc>
          <w:tcPr>
            <w:tcW w:w="6047" w:type="dxa"/>
            <w:vAlign w:val="center"/>
          </w:tcPr>
          <w:p>
            <w:pPr>
              <w:spacing w:line="380" w:lineRule="exact"/>
              <w:rPr>
                <w:rFonts w:ascii="宋体" w:hAnsi="宋体" w:cs="宋体"/>
                <w:color w:val="auto"/>
                <w:szCs w:val="21"/>
              </w:rPr>
            </w:pPr>
            <w:r>
              <w:rPr>
                <w:rFonts w:hint="eastAsia" w:ascii="宋体" w:hAnsi="宋体" w:cs="宋体"/>
                <w:color w:val="auto"/>
                <w:szCs w:val="21"/>
              </w:rPr>
              <w:t>（1）采购代理费收费标准：</w:t>
            </w:r>
          </w:p>
          <w:p>
            <w:pPr>
              <w:spacing w:line="380" w:lineRule="exact"/>
              <w:rPr>
                <w:rFonts w:ascii="宋体" w:hAnsi="宋体" w:cs="宋体"/>
                <w:color w:val="auto"/>
                <w:szCs w:val="21"/>
              </w:rPr>
            </w:pPr>
            <w:r>
              <w:rPr>
                <w:rFonts w:hint="eastAsia" w:ascii="宋体" w:hAnsi="宋体" w:cs="宋体"/>
                <w:color w:val="auto"/>
                <w:szCs w:val="21"/>
              </w:rPr>
              <w:t>按国家发展计划委员会计价格〔2002〕1980号《招标代理服务费管理暂行办法》收费标准及发改价格〔2011〕534号文的规定的基准价下浮20%收取，向成交供应商收取</w:t>
            </w:r>
            <w:r>
              <w:rPr>
                <w:rFonts w:hint="eastAsia"/>
                <w:color w:val="auto"/>
                <w:lang w:val="en-US" w:eastAsia="zh-CN"/>
              </w:rPr>
              <w:t>采购</w:t>
            </w:r>
            <w:r>
              <w:rPr>
                <w:rFonts w:hint="eastAsia" w:ascii="宋体" w:hAnsi="宋体" w:cs="宋体"/>
                <w:color w:val="auto"/>
                <w:szCs w:val="21"/>
              </w:rPr>
              <w:t>代理服务费用（以下费率未下浮20%）。</w:t>
            </w:r>
          </w:p>
          <w:tbl>
            <w:tblPr>
              <w:tblStyle w:val="42"/>
              <w:tblpPr w:leftFromText="180" w:rightFromText="180" w:vertAnchor="text" w:horzAnchor="page" w:tblpX="166" w:tblpY="74"/>
              <w:tblOverlap w:val="never"/>
              <w:tblW w:w="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915"/>
              <w:gridCol w:w="97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54" w:type="dxa"/>
                  <w:tcBorders>
                    <w:tl2br w:val="single" w:color="auto" w:sz="4" w:space="0"/>
                  </w:tcBorders>
                </w:tcPr>
                <w:p>
                  <w:pPr>
                    <w:spacing w:line="380" w:lineRule="exact"/>
                    <w:ind w:left="1365" w:hanging="1365" w:hangingChars="650"/>
                    <w:rPr>
                      <w:rFonts w:ascii="宋体" w:hAnsi="宋体" w:cs="宋体"/>
                      <w:color w:val="auto"/>
                      <w:kern w:val="0"/>
                    </w:rPr>
                  </w:pPr>
                  <w:r>
                    <w:rPr>
                      <w:rFonts w:hint="eastAsia" w:ascii="宋体" w:hAnsi="宋体" w:cs="宋体"/>
                      <w:color w:val="auto"/>
                      <w:kern w:val="0"/>
                    </w:rPr>
                    <w:t xml:space="preserve">            费率</w:t>
                  </w:r>
                </w:p>
                <w:p>
                  <w:pPr>
                    <w:spacing w:line="380" w:lineRule="exact"/>
                    <w:rPr>
                      <w:rFonts w:ascii="宋体" w:hAnsi="宋体" w:cs="宋体"/>
                      <w:color w:val="auto"/>
                      <w:kern w:val="0"/>
                    </w:rPr>
                  </w:pPr>
                  <w:r>
                    <w:rPr>
                      <w:rFonts w:hint="eastAsia" w:ascii="宋体" w:hAnsi="宋体" w:cs="宋体"/>
                      <w:color w:val="auto"/>
                      <w:kern w:val="0"/>
                    </w:rPr>
                    <w:t>成交金额</w:t>
                  </w:r>
                </w:p>
              </w:tc>
              <w:tc>
                <w:tcPr>
                  <w:tcW w:w="915" w:type="dxa"/>
                  <w:vAlign w:val="center"/>
                </w:tcPr>
                <w:p>
                  <w:pPr>
                    <w:spacing w:line="380" w:lineRule="exact"/>
                    <w:ind w:firstLine="105" w:firstLineChars="50"/>
                    <w:jc w:val="center"/>
                    <w:rPr>
                      <w:rFonts w:ascii="宋体" w:hAnsi="宋体" w:cs="宋体"/>
                      <w:color w:val="auto"/>
                      <w:kern w:val="0"/>
                    </w:rPr>
                  </w:pPr>
                  <w:r>
                    <w:rPr>
                      <w:rFonts w:hint="eastAsia" w:ascii="宋体" w:hAnsi="宋体" w:cs="宋体"/>
                      <w:color w:val="auto"/>
                      <w:kern w:val="0"/>
                    </w:rPr>
                    <w:t>货物采购</w:t>
                  </w:r>
                </w:p>
              </w:tc>
              <w:tc>
                <w:tcPr>
                  <w:tcW w:w="97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服务采购</w:t>
                  </w:r>
                </w:p>
              </w:tc>
              <w:tc>
                <w:tcPr>
                  <w:tcW w:w="878" w:type="dxa"/>
                  <w:vAlign w:val="center"/>
                </w:tcPr>
                <w:p>
                  <w:pPr>
                    <w:spacing w:line="380" w:lineRule="exact"/>
                    <w:jc w:val="center"/>
                    <w:rPr>
                      <w:rFonts w:ascii="宋体" w:hAnsi="宋体" w:cs="宋体"/>
                      <w:color w:val="auto"/>
                      <w:kern w:val="0"/>
                    </w:rPr>
                  </w:pPr>
                  <w:r>
                    <w:rPr>
                      <w:rFonts w:hint="eastAsia" w:ascii="宋体" w:hAnsi="宋体" w:cs="宋体"/>
                      <w:color w:val="auto"/>
                      <w:kern w:val="0"/>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rFonts w:ascii="宋体" w:hAnsi="宋体" w:cs="宋体"/>
                      <w:color w:val="auto"/>
                      <w:kern w:val="0"/>
                    </w:rPr>
                  </w:pPr>
                  <w:r>
                    <w:rPr>
                      <w:rFonts w:hint="eastAsia" w:ascii="宋体" w:hAnsi="宋体" w:cs="宋体"/>
                      <w:color w:val="auto"/>
                      <w:kern w:val="0"/>
                    </w:rPr>
                    <w:t>100万元以下</w:t>
                  </w:r>
                </w:p>
              </w:tc>
              <w:tc>
                <w:tcPr>
                  <w:tcW w:w="91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1.5%</w:t>
                  </w:r>
                </w:p>
              </w:tc>
              <w:tc>
                <w:tcPr>
                  <w:tcW w:w="97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1.5%</w:t>
                  </w:r>
                </w:p>
              </w:tc>
              <w:tc>
                <w:tcPr>
                  <w:tcW w:w="878" w:type="dxa"/>
                  <w:vAlign w:val="center"/>
                </w:tcPr>
                <w:p>
                  <w:pPr>
                    <w:spacing w:line="380" w:lineRule="exact"/>
                    <w:jc w:val="center"/>
                    <w:rPr>
                      <w:rFonts w:ascii="宋体" w:hAnsi="宋体" w:cs="宋体"/>
                      <w:color w:val="auto"/>
                      <w:kern w:val="0"/>
                    </w:rPr>
                  </w:pPr>
                  <w:r>
                    <w:rPr>
                      <w:rFonts w:hint="eastAsia" w:ascii="宋体" w:hAnsi="宋体" w:cs="宋体"/>
                      <w:color w:val="auto"/>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rFonts w:ascii="宋体" w:hAnsi="宋体" w:cs="宋体"/>
                      <w:color w:val="auto"/>
                      <w:kern w:val="0"/>
                    </w:rPr>
                  </w:pPr>
                  <w:r>
                    <w:rPr>
                      <w:rFonts w:hint="eastAsia" w:ascii="宋体" w:hAnsi="宋体" w:cs="宋体"/>
                      <w:color w:val="auto"/>
                      <w:kern w:val="0"/>
                    </w:rPr>
                    <w:t>100～500万元</w:t>
                  </w:r>
                </w:p>
              </w:tc>
              <w:tc>
                <w:tcPr>
                  <w:tcW w:w="91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1.1%</w:t>
                  </w:r>
                </w:p>
              </w:tc>
              <w:tc>
                <w:tcPr>
                  <w:tcW w:w="97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0.8%</w:t>
                  </w:r>
                </w:p>
              </w:tc>
              <w:tc>
                <w:tcPr>
                  <w:tcW w:w="878"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rFonts w:ascii="宋体" w:hAnsi="宋体" w:cs="宋体"/>
                      <w:color w:val="auto"/>
                      <w:kern w:val="0"/>
                    </w:rPr>
                  </w:pPr>
                  <w:r>
                    <w:rPr>
                      <w:rFonts w:hint="eastAsia" w:ascii="宋体" w:hAnsi="宋体" w:cs="宋体"/>
                      <w:color w:val="auto"/>
                      <w:kern w:val="0"/>
                    </w:rPr>
                    <w:t>500～1000万元</w:t>
                  </w:r>
                </w:p>
              </w:tc>
              <w:tc>
                <w:tcPr>
                  <w:tcW w:w="91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0.8%</w:t>
                  </w:r>
                </w:p>
              </w:tc>
              <w:tc>
                <w:tcPr>
                  <w:tcW w:w="97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0.45%</w:t>
                  </w:r>
                </w:p>
              </w:tc>
              <w:tc>
                <w:tcPr>
                  <w:tcW w:w="878"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rFonts w:ascii="宋体" w:hAnsi="宋体" w:cs="宋体"/>
                      <w:color w:val="auto"/>
                      <w:kern w:val="0"/>
                    </w:rPr>
                  </w:pPr>
                  <w:r>
                    <w:rPr>
                      <w:rFonts w:hint="eastAsia" w:ascii="宋体" w:hAnsi="宋体" w:cs="宋体"/>
                      <w:color w:val="auto"/>
                      <w:kern w:val="0"/>
                    </w:rPr>
                    <w:t>1000～5000万元</w:t>
                  </w:r>
                </w:p>
              </w:tc>
              <w:tc>
                <w:tcPr>
                  <w:tcW w:w="91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0.5%</w:t>
                  </w:r>
                </w:p>
              </w:tc>
              <w:tc>
                <w:tcPr>
                  <w:tcW w:w="97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0.25%</w:t>
                  </w:r>
                </w:p>
              </w:tc>
              <w:tc>
                <w:tcPr>
                  <w:tcW w:w="878"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rFonts w:ascii="宋体" w:hAnsi="宋体" w:cs="宋体"/>
                      <w:color w:val="auto"/>
                      <w:kern w:val="0"/>
                    </w:rPr>
                  </w:pPr>
                  <w:r>
                    <w:rPr>
                      <w:rFonts w:hint="eastAsia" w:ascii="宋体" w:hAnsi="宋体" w:cs="宋体"/>
                      <w:color w:val="auto"/>
                      <w:kern w:val="0"/>
                    </w:rPr>
                    <w:t>5000万元～1亿元</w:t>
                  </w:r>
                </w:p>
              </w:tc>
              <w:tc>
                <w:tcPr>
                  <w:tcW w:w="91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0.25%</w:t>
                  </w:r>
                </w:p>
              </w:tc>
              <w:tc>
                <w:tcPr>
                  <w:tcW w:w="97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0.1%</w:t>
                  </w:r>
                </w:p>
              </w:tc>
              <w:tc>
                <w:tcPr>
                  <w:tcW w:w="878"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spacing w:line="380" w:lineRule="exact"/>
                    <w:jc w:val="center"/>
                    <w:rPr>
                      <w:rFonts w:ascii="宋体" w:hAnsi="宋体" w:cs="宋体"/>
                      <w:color w:val="auto"/>
                      <w:kern w:val="0"/>
                    </w:rPr>
                  </w:pPr>
                  <w:r>
                    <w:rPr>
                      <w:rFonts w:hint="eastAsia" w:ascii="宋体" w:hAnsi="宋体" w:cs="宋体"/>
                      <w:color w:val="auto"/>
                      <w:kern w:val="0"/>
                    </w:rPr>
                    <w:t>1～5亿元</w:t>
                  </w:r>
                </w:p>
              </w:tc>
              <w:tc>
                <w:tcPr>
                  <w:tcW w:w="91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0.05%</w:t>
                  </w:r>
                </w:p>
              </w:tc>
              <w:tc>
                <w:tcPr>
                  <w:tcW w:w="97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0.05%</w:t>
                  </w:r>
                </w:p>
              </w:tc>
              <w:tc>
                <w:tcPr>
                  <w:tcW w:w="878"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054" w:type="dxa"/>
                  <w:vAlign w:val="center"/>
                </w:tcPr>
                <w:p>
                  <w:pPr>
                    <w:spacing w:line="380" w:lineRule="exact"/>
                    <w:jc w:val="center"/>
                    <w:rPr>
                      <w:rFonts w:ascii="宋体" w:hAnsi="宋体" w:cs="宋体"/>
                      <w:color w:val="auto"/>
                      <w:kern w:val="0"/>
                    </w:rPr>
                  </w:pPr>
                  <w:r>
                    <w:rPr>
                      <w:rFonts w:hint="eastAsia" w:ascii="宋体" w:hAnsi="宋体" w:cs="宋体"/>
                      <w:color w:val="auto"/>
                      <w:kern w:val="0"/>
                    </w:rPr>
                    <w:t>5～10亿元</w:t>
                  </w:r>
                </w:p>
              </w:tc>
              <w:tc>
                <w:tcPr>
                  <w:tcW w:w="91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0.035%</w:t>
                  </w:r>
                </w:p>
              </w:tc>
              <w:tc>
                <w:tcPr>
                  <w:tcW w:w="975"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0.035%</w:t>
                  </w:r>
                </w:p>
              </w:tc>
              <w:tc>
                <w:tcPr>
                  <w:tcW w:w="878" w:type="dxa"/>
                  <w:vAlign w:val="center"/>
                </w:tcPr>
                <w:p>
                  <w:pPr>
                    <w:spacing w:line="380" w:lineRule="exact"/>
                    <w:jc w:val="center"/>
                    <w:rPr>
                      <w:rFonts w:ascii="宋体" w:hAnsi="宋体" w:cs="宋体"/>
                      <w:color w:val="auto"/>
                      <w:kern w:val="0"/>
                    </w:rPr>
                  </w:pPr>
                  <w:r>
                    <w:rPr>
                      <w:rFonts w:hint="eastAsia" w:ascii="宋体" w:hAnsi="宋体" w:cs="宋体"/>
                      <w:color w:val="auto"/>
                      <w:kern w:val="0"/>
                    </w:rPr>
                    <w:t>0.035%</w:t>
                  </w:r>
                </w:p>
              </w:tc>
            </w:tr>
          </w:tbl>
          <w:p>
            <w:pPr>
              <w:spacing w:line="380" w:lineRule="exact"/>
              <w:rPr>
                <w:rFonts w:ascii="宋体" w:hAnsi="宋体" w:cs="宋体"/>
                <w:color w:val="auto"/>
                <w:szCs w:val="21"/>
              </w:rPr>
            </w:pPr>
          </w:p>
          <w:p>
            <w:pPr>
              <w:spacing w:line="380" w:lineRule="exact"/>
              <w:rPr>
                <w:rFonts w:ascii="宋体" w:hAnsi="宋体" w:cs="宋体"/>
                <w:color w:val="auto"/>
                <w:szCs w:val="21"/>
              </w:rPr>
            </w:pPr>
          </w:p>
          <w:p>
            <w:pPr>
              <w:spacing w:line="380" w:lineRule="exact"/>
              <w:rPr>
                <w:rFonts w:ascii="宋体" w:hAnsi="宋体" w:cs="宋体"/>
                <w:color w:val="auto"/>
                <w:szCs w:val="21"/>
              </w:rPr>
            </w:pPr>
          </w:p>
          <w:p>
            <w:pPr>
              <w:spacing w:line="380" w:lineRule="exact"/>
              <w:rPr>
                <w:rFonts w:ascii="宋体" w:hAnsi="宋体" w:cs="宋体"/>
                <w:color w:val="auto"/>
                <w:szCs w:val="21"/>
              </w:rPr>
            </w:pPr>
          </w:p>
          <w:p>
            <w:pPr>
              <w:spacing w:line="380" w:lineRule="exact"/>
              <w:rPr>
                <w:rFonts w:ascii="宋体" w:hAnsi="宋体" w:cs="宋体"/>
                <w:color w:val="auto"/>
                <w:szCs w:val="21"/>
              </w:rPr>
            </w:pPr>
          </w:p>
          <w:p>
            <w:pPr>
              <w:spacing w:line="380" w:lineRule="exact"/>
              <w:rPr>
                <w:rFonts w:ascii="宋体" w:hAnsi="宋体" w:cs="宋体"/>
                <w:color w:val="auto"/>
                <w:szCs w:val="21"/>
              </w:rPr>
            </w:pPr>
          </w:p>
          <w:p>
            <w:pPr>
              <w:spacing w:line="380" w:lineRule="exact"/>
              <w:rPr>
                <w:rFonts w:ascii="宋体" w:hAnsi="宋体" w:cs="宋体"/>
                <w:color w:val="auto"/>
                <w:szCs w:val="21"/>
              </w:rPr>
            </w:pPr>
          </w:p>
          <w:p>
            <w:pPr>
              <w:spacing w:line="380" w:lineRule="exact"/>
              <w:rPr>
                <w:rFonts w:ascii="宋体" w:hAnsi="宋体" w:cs="宋体"/>
                <w:color w:val="auto"/>
                <w:szCs w:val="21"/>
              </w:rPr>
            </w:pPr>
          </w:p>
          <w:p>
            <w:pPr>
              <w:spacing w:line="380" w:lineRule="exact"/>
              <w:rPr>
                <w:rFonts w:ascii="宋体" w:hAnsi="宋体" w:cs="宋体"/>
                <w:color w:val="auto"/>
                <w:szCs w:val="21"/>
              </w:rPr>
            </w:pPr>
          </w:p>
          <w:p>
            <w:pPr>
              <w:spacing w:line="380" w:lineRule="exact"/>
              <w:rPr>
                <w:rFonts w:ascii="宋体" w:hAnsi="宋体" w:cs="宋体"/>
                <w:color w:val="auto"/>
                <w:szCs w:val="21"/>
              </w:rPr>
            </w:pPr>
          </w:p>
          <w:p>
            <w:pPr>
              <w:spacing w:line="380" w:lineRule="exact"/>
              <w:rPr>
                <w:rFonts w:ascii="宋体" w:hAnsi="宋体" w:cs="宋体"/>
                <w:color w:val="auto"/>
                <w:szCs w:val="21"/>
              </w:rPr>
            </w:pPr>
            <w:r>
              <w:rPr>
                <w:rFonts w:hint="eastAsia" w:ascii="宋体" w:hAnsi="宋体" w:cs="宋体"/>
                <w:color w:val="auto"/>
                <w:szCs w:val="21"/>
              </w:rPr>
              <w:t>注：采购代理费收费按差额定率累进法计算。例如：某工程招标代理业务成交金额为6000万元，计算采购代理费收费额如下：</w:t>
            </w:r>
          </w:p>
          <w:p>
            <w:pPr>
              <w:spacing w:line="380" w:lineRule="exact"/>
              <w:rPr>
                <w:rFonts w:ascii="宋体" w:hAnsi="宋体" w:cs="宋体"/>
                <w:color w:val="auto"/>
                <w:szCs w:val="21"/>
              </w:rPr>
            </w:pPr>
            <w:r>
              <w:rPr>
                <w:rFonts w:hint="eastAsia" w:ascii="宋体" w:hAnsi="宋体" w:cs="宋体"/>
                <w:color w:val="auto"/>
                <w:szCs w:val="21"/>
              </w:rPr>
              <w:t>100万元×1.0%=1万元</w:t>
            </w:r>
          </w:p>
          <w:p>
            <w:pPr>
              <w:spacing w:line="380" w:lineRule="exact"/>
              <w:rPr>
                <w:rFonts w:ascii="宋体" w:hAnsi="宋体" w:cs="宋体"/>
                <w:color w:val="auto"/>
                <w:szCs w:val="21"/>
              </w:rPr>
            </w:pPr>
            <w:r>
              <w:rPr>
                <w:rFonts w:hint="eastAsia" w:ascii="宋体" w:hAnsi="宋体" w:cs="宋体"/>
                <w:color w:val="auto"/>
                <w:szCs w:val="21"/>
              </w:rPr>
              <w:t>（500-100）万元×0.7%=2.8万元</w:t>
            </w:r>
          </w:p>
          <w:p>
            <w:pPr>
              <w:spacing w:line="380" w:lineRule="exact"/>
              <w:rPr>
                <w:rFonts w:ascii="宋体" w:hAnsi="宋体" w:cs="宋体"/>
                <w:color w:val="auto"/>
                <w:szCs w:val="21"/>
              </w:rPr>
            </w:pPr>
            <w:r>
              <w:rPr>
                <w:rFonts w:hint="eastAsia" w:ascii="宋体" w:hAnsi="宋体" w:cs="宋体"/>
                <w:color w:val="auto"/>
                <w:szCs w:val="21"/>
              </w:rPr>
              <w:t>（1000-500）万元×0.55%=2.75万元</w:t>
            </w:r>
          </w:p>
          <w:p>
            <w:pPr>
              <w:spacing w:line="380" w:lineRule="exact"/>
              <w:rPr>
                <w:rFonts w:ascii="宋体" w:hAnsi="宋体" w:cs="宋体"/>
                <w:color w:val="auto"/>
                <w:szCs w:val="21"/>
              </w:rPr>
            </w:pPr>
            <w:r>
              <w:rPr>
                <w:rFonts w:hint="eastAsia" w:ascii="宋体" w:hAnsi="宋体" w:cs="宋体"/>
                <w:color w:val="auto"/>
                <w:szCs w:val="21"/>
              </w:rPr>
              <w:t>（5000-1000）万元×0.35%=14万元</w:t>
            </w:r>
          </w:p>
          <w:p>
            <w:pPr>
              <w:spacing w:line="380" w:lineRule="exact"/>
              <w:rPr>
                <w:rFonts w:ascii="宋体" w:hAnsi="宋体" w:cs="宋体"/>
                <w:color w:val="auto"/>
                <w:szCs w:val="21"/>
              </w:rPr>
            </w:pPr>
            <w:r>
              <w:rPr>
                <w:rFonts w:hint="eastAsia" w:ascii="宋体" w:hAnsi="宋体" w:cs="宋体"/>
                <w:color w:val="auto"/>
                <w:szCs w:val="21"/>
              </w:rPr>
              <w:t>（6000-5000）万元×0.2%=2万元</w:t>
            </w:r>
          </w:p>
          <w:p>
            <w:pPr>
              <w:spacing w:line="380" w:lineRule="exact"/>
              <w:rPr>
                <w:rFonts w:ascii="宋体" w:hAnsi="宋体" w:cs="宋体"/>
                <w:color w:val="auto"/>
                <w:szCs w:val="21"/>
              </w:rPr>
            </w:pPr>
            <w:r>
              <w:rPr>
                <w:rFonts w:hint="eastAsia" w:ascii="宋体" w:hAnsi="宋体" w:cs="宋体"/>
                <w:color w:val="auto"/>
                <w:szCs w:val="21"/>
              </w:rPr>
              <w:t>合计收费=1+2.8+2.75+14+2=22.55（万元）</w:t>
            </w:r>
          </w:p>
          <w:p>
            <w:pPr>
              <w:spacing w:line="380" w:lineRule="exact"/>
              <w:rPr>
                <w:rFonts w:ascii="宋体" w:hAnsi="宋体" w:cs="宋体"/>
                <w:color w:val="auto"/>
                <w:szCs w:val="21"/>
              </w:rPr>
            </w:pPr>
            <w:r>
              <w:rPr>
                <w:rFonts w:hint="eastAsia" w:ascii="宋体" w:hAnsi="宋体" w:cs="宋体"/>
                <w:color w:val="auto"/>
                <w:szCs w:val="21"/>
              </w:rPr>
              <w:t>（2）采购代理费汇到如下指定账户：</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开户名称：广西科联招标中心有限公司柳州分公司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开户银行：中国建设银行股份有限公司柳州文昌路支行 </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 xml:space="preserve">银行账号：45050162524000000145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spacing w:line="380" w:lineRule="exact"/>
              <w:jc w:val="center"/>
              <w:rPr>
                <w:rFonts w:ascii="宋体" w:hAnsi="宋体" w:cs="宋体"/>
                <w:color w:val="auto"/>
                <w:kern w:val="0"/>
                <w:szCs w:val="21"/>
              </w:rPr>
            </w:pPr>
            <w:r>
              <w:rPr>
                <w:rFonts w:hint="eastAsia" w:ascii="宋体" w:hAnsi="宋体" w:cs="宋体"/>
                <w:color w:val="auto"/>
                <w:kern w:val="0"/>
                <w:szCs w:val="21"/>
              </w:rPr>
              <w:t>24</w:t>
            </w:r>
          </w:p>
        </w:tc>
        <w:tc>
          <w:tcPr>
            <w:tcW w:w="1745" w:type="dxa"/>
            <w:gridSpan w:val="2"/>
            <w:vAlign w:val="center"/>
          </w:tcPr>
          <w:p>
            <w:pPr>
              <w:spacing w:line="380" w:lineRule="exact"/>
              <w:jc w:val="left"/>
              <w:rPr>
                <w:rFonts w:ascii="宋体" w:hAnsi="宋体" w:cs="宋体"/>
                <w:color w:val="auto"/>
                <w:kern w:val="0"/>
                <w:szCs w:val="21"/>
              </w:rPr>
            </w:pPr>
            <w:r>
              <w:rPr>
                <w:rFonts w:hint="eastAsia" w:ascii="宋体" w:hAnsi="宋体" w:cs="宋体"/>
                <w:color w:val="auto"/>
                <w:kern w:val="0"/>
                <w:szCs w:val="21"/>
              </w:rPr>
              <w:t>其他规定</w:t>
            </w:r>
          </w:p>
        </w:tc>
        <w:tc>
          <w:tcPr>
            <w:tcW w:w="6047" w:type="dxa"/>
            <w:vAlign w:val="center"/>
          </w:tcPr>
          <w:p>
            <w:pPr>
              <w:spacing w:line="380" w:lineRule="exact"/>
              <w:jc w:val="left"/>
              <w:rPr>
                <w:rFonts w:ascii="宋体" w:hAnsi="宋体" w:cs="宋体"/>
                <w:color w:val="auto"/>
                <w:szCs w:val="21"/>
              </w:rPr>
            </w:pPr>
            <w:r>
              <w:rPr>
                <w:rFonts w:hint="eastAsia" w:ascii="宋体" w:hAnsi="宋体" w:cs="宋体"/>
                <w:color w:val="auto"/>
                <w:szCs w:val="21"/>
              </w:rPr>
              <w:t>1、本磋商文件中描述供应商的“公章”是指根据我国对公章的管理规定，用供应商法定主体行为名称制作的印章，除本磋商文件有特殊规定外，供应商的财务章、部门章、分公司章、工会章、合同章、磋商专用章、业务专用章等其它形式印章均不能代替公章。</w:t>
            </w:r>
          </w:p>
          <w:p>
            <w:pPr>
              <w:spacing w:line="380" w:lineRule="exact"/>
              <w:jc w:val="left"/>
              <w:rPr>
                <w:rFonts w:ascii="宋体" w:hAnsi="宋体" w:cs="宋体"/>
                <w:color w:val="auto"/>
                <w:szCs w:val="21"/>
              </w:rPr>
            </w:pPr>
            <w:r>
              <w:rPr>
                <w:rFonts w:hint="eastAsia" w:ascii="宋体" w:hAnsi="宋体" w:cs="宋体"/>
                <w:color w:val="auto"/>
                <w:szCs w:val="21"/>
              </w:rPr>
              <w:t>2、本磋商文件中描述供应商的“签字”是指供应商的法定代表人（负责人）或被授权人亲自在磋商文件规定签署处亲笔写上个人的名字的行为，私章、签字章、印鉴、影印等其它形式均不能代替亲笔签字。</w:t>
            </w:r>
          </w:p>
          <w:p>
            <w:pPr>
              <w:spacing w:line="380" w:lineRule="exact"/>
              <w:jc w:val="left"/>
              <w:rPr>
                <w:rFonts w:ascii="宋体" w:hAnsi="宋体" w:cs="宋体"/>
                <w:color w:val="auto"/>
                <w:szCs w:val="21"/>
              </w:rPr>
            </w:pPr>
            <w:r>
              <w:rPr>
                <w:rFonts w:hint="eastAsia" w:ascii="宋体" w:hAnsi="宋体" w:cs="宋体"/>
                <w:color w:val="auto"/>
                <w:szCs w:val="21"/>
              </w:rPr>
              <w:t>3、成交供应商享受中小企业扶持政策的，采购人、采购代理机构应当随成交结果公开成交供应商的《中小企业声明函》。</w:t>
            </w:r>
          </w:p>
          <w:p>
            <w:pPr>
              <w:spacing w:line="380" w:lineRule="exact"/>
              <w:jc w:val="left"/>
              <w:rPr>
                <w:rFonts w:ascii="宋体" w:hAnsi="宋体" w:cs="宋体"/>
                <w:color w:val="auto"/>
                <w:szCs w:val="21"/>
              </w:rPr>
            </w:pPr>
            <w:r>
              <w:rPr>
                <w:rFonts w:hint="eastAsia" w:ascii="宋体" w:hAnsi="宋体" w:cs="宋体"/>
                <w:color w:val="auto"/>
                <w:szCs w:val="21"/>
              </w:rPr>
              <w:t>4、成交供应商为残疾人福利性单位的，采购人或者其委托的采购代理机构应当随成交结果同时公告其《残疾人福利性单位声明函》，接受社会监督。</w:t>
            </w:r>
          </w:p>
          <w:p>
            <w:pPr>
              <w:spacing w:line="380" w:lineRule="exact"/>
              <w:rPr>
                <w:rFonts w:ascii="宋体" w:hAnsi="宋体" w:cs="宋体"/>
                <w:color w:val="auto"/>
                <w:szCs w:val="21"/>
              </w:rPr>
            </w:pPr>
            <w:r>
              <w:rPr>
                <w:rFonts w:hint="eastAsia" w:ascii="宋体" w:hAnsi="宋体" w:cs="宋体"/>
                <w:color w:val="auto"/>
                <w:szCs w:val="21"/>
              </w:rPr>
              <w:t>5、递交质疑函的联系事项：</w:t>
            </w:r>
          </w:p>
          <w:p>
            <w:pPr>
              <w:spacing w:line="276" w:lineRule="auto"/>
              <w:rPr>
                <w:rFonts w:ascii="宋体" w:hAnsi="宋体" w:cs="宋体"/>
                <w:color w:val="auto"/>
                <w:szCs w:val="21"/>
              </w:rPr>
            </w:pPr>
            <w:r>
              <w:rPr>
                <w:rFonts w:hint="eastAsia" w:ascii="宋体" w:hAnsi="宋体" w:cs="宋体"/>
                <w:color w:val="auto"/>
                <w:szCs w:val="21"/>
              </w:rPr>
              <w:t>广西科联招标中心有限公司柳州分公司</w:t>
            </w:r>
          </w:p>
          <w:p>
            <w:pPr>
              <w:spacing w:line="276" w:lineRule="auto"/>
              <w:rPr>
                <w:rFonts w:ascii="宋体" w:hAnsi="宋体" w:cs="宋体"/>
                <w:color w:val="auto"/>
                <w:szCs w:val="21"/>
              </w:rPr>
            </w:pPr>
            <w:r>
              <w:rPr>
                <w:rFonts w:hint="eastAsia" w:ascii="宋体" w:hAnsi="宋体" w:cs="宋体"/>
                <w:color w:val="auto"/>
                <w:szCs w:val="21"/>
              </w:rPr>
              <w:t xml:space="preserve">联系电话：0772-2995575 </w:t>
            </w:r>
          </w:p>
          <w:p>
            <w:pPr>
              <w:spacing w:line="380" w:lineRule="exact"/>
              <w:rPr>
                <w:rFonts w:ascii="宋体" w:hAnsi="宋体" w:cs="宋体"/>
                <w:color w:val="auto"/>
                <w:szCs w:val="21"/>
              </w:rPr>
            </w:pPr>
            <w:r>
              <w:rPr>
                <w:rFonts w:hint="eastAsia" w:ascii="宋体" w:hAnsi="宋体" w:cs="宋体"/>
                <w:color w:val="auto"/>
                <w:szCs w:val="21"/>
              </w:rPr>
              <w:t>地址：柳州市城中区东环大道256号万达中心写字楼13-22室</w:t>
            </w:r>
          </w:p>
        </w:tc>
      </w:tr>
    </w:tbl>
    <w:p>
      <w:pPr>
        <w:ind w:firstLine="420" w:firstLineChars="200"/>
        <w:rPr>
          <w:rFonts w:ascii="宋体" w:hAnsi="宋体" w:cs="宋体"/>
          <w:color w:val="auto"/>
          <w:kern w:val="0"/>
          <w:szCs w:val="21"/>
        </w:rPr>
      </w:pPr>
    </w:p>
    <w:p>
      <w:pPr>
        <w:keepNext/>
        <w:keepLines/>
        <w:spacing w:before="240" w:after="64" w:line="360" w:lineRule="auto"/>
        <w:jc w:val="center"/>
        <w:outlineLvl w:val="5"/>
        <w:rPr>
          <w:rFonts w:ascii="宋体" w:hAnsi="宋体" w:cs="宋体"/>
          <w:b/>
          <w:bCs/>
          <w:color w:val="auto"/>
          <w:kern w:val="0"/>
          <w:sz w:val="28"/>
          <w:szCs w:val="21"/>
        </w:rPr>
      </w:pPr>
      <w:r>
        <w:rPr>
          <w:rFonts w:hint="eastAsia" w:ascii="宋体" w:hAnsi="宋体" w:cs="宋体"/>
          <w:b/>
          <w:bCs/>
          <w:color w:val="auto"/>
          <w:kern w:val="0"/>
          <w:sz w:val="28"/>
          <w:szCs w:val="21"/>
        </w:rPr>
        <w:t>磋商须知正文</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一、总则</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1.定义</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　“采购人”是指依法进行采购的国家机关、事业单位、团体组织。本次采购的采购人名称、地址、电话、联系人见</w:t>
      </w:r>
      <w:r>
        <w:rPr>
          <w:rFonts w:hint="eastAsia" w:ascii="宋体" w:hAnsi="宋体" w:cs="宋体"/>
          <w:b/>
          <w:bCs/>
          <w:color w:val="auto"/>
          <w:kern w:val="0"/>
          <w:szCs w:val="21"/>
        </w:rPr>
        <w:t>磋商须知前附表</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1.2　“采购代理机构”是指接受采购人委托，代理采购项目的集中采购机构和其他采购代理机构。本次采购的采购代理机构名称、地址、电话、联系人见</w:t>
      </w:r>
      <w:r>
        <w:rPr>
          <w:rFonts w:hint="eastAsia" w:ascii="宋体" w:hAnsi="宋体" w:cs="宋体"/>
          <w:b/>
          <w:bCs/>
          <w:color w:val="auto"/>
          <w:kern w:val="0"/>
          <w:szCs w:val="21"/>
        </w:rPr>
        <w:t>磋商须知前附表</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　“供应商”是指响应磋商文件要求、参加磋商采购的法人、其他组织或者自然人。本次采购项目邀请的供应商通过</w:t>
      </w:r>
      <w:r>
        <w:rPr>
          <w:rFonts w:hint="eastAsia" w:ascii="宋体" w:hAnsi="宋体" w:cs="宋体"/>
          <w:b/>
          <w:bCs/>
          <w:color w:val="auto"/>
          <w:kern w:val="0"/>
          <w:szCs w:val="21"/>
        </w:rPr>
        <w:t>磋商须知前附表</w:t>
      </w:r>
      <w:r>
        <w:rPr>
          <w:rFonts w:hint="eastAsia" w:ascii="宋体" w:hAnsi="宋体" w:cs="宋体"/>
          <w:color w:val="auto"/>
          <w:kern w:val="0"/>
          <w:szCs w:val="21"/>
        </w:rPr>
        <w:t>所述方式产生。</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1.4　“磋商小组”由3人以上单数的磋商成员组建。</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1.5　“货物”是指各种形态和种类的物品，包括原材料、燃料、设备、产品等。</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1.6　“服务”是指除货物和工程以外的其他采购对象。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2.采购项目预算及最高限价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2.1　本项目采购资金的预算金额见</w:t>
      </w:r>
      <w:r>
        <w:rPr>
          <w:rFonts w:hint="eastAsia" w:ascii="宋体" w:hAnsi="宋体" w:cs="宋体"/>
          <w:b/>
          <w:bCs/>
          <w:color w:val="auto"/>
          <w:kern w:val="0"/>
          <w:szCs w:val="21"/>
        </w:rPr>
        <w:t>磋商须知前附表</w:t>
      </w:r>
      <w:r>
        <w:rPr>
          <w:rFonts w:hint="eastAsia" w:ascii="宋体" w:hAnsi="宋体" w:cs="宋体"/>
          <w:color w:val="auto"/>
          <w:kern w:val="0"/>
          <w:szCs w:val="21"/>
        </w:rPr>
        <w:t>。</w:t>
      </w:r>
    </w:p>
    <w:p>
      <w:pPr>
        <w:pStyle w:val="2"/>
        <w:ind w:firstLine="420" w:firstLineChars="200"/>
        <w:rPr>
          <w:rFonts w:ascii="宋体" w:hAnsi="宋体" w:cs="宋体"/>
          <w:color w:val="auto"/>
          <w:kern w:val="0"/>
          <w:szCs w:val="21"/>
        </w:rPr>
      </w:pPr>
      <w:r>
        <w:rPr>
          <w:rFonts w:hint="eastAsia" w:ascii="宋体" w:hAnsi="宋体" w:cs="宋体"/>
          <w:color w:val="auto"/>
          <w:kern w:val="0"/>
          <w:szCs w:val="21"/>
        </w:rPr>
        <w:t xml:space="preserve">2.2  </w:t>
      </w:r>
      <w:r>
        <w:rPr>
          <w:rFonts w:hint="eastAsia"/>
          <w:color w:val="auto"/>
        </w:rPr>
        <w:t>本项目最高限价要求见</w:t>
      </w:r>
      <w:r>
        <w:rPr>
          <w:rFonts w:hint="eastAsia" w:ascii="宋体" w:hAnsi="宋体" w:cs="宋体"/>
          <w:b/>
          <w:bCs/>
          <w:color w:val="auto"/>
          <w:kern w:val="0"/>
          <w:szCs w:val="21"/>
        </w:rPr>
        <w:t>磋商须知前附表</w:t>
      </w:r>
      <w:r>
        <w:rPr>
          <w:rFonts w:hint="eastAsia"/>
          <w:color w:val="auto"/>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★3.供应商的资格要求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3.1　供应商应当符合</w:t>
      </w:r>
      <w:r>
        <w:rPr>
          <w:rFonts w:hint="eastAsia" w:ascii="宋体" w:hAnsi="宋体" w:cs="宋体"/>
          <w:b/>
          <w:bCs/>
          <w:color w:val="auto"/>
          <w:szCs w:val="21"/>
        </w:rPr>
        <w:t>磋商须知前附表</w:t>
      </w:r>
      <w:r>
        <w:rPr>
          <w:rFonts w:hint="eastAsia" w:ascii="宋体" w:hAnsi="宋体" w:cs="宋体"/>
          <w:color w:val="auto"/>
          <w:szCs w:val="21"/>
        </w:rPr>
        <w:t>中规定的下列资格条件要求：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3.1.1　</w:t>
      </w:r>
      <w:r>
        <w:rPr>
          <w:rFonts w:hint="eastAsia"/>
          <w:color w:val="auto"/>
        </w:rPr>
        <w:t>供应商参加本采购活动应当具备下列条件</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(1)具有独立承担民事责任的能力；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(2)具有良好的商业信誉和健全的财务会计制度；</w:t>
      </w:r>
    </w:p>
    <w:p>
      <w:pPr>
        <w:spacing w:line="360" w:lineRule="auto"/>
        <w:ind w:firstLine="420" w:firstLineChars="200"/>
        <w:rPr>
          <w:rFonts w:ascii="宋体" w:hAnsi="宋体" w:cs="宋体"/>
          <w:color w:val="auto"/>
          <w:szCs w:val="21"/>
        </w:rPr>
      </w:pPr>
      <w:r>
        <w:rPr>
          <w:rFonts w:hint="eastAsia" w:ascii="宋体" w:hAnsi="宋体" w:cs="宋体"/>
          <w:color w:val="auto"/>
          <w:szCs w:val="21"/>
        </w:rPr>
        <w:t>(3)具有履行合同所必需的设备和专业技术能力；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(4)有依法缴纳税收和社会保障资金的良好记录；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(5)参加采购活动前三年内在经营活动中没有重大违法记录；</w:t>
      </w:r>
    </w:p>
    <w:p>
      <w:pPr>
        <w:spacing w:line="360" w:lineRule="auto"/>
        <w:ind w:firstLine="420" w:firstLineChars="200"/>
        <w:rPr>
          <w:rFonts w:ascii="宋体" w:hAnsi="宋体" w:cs="宋体"/>
          <w:bCs/>
          <w:color w:val="auto"/>
          <w:szCs w:val="21"/>
        </w:rPr>
      </w:pPr>
      <w:r>
        <w:rPr>
          <w:rFonts w:hint="eastAsia" w:ascii="宋体" w:hAnsi="宋体" w:cs="宋体"/>
          <w:color w:val="auto"/>
          <w:szCs w:val="21"/>
        </w:rPr>
        <w:t>(6)</w:t>
      </w:r>
      <w:r>
        <w:rPr>
          <w:rFonts w:hint="eastAsia" w:ascii="宋体" w:hAnsi="宋体" w:cs="宋体"/>
          <w:bCs/>
          <w:color w:val="auto"/>
          <w:szCs w:val="21"/>
        </w:rPr>
        <w:t>法律、行政法规规定的其他条件。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3.1.2　其他特定资格条件。(详见</w:t>
      </w:r>
      <w:r>
        <w:rPr>
          <w:rFonts w:hint="eastAsia" w:ascii="宋体" w:hAnsi="宋体" w:cs="宋体"/>
          <w:b/>
          <w:color w:val="auto"/>
          <w:szCs w:val="21"/>
        </w:rPr>
        <w:t>磋商须知前附表</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3.2　供应商存在下列情形之一的不得参加磋商：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3.2.1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3.2.2因违法经营受到刑事处罚或者责令停产停业、吊销许可证或者执照、较大数额罚款等行政处罚或者存在财政部门认定的其他重大违法记录，以及在财政部门禁止参加政府采购活动期限以内的。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4.参与磋商的费用</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4.1　供应商应自行承担所有参与磋商的相关费用，不论磋商的结果如何，采购人或采购代理机构均无义务和责任承担这些费用。</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5.授权委托</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供应商代表不是供应商法定代表人（负责人）的，应当持有法定代表人（负责人）身份证复印件和授权授权书，同时提供供应商代表的身份证原件及复印件。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6.联合体形式</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6.1　本项目是否接受联合体参与及相关要求见</w:t>
      </w:r>
      <w:r>
        <w:rPr>
          <w:rFonts w:hint="eastAsia" w:ascii="宋体" w:hAnsi="宋体" w:cs="宋体"/>
          <w:b/>
          <w:bCs/>
          <w:color w:val="auto"/>
          <w:kern w:val="0"/>
          <w:szCs w:val="21"/>
        </w:rPr>
        <w:t>磋商须知前附表</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6.2　如果本项目接受联合体磋商的，应遵守以下规定：</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(1)联合体各方必须签订联合体协议书，明确联合体牵头人和各方权利、义务及分工、合同工作量比例；</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(2)联合体各方均应当符合</w:t>
      </w:r>
      <w:r>
        <w:rPr>
          <w:rFonts w:hint="eastAsia" w:ascii="宋体" w:hAnsi="宋体" w:cs="宋体"/>
          <w:b/>
          <w:bCs/>
          <w:color w:val="auto"/>
          <w:kern w:val="0"/>
          <w:szCs w:val="21"/>
        </w:rPr>
        <w:t>磋商须知前附表</w:t>
      </w:r>
      <w:r>
        <w:rPr>
          <w:rFonts w:hint="eastAsia" w:ascii="宋体" w:hAnsi="宋体" w:cs="宋体"/>
          <w:color w:val="auto"/>
          <w:kern w:val="0"/>
          <w:szCs w:val="21"/>
        </w:rPr>
        <w:t>规定的供应商基本资格条件；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(3)除另有规定外，联合体各方中至少有一方应当符合</w:t>
      </w:r>
      <w:r>
        <w:rPr>
          <w:rFonts w:hint="eastAsia" w:ascii="宋体" w:hAnsi="宋体" w:cs="宋体"/>
          <w:b/>
          <w:bCs/>
          <w:color w:val="auto"/>
          <w:kern w:val="0"/>
          <w:szCs w:val="21"/>
        </w:rPr>
        <w:t>磋商须知前附表</w:t>
      </w:r>
      <w:r>
        <w:rPr>
          <w:rFonts w:hint="eastAsia" w:ascii="宋体" w:hAnsi="宋体" w:cs="宋体"/>
          <w:color w:val="auto"/>
          <w:kern w:val="0"/>
          <w:szCs w:val="21"/>
        </w:rPr>
        <w:t>规定的供应商特定资格条件；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(4)联合体中有同类资质的供应商按照联合体分工承担相同工作的，应当按照资质等级较低的供应商确定资质等级；</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(5)联合体各方不得再单独或与其他供应商组成新的联合体参加同一项目的采购活动。</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7.项目现场勘察</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7.1　本项目是否组织现场勘察见</w:t>
      </w:r>
      <w:r>
        <w:rPr>
          <w:rFonts w:hint="eastAsia" w:ascii="宋体" w:hAnsi="宋体" w:cs="宋体"/>
          <w:b/>
          <w:bCs/>
          <w:color w:val="auto"/>
          <w:kern w:val="0"/>
          <w:szCs w:val="21"/>
        </w:rPr>
        <w:t>磋商须知前附表</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7.2　供应商应按</w:t>
      </w:r>
      <w:r>
        <w:rPr>
          <w:rFonts w:hint="eastAsia" w:ascii="宋体" w:hAnsi="宋体" w:cs="宋体"/>
          <w:b/>
          <w:bCs/>
          <w:color w:val="auto"/>
          <w:kern w:val="0"/>
          <w:szCs w:val="21"/>
        </w:rPr>
        <w:t>磋商须知前附表</w:t>
      </w:r>
      <w:r>
        <w:rPr>
          <w:rFonts w:hint="eastAsia" w:ascii="宋体" w:hAnsi="宋体" w:cs="宋体"/>
          <w:color w:val="auto"/>
          <w:kern w:val="0"/>
          <w:szCs w:val="21"/>
        </w:rPr>
        <w:t>中规定的时间及地点，对采购项目现场和周围环境的现场考察。供应商未在指定时间进行勘察的，采购人不再另行组织。</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7.3　勘察现场的费用由供应商自己承担，勘察期间所发生的人身伤害及财产损失由供应商自己负责。</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7.4　采购人不对供应商据此而做出的推论、理解和结论负责。一旦成交，供应商不得以任何借口，提出额外补偿，或延长合同期限的要求。</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8.采购进口产品</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8.1　本项目是否采购进口产品及相关要求见磋商须知前附表。</w:t>
      </w:r>
    </w:p>
    <w:p>
      <w:pPr>
        <w:pStyle w:val="2"/>
        <w:ind w:firstLine="420" w:firstLineChars="200"/>
        <w:rPr>
          <w:color w:val="auto"/>
        </w:rPr>
      </w:pPr>
      <w:r>
        <w:rPr>
          <w:rFonts w:hint="eastAsia"/>
          <w:color w:val="auto"/>
        </w:rPr>
        <w:t>9.政策与其他规定</w:t>
      </w:r>
    </w:p>
    <w:p>
      <w:pPr>
        <w:spacing w:line="360" w:lineRule="auto"/>
        <w:ind w:firstLine="420" w:firstLineChars="200"/>
        <w:rPr>
          <w:color w:val="auto"/>
        </w:rPr>
      </w:pPr>
      <w:r>
        <w:rPr>
          <w:rFonts w:hint="eastAsia"/>
          <w:color w:val="auto"/>
        </w:rPr>
        <w:t>本项目的详细要求见</w:t>
      </w:r>
      <w:r>
        <w:rPr>
          <w:rFonts w:hint="eastAsia"/>
          <w:b/>
          <w:color w:val="auto"/>
        </w:rPr>
        <w:t>磋商须知前附表</w:t>
      </w:r>
      <w:r>
        <w:rPr>
          <w:rFonts w:hint="eastAsia"/>
          <w:color w:val="auto"/>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二、磋商文件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10.磋商文件的构成</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10.1　磋商文件各章节的内容如下：</w:t>
      </w:r>
    </w:p>
    <w:p>
      <w:pPr>
        <w:spacing w:line="360" w:lineRule="auto"/>
        <w:ind w:firstLine="718" w:firstLineChars="342"/>
        <w:rPr>
          <w:rFonts w:ascii="宋体" w:hAnsi="宋体" w:cs="宋体"/>
          <w:color w:val="auto"/>
          <w:kern w:val="0"/>
          <w:szCs w:val="21"/>
        </w:rPr>
      </w:pPr>
      <w:r>
        <w:rPr>
          <w:rFonts w:hint="eastAsia" w:ascii="宋体" w:hAnsi="宋体" w:cs="宋体"/>
          <w:color w:val="auto"/>
          <w:kern w:val="0"/>
          <w:szCs w:val="21"/>
        </w:rPr>
        <w:t>第一部分　商务部分</w:t>
      </w:r>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第一章　磋商邀请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第二章　磋商须知</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第三章　评审方法及标准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第四章　合同草案条款</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第五章　响应文件组成</w:t>
      </w:r>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第二部分　技术部分</w:t>
      </w:r>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第六章　项目采购需求</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10.2　磋商小组根据与供应商磋商情况可能实质性变动的内容，包括采购需求中的技术、服务要求以及合同草案条款，对磋商文件作出的实质性变动是磋商文件的有效组成部分。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10.3　供应商应仔细阅读磋商文件的全部内容，按照磋商文件要求编制响应文件。任何对磋商文件的忽略或误解，不能作为响应文件存在缺陷或瑕疵的理由，其风险由供应商承担。</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11.磋商文件的澄清或者修改</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11.1　在磋商须知前附表规定的提交首次响应文件截止之日前，采购人、采购代理机构可以对已发出的磋商文件进行必要的澄清或者修改。</w:t>
      </w:r>
    </w:p>
    <w:p>
      <w:pPr>
        <w:spacing w:line="360" w:lineRule="auto"/>
        <w:ind w:firstLine="420" w:firstLineChars="200"/>
        <w:rPr>
          <w:rFonts w:ascii="宋体" w:hAnsi="宋体" w:cs="宋体"/>
          <w:b/>
          <w:color w:val="auto"/>
          <w:kern w:val="0"/>
          <w:szCs w:val="21"/>
        </w:rPr>
      </w:pPr>
      <w:r>
        <w:rPr>
          <w:rFonts w:hint="eastAsia" w:ascii="宋体" w:hAnsi="宋体" w:cs="宋体"/>
          <w:color w:val="auto"/>
          <w:kern w:val="0"/>
          <w:szCs w:val="21"/>
        </w:rPr>
        <w:t>11.2　澄清或者修改的内容可能影响响应文件编制的，采购人、采购代理机构应当在磋商须知前附表规定的提交首次响应文件截止之日2</w:t>
      </w:r>
      <w:r>
        <w:rPr>
          <w:rFonts w:hint="eastAsia" w:ascii="宋体" w:hAnsi="宋体" w:cs="宋体"/>
          <w:color w:val="auto"/>
          <w:kern w:val="0"/>
          <w:szCs w:val="21"/>
          <w:lang w:val="en-US" w:eastAsia="zh-CN"/>
        </w:rPr>
        <w:t>个工作</w:t>
      </w:r>
      <w:r>
        <w:rPr>
          <w:rFonts w:hint="eastAsia" w:ascii="宋体" w:hAnsi="宋体" w:cs="宋体"/>
          <w:color w:val="auto"/>
          <w:kern w:val="0"/>
          <w:szCs w:val="21"/>
        </w:rPr>
        <w:t>日前，以书面形式通知所有接收磋商文件的供应商，不足2</w:t>
      </w:r>
      <w:r>
        <w:rPr>
          <w:rFonts w:hint="eastAsia" w:ascii="宋体" w:hAnsi="宋体" w:cs="宋体"/>
          <w:color w:val="auto"/>
          <w:kern w:val="0"/>
          <w:szCs w:val="21"/>
          <w:lang w:val="en-US" w:eastAsia="zh-CN"/>
        </w:rPr>
        <w:t>个工作</w:t>
      </w:r>
      <w:r>
        <w:rPr>
          <w:rFonts w:hint="eastAsia" w:ascii="宋体" w:hAnsi="宋体" w:cs="宋体"/>
          <w:color w:val="auto"/>
          <w:kern w:val="0"/>
          <w:szCs w:val="21"/>
        </w:rPr>
        <w:t>日的，顺延供应商提交首次响应文件截止时间。</w:t>
      </w:r>
      <w:r>
        <w:rPr>
          <w:rFonts w:hint="eastAsia" w:ascii="宋体" w:hAnsi="宋体" w:cs="宋体"/>
          <w:b/>
          <w:color w:val="auto"/>
          <w:kern w:val="0"/>
          <w:szCs w:val="21"/>
        </w:rPr>
        <w:t>【此项目为目录外标准下项目】</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11.3　澄清或者修改内容为磋商文件的组成部分，对所有领取了磋商文件的供应商均具有约束力。</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12.偏离</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12.1　</w:t>
      </w:r>
      <w:r>
        <w:rPr>
          <w:rFonts w:hint="eastAsia" w:ascii="宋体" w:hAnsi="宋体" w:cs="宋体"/>
          <w:color w:val="auto"/>
        </w:rPr>
        <w:t>本条所称偏离为响应文件对磋商文件的偏离，即完全响应磋商文件要求的为“无偏离”、不满足或不响应磋商文件要求的为“负偏离”、优于磋商文件要求的为“正偏离”。</w:t>
      </w:r>
    </w:p>
    <w:p>
      <w:pPr>
        <w:pStyle w:val="20"/>
        <w:spacing w:line="440" w:lineRule="exact"/>
        <w:ind w:firstLine="420" w:firstLineChars="200"/>
        <w:rPr>
          <w:rFonts w:ascii="Times New Roman"/>
          <w:color w:val="auto"/>
          <w:sz w:val="21"/>
          <w:szCs w:val="21"/>
        </w:rPr>
      </w:pPr>
      <w:r>
        <w:rPr>
          <w:rFonts w:hint="eastAsia" w:ascii="Times New Roman"/>
          <w:color w:val="auto"/>
          <w:sz w:val="21"/>
          <w:szCs w:val="21"/>
        </w:rPr>
        <w:t>★12.2 除法律、法规和规章规定外，磋商文件中用“拒绝”“不接受”“无效”“不得”“必须”“应当”（仅限标注“★”）等文字规定或其他标注“★”符号的条款为实质性要求条款(即重要条款)，对其中任何一条不满足或不响应，在评审时将其视为无效响应。</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三、响应文件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13.一般要求</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13.1　供应商应仔细阅读磋商文件的所有内容，按磋商文件的要求编制响应文件，并保证所提供的全部资料的真实性，以使其响应文件对磋商文件做出实质性的响应。</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13.2　供应商提交的响应文件及供应商与采购人或采购代理机构、磋商小组就有关磋商的所有来往函电必须使用中文。供应商可以提交其他语言的资料，但应附中文注释，在有差异时以中文为准。</w:t>
      </w:r>
    </w:p>
    <w:p>
      <w:pPr>
        <w:spacing w:line="360" w:lineRule="auto"/>
        <w:ind w:firstLine="420" w:firstLineChars="200"/>
        <w:rPr>
          <w:rFonts w:ascii="宋体" w:hAnsi="宋体" w:cs="宋体"/>
          <w:color w:val="auto"/>
          <w:kern w:val="0"/>
          <w:szCs w:val="21"/>
        </w:rPr>
      </w:pPr>
      <w:r>
        <w:rPr>
          <w:rFonts w:hint="eastAsia"/>
          <w:color w:val="auto"/>
        </w:rPr>
        <w:t>★</w:t>
      </w:r>
      <w:r>
        <w:rPr>
          <w:rFonts w:hint="eastAsia" w:ascii="宋体" w:hAnsi="宋体" w:cs="宋体"/>
          <w:color w:val="auto"/>
          <w:kern w:val="0"/>
          <w:szCs w:val="21"/>
        </w:rPr>
        <w:t>13.3　除技术要求另有规定外，本文件所要求使用的计量单位均采用国家法定的度、量、衡标准单位计量。未列明时亦默认为我国法定计量单位。</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13.4　供应商应按磋商文件中提供的响应文件格式填写。</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13.5　磋商响应文件应采用书面形式，磋商文件中要求提供电子版的，必须按要求提供。</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14.响应文件的组成</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14.1　响应文件应包括但不限于下列内容：</w:t>
      </w:r>
    </w:p>
    <w:p>
      <w:pPr>
        <w:spacing w:line="360" w:lineRule="auto"/>
        <w:ind w:firstLine="420" w:firstLineChars="200"/>
        <w:rPr>
          <w:rFonts w:ascii="宋体" w:hAnsi="宋体" w:cs="宋体"/>
          <w:b/>
          <w:color w:val="auto"/>
          <w:kern w:val="0"/>
          <w:szCs w:val="21"/>
        </w:rPr>
      </w:pPr>
      <w:r>
        <w:rPr>
          <w:rFonts w:hint="eastAsia" w:ascii="宋体" w:hAnsi="宋体" w:cs="宋体"/>
          <w:color w:val="auto"/>
          <w:kern w:val="0"/>
          <w:szCs w:val="21"/>
        </w:rPr>
        <w:t>14.1.1　</w:t>
      </w:r>
      <w:r>
        <w:rPr>
          <w:rFonts w:hint="eastAsia" w:ascii="宋体" w:hAnsi="宋体" w:cs="宋体"/>
          <w:color w:val="auto"/>
        </w:rPr>
        <w:t>价格及</w:t>
      </w:r>
      <w:r>
        <w:rPr>
          <w:rFonts w:hint="eastAsia" w:ascii="宋体" w:hAnsi="宋体" w:cs="宋体"/>
          <w:color w:val="auto"/>
          <w:kern w:val="0"/>
          <w:szCs w:val="21"/>
        </w:rPr>
        <w:t>商务部分</w:t>
      </w:r>
      <w:r>
        <w:rPr>
          <w:rFonts w:hint="eastAsia" w:ascii="宋体" w:hAnsi="宋体" w:cs="宋体"/>
          <w:b/>
          <w:color w:val="auto"/>
          <w:kern w:val="0"/>
          <w:szCs w:val="21"/>
        </w:rPr>
        <w:t>{要求必须按照以下格式要求（如有格式要求的）提供以下带“★”的的证明文件或材料}：</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★(1)磋商响应声明（格式见第五章）</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★(2)报价一览表及分项价格表（格式见第五章）</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★(3)商务条款偏离表（供应商</w:t>
      </w:r>
      <w:r>
        <w:rPr>
          <w:rFonts w:hint="eastAsia" w:ascii="宋体" w:hAnsi="宋体" w:cs="宋体"/>
          <w:color w:val="auto"/>
        </w:rPr>
        <w:t>填报该表时，应按项目采购需求中的商务条款要求，结合自身参加磋商情况对商务条款逐条响应，未逐条响应的视为响应无效。格式见第五章</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★(4)磋商保证金</w:t>
      </w:r>
    </w:p>
    <w:p>
      <w:pPr>
        <w:spacing w:line="360" w:lineRule="auto"/>
        <w:ind w:firstLine="525" w:firstLineChars="250"/>
        <w:rPr>
          <w:rFonts w:ascii="宋体" w:hAnsi="宋体" w:cs="宋体"/>
          <w:b/>
          <w:color w:val="auto"/>
          <w:kern w:val="0"/>
          <w:szCs w:val="21"/>
        </w:rPr>
      </w:pPr>
      <w:r>
        <w:rPr>
          <w:rFonts w:hint="eastAsia" w:ascii="宋体" w:hAnsi="宋体" w:cs="宋体"/>
          <w:color w:val="auto"/>
          <w:kern w:val="0"/>
          <w:szCs w:val="21"/>
        </w:rPr>
        <w:t xml:space="preserve"> (5)供应商符合资格条件的证明文件</w:t>
      </w:r>
      <w:r>
        <w:rPr>
          <w:rFonts w:hint="eastAsia" w:ascii="宋体" w:hAnsi="宋体" w:cs="宋体"/>
          <w:b/>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1 \* GB3 \* MERGEFORMAT </w:instrText>
      </w:r>
      <w:r>
        <w:rPr>
          <w:rFonts w:hint="eastAsia" w:ascii="宋体" w:hAnsi="宋体" w:cs="宋体"/>
          <w:color w:val="auto"/>
          <w:kern w:val="0"/>
          <w:szCs w:val="21"/>
        </w:rPr>
        <w:fldChar w:fldCharType="separate"/>
      </w:r>
      <w:r>
        <w:rPr>
          <w:color w:val="auto"/>
        </w:rPr>
        <w:t>①</w:t>
      </w:r>
      <w:r>
        <w:rPr>
          <w:rFonts w:hint="eastAsia" w:ascii="宋体" w:hAnsi="宋体" w:cs="宋体"/>
          <w:color w:val="auto"/>
          <w:kern w:val="0"/>
          <w:szCs w:val="21"/>
        </w:rPr>
        <w:fldChar w:fldCharType="end"/>
      </w:r>
      <w:r>
        <w:rPr>
          <w:rFonts w:hint="eastAsia" w:ascii="宋体" w:hAnsi="宋体" w:cs="宋体"/>
          <w:color w:val="auto"/>
          <w:kern w:val="0"/>
          <w:szCs w:val="21"/>
        </w:rPr>
        <w:t>供应商基本情况表（格式见第五章）</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2 \* GB3 \* MERGEFORMAT </w:instrText>
      </w:r>
      <w:r>
        <w:rPr>
          <w:rFonts w:hint="eastAsia" w:ascii="宋体" w:hAnsi="宋体" w:cs="宋体"/>
          <w:color w:val="auto"/>
          <w:kern w:val="0"/>
          <w:szCs w:val="21"/>
        </w:rPr>
        <w:fldChar w:fldCharType="separate"/>
      </w:r>
      <w:r>
        <w:rPr>
          <w:color w:val="auto"/>
        </w:rPr>
        <w:t>②</w:t>
      </w:r>
      <w:r>
        <w:rPr>
          <w:rFonts w:hint="eastAsia" w:ascii="宋体" w:hAnsi="宋体" w:cs="宋体"/>
          <w:color w:val="auto"/>
          <w:kern w:val="0"/>
          <w:szCs w:val="21"/>
        </w:rPr>
        <w:fldChar w:fldCharType="end"/>
      </w:r>
      <w:r>
        <w:rPr>
          <w:rFonts w:hint="eastAsia"/>
          <w:color w:val="auto"/>
        </w:rPr>
        <w:t>有效的新版“营业执照”或《事业单位法人证书》或其他依法成立组织的证明文件</w:t>
      </w:r>
      <w:r>
        <w:rPr>
          <w:rFonts w:hint="eastAsia" w:ascii="宋体" w:hAnsi="宋体" w:cs="宋体"/>
          <w:color w:val="auto"/>
        </w:rPr>
        <w:t>（必须具有，如能够在线查询的材料，请提供国家有关部门规定查询的网址链接</w:t>
      </w:r>
      <w:r>
        <w:rPr>
          <w:rFonts w:hint="eastAsia"/>
          <w:color w:val="auto"/>
        </w:rPr>
        <w:t>，</w:t>
      </w:r>
      <w:r>
        <w:rPr>
          <w:rFonts w:hint="eastAsia"/>
          <w:b/>
          <w:color w:val="auto"/>
        </w:rPr>
        <w:t>原件备查</w:t>
      </w:r>
      <w:r>
        <w:rPr>
          <w:rFonts w:hint="eastAsia" w:ascii="宋体" w:hAnsi="宋体" w:cs="宋体"/>
          <w:color w:val="auto"/>
        </w:rPr>
        <w:t>）</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3 \* GB3 \* MERGEFORMAT </w:instrText>
      </w:r>
      <w:r>
        <w:rPr>
          <w:rFonts w:hint="eastAsia" w:ascii="宋体" w:hAnsi="宋体" w:cs="宋体"/>
          <w:color w:val="auto"/>
          <w:kern w:val="0"/>
          <w:szCs w:val="21"/>
        </w:rPr>
        <w:fldChar w:fldCharType="separate"/>
      </w:r>
      <w:r>
        <w:rPr>
          <w:color w:val="auto"/>
        </w:rPr>
        <w:t>③</w:t>
      </w:r>
      <w:r>
        <w:rPr>
          <w:rFonts w:hint="eastAsia" w:ascii="宋体" w:hAnsi="宋体" w:cs="宋体"/>
          <w:color w:val="auto"/>
          <w:kern w:val="0"/>
          <w:szCs w:val="21"/>
        </w:rPr>
        <w:fldChar w:fldCharType="end"/>
      </w:r>
      <w:r>
        <w:rPr>
          <w:rFonts w:hint="eastAsia"/>
          <w:color w:val="auto"/>
        </w:rPr>
        <w:t>有效的税务登记证（必须具有，如能够在线查询的材料，请提供国家有关部门规定</w:t>
      </w:r>
      <w:r>
        <w:rPr>
          <w:rFonts w:hint="eastAsia" w:hAnsi="Calibri"/>
          <w:color w:val="auto"/>
        </w:rPr>
        <w:t>查询的网址链接</w:t>
      </w:r>
      <w:r>
        <w:rPr>
          <w:rFonts w:hint="eastAsia"/>
          <w:color w:val="auto"/>
        </w:rPr>
        <w:t>，</w:t>
      </w:r>
      <w:r>
        <w:rPr>
          <w:rFonts w:hint="eastAsia"/>
          <w:b/>
          <w:color w:val="auto"/>
        </w:rPr>
        <w:t>原件备查</w:t>
      </w:r>
      <w:r>
        <w:rPr>
          <w:rFonts w:hint="eastAsia"/>
          <w:color w:val="auto"/>
        </w:rPr>
        <w:t>）；（若已经取得“三证合一”的可不提供）</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4 \* GB3 \* MERGEFORMAT </w:instrText>
      </w:r>
      <w:r>
        <w:rPr>
          <w:rFonts w:hint="eastAsia" w:ascii="宋体" w:hAnsi="宋体" w:cs="宋体"/>
          <w:color w:val="auto"/>
          <w:kern w:val="0"/>
          <w:szCs w:val="21"/>
        </w:rPr>
        <w:fldChar w:fldCharType="separate"/>
      </w:r>
      <w:r>
        <w:rPr>
          <w:color w:val="auto"/>
        </w:rPr>
        <w:t>④</w:t>
      </w:r>
      <w:r>
        <w:rPr>
          <w:rFonts w:hint="eastAsia" w:ascii="宋体" w:hAnsi="宋体" w:cs="宋体"/>
          <w:color w:val="auto"/>
          <w:kern w:val="0"/>
          <w:szCs w:val="21"/>
        </w:rPr>
        <w:fldChar w:fldCharType="end"/>
      </w:r>
      <w:r>
        <w:rPr>
          <w:rFonts w:hint="eastAsia" w:ascii="宋体" w:hAnsi="宋体" w:cs="宋体"/>
          <w:color w:val="auto"/>
          <w:kern w:val="0"/>
          <w:szCs w:val="21"/>
        </w:rPr>
        <w:t>法定代表人（负责人）完整有效的身份证复印件（第二代身份证必须提供正反面复印件）。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5 \* GB3 \* MERGEFORMAT </w:instrText>
      </w:r>
      <w:r>
        <w:rPr>
          <w:rFonts w:hint="eastAsia" w:ascii="宋体" w:hAnsi="宋体" w:cs="宋体"/>
          <w:color w:val="auto"/>
          <w:kern w:val="0"/>
          <w:szCs w:val="21"/>
        </w:rPr>
        <w:fldChar w:fldCharType="separate"/>
      </w:r>
      <w:r>
        <w:rPr>
          <w:color w:val="auto"/>
        </w:rPr>
        <w:t>⑤</w:t>
      </w:r>
      <w:r>
        <w:rPr>
          <w:rFonts w:hint="eastAsia" w:ascii="宋体" w:hAnsi="宋体" w:cs="宋体"/>
          <w:color w:val="auto"/>
          <w:kern w:val="0"/>
          <w:szCs w:val="21"/>
        </w:rPr>
        <w:fldChar w:fldCharType="end"/>
      </w:r>
      <w:r>
        <w:rPr>
          <w:rFonts w:hint="eastAsia" w:ascii="宋体" w:hAnsi="宋体" w:cs="宋体"/>
          <w:color w:val="auto"/>
          <w:kern w:val="0"/>
          <w:szCs w:val="21"/>
        </w:rPr>
        <w:t>法定代表人（负责人）授权委托书(格式见第五章) 和委托代理人完整有效的身份证复印件（委托代理时必须提供。第二代身份证必须提供正反面复印件）。</w:t>
      </w:r>
    </w:p>
    <w:p>
      <w:pPr>
        <w:pStyle w:val="20"/>
        <w:spacing w:line="440" w:lineRule="exact"/>
        <w:ind w:firstLine="420" w:firstLineChars="200"/>
        <w:rPr>
          <w:rFonts w:ascii="Times New Roman"/>
          <w:color w:val="auto"/>
          <w:sz w:val="21"/>
          <w:szCs w:val="21"/>
        </w:rPr>
      </w:pPr>
      <w:r>
        <w:rPr>
          <w:rFonts w:hint="eastAsia" w:hAnsi="宋体" w:cs="宋体"/>
          <w:color w:val="auto"/>
          <w:sz w:val="21"/>
          <w:szCs w:val="22"/>
        </w:rPr>
        <w:t>★</w:t>
      </w:r>
      <w:r>
        <w:rPr>
          <w:rFonts w:hint="eastAsia" w:hAnsi="宋体" w:cs="宋体"/>
          <w:color w:val="auto"/>
          <w:sz w:val="21"/>
          <w:szCs w:val="22"/>
        </w:rPr>
        <w:fldChar w:fldCharType="begin"/>
      </w:r>
      <w:r>
        <w:rPr>
          <w:rFonts w:hint="eastAsia" w:hAnsi="宋体" w:cs="宋体"/>
          <w:color w:val="auto"/>
          <w:sz w:val="21"/>
          <w:szCs w:val="22"/>
        </w:rPr>
        <w:instrText xml:space="preserve"> = 6 \* GB3 \* MERGEFORMAT </w:instrText>
      </w:r>
      <w:r>
        <w:rPr>
          <w:rFonts w:hint="eastAsia" w:hAnsi="宋体" w:cs="宋体"/>
          <w:color w:val="auto"/>
          <w:sz w:val="21"/>
          <w:szCs w:val="22"/>
        </w:rPr>
        <w:fldChar w:fldCharType="separate"/>
      </w:r>
      <w:r>
        <w:rPr>
          <w:color w:val="auto"/>
          <w:sz w:val="21"/>
          <w:szCs w:val="21"/>
        </w:rPr>
        <w:t>⑥</w:t>
      </w:r>
      <w:r>
        <w:rPr>
          <w:rFonts w:hint="eastAsia" w:hAnsi="宋体" w:cs="宋体"/>
          <w:color w:val="auto"/>
          <w:sz w:val="21"/>
          <w:szCs w:val="22"/>
        </w:rPr>
        <w:fldChar w:fldCharType="end"/>
      </w:r>
      <w:r>
        <w:rPr>
          <w:rFonts w:hint="eastAsia" w:ascii="Times New Roman"/>
          <w:color w:val="auto"/>
          <w:sz w:val="21"/>
          <w:szCs w:val="21"/>
        </w:rPr>
        <w:t>供应商参加本项目磋商时</w:t>
      </w:r>
      <w:r>
        <w:rPr>
          <w:rFonts w:hint="eastAsia" w:ascii="Times New Roman"/>
          <w:color w:val="auto"/>
          <w:sz w:val="21"/>
          <w:szCs w:val="21"/>
          <w:lang w:val="en-US" w:eastAsia="zh-CN"/>
        </w:rPr>
        <w:t>2020年或2021</w:t>
      </w:r>
      <w:r>
        <w:rPr>
          <w:rFonts w:hint="eastAsia" w:ascii="Times New Roman"/>
          <w:color w:val="auto"/>
          <w:sz w:val="21"/>
          <w:szCs w:val="21"/>
        </w:rPr>
        <w:t>年的年度财务报告复印件（如供应商为参加本项目磋商当年新成立公司的，应提供于公司成立之日后的财务报表），</w:t>
      </w:r>
      <w:r>
        <w:rPr>
          <w:rFonts w:hint="eastAsia" w:ascii="Times New Roman"/>
          <w:b/>
          <w:color w:val="auto"/>
          <w:sz w:val="21"/>
          <w:szCs w:val="21"/>
        </w:rPr>
        <w:t>原件备查</w:t>
      </w:r>
      <w:r>
        <w:rPr>
          <w:rFonts w:hint="eastAsia" w:ascii="Times New Roman"/>
          <w:color w:val="auto"/>
          <w:sz w:val="21"/>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7 \* GB3 \* MERGEFORMAT </w:instrText>
      </w:r>
      <w:r>
        <w:rPr>
          <w:rFonts w:hint="eastAsia" w:ascii="宋体" w:hAnsi="宋体" w:cs="宋体"/>
          <w:color w:val="auto"/>
          <w:kern w:val="0"/>
          <w:szCs w:val="21"/>
        </w:rPr>
        <w:fldChar w:fldCharType="separate"/>
      </w:r>
      <w:r>
        <w:rPr>
          <w:color w:val="auto"/>
        </w:rPr>
        <w:t>⑦</w:t>
      </w:r>
      <w:r>
        <w:rPr>
          <w:rFonts w:hint="eastAsia" w:ascii="宋体" w:hAnsi="宋体" w:cs="宋体"/>
          <w:color w:val="auto"/>
          <w:kern w:val="0"/>
          <w:szCs w:val="21"/>
        </w:rPr>
        <w:fldChar w:fldCharType="end"/>
      </w:r>
      <w:r>
        <w:rPr>
          <w:rFonts w:hint="eastAsia" w:ascii="宋体" w:hAnsi="宋体" w:cs="宋体"/>
          <w:color w:val="auto"/>
          <w:kern w:val="0"/>
          <w:szCs w:val="21"/>
        </w:rPr>
        <w:t>响应文件递交截止时间前半年内供应商连续三个月的依法纳税的依法缴纳税费或依法免缴税费的证明（复印件，原件备查）；供应商无纳税记录或为新成立公司，应提供由供应商所在地主管税务部门出具的依法纳税或依法免税证明（复印件</w:t>
      </w:r>
      <w:r>
        <w:rPr>
          <w:rFonts w:hint="eastAsia"/>
          <w:color w:val="auto"/>
        </w:rPr>
        <w:t>，</w:t>
      </w:r>
      <w:r>
        <w:rPr>
          <w:rFonts w:hint="eastAsia"/>
          <w:b/>
          <w:color w:val="auto"/>
        </w:rPr>
        <w:t>原件备查</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8 \* GB3 \* MERGEFORMAT </w:instrText>
      </w:r>
      <w:r>
        <w:rPr>
          <w:rFonts w:hint="eastAsia" w:ascii="宋体" w:hAnsi="宋体" w:cs="宋体"/>
          <w:color w:val="auto"/>
          <w:kern w:val="0"/>
          <w:szCs w:val="21"/>
        </w:rPr>
        <w:fldChar w:fldCharType="separate"/>
      </w:r>
      <w:r>
        <w:rPr>
          <w:color w:val="auto"/>
        </w:rPr>
        <w:t>⑧</w:t>
      </w:r>
      <w:r>
        <w:rPr>
          <w:rFonts w:hint="eastAsia" w:ascii="宋体" w:hAnsi="宋体" w:cs="宋体"/>
          <w:color w:val="auto"/>
          <w:kern w:val="0"/>
          <w:szCs w:val="21"/>
        </w:rPr>
        <w:fldChar w:fldCharType="end"/>
      </w:r>
      <w:r>
        <w:rPr>
          <w:rFonts w:hint="eastAsia" w:ascii="宋体" w:hAnsi="宋体" w:cs="宋体"/>
          <w:color w:val="auto"/>
          <w:kern w:val="0"/>
          <w:szCs w:val="21"/>
        </w:rPr>
        <w:t>响应文件递交截止时间前半年内供应商连续三个月的依法缴纳社保费的缴费凭证（复印件</w:t>
      </w:r>
      <w:r>
        <w:rPr>
          <w:rFonts w:hint="eastAsia"/>
          <w:color w:val="auto"/>
        </w:rPr>
        <w:t>，</w:t>
      </w:r>
      <w:r>
        <w:rPr>
          <w:rFonts w:hint="eastAsia"/>
          <w:b/>
          <w:color w:val="auto"/>
        </w:rPr>
        <w:t>原件备查</w:t>
      </w:r>
      <w:r>
        <w:rPr>
          <w:rFonts w:hint="eastAsia" w:ascii="宋体" w:hAnsi="宋体" w:cs="宋体"/>
          <w:color w:val="auto"/>
          <w:kern w:val="0"/>
          <w:szCs w:val="21"/>
        </w:rPr>
        <w:t>）；供应商无缴费记录或为新成立公司，应提供由供应商所在地社保部门出具的依法缴纳或依法免缴社保费证明（复印件</w:t>
      </w:r>
      <w:r>
        <w:rPr>
          <w:rFonts w:hint="eastAsia"/>
          <w:color w:val="auto"/>
        </w:rPr>
        <w:t>，</w:t>
      </w:r>
      <w:r>
        <w:rPr>
          <w:rFonts w:hint="eastAsia"/>
          <w:b/>
          <w:color w:val="auto"/>
        </w:rPr>
        <w:t>原件备查</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 9 \* GB3 \* MERGEFORMAT </w:instrText>
      </w:r>
      <w:r>
        <w:rPr>
          <w:rFonts w:hint="eastAsia" w:ascii="宋体" w:hAnsi="宋体" w:cs="宋体"/>
          <w:color w:val="auto"/>
          <w:kern w:val="0"/>
          <w:szCs w:val="21"/>
        </w:rPr>
        <w:fldChar w:fldCharType="separate"/>
      </w:r>
      <w:r>
        <w:rPr>
          <w:color w:val="auto"/>
        </w:rPr>
        <w:t>⑨</w:t>
      </w:r>
      <w:r>
        <w:rPr>
          <w:rFonts w:hint="eastAsia" w:ascii="宋体" w:hAnsi="宋体" w:cs="宋体"/>
          <w:color w:val="auto"/>
          <w:kern w:val="0"/>
          <w:szCs w:val="21"/>
        </w:rPr>
        <w:fldChar w:fldCharType="end"/>
      </w:r>
      <w:r>
        <w:rPr>
          <w:rFonts w:hint="eastAsia" w:ascii="宋体" w:hAnsi="宋体" w:cs="宋体"/>
          <w:color w:val="auto"/>
          <w:kern w:val="0"/>
          <w:szCs w:val="21"/>
        </w:rPr>
        <w:t>参加本采购活动前三年内在经营活动中没有重大违法记录的书面声明（格式见第五章）。</w:t>
      </w:r>
    </w:p>
    <w:p>
      <w:pPr>
        <w:numPr>
          <w:ilvl w:val="255"/>
          <w:numId w:val="0"/>
        </w:num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（6）符合政府采购政策的证明材料</w:t>
      </w:r>
    </w:p>
    <w:p>
      <w:pPr>
        <w:numPr>
          <w:ilvl w:val="0"/>
          <w:numId w:val="2"/>
        </w:num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磋商须知前附表要求供应商须提供的其他资料</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（8）供应商认为需提供的其他资料</w:t>
      </w:r>
    </w:p>
    <w:p>
      <w:pPr>
        <w:spacing w:line="360" w:lineRule="auto"/>
        <w:ind w:firstLine="420" w:firstLineChars="200"/>
        <w:rPr>
          <w:rFonts w:ascii="宋体" w:hAnsi="宋体" w:cs="宋体"/>
          <w:b/>
          <w:color w:val="auto"/>
          <w:kern w:val="0"/>
          <w:szCs w:val="21"/>
        </w:rPr>
      </w:pPr>
      <w:r>
        <w:rPr>
          <w:rFonts w:hint="eastAsia" w:ascii="宋体" w:hAnsi="宋体" w:cs="宋体"/>
          <w:color w:val="auto"/>
          <w:kern w:val="0"/>
          <w:szCs w:val="21"/>
        </w:rPr>
        <w:t>14.1.2　技术部分</w:t>
      </w:r>
      <w:r>
        <w:rPr>
          <w:rFonts w:hint="eastAsia" w:ascii="宋体" w:hAnsi="宋体" w:cs="宋体"/>
          <w:b/>
          <w:color w:val="auto"/>
          <w:kern w:val="0"/>
          <w:szCs w:val="21"/>
        </w:rPr>
        <w:t>{要求必须按照以下格式要求（如有格式要求的）提供以下带“★”的的证明文件或材料}：</w:t>
      </w:r>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(1)</w:t>
      </w:r>
      <w:r>
        <w:rPr>
          <w:rFonts w:hint="eastAsia"/>
          <w:color w:val="auto"/>
        </w:rPr>
        <w:t>实施方案、技术方案或服务方案</w:t>
      </w:r>
      <w:r>
        <w:rPr>
          <w:rFonts w:hint="eastAsia" w:ascii="宋体" w:hAnsi="宋体" w:cs="宋体"/>
          <w:color w:val="auto"/>
          <w:kern w:val="0"/>
          <w:szCs w:val="21"/>
        </w:rPr>
        <w:t>（格式自拟）</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★(2)技术条款偏离表（格式见第五章）</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(3)售后服务承诺</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(4)用于本项目人员简历表</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(5)磋商标的物符合磋商文件要求的相关证明文件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(6)其他资料</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14.2　</w:t>
      </w:r>
      <w:r>
        <w:rPr>
          <w:rFonts w:hint="eastAsia" w:ascii="宋体" w:hAnsi="宋体" w:cs="宋体"/>
          <w:b/>
          <w:bCs/>
          <w:color w:val="auto"/>
          <w:kern w:val="0"/>
          <w:szCs w:val="21"/>
        </w:rPr>
        <w:t>磋商须知前附表</w:t>
      </w:r>
      <w:r>
        <w:rPr>
          <w:rFonts w:hint="eastAsia" w:ascii="宋体" w:hAnsi="宋体" w:cs="宋体"/>
          <w:color w:val="auto"/>
          <w:kern w:val="0"/>
          <w:szCs w:val="21"/>
        </w:rPr>
        <w:t>规定供应商在首次响应文件递交时提供样品的，供应商有以下情形之一的，在评审时将其视为无效响应文件。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(1)未在</w:t>
      </w:r>
      <w:r>
        <w:rPr>
          <w:rFonts w:hint="eastAsia" w:ascii="宋体" w:hAnsi="宋体" w:cs="宋体"/>
          <w:b/>
          <w:bCs/>
          <w:color w:val="auto"/>
          <w:kern w:val="0"/>
          <w:szCs w:val="21"/>
        </w:rPr>
        <w:t>磋商须知前附表</w:t>
      </w:r>
      <w:r>
        <w:rPr>
          <w:rFonts w:hint="eastAsia" w:ascii="宋体" w:hAnsi="宋体" w:cs="宋体"/>
          <w:color w:val="auto"/>
          <w:kern w:val="0"/>
          <w:szCs w:val="21"/>
        </w:rPr>
        <w:t>规定的提交时间、地点提交的；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(2)供应商提供的样品与响应文件中型号、规格不一致的。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14.3　在磋商过程中，供应商根据磋商小组书面形式要求提交的最后报价(或者重新提交的响应文件和最后报价)是响应文件的有效组成部分。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14.4　磋商文件规定可能发生实质性变动的，供应商应当在《技术/商务响应与偏离表》中的对应内容处注明。</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14.5　供应商无论成交与否，其响应文件不予退还。</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15.报价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15.1　供应商应按磋商文件规定的供货及服务要求、责任范围和合同条件，以人民币进行报价。</w:t>
      </w:r>
      <w:r>
        <w:rPr>
          <w:rFonts w:hint="eastAsia" w:ascii="宋体" w:hAnsi="宋体" w:cs="宋体"/>
          <w:color w:val="auto"/>
          <w:szCs w:val="21"/>
        </w:rPr>
        <w:t>报价应为完税价。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15.3供应商</w:t>
      </w:r>
      <w:r>
        <w:rPr>
          <w:rFonts w:hint="eastAsia" w:ascii="宋体" w:hAnsi="宋体" w:cs="宋体"/>
          <w:color w:val="auto"/>
          <w:szCs w:val="21"/>
        </w:rPr>
        <w:t>对每种货物及服务只允许有一个报价，不接受可变动性报价、赠送及“零”报价，否则，在评审时将其视为无效磋商</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15.4　项目有特殊要求的见</w:t>
      </w:r>
      <w:r>
        <w:rPr>
          <w:rFonts w:hint="eastAsia" w:ascii="宋体" w:hAnsi="宋体" w:cs="宋体"/>
          <w:b/>
          <w:bCs/>
          <w:color w:val="auto"/>
          <w:kern w:val="0"/>
          <w:szCs w:val="21"/>
        </w:rPr>
        <w:t>磋商须知前附表</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16.磋商保证金</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16.1　本项目是否交纳磋商保证金要求见</w:t>
      </w:r>
      <w:r>
        <w:rPr>
          <w:rFonts w:hint="eastAsia" w:ascii="宋体" w:hAnsi="宋体" w:cs="宋体"/>
          <w:b/>
          <w:bCs/>
          <w:color w:val="auto"/>
          <w:kern w:val="0"/>
          <w:szCs w:val="21"/>
        </w:rPr>
        <w:t>磋商须知前附表</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16.2　磋商须知前附表规定交纳磋商保证金的，供应商应以</w:t>
      </w:r>
      <w:r>
        <w:rPr>
          <w:rFonts w:hint="eastAsia"/>
          <w:color w:val="auto"/>
        </w:rPr>
        <w:t>银行转账、支票、汇票、本票或者金融、担保机构出具的保函等非现金形式</w:t>
      </w:r>
      <w:r>
        <w:rPr>
          <w:rFonts w:hint="eastAsia" w:ascii="宋体" w:hAnsi="宋体" w:cs="宋体"/>
          <w:color w:val="auto"/>
          <w:kern w:val="0"/>
          <w:szCs w:val="21"/>
        </w:rPr>
        <w:t>，</w:t>
      </w:r>
      <w:r>
        <w:rPr>
          <w:rFonts w:hint="eastAsia"/>
          <w:color w:val="auto"/>
        </w:rPr>
        <w:t>禁止采用现钞方式，</w:t>
      </w:r>
      <w:r>
        <w:rPr>
          <w:rFonts w:hint="eastAsia" w:ascii="宋体" w:hAnsi="宋体" w:cs="宋体"/>
          <w:color w:val="auto"/>
          <w:kern w:val="0"/>
          <w:szCs w:val="21"/>
        </w:rPr>
        <w:t>在</w:t>
      </w:r>
      <w:r>
        <w:rPr>
          <w:rFonts w:hint="eastAsia" w:ascii="宋体" w:hAnsi="宋体" w:cs="宋体"/>
          <w:b/>
          <w:bCs/>
          <w:color w:val="auto"/>
          <w:kern w:val="0"/>
          <w:szCs w:val="21"/>
        </w:rPr>
        <w:t>磋商须知前附表</w:t>
      </w:r>
      <w:r>
        <w:rPr>
          <w:rFonts w:hint="eastAsia" w:ascii="宋体" w:hAnsi="宋体" w:cs="宋体"/>
          <w:color w:val="auto"/>
          <w:kern w:val="0"/>
          <w:szCs w:val="21"/>
        </w:rPr>
        <w:t>规定的提交首次响应文件截止时间前，向采购人或采购代理机构提交</w:t>
      </w:r>
      <w:r>
        <w:rPr>
          <w:rFonts w:hint="eastAsia" w:ascii="宋体" w:hAnsi="宋体" w:cs="宋体"/>
          <w:b/>
          <w:bCs/>
          <w:color w:val="auto"/>
          <w:kern w:val="0"/>
          <w:szCs w:val="21"/>
        </w:rPr>
        <w:t>磋商须知前附表</w:t>
      </w:r>
      <w:r>
        <w:rPr>
          <w:rFonts w:hint="eastAsia" w:ascii="宋体" w:hAnsi="宋体" w:cs="宋体"/>
          <w:color w:val="auto"/>
          <w:kern w:val="0"/>
          <w:szCs w:val="21"/>
        </w:rPr>
        <w:t>规定的磋商保证金。磋商保证金有效期应当与本章</w:t>
      </w:r>
      <w:r>
        <w:rPr>
          <w:rFonts w:hint="eastAsia" w:ascii="宋体" w:hAnsi="宋体" w:cs="宋体"/>
          <w:b/>
          <w:bCs/>
          <w:color w:val="auto"/>
          <w:kern w:val="0"/>
          <w:szCs w:val="21"/>
        </w:rPr>
        <w:t>磋商须知前附表</w:t>
      </w:r>
      <w:r>
        <w:rPr>
          <w:rFonts w:hint="eastAsia" w:ascii="宋体" w:hAnsi="宋体" w:cs="宋体"/>
          <w:color w:val="auto"/>
          <w:kern w:val="0"/>
          <w:szCs w:val="21"/>
        </w:rPr>
        <w:t>规定的磋商响应有效期一致。未按磋商文件规定提交保证金的，采购人或采购代理机构应当拒绝接收供应商的响应文件</w:t>
      </w:r>
      <w:r>
        <w:rPr>
          <w:rFonts w:hint="eastAsia"/>
          <w:color w:val="auto"/>
          <w:lang w:eastAsia="zh-CN"/>
        </w:rPr>
        <w:t>或磋商小组</w:t>
      </w:r>
      <w:r>
        <w:rPr>
          <w:rFonts w:hint="eastAsia"/>
          <w:color w:val="auto"/>
        </w:rPr>
        <w:t>在评</w:t>
      </w:r>
      <w:r>
        <w:rPr>
          <w:rFonts w:hint="eastAsia"/>
          <w:color w:val="auto"/>
          <w:lang w:eastAsia="zh-CN"/>
        </w:rPr>
        <w:t>审</w:t>
      </w:r>
      <w:r>
        <w:rPr>
          <w:rFonts w:hint="eastAsia"/>
          <w:color w:val="auto"/>
        </w:rPr>
        <w:t>时将其视为无效</w:t>
      </w:r>
      <w:r>
        <w:rPr>
          <w:rFonts w:hint="eastAsia"/>
          <w:color w:val="auto"/>
          <w:lang w:eastAsia="zh-CN"/>
        </w:rPr>
        <w:t>竞</w:t>
      </w:r>
      <w:r>
        <w:rPr>
          <w:rFonts w:hint="eastAsia"/>
          <w:color w:val="auto"/>
        </w:rPr>
        <w:t>标</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16.3　供应商为联合体的，可以由联合体中的一方或者共同交纳磋商保证金。</w:t>
      </w:r>
      <w:r>
        <w:rPr>
          <w:rFonts w:hint="eastAsia"/>
          <w:color w:val="auto"/>
        </w:rPr>
        <w:t>以一方名义提交</w:t>
      </w:r>
      <w:r>
        <w:rPr>
          <w:rFonts w:hint="eastAsia" w:ascii="宋体" w:hAnsi="宋体" w:cs="宋体"/>
          <w:color w:val="auto"/>
          <w:kern w:val="0"/>
          <w:szCs w:val="21"/>
        </w:rPr>
        <w:t>磋商保证金的，对联合体各方均具有约束力。</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16.4　未成交供应商的磋商保证金，在成交通知书发出后5个工作日内退还，但因供应商自身原因导致无法及时退还的除外。</w:t>
      </w:r>
    </w:p>
    <w:p>
      <w:pPr>
        <w:pStyle w:val="2"/>
        <w:ind w:firstLine="420" w:firstLineChars="200"/>
        <w:rPr>
          <w:color w:val="auto"/>
        </w:rPr>
      </w:pPr>
      <w:r>
        <w:rPr>
          <w:rFonts w:hint="eastAsia" w:ascii="宋体" w:hAnsi="宋体" w:cs="宋体"/>
          <w:color w:val="auto"/>
          <w:kern w:val="0"/>
          <w:szCs w:val="21"/>
        </w:rPr>
        <w:t>16.5成交供应商的磋商保证金，在采购合同签订后5个工作日内退还，</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16.6　有下列情形之一的，磋商保证金不予退还：</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(1)供应商在</w:t>
      </w:r>
      <w:r>
        <w:rPr>
          <w:rFonts w:hint="eastAsia" w:ascii="宋体" w:hAnsi="宋体" w:cs="宋体"/>
          <w:b/>
          <w:bCs/>
          <w:color w:val="auto"/>
          <w:kern w:val="0"/>
          <w:szCs w:val="21"/>
        </w:rPr>
        <w:t>磋商须知前附表</w:t>
      </w:r>
      <w:r>
        <w:rPr>
          <w:rFonts w:hint="eastAsia" w:ascii="宋体" w:hAnsi="宋体" w:cs="宋体"/>
          <w:color w:val="auto"/>
          <w:kern w:val="0"/>
          <w:szCs w:val="21"/>
        </w:rPr>
        <w:t>规定的磋商响应有效期内撤销响应文件的；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(2)供应商在响应文件中提供虚假材料的；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(3)成交后无正当理由不与采购人签订合同的；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(4)供应商与采购人、其他供应商或者采购代理机构恶意串通的；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(5)磋商文件规定的其他情形。</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17.磋商响应有效期</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17.1　磋商响应有效期见</w:t>
      </w:r>
      <w:r>
        <w:rPr>
          <w:rFonts w:hint="eastAsia" w:ascii="宋体" w:hAnsi="宋体" w:cs="宋体"/>
          <w:b/>
          <w:bCs/>
          <w:color w:val="auto"/>
          <w:kern w:val="0"/>
          <w:szCs w:val="21"/>
        </w:rPr>
        <w:t>磋商须知前附表</w:t>
      </w:r>
      <w:r>
        <w:rPr>
          <w:rFonts w:hint="eastAsia" w:ascii="宋体" w:hAnsi="宋体" w:cs="宋体"/>
          <w:color w:val="auto"/>
          <w:kern w:val="0"/>
          <w:szCs w:val="21"/>
        </w:rPr>
        <w:t>，在此期间响应文件对供应商具有法律约束力</w:t>
      </w:r>
      <w:r>
        <w:rPr>
          <w:rFonts w:hint="eastAsia" w:cs="MingLiU_HKSCS"/>
          <w:color w:val="auto"/>
        </w:rPr>
        <w:t>，</w:t>
      </w:r>
      <w:r>
        <w:rPr>
          <w:rFonts w:hint="eastAsia"/>
          <w:color w:val="auto"/>
        </w:rPr>
        <w:t>以保证采购人有足够的时间完成评审、确定成交供应商以及签订合同</w:t>
      </w:r>
      <w:r>
        <w:rPr>
          <w:rFonts w:hint="eastAsia" w:ascii="宋体" w:hAnsi="宋体" w:cs="宋体"/>
          <w:color w:val="auto"/>
          <w:kern w:val="0"/>
          <w:szCs w:val="21"/>
        </w:rPr>
        <w:t>。响应文件有效期从</w:t>
      </w:r>
      <w:r>
        <w:rPr>
          <w:rFonts w:hint="eastAsia" w:ascii="宋体" w:hAnsi="宋体" w:cs="宋体"/>
          <w:b/>
          <w:bCs/>
          <w:color w:val="auto"/>
          <w:kern w:val="0"/>
          <w:szCs w:val="21"/>
        </w:rPr>
        <w:t>磋商须知前附表</w:t>
      </w:r>
      <w:r>
        <w:rPr>
          <w:rFonts w:hint="eastAsia" w:ascii="宋体" w:hAnsi="宋体" w:cs="宋体"/>
          <w:color w:val="auto"/>
          <w:kern w:val="0"/>
          <w:szCs w:val="21"/>
        </w:rPr>
        <w:t>规定的提交首次响应文件截止时间之日起计算。磋商响应有效期不足的，在评审时将被视为无效响应。</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★17.2　特殊情况需延长磋商响应有效期的，采购人或采购代理机构可于磋商响应有效期届满之前，要求供应商同意延长有效期，采购人或采购代理机构的要求与供应商的答复均应为书面形式。供应商拒绝延长的，其响应在原磋商响应有效期届满后将不再有效，但有权收回其磋商保证金；供应商同意延长的，应相应延长其磋商保证金的有效期，但不允许修改或撤回响应文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18.响应文件的签署及规定</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18.1　供应商应根据</w:t>
      </w:r>
      <w:r>
        <w:rPr>
          <w:rFonts w:hint="eastAsia" w:ascii="宋体" w:hAnsi="宋体" w:cs="宋体"/>
          <w:b/>
          <w:bCs/>
          <w:color w:val="auto"/>
          <w:kern w:val="0"/>
          <w:szCs w:val="21"/>
        </w:rPr>
        <w:t>磋商须知前附表</w:t>
      </w:r>
      <w:r>
        <w:rPr>
          <w:rFonts w:hint="eastAsia" w:ascii="宋体" w:hAnsi="宋体" w:cs="宋体"/>
          <w:color w:val="auto"/>
          <w:kern w:val="0"/>
          <w:szCs w:val="21"/>
        </w:rPr>
        <w:t>规定提交响应文件。纸质文件的正本和副本应装订成册。正本和副本的封面上应标记“正本”或“副本”的字样，当正本和副本</w:t>
      </w:r>
      <w:r>
        <w:rPr>
          <w:rFonts w:hint="eastAsia"/>
          <w:color w:val="auto"/>
        </w:rPr>
        <w:t>、电子版不一致时</w:t>
      </w:r>
      <w:r>
        <w:rPr>
          <w:rFonts w:hint="eastAsia" w:ascii="宋体" w:hAnsi="宋体" w:cs="宋体"/>
          <w:color w:val="auto"/>
          <w:kern w:val="0"/>
          <w:szCs w:val="21"/>
        </w:rPr>
        <w:t>，以正本为准。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18.2　响应文件正本和副本应用不褪色的材料打印或书写，并按磋商文件要求在签字盖章处加盖公章和由法定代表人（负责人）或其授权代表签字。响应文件中的任何</w:t>
      </w:r>
      <w:r>
        <w:rPr>
          <w:rFonts w:hint="eastAsia"/>
          <w:color w:val="auto"/>
        </w:rPr>
        <w:t>行间插字、涂改和增删</w:t>
      </w:r>
      <w:r>
        <w:rPr>
          <w:rFonts w:hint="eastAsia" w:ascii="宋体" w:hAnsi="宋体" w:cs="宋体"/>
          <w:color w:val="auto"/>
          <w:kern w:val="0"/>
          <w:szCs w:val="21"/>
        </w:rPr>
        <w:t>，应加盖单位公章或由法定代表人（负责人）或其授权代表签字确认。否则，在评审时将其视为无效响应。</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18.3　在磋商过程中，供应商按磋商文件规定和磋商小组要求重新提交的响应文件和最后报价，应打印或用不褪色墨水书写，并由法定代表人（负责人）或其授权代表签字。否则，在评审时将其视为无效响应。</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19.响应文件的密封和标记</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19.1　响应文件的的密封、标记详见</w:t>
      </w:r>
      <w:r>
        <w:rPr>
          <w:rFonts w:hint="eastAsia" w:ascii="宋体" w:hAnsi="宋体" w:cs="宋体"/>
          <w:b/>
          <w:bCs/>
          <w:color w:val="auto"/>
          <w:kern w:val="0"/>
          <w:szCs w:val="21"/>
        </w:rPr>
        <w:t>磋商须知前附表</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19.1　响应文件如果未按上述规定密封和标记，采购人或采购代理机构应当拒绝接收。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20.响应文件的递交</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20.1　响应文件应在</w:t>
      </w:r>
      <w:r>
        <w:rPr>
          <w:rFonts w:hint="eastAsia" w:ascii="宋体" w:hAnsi="宋体" w:cs="宋体"/>
          <w:b/>
          <w:bCs/>
          <w:color w:val="auto"/>
          <w:kern w:val="0"/>
          <w:szCs w:val="21"/>
        </w:rPr>
        <w:t>磋商须知前附表</w:t>
      </w:r>
      <w:r>
        <w:rPr>
          <w:rFonts w:hint="eastAsia" w:ascii="宋体" w:hAnsi="宋体" w:cs="宋体"/>
          <w:color w:val="auto"/>
          <w:kern w:val="0"/>
          <w:szCs w:val="21"/>
        </w:rPr>
        <w:t>规定的提交时间和指定地点提交。</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20.2　在截止时间后送达的响应文件为无效文件，采购人、采购代理机构或磋商小组应当拒收。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21.响应文件的补充、修改或者撤回</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21.1　供应商在</w:t>
      </w:r>
      <w:r>
        <w:rPr>
          <w:rFonts w:hint="eastAsia" w:ascii="宋体" w:hAnsi="宋体" w:cs="宋体"/>
          <w:b/>
          <w:bCs/>
          <w:color w:val="auto"/>
          <w:kern w:val="0"/>
          <w:szCs w:val="21"/>
        </w:rPr>
        <w:t>磋商须知前附表</w:t>
      </w:r>
      <w:r>
        <w:rPr>
          <w:rFonts w:hint="eastAsia" w:ascii="宋体" w:hAnsi="宋体" w:cs="宋体"/>
          <w:color w:val="auto"/>
          <w:kern w:val="0"/>
          <w:szCs w:val="21"/>
        </w:rPr>
        <w:t>规定的提交首次响应文件截止时间前，可以对所提交的首次响应文件进行补充、修改或者撤回，但应以书面形式通知采购人或采购代理机构。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21.2　修改、补充的内容为响应文件的组成部分。修改、补充的响应文件应按本章第18、19、20项规定编制、签署、密封、标记和递交，并标明“修改、补充”字样。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21.3　供应商按本章21.1款撤回响应文件的，采购人或采购代理机构自收到供应商书面撤回通知之日起5个工作日内，退还已收取的磋商保证金，但因供应商自身原因导致无法及时退还的除外。</w:t>
      </w:r>
    </w:p>
    <w:p>
      <w:pPr>
        <w:pStyle w:val="2"/>
        <w:ind w:firstLine="420" w:firstLineChars="200"/>
        <w:rPr>
          <w:color w:val="auto"/>
        </w:rPr>
      </w:pPr>
      <w:r>
        <w:rPr>
          <w:rFonts w:hint="eastAsia"/>
          <w:color w:val="auto"/>
        </w:rPr>
        <w:t>21.4　供应商在磋商有效期内不得修改、撤销其响应文件。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四、磋商与评审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22.磋商小组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22.1　磋商与评审由依法组建的磋商小组负责，磋商小组由采购人代表和评审专家组成。</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23.初步审查</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(1)供应商未按照磋商文件规定提交磋商保证金的；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(2)未按照磋商文件规定要求密封、签署、盖章的；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(3)响应有效期不足的；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(4)供应商不满足磋商文件供应商资格条件或未按照磋商文件规定提供资格证明材料的；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(5)响应文件不满足磋商文件实质性条款的。响应文件是否实质性响应磋商文件，由磋商小组依据磋商文件规定、供应商响应文件及磋商情况认定；</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(6)供应商存在失信记录的：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失信记录是指，通过“信用中国”网站(www.creditchina.gov.cn)、中国政府采购网(www.ccgp.gov.cn)查询相关主体信用记录，列入失信被执行人、重大税收违法案件当事人名单、政府采购严重违法失信行为记录名单及其他不符合供应商资格条件第1项条款的情况。失信情况查询详见</w:t>
      </w:r>
      <w:r>
        <w:rPr>
          <w:rFonts w:hint="eastAsia" w:ascii="宋体" w:hAnsi="宋体" w:cs="宋体"/>
          <w:b/>
          <w:bCs/>
          <w:color w:val="auto"/>
          <w:kern w:val="0"/>
          <w:szCs w:val="21"/>
        </w:rPr>
        <w:t>磋商须知前附表</w:t>
      </w:r>
      <w:r>
        <w:rPr>
          <w:rFonts w:hint="eastAsia" w:ascii="宋体" w:hAnsi="宋体" w:cs="宋体"/>
          <w:color w:val="auto"/>
          <w:kern w:val="0"/>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(7)其他不符合法律、规章、规范性文件和磋商文件规定的。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24.澄清</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负责人）或其授权代表签字，供应商的澄清、说明或者更正不得超出磋商文件的范围或者改变响应文件的实质性内容。</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25.磋商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25.1　初审结束后，磋商小组所有成员集中与单一供应商分别进行磋商，并给予所有参加磋商的供应商平等的磋商机会。供应商应派其法定代表人（负责人）或授权代表参加磋商。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25.2　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25.3　对磋商文件作出的实质性变动是磋商文件的有效组成部分，磋商小组应当及时以书面形式同时通知所有参加磋商的供应商。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25.4　供应商应当按照磋商文件的变动情况和磋商小组的要求重新提交响应文件，并由其法定代表人（负责人）或授权代表签字或者加盖公章。由授权代表签字的，应当附法定代表人（负责人）授权书。供应商为自然人的，应当由本人签字并附身份证明。</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25.5　磋商小组应当根据实际情况与供应商进行磋商，并确定磋商的轮次。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25.6　已提交响应文件的供应商，在提交最后报价之前，可以根据磋商情况退出磋商。采购人或采购代理机构应当退还退出磋商的供应商的磋商保证金。</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25.7　磋商结束后，供应商按照磋商小组要求重新提交的响应文件，不满足磋商文件及变动后的技术、服务要求以及合同草案条款的实质性要求的，将视为无效响应文件。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26.最后报价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26.1　磋商结束后，磋商小组应当要求所有实质性响应的供应商在规定时间内提交最后报价，提交最后报价的供应商原则上不得少于3家，经评审小组同意也可为2家（根据《国家税务总局广西壮族自治区税务局办公室关于修订印发《国家税务总局广西壮族自治区税务局系统目录外标准下项目采购管理暂行办法》的通知》）</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26.2　磋商文件不能详细列明采购标的技术、服务要求，需经磋商由供应商提供最终设计方案或解决方案的，磋商结束后，磋商小组应当按照少数服从多数的原则投票推荐原则上3家以上供应商的设计方案或者解决方案，经评审小组同意也可为2家（根据《国家税务总局广西壮族自治区税务局办公室关于修订印发《国家税务总局广西壮族自治区税务局系统目录外标准下项目采购管理暂行办法》的通知》），并要求其在规定时间内提交最后报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26.3　最后报价是供应商响应文件的有效组成部分。如磋商小组没有对磋商文件作实质性变动或增加新的需求，最后报价不得高于首轮报价。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27.最后报价评审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27.1　最后报价计算错误修正的原则</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(1)最后报价的大写金额和小写金额不一致的，以大写金额为准。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(2)总价金额与按分项报价汇总金额不一致的，以分项报价金额计算结果为准。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(3)分项报价金额小数点有明显错位的，应以总价为准，并修改分项报价。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(4)如果供应商不接受对其错误的更正，其最后报价将被视为无效报价或确定为无效响应。</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27.2　价格得分：以供应商的最后报价作为价格评分依据。供应商的评审价为按上述条款修正后的价格。</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价格评分统一采用低价优先法计算，即满足磋商文件要求且价格最低的评审价为评审基准价，其价格分为满分。其他供应商的价格分统一按照下列公式计算：</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价格评分＝(评审基准价/评审价)×价格分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28.综合评审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28.1　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28.2　评审办法及标准见第三章。</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28.3　评审时，磋商小组成员应当独立对每个有效响应的文件进行评价、打分，然后汇总每个供应商每项评分因素的得分。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29.提出成交供应商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29.1　磋商小组应当按照综合评分由高到低的顺序提出3名以上成交候选供应商，并编写评审报告。经评审小组同意也可推荐2家成交候选供应商。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29.2　评审得分相同的，按照最后报价由低到高的顺序推荐。评审得分且最后报价相同的，按照</w:t>
      </w:r>
      <w:r>
        <w:rPr>
          <w:rFonts w:hint="eastAsia" w:hAnsi="宋体" w:cs="宋体"/>
          <w:color w:val="auto"/>
          <w:sz w:val="21"/>
          <w:szCs w:val="21"/>
          <w:u w:val="single"/>
        </w:rPr>
        <w:t>技术分由高到低、业绩分由高到低顺序</w:t>
      </w:r>
      <w:r>
        <w:rPr>
          <w:rFonts w:hint="eastAsia" w:ascii="宋体" w:hAnsi="宋体" w:cs="宋体"/>
          <w:color w:val="auto"/>
          <w:kern w:val="0"/>
          <w:szCs w:val="21"/>
        </w:rPr>
        <w:t>推荐。</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30.确定成交供应商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30.1　采购代理机构应当在评审结束之日起2个工作日内将评审报告送采购人确认。</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30.2　采购人应当在收到评审报告之日起5个工作日内，从评审报告提出的成交候选供应商中，按照排序由高到低的原则确定成交供应商，也可以书面授权磋商小组直接确定成交供应商。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30.3　采购人自行组织磋商的，应当在评审结束之日起5个工作日内确定成交供应商。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31.磋商终止</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31.1　出现下列情形之一的，采购人或者采购代理机构应当终止磋商采购活动，在指定的媒体上发布项目终止公告并说明原因，重新开展采购活动：</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(1)因情况变化，不再符合规定的磋商采购方式适用情形的；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(2)出现影响采购公正的违法、违规行为的；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采购过程中符合竞争要求的供应商或者报价未超过采购预算的供应商不足3家的，或者提交最后报价的供应商少于3家的，除经评审小组同意也可为2家的情形外（根据《国家税务总局广西壮族自治区税务局办公室关于修订印发《国家税务总局广西壮族自治区税务局系统目录外标准下项目采购管理暂行办法》的通知》）；</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(4)因重大变故，采购任务取消的。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32.重新评审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32.1　除资格性检查认定错误、分值汇总计算错误、分项评分超出评分标准范围、客观分评分不一致、经磋商小组一致认定评分畸高、畸低的情形外，采购人或者采购代理机构不得以任何理由组织重新评审。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33.保密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33.1　磋商小组成员以及与评审工作有关的人员不得泄露评审情况以及评审过程中获悉的国家秘密、商业秘密。</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34.禁止行为</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34.1　供应商不得与采购人、采购代理机构、其他供应商恶意串通；不得向采购人、采购代理机构或者磋商小组成员行贿或者提供其他不正当利益；不得提供虚假材料谋取成交；不得以任何方式干扰、影响采购工作。</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五、成交结果信息公布与签订合同</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35.成交信息的公布</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35.1　成交供应商确定之日起2个工作日内，采购人或者采购代理机构应在磋商须知前附表中规定的公告媒体上公布成交结果信息。</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35.2　磋商文件随成交结果同时公告。但成交结果公告前磋商文件已公告的，不再重复公告。</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35.3　采用书面推荐供应商参加采购活动的，在公告结果同时公告采购人和评审专家的推荐意见。</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36.成交通知</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36.1　成交供应商确定后，采购人或采购代理机构在发布成交公告的同时以书面形式向成交供应商发出成交通知书。成交通知书对采购人和成交供应商具有同等法律效力。</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37.履约保证金</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37.1　成交供应商按照磋商须知前附表的规定，在签订采购合同前，向采购人提交履约保证金。联合体成交的，履约保证金以联合体各方或联合体中牵头人的名义提交。</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37.2　成交供应商没有按照磋商须知前附表的规定提交履约保证金的，视为放弃成交资格，其磋商保证金不予退还。</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38.签订合同</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38.1　磋商文件、成交供应商的响应文件及补充文件等均为签订采购合同的依据。</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38.2　成交供应商应当在成交通知书发出之日起30日内与采购人签订采购合同。</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六、其他规定</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39.采购代理服务费</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39.1　成交供应商是否交纳采购代理服务费及相关要求见磋商须知前附表。</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40.询问、质疑</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40.1　供应商对采购活动事项有疑问的，可以向采购人</w:t>
      </w:r>
      <w:r>
        <w:rPr>
          <w:rFonts w:hint="eastAsia"/>
          <w:color w:val="auto"/>
        </w:rPr>
        <w:t>或采购代理机构</w:t>
      </w:r>
      <w:r>
        <w:rPr>
          <w:rFonts w:hint="eastAsia" w:ascii="宋体" w:hAnsi="宋体" w:cs="宋体"/>
          <w:color w:val="auto"/>
          <w:kern w:val="0"/>
          <w:szCs w:val="21"/>
        </w:rPr>
        <w:t>提出询。</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40.2　供应商认为磋商文件、磋商过程和成交结果使自己的权益受到损害的，可以在知道或者应知其权益受到损害之日起7个工作日内，以书面形式向采购人</w:t>
      </w:r>
      <w:r>
        <w:rPr>
          <w:rFonts w:hint="eastAsia"/>
          <w:color w:val="auto"/>
        </w:rPr>
        <w:t>或采购代理机构</w:t>
      </w:r>
      <w:r>
        <w:rPr>
          <w:rFonts w:hint="eastAsia" w:ascii="宋体" w:hAnsi="宋体" w:cs="宋体"/>
          <w:color w:val="auto"/>
          <w:kern w:val="0"/>
          <w:szCs w:val="21"/>
        </w:rPr>
        <w:t>提出质疑。供应商应在法定质疑期内一次性提出针对同一采购程序环节的质疑。</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40.3　供应商提出质疑的，应提供质疑函原件。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40.4　质疑函应当由供应商法定代表人（负责人）或其授权的供应商代表签字并加盖供应商单位章，质疑函由授权的供应商代表签字的应附供应商法定代表人（负责人）委托授权书。</w:t>
      </w:r>
    </w:p>
    <w:p>
      <w:pPr>
        <w:pStyle w:val="3"/>
        <w:rPr>
          <w:rFonts w:ascii="宋体" w:hAnsi="宋体" w:eastAsia="宋体" w:cs="宋体"/>
          <w:color w:val="auto"/>
          <w:kern w:val="0"/>
          <w:szCs w:val="21"/>
        </w:rPr>
      </w:pPr>
    </w:p>
    <w:p>
      <w:pPr>
        <w:rPr>
          <w:color w:val="auto"/>
        </w:rPr>
      </w:pPr>
    </w:p>
    <w:bookmarkEnd w:id="59"/>
    <w:p>
      <w:pPr>
        <w:spacing w:line="400" w:lineRule="exact"/>
        <w:jc w:val="center"/>
        <w:outlineLvl w:val="0"/>
        <w:rPr>
          <w:rFonts w:ascii="宋体" w:hAnsi="宋体" w:cs="宋体"/>
          <w:b/>
          <w:color w:val="auto"/>
          <w:sz w:val="28"/>
          <w:szCs w:val="28"/>
        </w:rPr>
      </w:pPr>
      <w:r>
        <w:rPr>
          <w:rFonts w:hint="eastAsia" w:ascii="宋体" w:hAnsi="宋体" w:cs="宋体"/>
          <w:b/>
          <w:color w:val="auto"/>
          <w:sz w:val="28"/>
          <w:szCs w:val="28"/>
        </w:rPr>
        <w:br w:type="page"/>
      </w:r>
      <w:bookmarkStart w:id="60" w:name="_Toc22872"/>
      <w:r>
        <w:rPr>
          <w:rFonts w:hint="eastAsia" w:ascii="宋体" w:hAnsi="宋体" w:cs="宋体"/>
          <w:b/>
          <w:color w:val="auto"/>
          <w:sz w:val="28"/>
          <w:szCs w:val="28"/>
        </w:rPr>
        <w:t>第三章 评审方法及标准</w:t>
      </w:r>
      <w:bookmarkEnd w:id="60"/>
    </w:p>
    <w:p>
      <w:pPr>
        <w:pStyle w:val="20"/>
        <w:spacing w:line="360" w:lineRule="auto"/>
        <w:ind w:firstLine="434" w:firstLineChars="216"/>
        <w:rPr>
          <w:rFonts w:hAnsi="宋体" w:cs="宋体"/>
          <w:b/>
          <w:color w:val="auto"/>
        </w:rPr>
      </w:pPr>
    </w:p>
    <w:p>
      <w:pPr>
        <w:pStyle w:val="20"/>
        <w:spacing w:line="360" w:lineRule="auto"/>
        <w:ind w:firstLine="455" w:firstLineChars="216"/>
        <w:jc w:val="left"/>
        <w:rPr>
          <w:rFonts w:hAnsi="宋体" w:cs="宋体"/>
          <w:b/>
          <w:color w:val="auto"/>
          <w:sz w:val="21"/>
          <w:szCs w:val="21"/>
        </w:rPr>
      </w:pPr>
      <w:r>
        <w:rPr>
          <w:rFonts w:hint="eastAsia" w:hAnsi="宋体" w:cs="宋体"/>
          <w:b/>
          <w:color w:val="auto"/>
          <w:sz w:val="21"/>
          <w:szCs w:val="21"/>
        </w:rPr>
        <w:t>一、评审原则</w:t>
      </w:r>
    </w:p>
    <w:p>
      <w:pPr>
        <w:pStyle w:val="20"/>
        <w:spacing w:line="360" w:lineRule="auto"/>
        <w:ind w:firstLine="420" w:firstLineChars="200"/>
        <w:jc w:val="left"/>
        <w:rPr>
          <w:rFonts w:hAnsi="宋体" w:cs="宋体"/>
          <w:bCs/>
          <w:color w:val="auto"/>
          <w:sz w:val="21"/>
          <w:szCs w:val="21"/>
        </w:rPr>
      </w:pPr>
      <w:r>
        <w:rPr>
          <w:rFonts w:hint="eastAsia" w:hAnsi="宋体" w:cs="宋体"/>
          <w:bCs/>
          <w:color w:val="auto"/>
          <w:sz w:val="21"/>
          <w:szCs w:val="21"/>
        </w:rPr>
        <w:t>（一）磋商小组构成：本项目的磋商小组分别由采购人代表和评审专家共3人以上单数组成，其中评审专家人数不得少于磋商小组成员总数的三分之二。</w:t>
      </w:r>
    </w:p>
    <w:p>
      <w:pPr>
        <w:pStyle w:val="20"/>
        <w:spacing w:line="360" w:lineRule="auto"/>
        <w:ind w:firstLine="420" w:firstLineChars="200"/>
        <w:jc w:val="left"/>
        <w:rPr>
          <w:rFonts w:hint="eastAsia" w:hAnsi="宋体" w:cs="宋体"/>
          <w:bCs/>
          <w:color w:val="auto"/>
          <w:sz w:val="21"/>
          <w:szCs w:val="21"/>
          <w:lang w:eastAsia="zh-CN"/>
        </w:rPr>
      </w:pPr>
      <w:r>
        <w:rPr>
          <w:rFonts w:hint="eastAsia" w:hAnsi="宋体" w:cs="宋体"/>
          <w:bCs/>
          <w:color w:val="auto"/>
          <w:sz w:val="21"/>
          <w:szCs w:val="21"/>
        </w:rPr>
        <w:t>（二）评审依据：评委将以磋商文件为评审依据，对供应商的报价、服务方案、履约能力、</w:t>
      </w:r>
      <w:r>
        <w:rPr>
          <w:rFonts w:hint="eastAsia" w:hAnsi="宋体" w:cs="宋体"/>
          <w:bCs/>
          <w:color w:val="auto"/>
          <w:sz w:val="21"/>
          <w:szCs w:val="21"/>
          <w:lang w:val="en-US" w:eastAsia="zh-CN"/>
        </w:rPr>
        <w:t>企业</w:t>
      </w:r>
      <w:r>
        <w:rPr>
          <w:rFonts w:hint="eastAsia" w:hAnsi="宋体" w:cs="宋体"/>
          <w:bCs/>
          <w:color w:val="auto"/>
          <w:sz w:val="21"/>
          <w:szCs w:val="21"/>
        </w:rPr>
        <w:t>信誉等方面内容按百分制打分</w:t>
      </w:r>
      <w:r>
        <w:rPr>
          <w:rFonts w:hint="eastAsia" w:hAnsi="宋体" w:cs="宋体"/>
          <w:bCs/>
          <w:color w:val="auto"/>
          <w:sz w:val="21"/>
          <w:szCs w:val="21"/>
          <w:lang w:eastAsia="zh-CN"/>
        </w:rPr>
        <w:t>。</w:t>
      </w:r>
    </w:p>
    <w:p>
      <w:pPr>
        <w:pStyle w:val="20"/>
        <w:spacing w:line="360" w:lineRule="auto"/>
        <w:ind w:firstLine="420" w:firstLineChars="200"/>
        <w:jc w:val="left"/>
        <w:rPr>
          <w:rFonts w:hAnsi="宋体" w:cs="宋体"/>
          <w:bCs/>
          <w:color w:val="auto"/>
          <w:sz w:val="21"/>
          <w:szCs w:val="21"/>
        </w:rPr>
      </w:pPr>
      <w:r>
        <w:rPr>
          <w:rFonts w:hint="eastAsia" w:hAnsi="宋体" w:cs="宋体"/>
          <w:bCs/>
          <w:color w:val="auto"/>
          <w:sz w:val="21"/>
          <w:szCs w:val="21"/>
        </w:rPr>
        <w:t>（三）评审方式：以封闭方式进行。</w:t>
      </w:r>
    </w:p>
    <w:p>
      <w:pPr>
        <w:pStyle w:val="20"/>
        <w:spacing w:line="360" w:lineRule="auto"/>
        <w:ind w:firstLine="420" w:firstLineChars="200"/>
        <w:jc w:val="left"/>
        <w:rPr>
          <w:rFonts w:hAnsi="宋体" w:cs="宋体"/>
          <w:bCs/>
          <w:color w:val="auto"/>
          <w:sz w:val="21"/>
          <w:szCs w:val="21"/>
        </w:rPr>
      </w:pPr>
    </w:p>
    <w:p>
      <w:pPr>
        <w:pStyle w:val="20"/>
        <w:spacing w:line="360" w:lineRule="auto"/>
        <w:ind w:firstLine="422" w:firstLineChars="200"/>
        <w:jc w:val="left"/>
        <w:rPr>
          <w:rFonts w:hAnsi="宋体" w:cs="宋体"/>
          <w:b/>
          <w:bCs/>
          <w:color w:val="auto"/>
          <w:sz w:val="21"/>
          <w:szCs w:val="21"/>
        </w:rPr>
      </w:pPr>
      <w:r>
        <w:rPr>
          <w:rFonts w:hint="eastAsia" w:hAnsi="宋体" w:cs="宋体"/>
          <w:b/>
          <w:bCs/>
          <w:color w:val="auto"/>
          <w:sz w:val="21"/>
          <w:szCs w:val="21"/>
        </w:rPr>
        <w:t>二、评审方法</w:t>
      </w:r>
    </w:p>
    <w:p>
      <w:pPr>
        <w:pStyle w:val="20"/>
        <w:spacing w:line="360" w:lineRule="auto"/>
        <w:ind w:firstLine="420" w:firstLineChars="200"/>
        <w:jc w:val="left"/>
        <w:rPr>
          <w:rFonts w:hAnsi="宋体" w:cs="宋体"/>
          <w:bCs/>
          <w:color w:val="auto"/>
          <w:sz w:val="21"/>
          <w:szCs w:val="21"/>
        </w:rPr>
      </w:pPr>
      <w:r>
        <w:rPr>
          <w:rFonts w:hint="eastAsia" w:hAnsi="宋体" w:cs="宋体"/>
          <w:bCs/>
          <w:color w:val="auto"/>
          <w:sz w:val="21"/>
          <w:szCs w:val="21"/>
        </w:rPr>
        <w:t>（一）首先由磋商小组依法对供应商的资格进行评审，再由评委对响应文件进行符合性评审，只有资格性评审、符合性评审合格的响应文件才能进入详评。</w:t>
      </w:r>
    </w:p>
    <w:p>
      <w:pPr>
        <w:pStyle w:val="20"/>
        <w:spacing w:line="360" w:lineRule="auto"/>
        <w:ind w:firstLine="420" w:firstLineChars="200"/>
        <w:jc w:val="left"/>
        <w:rPr>
          <w:rFonts w:hAnsi="宋体" w:cs="宋体"/>
          <w:bCs/>
          <w:color w:val="auto"/>
          <w:sz w:val="21"/>
          <w:szCs w:val="21"/>
        </w:rPr>
      </w:pPr>
      <w:r>
        <w:rPr>
          <w:rFonts w:hint="eastAsia" w:hAnsi="宋体" w:cs="宋体"/>
          <w:bCs/>
          <w:color w:val="auto"/>
          <w:sz w:val="21"/>
          <w:szCs w:val="21"/>
        </w:rPr>
        <w:t>（二）对进入详评的，采用百分制综合评分法。</w:t>
      </w:r>
    </w:p>
    <w:p>
      <w:pPr>
        <w:pStyle w:val="20"/>
        <w:spacing w:line="360" w:lineRule="auto"/>
        <w:ind w:firstLine="420" w:firstLineChars="200"/>
        <w:jc w:val="left"/>
        <w:rPr>
          <w:rFonts w:hAnsi="宋体" w:cs="宋体"/>
          <w:bCs/>
          <w:color w:val="auto"/>
          <w:sz w:val="21"/>
          <w:szCs w:val="21"/>
        </w:rPr>
      </w:pPr>
      <w:r>
        <w:rPr>
          <w:rFonts w:hint="eastAsia" w:hAnsi="宋体" w:cs="宋体"/>
          <w:bCs/>
          <w:color w:val="auto"/>
          <w:sz w:val="21"/>
          <w:szCs w:val="21"/>
        </w:rPr>
        <w:t>（三）计分办法（按四舍五入取至百分位）</w:t>
      </w:r>
    </w:p>
    <w:p>
      <w:pPr>
        <w:pStyle w:val="20"/>
        <w:spacing w:line="360" w:lineRule="auto"/>
        <w:ind w:firstLine="422" w:firstLineChars="200"/>
        <w:jc w:val="left"/>
        <w:rPr>
          <w:rFonts w:hAnsi="宋体" w:cs="宋体"/>
          <w:b/>
          <w:bCs/>
          <w:color w:val="auto"/>
          <w:sz w:val="21"/>
          <w:szCs w:val="21"/>
        </w:rPr>
      </w:pPr>
      <w:r>
        <w:rPr>
          <w:rFonts w:hint="eastAsia" w:hAnsi="宋体" w:cs="宋体"/>
          <w:b/>
          <w:bCs/>
          <w:color w:val="auto"/>
          <w:sz w:val="21"/>
          <w:szCs w:val="21"/>
        </w:rPr>
        <w:t>1、价格分……………………………………………………………………………………</w:t>
      </w:r>
      <w:r>
        <w:rPr>
          <w:rFonts w:hint="eastAsia" w:hAnsi="宋体" w:cs="宋体"/>
          <w:b/>
          <w:bCs/>
          <w:color w:val="auto"/>
          <w:sz w:val="21"/>
          <w:szCs w:val="21"/>
          <w:lang w:val="en-US" w:eastAsia="zh-CN"/>
        </w:rPr>
        <w:t>2</w:t>
      </w:r>
      <w:r>
        <w:rPr>
          <w:rFonts w:hint="eastAsia" w:hAnsi="宋体" w:cs="宋体"/>
          <w:b/>
          <w:bCs/>
          <w:color w:val="auto"/>
          <w:sz w:val="21"/>
          <w:szCs w:val="21"/>
        </w:rPr>
        <w:t>0分</w:t>
      </w:r>
    </w:p>
    <w:p>
      <w:pPr>
        <w:spacing w:line="360" w:lineRule="auto"/>
        <w:ind w:firstLine="420" w:firstLineChars="200"/>
        <w:rPr>
          <w:rFonts w:ascii="宋体" w:hAnsi="宋体"/>
          <w:color w:val="auto"/>
          <w:szCs w:val="21"/>
        </w:rPr>
      </w:pPr>
      <w:r>
        <w:rPr>
          <w:rFonts w:hint="eastAsia" w:ascii="宋体" w:hAnsi="宋体"/>
          <w:color w:val="auto"/>
          <w:szCs w:val="21"/>
        </w:rPr>
        <w:t>（1）评审价为供应商的最后报价</w:t>
      </w:r>
      <w:r>
        <w:rPr>
          <w:rFonts w:hint="eastAsia" w:ascii="宋体" w:hAnsi="宋体"/>
          <w:color w:val="auto"/>
          <w:szCs w:val="21"/>
          <w:lang w:val="en-US" w:eastAsia="zh-CN"/>
        </w:rPr>
        <w:t>进行政策性扣除后的价格</w:t>
      </w:r>
      <w:r>
        <w:rPr>
          <w:rFonts w:hint="eastAsia" w:ascii="宋体" w:hAnsi="宋体"/>
          <w:color w:val="auto"/>
          <w:szCs w:val="21"/>
        </w:rPr>
        <w:t>，评审价只是作为评审时使用。最终成交供应商的成交金额等于最后报价（如有修正，以确认修正后的最后报价为准）。</w:t>
      </w:r>
    </w:p>
    <w:p>
      <w:pPr>
        <w:pStyle w:val="20"/>
        <w:spacing w:line="440" w:lineRule="exact"/>
        <w:ind w:firstLine="420" w:firstLineChars="200"/>
        <w:rPr>
          <w:rFonts w:hAnsi="宋体" w:cs="宋体"/>
          <w:color w:val="auto"/>
          <w:sz w:val="21"/>
          <w:szCs w:val="21"/>
        </w:rPr>
      </w:pPr>
      <w:r>
        <w:rPr>
          <w:rFonts w:hint="eastAsia" w:hAnsi="宋体" w:cs="宋体"/>
          <w:bCs/>
          <w:color w:val="auto"/>
          <w:kern w:val="2"/>
          <w:sz w:val="21"/>
          <w:szCs w:val="21"/>
        </w:rPr>
        <w:t>（2）</w:t>
      </w:r>
      <w:r>
        <w:rPr>
          <w:rFonts w:hint="eastAsia" w:hAnsi="宋体" w:cs="宋体"/>
          <w:color w:val="auto"/>
          <w:sz w:val="21"/>
          <w:szCs w:val="21"/>
        </w:rPr>
        <w:t>政策性扣除计算方法：</w:t>
      </w:r>
    </w:p>
    <w:p>
      <w:pPr>
        <w:pStyle w:val="20"/>
        <w:spacing w:line="440" w:lineRule="exact"/>
        <w:ind w:firstLine="420" w:firstLineChars="200"/>
        <w:rPr>
          <w:rFonts w:hAnsi="宋体" w:cs="宋体"/>
          <w:color w:val="auto"/>
          <w:sz w:val="21"/>
          <w:szCs w:val="21"/>
        </w:rPr>
      </w:pPr>
      <w:r>
        <w:rPr>
          <w:rFonts w:hint="eastAsia" w:hAnsi="宋体" w:cs="宋体"/>
          <w:color w:val="auto"/>
          <w:sz w:val="21"/>
          <w:szCs w:val="21"/>
        </w:rPr>
        <w:t>对小型企业、微型企业、监狱企业以及残疾人福利性单位，在评审时按</w:t>
      </w:r>
      <w:r>
        <w:rPr>
          <w:rFonts w:hint="eastAsia" w:hAnsi="宋体" w:cs="宋体"/>
          <w:b/>
          <w:bCs/>
          <w:color w:val="auto"/>
          <w:sz w:val="21"/>
          <w:szCs w:val="21"/>
        </w:rPr>
        <w:t>磋商须知前附表</w:t>
      </w:r>
      <w:r>
        <w:rPr>
          <w:rFonts w:hint="eastAsia" w:hAnsi="宋体" w:cs="宋体"/>
          <w:color w:val="auto"/>
          <w:sz w:val="21"/>
          <w:szCs w:val="21"/>
        </w:rPr>
        <w:t>的规定对其磋商报价给予价格扣除。小微企业须在响应文件中提供《中小企业声明函》(格式见“第五章　响应文件格式”)，监狱企业在响应文件中应当提供由省级以上监狱管理局、戒毒管理局（含新疆生产建设兵团）出具的属于监狱企业的证明文件，残疾人福利性单位在响应文件中应当提供《残疾人福利性单位声明函》(格式见“第五章　响应文件格式”)，否则在评审时将不给予价格扣除。（供应商如能够在线查询的材料，请提供查询网址链接，可以不用同时提供纸质材料。）</w:t>
      </w:r>
    </w:p>
    <w:p>
      <w:pPr>
        <w:pStyle w:val="20"/>
        <w:spacing w:line="440" w:lineRule="exact"/>
        <w:ind w:firstLine="420" w:firstLineChars="200"/>
        <w:rPr>
          <w:rFonts w:hAnsi="宋体" w:cs="宋体"/>
          <w:color w:val="auto"/>
          <w:sz w:val="21"/>
          <w:szCs w:val="21"/>
        </w:rPr>
      </w:pPr>
      <w:r>
        <w:rPr>
          <w:rFonts w:hint="eastAsia" w:hAnsi="宋体" w:cs="宋体"/>
          <w:color w:val="auto"/>
          <w:sz w:val="21"/>
          <w:szCs w:val="21"/>
        </w:rPr>
        <w:t>注：残疾人福利性单位属于小型、微型企业的，不重复享受政策。</w:t>
      </w:r>
    </w:p>
    <w:p>
      <w:pPr>
        <w:pStyle w:val="20"/>
        <w:spacing w:line="440" w:lineRule="exact"/>
        <w:ind w:firstLine="420" w:firstLineChars="200"/>
        <w:rPr>
          <w:rFonts w:hAnsi="宋体" w:cs="宋体"/>
          <w:color w:val="auto"/>
          <w:sz w:val="21"/>
          <w:szCs w:val="21"/>
        </w:rPr>
      </w:pPr>
      <w:r>
        <w:rPr>
          <w:rFonts w:hint="eastAsia" w:hAnsi="宋体" w:cs="宋体"/>
          <w:color w:val="auto"/>
          <w:sz w:val="21"/>
          <w:szCs w:val="21"/>
        </w:rPr>
        <w:t>在本项目采购活动中，供应商提供的服务应符合下列情形：在服务采购项目中，服务由中小企业承接，即提供服务的人员为中小企业依照《中华人民共和国劳动合同法》订立劳动合同的从业人员。本项目属于</w:t>
      </w:r>
      <w:r>
        <w:rPr>
          <w:rFonts w:hint="eastAsia" w:hAnsi="宋体" w:cs="宋体"/>
          <w:color w:val="auto"/>
          <w:sz w:val="21"/>
          <w:szCs w:val="21"/>
          <w:lang w:val="en-US" w:eastAsia="zh-CN"/>
        </w:rPr>
        <w:t>物业管理</w:t>
      </w:r>
      <w:r>
        <w:rPr>
          <w:rFonts w:hint="eastAsia" w:hAnsi="宋体" w:cs="宋体"/>
          <w:color w:val="auto"/>
          <w:sz w:val="21"/>
          <w:szCs w:val="21"/>
        </w:rPr>
        <w:t>，中型、小型或微型企业划分标准按照《关于印发中小企业划型标准规定的通知》（工信中联企业〔2011〕300号）文件执行。</w:t>
      </w:r>
    </w:p>
    <w:p>
      <w:pPr>
        <w:pStyle w:val="20"/>
        <w:spacing w:line="360" w:lineRule="auto"/>
        <w:ind w:firstLine="420" w:firstLineChars="200"/>
        <w:rPr>
          <w:rFonts w:hAnsi="宋体" w:cs="Courier New"/>
          <w:bCs/>
          <w:color w:val="auto"/>
          <w:kern w:val="2"/>
          <w:sz w:val="21"/>
        </w:rPr>
      </w:pPr>
      <w:r>
        <w:rPr>
          <w:rFonts w:hint="eastAsia" w:hAnsi="宋体" w:cs="Courier New"/>
          <w:bCs/>
          <w:color w:val="auto"/>
          <w:kern w:val="2"/>
          <w:sz w:val="21"/>
        </w:rPr>
        <w:t>（3）以进入比较与评价环节的最低的评审价为基准价，基准价得分为</w:t>
      </w:r>
      <w:r>
        <w:rPr>
          <w:rFonts w:hint="eastAsia" w:hAnsi="宋体" w:cs="Courier New"/>
          <w:bCs/>
          <w:color w:val="auto"/>
          <w:kern w:val="2"/>
          <w:sz w:val="21"/>
          <w:u w:val="single"/>
        </w:rPr>
        <w:t xml:space="preserve"> </w:t>
      </w:r>
      <w:r>
        <w:rPr>
          <w:rFonts w:hint="eastAsia" w:hAnsi="宋体" w:cs="Courier New"/>
          <w:bCs/>
          <w:color w:val="auto"/>
          <w:kern w:val="2"/>
          <w:sz w:val="21"/>
          <w:u w:val="single"/>
          <w:lang w:val="en-US" w:eastAsia="zh-CN"/>
        </w:rPr>
        <w:t>2</w:t>
      </w:r>
      <w:r>
        <w:rPr>
          <w:rFonts w:hint="eastAsia" w:hAnsi="宋体" w:cs="Courier New"/>
          <w:bCs/>
          <w:color w:val="auto"/>
          <w:kern w:val="2"/>
          <w:sz w:val="21"/>
          <w:u w:val="single"/>
        </w:rPr>
        <w:t>0</w:t>
      </w:r>
      <w:r>
        <w:rPr>
          <w:rFonts w:hint="eastAsia" w:hAnsi="宋体" w:cs="Courier New"/>
          <w:bCs/>
          <w:color w:val="auto"/>
          <w:kern w:val="2"/>
          <w:sz w:val="18"/>
          <w:szCs w:val="18"/>
          <w:u w:val="single"/>
        </w:rPr>
        <w:t>分</w:t>
      </w:r>
      <w:r>
        <w:rPr>
          <w:rFonts w:hint="eastAsia" w:hAnsi="宋体" w:cs="Courier New"/>
          <w:bCs/>
          <w:color w:val="auto"/>
          <w:kern w:val="2"/>
          <w:sz w:val="21"/>
        </w:rPr>
        <w:t>。</w:t>
      </w:r>
    </w:p>
    <w:p>
      <w:pPr>
        <w:pStyle w:val="20"/>
        <w:spacing w:line="360" w:lineRule="auto"/>
        <w:ind w:firstLine="420" w:firstLineChars="200"/>
        <w:rPr>
          <w:rFonts w:hAnsi="宋体" w:cs="Courier New"/>
          <w:bCs/>
          <w:color w:val="auto"/>
          <w:kern w:val="2"/>
          <w:sz w:val="21"/>
        </w:rPr>
      </w:pPr>
      <w:r>
        <w:rPr>
          <w:rFonts w:hint="eastAsia" w:hAnsi="宋体" w:cs="Courier New"/>
          <w:bCs/>
          <w:color w:val="auto"/>
          <w:kern w:val="2"/>
          <w:sz w:val="21"/>
        </w:rPr>
        <w:t>（4）价格分计算公式：</w:t>
      </w:r>
    </w:p>
    <w:p>
      <w:pPr>
        <w:ind w:firstLine="840" w:firstLineChars="400"/>
        <w:rPr>
          <w:color w:val="auto"/>
        </w:rPr>
      </w:pPr>
      <w:r>
        <w:rPr>
          <w:rFonts w:hint="eastAsia" w:hAnsi="宋体" w:cs="Courier New"/>
          <w:bCs/>
          <w:color w:val="auto"/>
        </w:rPr>
        <w:t>报价得分=（基准价/</w:t>
      </w:r>
      <w:r>
        <w:rPr>
          <w:rFonts w:hint="eastAsia" w:ascii="宋体" w:hAnsi="宋体"/>
          <w:color w:val="auto"/>
          <w:szCs w:val="21"/>
        </w:rPr>
        <w:t>评审价</w:t>
      </w:r>
      <w:r>
        <w:rPr>
          <w:rFonts w:hint="eastAsia" w:hAnsi="宋体" w:cs="Courier New"/>
          <w:bCs/>
          <w:color w:val="auto"/>
        </w:rPr>
        <w:t>）×</w:t>
      </w:r>
      <w:r>
        <w:rPr>
          <w:rFonts w:hint="eastAsia" w:hAnsi="宋体" w:cs="Courier New"/>
          <w:bCs/>
          <w:color w:val="auto"/>
          <w:u w:val="single"/>
          <w:lang w:val="en-US" w:eastAsia="zh-CN"/>
        </w:rPr>
        <w:t>2</w:t>
      </w:r>
      <w:r>
        <w:rPr>
          <w:rFonts w:hint="eastAsia" w:hAnsi="宋体" w:cs="Courier New"/>
          <w:bCs/>
          <w:color w:val="auto"/>
          <w:u w:val="single"/>
        </w:rPr>
        <w:t>0分</w:t>
      </w:r>
    </w:p>
    <w:p>
      <w:pPr>
        <w:pStyle w:val="20"/>
        <w:spacing w:line="400" w:lineRule="exact"/>
        <w:ind w:firstLine="422" w:firstLineChars="200"/>
        <w:jc w:val="left"/>
        <w:rPr>
          <w:rFonts w:hint="eastAsia" w:hAnsi="宋体" w:cs="宋体"/>
          <w:b/>
          <w:bCs/>
          <w:color w:val="auto"/>
          <w:sz w:val="21"/>
          <w:szCs w:val="21"/>
        </w:rPr>
      </w:pPr>
      <w:r>
        <w:rPr>
          <w:rFonts w:hint="eastAsia" w:hAnsi="宋体" w:cs="宋体"/>
          <w:b/>
          <w:bCs/>
          <w:color w:val="auto"/>
          <w:sz w:val="21"/>
          <w:szCs w:val="21"/>
        </w:rPr>
        <w:t>2、服务方案………………………………………50分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（1）服务方案分（满分35分）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结合本项目实际情况开展各项工作，服务方案包括：项目分析、管理设想、综合管理、秩序维护、卫生保洁、绿化养护、突发事件应急预案服务等。</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①秩序维护方案分（满分15分）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一档（</w:t>
      </w:r>
      <w:r>
        <w:rPr>
          <w:rFonts w:hint="eastAsia" w:hAnsi="宋体" w:cs="宋体"/>
          <w:b w:val="0"/>
          <w:bCs w:val="0"/>
          <w:color w:val="auto"/>
          <w:sz w:val="21"/>
          <w:szCs w:val="21"/>
          <w:lang w:val="en-US" w:eastAsia="zh-CN"/>
        </w:rPr>
        <w:t>5</w:t>
      </w:r>
      <w:r>
        <w:rPr>
          <w:rFonts w:hint="eastAsia" w:hAnsi="宋体" w:cs="宋体"/>
          <w:b w:val="0"/>
          <w:bCs w:val="0"/>
          <w:color w:val="auto"/>
          <w:sz w:val="21"/>
          <w:szCs w:val="21"/>
        </w:rPr>
        <w:t xml:space="preserve">分）：方案基本适用本项目用户需求，方案架构基本完整，亮点不多，针对性不强；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二档（</w:t>
      </w:r>
      <w:r>
        <w:rPr>
          <w:rFonts w:hint="eastAsia" w:hAnsi="宋体" w:cs="宋体"/>
          <w:b w:val="0"/>
          <w:bCs w:val="0"/>
          <w:color w:val="auto"/>
          <w:sz w:val="21"/>
          <w:szCs w:val="21"/>
          <w:lang w:val="en-US" w:eastAsia="zh-CN"/>
        </w:rPr>
        <w:t>10</w:t>
      </w:r>
      <w:r>
        <w:rPr>
          <w:rFonts w:hint="eastAsia" w:hAnsi="宋体" w:cs="宋体"/>
          <w:b w:val="0"/>
          <w:bCs w:val="0"/>
          <w:color w:val="auto"/>
          <w:sz w:val="21"/>
          <w:szCs w:val="21"/>
        </w:rPr>
        <w:t>分）：方案基本适用本项目用户需求</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内容</w:t>
      </w:r>
      <w:r>
        <w:rPr>
          <w:rFonts w:hint="eastAsia" w:hAnsi="宋体" w:cs="宋体"/>
          <w:b w:val="0"/>
          <w:bCs w:val="0"/>
          <w:color w:val="auto"/>
          <w:sz w:val="21"/>
          <w:szCs w:val="21"/>
        </w:rPr>
        <w:t>详细</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有针对性</w:t>
      </w:r>
      <w:r>
        <w:rPr>
          <w:rFonts w:hint="eastAsia" w:hAnsi="宋体"/>
          <w:color w:val="auto"/>
          <w:szCs w:val="21"/>
          <w:lang w:eastAsia="zh-CN"/>
        </w:rPr>
        <w:t>；</w:t>
      </w:r>
      <w:r>
        <w:rPr>
          <w:rFonts w:hint="eastAsia" w:hAnsi="宋体" w:cs="宋体"/>
          <w:b w:val="0"/>
          <w:bCs w:val="0"/>
          <w:color w:val="auto"/>
          <w:sz w:val="21"/>
          <w:szCs w:val="21"/>
        </w:rPr>
        <w:t xml:space="preserve">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三档（</w:t>
      </w:r>
      <w:r>
        <w:rPr>
          <w:rFonts w:hint="eastAsia" w:hAnsi="宋体" w:cs="宋体"/>
          <w:b w:val="0"/>
          <w:bCs w:val="0"/>
          <w:color w:val="auto"/>
          <w:sz w:val="21"/>
          <w:szCs w:val="21"/>
          <w:lang w:val="en-US" w:eastAsia="zh-CN"/>
        </w:rPr>
        <w:t>15</w:t>
      </w:r>
      <w:r>
        <w:rPr>
          <w:rFonts w:hint="eastAsia" w:hAnsi="宋体" w:cs="宋体"/>
          <w:b w:val="0"/>
          <w:bCs w:val="0"/>
          <w:color w:val="auto"/>
          <w:sz w:val="21"/>
          <w:szCs w:val="21"/>
        </w:rPr>
        <w:t>分）：方案完全适用本项目用户需求</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内容</w:t>
      </w:r>
      <w:r>
        <w:rPr>
          <w:rFonts w:hint="eastAsia" w:hAnsi="宋体" w:cs="宋体"/>
          <w:b w:val="0"/>
          <w:bCs w:val="0"/>
          <w:color w:val="auto"/>
          <w:sz w:val="21"/>
          <w:szCs w:val="21"/>
        </w:rPr>
        <w:t xml:space="preserve">完整详细，有针对性、可操作性强，有保证，有多项优于项目实际的需求，有应用场景实图。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②卫生保洁方案分（满分10分）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一档</w:t>
      </w:r>
      <w:r>
        <w:rPr>
          <w:rFonts w:hint="eastAsia" w:hAnsi="宋体" w:cs="宋体"/>
          <w:b w:val="0"/>
          <w:bCs w:val="0"/>
          <w:color w:val="auto"/>
          <w:sz w:val="21"/>
          <w:szCs w:val="21"/>
          <w:lang w:val="en-US" w:eastAsia="zh-CN"/>
        </w:rPr>
        <w:t>3</w:t>
      </w:r>
      <w:r>
        <w:rPr>
          <w:rFonts w:hint="eastAsia" w:hAnsi="宋体" w:cs="宋体"/>
          <w:b w:val="0"/>
          <w:bCs w:val="0"/>
          <w:color w:val="auto"/>
          <w:sz w:val="21"/>
          <w:szCs w:val="21"/>
        </w:rPr>
        <w:t>分：方案基本满足要求，内容没有针对性；</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二档</w:t>
      </w:r>
      <w:r>
        <w:rPr>
          <w:rFonts w:hint="eastAsia" w:hAnsi="宋体" w:cs="宋体"/>
          <w:b w:val="0"/>
          <w:bCs w:val="0"/>
          <w:color w:val="auto"/>
          <w:sz w:val="21"/>
          <w:szCs w:val="21"/>
          <w:lang w:val="en-US" w:eastAsia="zh-CN"/>
        </w:rPr>
        <w:t>5</w:t>
      </w:r>
      <w:r>
        <w:rPr>
          <w:rFonts w:hint="eastAsia" w:hAnsi="宋体" w:cs="宋体"/>
          <w:b w:val="0"/>
          <w:bCs w:val="0"/>
          <w:color w:val="auto"/>
          <w:sz w:val="21"/>
          <w:szCs w:val="21"/>
        </w:rPr>
        <w:t>分：方案基本适用本项目用户需求</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内容</w:t>
      </w:r>
      <w:r>
        <w:rPr>
          <w:rFonts w:hint="eastAsia" w:hAnsi="宋体" w:cs="宋体"/>
          <w:b w:val="0"/>
          <w:bCs w:val="0"/>
          <w:color w:val="auto"/>
          <w:sz w:val="21"/>
          <w:szCs w:val="21"/>
        </w:rPr>
        <w:t>详细</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有针对性</w:t>
      </w:r>
      <w:r>
        <w:rPr>
          <w:rFonts w:hint="eastAsia" w:hAnsi="宋体"/>
          <w:color w:val="auto"/>
          <w:szCs w:val="21"/>
          <w:lang w:eastAsia="zh-CN"/>
        </w:rPr>
        <w:t>；</w:t>
      </w:r>
      <w:r>
        <w:rPr>
          <w:rFonts w:hint="eastAsia" w:hAnsi="宋体" w:cs="宋体"/>
          <w:b w:val="0"/>
          <w:bCs w:val="0"/>
          <w:color w:val="auto"/>
          <w:sz w:val="21"/>
          <w:szCs w:val="21"/>
        </w:rPr>
        <w:t xml:space="preserve">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三档</w:t>
      </w:r>
      <w:r>
        <w:rPr>
          <w:rFonts w:hint="eastAsia" w:hAnsi="宋体" w:cs="宋体"/>
          <w:b w:val="0"/>
          <w:bCs w:val="0"/>
          <w:color w:val="auto"/>
          <w:sz w:val="21"/>
          <w:szCs w:val="21"/>
          <w:lang w:val="en-US" w:eastAsia="zh-CN"/>
        </w:rPr>
        <w:t>10</w:t>
      </w:r>
      <w:r>
        <w:rPr>
          <w:rFonts w:hint="eastAsia" w:hAnsi="宋体" w:cs="宋体"/>
          <w:b w:val="0"/>
          <w:bCs w:val="0"/>
          <w:color w:val="auto"/>
          <w:sz w:val="21"/>
          <w:szCs w:val="21"/>
        </w:rPr>
        <w:t>分：方案内容详实、合理、完整，完全满足项目需要，针对性强</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内容科学合理</w:t>
      </w:r>
      <w:r>
        <w:rPr>
          <w:rFonts w:hint="eastAsia" w:hAnsi="宋体" w:cs="宋体"/>
          <w:b w:val="0"/>
          <w:bCs w:val="0"/>
          <w:color w:val="auto"/>
          <w:sz w:val="21"/>
          <w:szCs w:val="21"/>
        </w:rPr>
        <w:t xml:space="preserve">。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③突发事件应急预案分（满分10分）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一档（</w:t>
      </w:r>
      <w:r>
        <w:rPr>
          <w:rFonts w:hint="eastAsia" w:hAnsi="宋体" w:cs="宋体"/>
          <w:b w:val="0"/>
          <w:bCs w:val="0"/>
          <w:color w:val="auto"/>
          <w:sz w:val="21"/>
          <w:szCs w:val="21"/>
          <w:lang w:val="en-US" w:eastAsia="zh-CN"/>
        </w:rPr>
        <w:t>3</w:t>
      </w:r>
      <w:r>
        <w:rPr>
          <w:rFonts w:hint="eastAsia" w:hAnsi="宋体" w:cs="宋体"/>
          <w:b w:val="0"/>
          <w:bCs w:val="0"/>
          <w:color w:val="auto"/>
          <w:sz w:val="21"/>
          <w:szCs w:val="21"/>
        </w:rPr>
        <w:t xml:space="preserve">分）：方案基本适用本项目用户需求，方案架构基本完整，亮点不多，针对性不强；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二档（</w:t>
      </w:r>
      <w:r>
        <w:rPr>
          <w:rFonts w:hint="eastAsia" w:hAnsi="宋体" w:cs="宋体"/>
          <w:b w:val="0"/>
          <w:bCs w:val="0"/>
          <w:color w:val="auto"/>
          <w:sz w:val="21"/>
          <w:szCs w:val="21"/>
          <w:lang w:val="en-US" w:eastAsia="zh-CN"/>
        </w:rPr>
        <w:t>5</w:t>
      </w:r>
      <w:r>
        <w:rPr>
          <w:rFonts w:hint="eastAsia" w:hAnsi="宋体" w:cs="宋体"/>
          <w:b w:val="0"/>
          <w:bCs w:val="0"/>
          <w:color w:val="auto"/>
          <w:sz w:val="21"/>
          <w:szCs w:val="21"/>
        </w:rPr>
        <w:t>分）：方案基本适用本项目用户需求</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内容</w:t>
      </w:r>
      <w:r>
        <w:rPr>
          <w:rFonts w:hint="eastAsia" w:hAnsi="宋体" w:cs="宋体"/>
          <w:b w:val="0"/>
          <w:bCs w:val="0"/>
          <w:color w:val="auto"/>
          <w:sz w:val="21"/>
          <w:szCs w:val="21"/>
        </w:rPr>
        <w:t>详细</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有针对性</w:t>
      </w:r>
      <w:r>
        <w:rPr>
          <w:rFonts w:hint="eastAsia" w:hAnsi="宋体"/>
          <w:color w:val="auto"/>
          <w:szCs w:val="21"/>
          <w:lang w:eastAsia="zh-CN"/>
        </w:rPr>
        <w:t>；</w:t>
      </w:r>
      <w:r>
        <w:rPr>
          <w:rFonts w:hint="eastAsia" w:hAnsi="宋体" w:cs="宋体"/>
          <w:b w:val="0"/>
          <w:bCs w:val="0"/>
          <w:color w:val="auto"/>
          <w:sz w:val="21"/>
          <w:szCs w:val="21"/>
        </w:rPr>
        <w:t xml:space="preserve">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lang w:val="en-US" w:eastAsia="zh-CN"/>
        </w:rPr>
        <w:t>三</w:t>
      </w:r>
      <w:r>
        <w:rPr>
          <w:rFonts w:hint="eastAsia" w:hAnsi="宋体" w:cs="宋体"/>
          <w:b w:val="0"/>
          <w:bCs w:val="0"/>
          <w:color w:val="auto"/>
          <w:sz w:val="21"/>
          <w:szCs w:val="21"/>
        </w:rPr>
        <w:t>档（10分）：方案完全适用本项目用户需求，</w:t>
      </w:r>
      <w:r>
        <w:rPr>
          <w:rFonts w:hint="eastAsia" w:hAnsi="宋体" w:cs="宋体"/>
          <w:b w:val="0"/>
          <w:bCs w:val="0"/>
          <w:color w:val="auto"/>
          <w:sz w:val="21"/>
          <w:szCs w:val="21"/>
          <w:lang w:val="en-US" w:eastAsia="zh-CN"/>
        </w:rPr>
        <w:t>内容完整详细，</w:t>
      </w:r>
      <w:r>
        <w:rPr>
          <w:rFonts w:hint="eastAsia" w:hAnsi="宋体" w:cs="宋体"/>
          <w:b w:val="0"/>
          <w:bCs w:val="0"/>
          <w:color w:val="auto"/>
          <w:sz w:val="21"/>
          <w:szCs w:val="21"/>
        </w:rPr>
        <w:t>有针对性、可操作性强，有保证，有多项优于项目实际的需求</w:t>
      </w:r>
      <w:r>
        <w:rPr>
          <w:rFonts w:hint="eastAsia" w:hAnsi="宋体" w:cs="宋体"/>
          <w:b w:val="0"/>
          <w:bCs w:val="0"/>
          <w:color w:val="auto"/>
          <w:sz w:val="21"/>
          <w:szCs w:val="21"/>
          <w:lang w:eastAsia="zh-CN"/>
        </w:rPr>
        <w:t>，</w:t>
      </w:r>
      <w:r>
        <w:rPr>
          <w:rFonts w:hint="eastAsia" w:hAnsi="宋体" w:cs="宋体"/>
          <w:b w:val="0"/>
          <w:bCs w:val="0"/>
          <w:color w:val="auto"/>
          <w:sz w:val="21"/>
          <w:szCs w:val="21"/>
        </w:rPr>
        <w:t xml:space="preserve">对特殊发生情况有应急处理预案的，有应用场景实图。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（2）重要岗位（办税服务厅、公共设施设备管理、会议服务等）服务方案分（满分15分）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一档（</w:t>
      </w:r>
      <w:r>
        <w:rPr>
          <w:rFonts w:hint="eastAsia" w:hAnsi="宋体" w:cs="宋体"/>
          <w:b w:val="0"/>
          <w:bCs w:val="0"/>
          <w:color w:val="auto"/>
          <w:sz w:val="21"/>
          <w:szCs w:val="21"/>
          <w:lang w:val="en-US" w:eastAsia="zh-CN"/>
        </w:rPr>
        <w:t>5</w:t>
      </w:r>
      <w:r>
        <w:rPr>
          <w:rFonts w:hint="eastAsia" w:hAnsi="宋体" w:cs="宋体"/>
          <w:b w:val="0"/>
          <w:bCs w:val="0"/>
          <w:color w:val="auto"/>
          <w:sz w:val="21"/>
          <w:szCs w:val="21"/>
        </w:rPr>
        <w:t xml:space="preserve">分）：方案基本适用本项目用户需求，方案架构基本完整，亮点不多，针对性不强；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二档（</w:t>
      </w:r>
      <w:r>
        <w:rPr>
          <w:rFonts w:hint="eastAsia" w:hAnsi="宋体" w:cs="宋体"/>
          <w:b w:val="0"/>
          <w:bCs w:val="0"/>
          <w:color w:val="auto"/>
          <w:sz w:val="21"/>
          <w:szCs w:val="21"/>
          <w:lang w:val="en-US" w:eastAsia="zh-CN"/>
        </w:rPr>
        <w:t>10</w:t>
      </w:r>
      <w:r>
        <w:rPr>
          <w:rFonts w:hint="eastAsia" w:hAnsi="宋体" w:cs="宋体"/>
          <w:b w:val="0"/>
          <w:bCs w:val="0"/>
          <w:color w:val="auto"/>
          <w:sz w:val="21"/>
          <w:szCs w:val="21"/>
        </w:rPr>
        <w:t>分）：方案基本适用本项目用户需求</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内容</w:t>
      </w:r>
      <w:r>
        <w:rPr>
          <w:rFonts w:hint="eastAsia" w:hAnsi="宋体" w:cs="宋体"/>
          <w:b w:val="0"/>
          <w:bCs w:val="0"/>
          <w:color w:val="auto"/>
          <w:sz w:val="21"/>
          <w:szCs w:val="21"/>
        </w:rPr>
        <w:t>详细</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有针对性</w:t>
      </w:r>
      <w:r>
        <w:rPr>
          <w:rFonts w:hint="eastAsia" w:hAnsi="宋体"/>
          <w:color w:val="auto"/>
          <w:szCs w:val="21"/>
          <w:lang w:eastAsia="zh-CN"/>
        </w:rPr>
        <w:t>；</w:t>
      </w:r>
      <w:r>
        <w:rPr>
          <w:rFonts w:hint="eastAsia" w:hAnsi="宋体" w:cs="宋体"/>
          <w:b w:val="0"/>
          <w:bCs w:val="0"/>
          <w:color w:val="auto"/>
          <w:sz w:val="21"/>
          <w:szCs w:val="21"/>
        </w:rPr>
        <w:t xml:space="preserve">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三档（</w:t>
      </w:r>
      <w:r>
        <w:rPr>
          <w:rFonts w:hint="eastAsia" w:hAnsi="宋体" w:cs="宋体"/>
          <w:b w:val="0"/>
          <w:bCs w:val="0"/>
          <w:color w:val="auto"/>
          <w:sz w:val="21"/>
          <w:szCs w:val="21"/>
          <w:lang w:val="en-US" w:eastAsia="zh-CN"/>
        </w:rPr>
        <w:t>15</w:t>
      </w:r>
      <w:r>
        <w:rPr>
          <w:rFonts w:hint="eastAsia" w:hAnsi="宋体" w:cs="宋体"/>
          <w:b w:val="0"/>
          <w:bCs w:val="0"/>
          <w:color w:val="auto"/>
          <w:sz w:val="21"/>
          <w:szCs w:val="21"/>
        </w:rPr>
        <w:t>分）：方案完全适用本项目用户需求</w:t>
      </w: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内容</w:t>
      </w:r>
      <w:r>
        <w:rPr>
          <w:rFonts w:hint="eastAsia" w:hAnsi="宋体" w:cs="宋体"/>
          <w:b w:val="0"/>
          <w:bCs w:val="0"/>
          <w:color w:val="auto"/>
          <w:sz w:val="21"/>
          <w:szCs w:val="21"/>
        </w:rPr>
        <w:t xml:space="preserve">完整详细，有针对性、可操作性强，有保证，有多项优于项目实际的需求，有应用场景实图。                                        </w:t>
      </w:r>
    </w:p>
    <w:p>
      <w:pPr>
        <w:pStyle w:val="20"/>
        <w:spacing w:line="400" w:lineRule="exact"/>
        <w:ind w:firstLine="422" w:firstLineChars="200"/>
        <w:jc w:val="left"/>
        <w:rPr>
          <w:rFonts w:hint="eastAsia" w:hAnsi="宋体" w:cs="宋体"/>
          <w:b/>
          <w:bCs/>
          <w:color w:val="auto"/>
          <w:sz w:val="21"/>
          <w:szCs w:val="21"/>
        </w:rPr>
      </w:pPr>
      <w:r>
        <w:rPr>
          <w:rFonts w:hint="eastAsia" w:hAnsi="宋体" w:cs="宋体"/>
          <w:b/>
          <w:bCs/>
          <w:color w:val="auto"/>
          <w:sz w:val="21"/>
          <w:szCs w:val="21"/>
        </w:rPr>
        <w:t>3、履约能力分……………………………………20分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（1）</w:t>
      </w:r>
      <w:r>
        <w:rPr>
          <w:rFonts w:hint="eastAsia" w:hAnsi="宋体" w:cs="宋体"/>
          <w:b w:val="0"/>
          <w:bCs w:val="0"/>
          <w:color w:val="auto"/>
          <w:sz w:val="21"/>
          <w:szCs w:val="21"/>
          <w:lang w:val="en-US" w:eastAsia="zh-CN"/>
        </w:rPr>
        <w:t>项目</w:t>
      </w:r>
      <w:r>
        <w:rPr>
          <w:rFonts w:hint="eastAsia" w:hAnsi="宋体" w:cs="宋体"/>
          <w:b w:val="0"/>
          <w:bCs w:val="0"/>
          <w:color w:val="auto"/>
          <w:sz w:val="21"/>
          <w:szCs w:val="21"/>
        </w:rPr>
        <w:t>人员配备方案（满分9分）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方案包括管理服务人员的配备，人员文化素质和专业素质，各岗位人员工作及作息时间安排、服务人员的培训等。</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一档（</w:t>
      </w:r>
      <w:r>
        <w:rPr>
          <w:rFonts w:hint="eastAsia" w:hAnsi="宋体" w:cs="宋体"/>
          <w:b w:val="0"/>
          <w:bCs w:val="0"/>
          <w:color w:val="auto"/>
          <w:sz w:val="21"/>
          <w:szCs w:val="21"/>
          <w:lang w:val="en-US" w:eastAsia="zh-CN"/>
        </w:rPr>
        <w:t>3</w:t>
      </w:r>
      <w:r>
        <w:rPr>
          <w:rFonts w:hint="eastAsia" w:hAnsi="宋体" w:cs="宋体"/>
          <w:b w:val="0"/>
          <w:bCs w:val="0"/>
          <w:color w:val="auto"/>
          <w:sz w:val="21"/>
          <w:szCs w:val="21"/>
        </w:rPr>
        <w:t xml:space="preserve">分）：投入人员工作及作息时间安排简单、基本合理。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二档（</w:t>
      </w:r>
      <w:r>
        <w:rPr>
          <w:rFonts w:hint="eastAsia" w:hAnsi="宋体" w:cs="宋体"/>
          <w:b w:val="0"/>
          <w:bCs w:val="0"/>
          <w:color w:val="auto"/>
          <w:sz w:val="21"/>
          <w:szCs w:val="21"/>
          <w:lang w:val="en-US" w:eastAsia="zh-CN"/>
        </w:rPr>
        <w:t>6</w:t>
      </w:r>
      <w:r>
        <w:rPr>
          <w:rFonts w:hint="eastAsia" w:hAnsi="宋体" w:cs="宋体"/>
          <w:b w:val="0"/>
          <w:bCs w:val="0"/>
          <w:color w:val="auto"/>
          <w:sz w:val="21"/>
          <w:szCs w:val="21"/>
        </w:rPr>
        <w:t>分）：投入人员工作及作息时间安排合理</w:t>
      </w:r>
      <w:r>
        <w:rPr>
          <w:rFonts w:hint="eastAsia" w:hAnsi="宋体"/>
          <w:color w:val="auto"/>
          <w:szCs w:val="21"/>
          <w:lang w:eastAsia="zh-CN"/>
        </w:rPr>
        <w:t>，</w:t>
      </w:r>
      <w:r>
        <w:rPr>
          <w:rFonts w:hint="eastAsia" w:hAnsi="宋体" w:cs="宋体"/>
          <w:b w:val="0"/>
          <w:bCs w:val="0"/>
          <w:color w:val="auto"/>
          <w:sz w:val="21"/>
          <w:szCs w:val="21"/>
        </w:rPr>
        <w:t xml:space="preserve">服务人员的培训及管理方案能响应本项目要求。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三档（</w:t>
      </w:r>
      <w:r>
        <w:rPr>
          <w:rFonts w:hint="eastAsia" w:hAnsi="宋体" w:cs="宋体"/>
          <w:b w:val="0"/>
          <w:bCs w:val="0"/>
          <w:color w:val="auto"/>
          <w:sz w:val="21"/>
          <w:szCs w:val="21"/>
          <w:lang w:val="en-US" w:eastAsia="zh-CN"/>
        </w:rPr>
        <w:t>9</w:t>
      </w:r>
      <w:r>
        <w:rPr>
          <w:rFonts w:hint="eastAsia" w:hAnsi="宋体" w:cs="宋体"/>
          <w:b w:val="0"/>
          <w:bCs w:val="0"/>
          <w:color w:val="auto"/>
          <w:sz w:val="21"/>
          <w:szCs w:val="21"/>
        </w:rPr>
        <w:t>分）</w:t>
      </w:r>
      <w:r>
        <w:rPr>
          <w:rFonts w:hint="eastAsia" w:hAnsi="宋体" w:cs="宋体"/>
          <w:b w:val="0"/>
          <w:bCs w:val="0"/>
          <w:color w:val="auto"/>
          <w:sz w:val="21"/>
          <w:szCs w:val="21"/>
          <w:lang w:eastAsia="zh-CN"/>
        </w:rPr>
        <w:t>：</w:t>
      </w:r>
      <w:r>
        <w:rPr>
          <w:rFonts w:hint="eastAsia" w:hAnsi="宋体" w:cs="宋体"/>
          <w:b w:val="0"/>
          <w:bCs w:val="0"/>
          <w:color w:val="auto"/>
          <w:sz w:val="21"/>
          <w:szCs w:val="21"/>
        </w:rPr>
        <w:t>投入人员工作、作息时间安排、培训及管理方案详细、合理</w:t>
      </w:r>
      <w:r>
        <w:rPr>
          <w:rFonts w:hint="eastAsia" w:hAnsi="宋体" w:cs="宋体"/>
          <w:b w:val="0"/>
          <w:bCs w:val="0"/>
          <w:color w:val="auto"/>
          <w:sz w:val="21"/>
          <w:szCs w:val="21"/>
          <w:lang w:eastAsia="zh-CN"/>
        </w:rPr>
        <w:t>，</w:t>
      </w:r>
      <w:r>
        <w:rPr>
          <w:rFonts w:hint="eastAsia" w:hAnsi="宋体" w:cs="宋体"/>
          <w:b w:val="0"/>
          <w:bCs w:val="0"/>
          <w:color w:val="auto"/>
          <w:sz w:val="21"/>
          <w:szCs w:val="21"/>
        </w:rPr>
        <w:t>计划详细具体、全面，切合项目实际，有较强的针对性和可操作性</w:t>
      </w:r>
      <w:r>
        <w:rPr>
          <w:rFonts w:hint="eastAsia" w:hAnsi="宋体" w:cs="宋体"/>
          <w:b w:val="0"/>
          <w:bCs w:val="0"/>
          <w:color w:val="auto"/>
          <w:sz w:val="21"/>
          <w:szCs w:val="21"/>
          <w:lang w:eastAsia="zh-CN"/>
        </w:rPr>
        <w:t>。</w:t>
      </w:r>
      <w:r>
        <w:rPr>
          <w:rFonts w:hint="eastAsia" w:hAnsi="宋体" w:cs="宋体"/>
          <w:b w:val="0"/>
          <w:bCs w:val="0"/>
          <w:color w:val="auto"/>
          <w:sz w:val="21"/>
          <w:szCs w:val="21"/>
        </w:rPr>
        <w:t xml:space="preserve">        </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（2）人员资质分（满分6分）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1、</w:t>
      </w:r>
      <w:r>
        <w:rPr>
          <w:rFonts w:hint="eastAsia" w:hAnsi="宋体" w:cs="宋体"/>
          <w:b w:val="0"/>
          <w:bCs w:val="0"/>
          <w:color w:val="auto"/>
          <w:sz w:val="21"/>
          <w:szCs w:val="21"/>
          <w:lang w:val="en-US" w:eastAsia="zh-CN"/>
        </w:rPr>
        <w:t>供应商</w:t>
      </w:r>
      <w:r>
        <w:rPr>
          <w:rFonts w:hint="eastAsia" w:hAnsi="宋体" w:cs="宋体"/>
          <w:b w:val="0"/>
          <w:bCs w:val="0"/>
          <w:color w:val="auto"/>
          <w:sz w:val="21"/>
          <w:szCs w:val="21"/>
        </w:rPr>
        <w:t>拟配备的项目主管兼会务人员持有住房城乡建设系统岗位培训合格证书(物业管理从业人员)，得2分，满分2分。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2、</w:t>
      </w:r>
      <w:r>
        <w:rPr>
          <w:rFonts w:hint="eastAsia" w:hAnsi="宋体" w:cs="宋体"/>
          <w:b w:val="0"/>
          <w:bCs w:val="0"/>
          <w:color w:val="auto"/>
          <w:sz w:val="21"/>
          <w:szCs w:val="21"/>
          <w:lang w:val="en-US" w:eastAsia="zh-CN"/>
        </w:rPr>
        <w:t>供应商</w:t>
      </w:r>
      <w:r>
        <w:rPr>
          <w:rFonts w:hint="eastAsia" w:hAnsi="宋体" w:cs="宋体"/>
          <w:b w:val="0"/>
          <w:bCs w:val="0"/>
          <w:color w:val="auto"/>
          <w:sz w:val="21"/>
          <w:szCs w:val="21"/>
        </w:rPr>
        <w:t>拟配备的工程技术人员持有</w:t>
      </w:r>
      <w:r>
        <w:rPr>
          <w:rFonts w:hint="eastAsia" w:hAnsi="宋体" w:cs="宋体"/>
          <w:b w:val="0"/>
          <w:bCs w:val="0"/>
          <w:color w:val="auto"/>
          <w:sz w:val="21"/>
          <w:szCs w:val="21"/>
          <w:lang w:val="en-US" w:eastAsia="zh-CN"/>
        </w:rPr>
        <w:t>电工证人员</w:t>
      </w:r>
      <w:r>
        <w:rPr>
          <w:rFonts w:hint="eastAsia" w:hAnsi="宋体" w:cs="宋体"/>
          <w:b w:val="0"/>
          <w:bCs w:val="0"/>
          <w:color w:val="auto"/>
          <w:sz w:val="21"/>
          <w:szCs w:val="21"/>
        </w:rPr>
        <w:t>，每有1</w:t>
      </w:r>
      <w:r>
        <w:rPr>
          <w:rFonts w:hint="eastAsia" w:hAnsi="宋体" w:cs="宋体"/>
          <w:b w:val="0"/>
          <w:bCs w:val="0"/>
          <w:color w:val="auto"/>
          <w:sz w:val="21"/>
          <w:szCs w:val="21"/>
          <w:lang w:val="en-US" w:eastAsia="zh-CN"/>
        </w:rPr>
        <w:t>人</w:t>
      </w:r>
      <w:r>
        <w:rPr>
          <w:rFonts w:hint="eastAsia" w:hAnsi="宋体" w:cs="宋体"/>
          <w:b w:val="0"/>
          <w:bCs w:val="0"/>
          <w:color w:val="auto"/>
          <w:sz w:val="21"/>
          <w:szCs w:val="21"/>
        </w:rPr>
        <w:t>得2分，满分4分。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（3）业绩分（满分5分）</w:t>
      </w:r>
      <w:bookmarkStart w:id="66" w:name="_GoBack"/>
      <w:bookmarkEnd w:id="66"/>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lang w:val="en-US" w:eastAsia="zh-CN"/>
        </w:rPr>
        <w:t>供应商</w:t>
      </w:r>
      <w:r>
        <w:rPr>
          <w:rFonts w:hint="eastAsia" w:hAnsi="宋体" w:cs="宋体"/>
          <w:b w:val="0"/>
          <w:bCs w:val="0"/>
          <w:color w:val="auto"/>
          <w:sz w:val="21"/>
          <w:szCs w:val="21"/>
        </w:rPr>
        <w:t>2017年1月1日以来承接的同类物业管理服务项目，每有一个得1分，满分5分。（备注：需在首次响应文件中提供合同或中标/成交通知书证明文件</w:t>
      </w:r>
      <w:r>
        <w:rPr>
          <w:rFonts w:hint="eastAsia"/>
          <w:color w:val="auto"/>
          <w:lang w:val="en-US" w:eastAsia="zh-CN"/>
        </w:rPr>
        <w:t>复印件</w:t>
      </w:r>
      <w:r>
        <w:rPr>
          <w:rFonts w:hint="eastAsia" w:hAnsi="宋体" w:cs="宋体"/>
          <w:b w:val="0"/>
          <w:bCs w:val="0"/>
          <w:color w:val="auto"/>
          <w:sz w:val="21"/>
          <w:szCs w:val="21"/>
        </w:rPr>
        <w:t>。）</w:t>
      </w:r>
    </w:p>
    <w:p>
      <w:pPr>
        <w:pStyle w:val="20"/>
        <w:spacing w:line="400" w:lineRule="exact"/>
        <w:ind w:firstLine="422" w:firstLineChars="200"/>
        <w:jc w:val="left"/>
        <w:rPr>
          <w:rFonts w:hint="eastAsia" w:hAnsi="宋体" w:cs="宋体"/>
          <w:b w:val="0"/>
          <w:bCs w:val="0"/>
          <w:color w:val="auto"/>
          <w:sz w:val="21"/>
          <w:szCs w:val="21"/>
        </w:rPr>
      </w:pPr>
      <w:r>
        <w:rPr>
          <w:rFonts w:hint="eastAsia" w:hAnsi="宋体" w:cs="宋体"/>
          <w:b/>
          <w:bCs/>
          <w:color w:val="auto"/>
          <w:sz w:val="21"/>
          <w:szCs w:val="21"/>
        </w:rPr>
        <w:t>4、企业信誉分………………………………</w:t>
      </w:r>
      <w:r>
        <w:rPr>
          <w:rFonts w:hint="eastAsia" w:hAnsi="宋体" w:cs="宋体"/>
          <w:b/>
          <w:bCs/>
          <w:color w:val="auto"/>
          <w:sz w:val="21"/>
          <w:szCs w:val="21"/>
          <w:lang w:val="en-US" w:eastAsia="zh-CN"/>
        </w:rPr>
        <w:t>10</w:t>
      </w:r>
      <w:r>
        <w:rPr>
          <w:rFonts w:hint="eastAsia" w:hAnsi="宋体" w:cs="宋体"/>
          <w:b/>
          <w:bCs/>
          <w:color w:val="auto"/>
          <w:sz w:val="21"/>
          <w:szCs w:val="21"/>
        </w:rPr>
        <w:t>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（1）</w:t>
      </w:r>
      <w:r>
        <w:rPr>
          <w:rFonts w:hint="eastAsia" w:hAnsi="宋体" w:cs="宋体"/>
          <w:b w:val="0"/>
          <w:bCs w:val="0"/>
          <w:color w:val="auto"/>
          <w:sz w:val="21"/>
          <w:szCs w:val="21"/>
          <w:lang w:val="en-US" w:eastAsia="zh-CN"/>
        </w:rPr>
        <w:t>供应商</w:t>
      </w:r>
      <w:r>
        <w:rPr>
          <w:rFonts w:hint="eastAsia" w:hAnsi="宋体" w:cs="宋体"/>
          <w:b w:val="0"/>
          <w:bCs w:val="0"/>
          <w:color w:val="auto"/>
          <w:sz w:val="21"/>
          <w:szCs w:val="21"/>
        </w:rPr>
        <w:t>通过ISO9001质量管理体系认证、ISO14001环境体系认证、ISO45001职业健康安全管理体系认证证书，每有1项得1分，满分</w:t>
      </w:r>
      <w:r>
        <w:rPr>
          <w:rFonts w:hint="eastAsia" w:hAnsi="宋体" w:cs="宋体"/>
          <w:b w:val="0"/>
          <w:bCs w:val="0"/>
          <w:color w:val="auto"/>
          <w:sz w:val="21"/>
          <w:szCs w:val="21"/>
          <w:lang w:val="en-US" w:eastAsia="zh-CN"/>
        </w:rPr>
        <w:t>3</w:t>
      </w:r>
      <w:r>
        <w:rPr>
          <w:rFonts w:hint="eastAsia" w:hAnsi="宋体" w:cs="宋体"/>
          <w:b w:val="0"/>
          <w:bCs w:val="0"/>
          <w:color w:val="auto"/>
          <w:sz w:val="21"/>
          <w:szCs w:val="21"/>
        </w:rPr>
        <w:t>分（提供证书复印件）。</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（2）</w:t>
      </w:r>
      <w:r>
        <w:rPr>
          <w:rFonts w:hint="eastAsia" w:hAnsi="宋体" w:cs="宋体"/>
          <w:b w:val="0"/>
          <w:bCs w:val="0"/>
          <w:color w:val="auto"/>
          <w:sz w:val="21"/>
          <w:szCs w:val="21"/>
          <w:lang w:val="en-US" w:eastAsia="zh-CN"/>
        </w:rPr>
        <w:t>供应商</w:t>
      </w:r>
      <w:r>
        <w:rPr>
          <w:rFonts w:hint="eastAsia" w:hAnsi="宋体" w:cs="宋体"/>
          <w:b w:val="0"/>
          <w:bCs w:val="0"/>
          <w:color w:val="auto"/>
          <w:sz w:val="21"/>
          <w:szCs w:val="21"/>
        </w:rPr>
        <w:t>2017年以来获得市级以上（含市级）政府部门颁发的物业服务企业“先进单位”或“示范单位”奖项称号的[以颁奖时间为准]，得</w:t>
      </w:r>
      <w:r>
        <w:rPr>
          <w:rFonts w:hint="eastAsia" w:hAnsi="宋体" w:cs="宋体"/>
          <w:b w:val="0"/>
          <w:bCs w:val="0"/>
          <w:color w:val="auto"/>
          <w:sz w:val="21"/>
          <w:szCs w:val="21"/>
          <w:lang w:val="en-US" w:eastAsia="zh-CN"/>
        </w:rPr>
        <w:t>2</w:t>
      </w:r>
      <w:r>
        <w:rPr>
          <w:rFonts w:hint="eastAsia" w:hAnsi="宋体" w:cs="宋体"/>
          <w:b w:val="0"/>
          <w:bCs w:val="0"/>
          <w:color w:val="auto"/>
          <w:sz w:val="21"/>
          <w:szCs w:val="21"/>
        </w:rPr>
        <w:t>分，满分</w:t>
      </w:r>
      <w:r>
        <w:rPr>
          <w:rFonts w:hint="eastAsia" w:hAnsi="宋体" w:cs="宋体"/>
          <w:b w:val="0"/>
          <w:bCs w:val="0"/>
          <w:color w:val="auto"/>
          <w:sz w:val="21"/>
          <w:szCs w:val="21"/>
          <w:lang w:val="en-US" w:eastAsia="zh-CN"/>
        </w:rPr>
        <w:t>2</w:t>
      </w:r>
      <w:r>
        <w:rPr>
          <w:rFonts w:hint="eastAsia" w:hAnsi="宋体" w:cs="宋体"/>
          <w:b w:val="0"/>
          <w:bCs w:val="0"/>
          <w:color w:val="auto"/>
          <w:sz w:val="21"/>
          <w:szCs w:val="21"/>
        </w:rPr>
        <w:t>分。</w:t>
      </w:r>
    </w:p>
    <w:p>
      <w:pPr>
        <w:pStyle w:val="20"/>
        <w:spacing w:line="400" w:lineRule="exact"/>
        <w:ind w:firstLine="420" w:firstLineChars="200"/>
        <w:jc w:val="left"/>
        <w:rPr>
          <w:rFonts w:hint="eastAsia" w:hAnsi="宋体" w:cs="宋体"/>
          <w:b w:val="0"/>
          <w:bCs w:val="0"/>
          <w:color w:val="auto"/>
          <w:sz w:val="21"/>
          <w:szCs w:val="21"/>
        </w:rPr>
      </w:pPr>
      <w:r>
        <w:rPr>
          <w:rFonts w:hint="eastAsia" w:hAnsi="宋体" w:cs="宋体"/>
          <w:b w:val="0"/>
          <w:bCs w:val="0"/>
          <w:color w:val="auto"/>
          <w:sz w:val="21"/>
          <w:szCs w:val="21"/>
        </w:rPr>
        <w:t>（3）</w:t>
      </w:r>
      <w:r>
        <w:rPr>
          <w:rFonts w:hint="eastAsia" w:hAnsi="宋体" w:cs="宋体"/>
          <w:b w:val="0"/>
          <w:bCs w:val="0"/>
          <w:color w:val="auto"/>
          <w:sz w:val="21"/>
          <w:szCs w:val="21"/>
          <w:lang w:val="en-US" w:eastAsia="zh-CN"/>
        </w:rPr>
        <w:t>供应商</w:t>
      </w:r>
      <w:r>
        <w:rPr>
          <w:rFonts w:hint="eastAsia" w:hAnsi="宋体" w:cs="宋体"/>
          <w:b w:val="0"/>
          <w:bCs w:val="0"/>
          <w:color w:val="auto"/>
          <w:sz w:val="21"/>
          <w:szCs w:val="21"/>
        </w:rPr>
        <w:t>承接的服务项目2017年以来获得市级物业管理行政主管部门（或物业协会）颁发的优秀或示范项目荣誉的，（同一项目不同时期获得的、不同级别的可重复计分，提供奖牌（证书）或相关单位的网上公示文件），满分</w:t>
      </w:r>
      <w:r>
        <w:rPr>
          <w:rFonts w:hint="eastAsia" w:hAnsi="宋体" w:cs="宋体"/>
          <w:b w:val="0"/>
          <w:bCs w:val="0"/>
          <w:color w:val="auto"/>
          <w:sz w:val="21"/>
          <w:szCs w:val="21"/>
          <w:lang w:val="en-US" w:eastAsia="zh-CN"/>
        </w:rPr>
        <w:t>5</w:t>
      </w:r>
      <w:r>
        <w:rPr>
          <w:rFonts w:hint="eastAsia" w:hAnsi="宋体" w:cs="宋体"/>
          <w:b w:val="0"/>
          <w:bCs w:val="0"/>
          <w:color w:val="auto"/>
          <w:sz w:val="21"/>
          <w:szCs w:val="21"/>
        </w:rPr>
        <w:t>分。</w:t>
      </w:r>
    </w:p>
    <w:p>
      <w:pPr>
        <w:pStyle w:val="20"/>
        <w:spacing w:line="400" w:lineRule="exact"/>
        <w:ind w:firstLine="422" w:firstLineChars="200"/>
        <w:jc w:val="left"/>
        <w:rPr>
          <w:rFonts w:hint="eastAsia" w:hAnsi="宋体" w:cs="宋体"/>
          <w:b/>
          <w:bCs/>
          <w:color w:val="auto"/>
          <w:sz w:val="21"/>
          <w:szCs w:val="21"/>
        </w:rPr>
      </w:pPr>
      <w:r>
        <w:rPr>
          <w:rFonts w:hint="eastAsia" w:hAnsi="宋体" w:cs="宋体"/>
          <w:b/>
          <w:bCs/>
          <w:color w:val="auto"/>
          <w:sz w:val="21"/>
          <w:szCs w:val="21"/>
        </w:rPr>
        <w:t>5、总得分 = 1 + 2 + 3 + 4</w:t>
      </w:r>
    </w:p>
    <w:p>
      <w:pPr>
        <w:rPr>
          <w:color w:val="auto"/>
        </w:rPr>
      </w:pPr>
    </w:p>
    <w:p>
      <w:pPr>
        <w:pStyle w:val="20"/>
        <w:spacing w:line="360" w:lineRule="auto"/>
        <w:ind w:firstLine="422" w:firstLineChars="200"/>
        <w:jc w:val="left"/>
        <w:rPr>
          <w:rFonts w:hAnsi="宋体" w:cs="宋体"/>
          <w:b/>
          <w:bCs/>
          <w:color w:val="auto"/>
          <w:sz w:val="21"/>
          <w:szCs w:val="21"/>
        </w:rPr>
      </w:pPr>
      <w:r>
        <w:rPr>
          <w:rFonts w:hint="eastAsia" w:hAnsi="宋体" w:cs="宋体"/>
          <w:b/>
          <w:bCs/>
          <w:color w:val="auto"/>
          <w:sz w:val="21"/>
          <w:szCs w:val="21"/>
        </w:rPr>
        <w:t>三、成交候选人推荐原则</w:t>
      </w:r>
    </w:p>
    <w:p>
      <w:pPr>
        <w:pStyle w:val="20"/>
        <w:spacing w:line="360" w:lineRule="auto"/>
        <w:ind w:firstLine="420" w:firstLineChars="200"/>
        <w:jc w:val="left"/>
        <w:rPr>
          <w:rFonts w:hAnsi="宋体" w:cs="宋体"/>
          <w:bCs/>
          <w:color w:val="auto"/>
          <w:sz w:val="21"/>
          <w:szCs w:val="21"/>
        </w:rPr>
      </w:pPr>
      <w:r>
        <w:rPr>
          <w:rFonts w:hint="eastAsia" w:hAnsi="宋体" w:cs="宋体"/>
          <w:bCs/>
          <w:color w:val="auto"/>
          <w:sz w:val="21"/>
          <w:szCs w:val="21"/>
        </w:rPr>
        <w:t>（一）磋商小组将根据得分由高到低排列次序（得分相同时，以最</w:t>
      </w:r>
      <w:r>
        <w:rPr>
          <w:rFonts w:hint="eastAsia" w:hAnsi="宋体" w:cs="宋体"/>
          <w:bCs/>
          <w:color w:val="auto"/>
          <w:sz w:val="21"/>
          <w:szCs w:val="21"/>
          <w:lang w:val="en-US" w:eastAsia="zh-CN"/>
        </w:rPr>
        <w:t>后</w:t>
      </w:r>
      <w:r>
        <w:rPr>
          <w:rFonts w:hint="eastAsia" w:hAnsi="宋体" w:cs="宋体"/>
          <w:bCs/>
          <w:color w:val="auto"/>
          <w:sz w:val="21"/>
          <w:szCs w:val="21"/>
        </w:rPr>
        <w:t>报价由低到高顺序排列；得分相同且最</w:t>
      </w:r>
      <w:r>
        <w:rPr>
          <w:rFonts w:hint="eastAsia"/>
          <w:color w:val="auto"/>
          <w:lang w:val="en-US" w:eastAsia="zh-CN"/>
        </w:rPr>
        <w:t>后</w:t>
      </w:r>
      <w:r>
        <w:rPr>
          <w:rFonts w:hint="eastAsia" w:hAnsi="宋体" w:cs="宋体"/>
          <w:bCs/>
          <w:color w:val="auto"/>
          <w:sz w:val="21"/>
          <w:szCs w:val="21"/>
        </w:rPr>
        <w:t>报价相同的，依次按服务方案分由高到低、履约能力分由高到低、</w:t>
      </w:r>
      <w:r>
        <w:rPr>
          <w:rFonts w:hint="eastAsia" w:hAnsi="宋体" w:cs="宋体"/>
          <w:bCs/>
          <w:color w:val="auto"/>
          <w:sz w:val="21"/>
          <w:szCs w:val="21"/>
          <w:lang w:val="en-US" w:eastAsia="zh-CN"/>
        </w:rPr>
        <w:t>企业</w:t>
      </w:r>
      <w:r>
        <w:rPr>
          <w:rFonts w:hint="eastAsia" w:hAnsi="宋体" w:cs="宋体"/>
          <w:bCs/>
          <w:color w:val="auto"/>
          <w:sz w:val="21"/>
          <w:szCs w:val="21"/>
        </w:rPr>
        <w:t>信誉分由高到低顺序排列，并推荐成交候选人3名。得分最高的成交候选人为成交供应商。采购人应当确定磋商小组推荐排名第一的成交候选人为成交供应商。</w:t>
      </w:r>
    </w:p>
    <w:p>
      <w:pPr>
        <w:pStyle w:val="20"/>
        <w:spacing w:line="360" w:lineRule="auto"/>
        <w:ind w:firstLine="420" w:firstLineChars="200"/>
        <w:jc w:val="left"/>
        <w:rPr>
          <w:rFonts w:hAnsi="宋体" w:cs="宋体"/>
          <w:bCs/>
          <w:color w:val="auto"/>
          <w:sz w:val="21"/>
          <w:szCs w:val="21"/>
        </w:rPr>
      </w:pPr>
      <w:r>
        <w:rPr>
          <w:rFonts w:hint="eastAsia" w:hAnsi="宋体" w:cs="宋体"/>
          <w:bCs/>
          <w:color w:val="auto"/>
          <w:sz w:val="21"/>
          <w:szCs w:val="21"/>
        </w:rPr>
        <w:t>除非有法定事由，如排名第一的成交候选人放弃成交、因不可抗力不能履行合同、不按照磋商文件要求提交履约保证金（或质量保证金），或者被查实存在影响成交结果的违法行为等情形，不符合成交条件的。该等情况下，采购人可以按照磋商小组提出的成交候选人名单排序依法确定其他成交候选人为成交供应商，也可以重新组织采购。</w:t>
      </w:r>
    </w:p>
    <w:p>
      <w:pPr>
        <w:pStyle w:val="20"/>
        <w:spacing w:line="360" w:lineRule="auto"/>
        <w:ind w:firstLine="422" w:firstLineChars="200"/>
        <w:jc w:val="left"/>
        <w:rPr>
          <w:rFonts w:hAnsi="宋体" w:cs="宋体"/>
          <w:b/>
          <w:bCs/>
          <w:color w:val="auto"/>
          <w:sz w:val="21"/>
          <w:szCs w:val="21"/>
        </w:rPr>
      </w:pPr>
    </w:p>
    <w:p>
      <w:pPr>
        <w:pStyle w:val="20"/>
        <w:spacing w:line="360" w:lineRule="auto"/>
        <w:ind w:firstLine="422" w:firstLineChars="200"/>
        <w:jc w:val="left"/>
        <w:rPr>
          <w:rFonts w:hAnsi="宋体" w:cs="宋体"/>
          <w:b/>
          <w:bCs/>
          <w:color w:val="auto"/>
          <w:sz w:val="21"/>
          <w:szCs w:val="21"/>
        </w:rPr>
      </w:pPr>
      <w:r>
        <w:rPr>
          <w:rFonts w:hint="eastAsia" w:hAnsi="宋体" w:cs="宋体"/>
          <w:b/>
          <w:bCs/>
          <w:color w:val="auto"/>
          <w:sz w:val="21"/>
          <w:szCs w:val="21"/>
        </w:rPr>
        <w:t>四、特别说明</w:t>
      </w:r>
    </w:p>
    <w:p>
      <w:pPr>
        <w:pStyle w:val="20"/>
        <w:spacing w:line="360" w:lineRule="auto"/>
        <w:ind w:firstLine="420" w:firstLineChars="200"/>
        <w:jc w:val="left"/>
        <w:rPr>
          <w:rFonts w:hAnsi="宋体" w:cs="宋体"/>
          <w:bCs/>
          <w:color w:val="auto"/>
          <w:sz w:val="21"/>
          <w:szCs w:val="21"/>
        </w:rPr>
      </w:pPr>
      <w:r>
        <w:rPr>
          <w:rFonts w:hint="eastAsia" w:hAnsi="宋体" w:cs="宋体"/>
          <w:bCs/>
          <w:color w:val="auto"/>
          <w:sz w:val="21"/>
          <w:szCs w:val="21"/>
        </w:rPr>
        <w:t>（一）磋商小组认为供应商的竞标报价明显低于其他通过符合性审查供应商的竞标报价，有可能影响产品（或服务）质量或者不能诚信履约的，应当要求其在评审现场合理的时间内提供书面说明，必要时提交相关证明材料；供应商不能证明其竞标报价合理性的，磋商小组应当将其作为无效磋商处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（二）以上评审内容需要提供材料的，除必要的原件核对外，供应商如能够在线查询的材料，请提供查询网址链接，可以不用同时提供纸质材料。</w:t>
      </w:r>
    </w:p>
    <w:p>
      <w:pPr>
        <w:spacing w:line="360"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宋体" w:hAnsi="宋体" w:cs="宋体"/>
          <w:b/>
          <w:color w:val="auto"/>
          <w:sz w:val="28"/>
          <w:szCs w:val="28"/>
        </w:rPr>
        <w:br w:type="page"/>
      </w:r>
      <w:bookmarkStart w:id="61" w:name="_Toc26773"/>
      <w:r>
        <w:rPr>
          <w:rFonts w:hint="eastAsia" w:asciiTheme="minorEastAsia" w:hAnsiTheme="minorEastAsia" w:eastAsiaTheme="minorEastAsia" w:cstheme="minorEastAsia"/>
          <w:b/>
          <w:color w:val="auto"/>
          <w:sz w:val="28"/>
          <w:szCs w:val="28"/>
          <w:highlight w:val="none"/>
        </w:rPr>
        <w:t>第四章 合同草案条款</w:t>
      </w:r>
      <w:bookmarkEnd w:id="61"/>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30"/>
          <w:szCs w:val="30"/>
          <w:highlight w:val="none"/>
        </w:rPr>
        <w:t>合同封面）</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合同类别：技术服务类</w:t>
      </w:r>
    </w:p>
    <w:p>
      <w:pPr>
        <w:jc w:val="center"/>
        <w:rPr>
          <w:rFonts w:hint="eastAsia" w:asciiTheme="minorEastAsia" w:hAnsiTheme="minorEastAsia" w:eastAsiaTheme="minorEastAsia" w:cstheme="minorEastAsia"/>
          <w:b/>
          <w:color w:val="auto"/>
          <w:sz w:val="44"/>
          <w:szCs w:val="44"/>
          <w:highlight w:val="none"/>
        </w:rPr>
      </w:pPr>
    </w:p>
    <w:p>
      <w:pPr>
        <w:jc w:val="center"/>
        <w:rPr>
          <w:rFonts w:hint="eastAsia" w:asciiTheme="minorEastAsia" w:hAnsiTheme="minorEastAsia" w:eastAsiaTheme="minorEastAsia" w:cstheme="minorEastAsia"/>
          <w:b/>
          <w:color w:val="auto"/>
          <w:sz w:val="44"/>
          <w:szCs w:val="44"/>
          <w:highlight w:val="none"/>
          <w:lang w:eastAsia="zh-CN"/>
        </w:rPr>
      </w:pPr>
    </w:p>
    <w:p>
      <w:pPr>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lang w:eastAsia="zh-CN"/>
        </w:rPr>
        <w:t>采购</w:t>
      </w:r>
      <w:r>
        <w:rPr>
          <w:rFonts w:hint="eastAsia" w:asciiTheme="minorEastAsia" w:hAnsiTheme="minorEastAsia" w:eastAsiaTheme="minorEastAsia" w:cstheme="minorEastAsia"/>
          <w:b/>
          <w:color w:val="auto"/>
          <w:sz w:val="44"/>
          <w:szCs w:val="44"/>
          <w:highlight w:val="none"/>
        </w:rPr>
        <w:t>合同</w:t>
      </w:r>
    </w:p>
    <w:p>
      <w:pPr>
        <w:ind w:firstLine="560" w:firstLineChars="200"/>
        <w:jc w:val="center"/>
        <w:rPr>
          <w:rFonts w:hint="eastAsia" w:asciiTheme="minorEastAsia" w:hAnsiTheme="minorEastAsia" w:eastAsiaTheme="minorEastAsia" w:cstheme="minorEastAsia"/>
          <w:color w:val="auto"/>
          <w:sz w:val="28"/>
          <w:szCs w:val="28"/>
          <w:highlight w:val="none"/>
        </w:rPr>
      </w:pPr>
    </w:p>
    <w:p>
      <w:pPr>
        <w:ind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（年度</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rPr>
        <w:t>）</w:t>
      </w:r>
    </w:p>
    <w:p>
      <w:pPr>
        <w:ind w:firstLine="600" w:firstLineChars="200"/>
        <w:jc w:val="center"/>
        <w:rPr>
          <w:rFonts w:hint="eastAsia" w:asciiTheme="minorEastAsia" w:hAnsiTheme="minorEastAsia" w:eastAsiaTheme="minorEastAsia" w:cstheme="minorEastAsia"/>
          <w:color w:val="auto"/>
          <w:sz w:val="30"/>
          <w:szCs w:val="30"/>
          <w:highlight w:val="none"/>
        </w:rPr>
      </w:pPr>
    </w:p>
    <w:p>
      <w:pPr>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1350" w:firstLineChars="45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项目名称：</w:t>
      </w:r>
    </w:p>
    <w:p>
      <w:pPr>
        <w:spacing w:line="360" w:lineRule="auto"/>
        <w:ind w:firstLine="1200" w:firstLineChars="4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（分标子项目）：</w:t>
      </w:r>
    </w:p>
    <w:p>
      <w:pPr>
        <w:pStyle w:val="2"/>
        <w:rPr>
          <w:rFonts w:hint="eastAsia" w:asciiTheme="minorEastAsia" w:hAnsiTheme="minorEastAsia" w:eastAsiaTheme="minorEastAsia" w:cstheme="minorEastAsia"/>
          <w:color w:val="auto"/>
          <w:sz w:val="30"/>
          <w:szCs w:val="30"/>
          <w:highlight w:val="none"/>
        </w:rPr>
      </w:pPr>
    </w:p>
    <w:p>
      <w:pPr>
        <w:pStyle w:val="2"/>
        <w:rPr>
          <w:rFonts w:hint="eastAsia" w:asciiTheme="minorEastAsia" w:hAnsiTheme="minorEastAsia" w:eastAsiaTheme="minorEastAsia" w:cstheme="minorEastAsia"/>
          <w:color w:val="auto"/>
          <w:sz w:val="30"/>
          <w:szCs w:val="30"/>
          <w:highlight w:val="none"/>
        </w:rPr>
      </w:pPr>
    </w:p>
    <w:p>
      <w:pPr>
        <w:spacing w:line="360" w:lineRule="auto"/>
        <w:ind w:firstLine="1350" w:firstLineChars="450"/>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合同编号：</w:t>
      </w:r>
    </w:p>
    <w:p>
      <w:pPr>
        <w:spacing w:line="360" w:lineRule="auto"/>
        <w:ind w:firstLine="602" w:firstLineChars="20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（本项目为目录外标准下）</w:t>
      </w:r>
    </w:p>
    <w:p>
      <w:pPr>
        <w:spacing w:line="360" w:lineRule="auto"/>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444" w:firstLineChars="148"/>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甲方(采购人名称) ：</w:t>
      </w:r>
      <w:r>
        <w:rPr>
          <w:rFonts w:hint="eastAsia" w:asciiTheme="minorEastAsia" w:hAnsiTheme="minorEastAsia" w:eastAsiaTheme="minorEastAsia" w:cstheme="minorEastAsia"/>
          <w:color w:val="auto"/>
          <w:sz w:val="30"/>
          <w:szCs w:val="30"/>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30"/>
          <w:szCs w:val="30"/>
          <w:highlight w:val="none"/>
        </w:rPr>
      </w:pPr>
    </w:p>
    <w:p>
      <w:pPr>
        <w:spacing w:line="360" w:lineRule="auto"/>
        <w:ind w:firstLine="444" w:firstLineChars="148"/>
        <w:rPr>
          <w:rFonts w:hint="default" w:asciiTheme="minorEastAsia" w:hAnsiTheme="minorEastAsia" w:eastAsiaTheme="minorEastAsia" w:cstheme="minorEastAsia"/>
          <w:color w:val="auto"/>
          <w:sz w:val="30"/>
          <w:szCs w:val="30"/>
          <w:highlight w:val="none"/>
          <w:u w:val="single"/>
          <w:lang w:val="en-US" w:eastAsia="zh-CN"/>
        </w:rPr>
      </w:pPr>
      <w:r>
        <w:rPr>
          <w:rFonts w:hint="eastAsia" w:asciiTheme="minorEastAsia" w:hAnsiTheme="minorEastAsia" w:eastAsiaTheme="minorEastAsia" w:cstheme="minorEastAsia"/>
          <w:color w:val="auto"/>
          <w:sz w:val="30"/>
          <w:szCs w:val="30"/>
          <w:highlight w:val="none"/>
        </w:rPr>
        <w:t>乙方(供应商名称)：</w:t>
      </w:r>
      <w:r>
        <w:rPr>
          <w:rFonts w:hint="eastAsia" w:asciiTheme="minorEastAsia" w:hAnsiTheme="minorEastAsia" w:eastAsiaTheme="minorEastAsia" w:cstheme="minorEastAsia"/>
          <w:color w:val="auto"/>
          <w:sz w:val="30"/>
          <w:szCs w:val="30"/>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30"/>
          <w:szCs w:val="30"/>
          <w:highlight w:val="none"/>
        </w:rPr>
      </w:pPr>
    </w:p>
    <w:p>
      <w:pPr>
        <w:pStyle w:val="20"/>
        <w:jc w:val="center"/>
        <w:rPr>
          <w:rFonts w:hAnsi="宋体" w:cs="Times New Roman"/>
          <w:color w:val="auto"/>
          <w:sz w:val="30"/>
          <w:szCs w:val="30"/>
          <w:highlight w:val="none"/>
        </w:rPr>
      </w:pPr>
      <w:r>
        <w:rPr>
          <w:rFonts w:hint="eastAsia" w:hAnsi="宋体" w:cs="Times New Roman"/>
          <w:color w:val="auto"/>
          <w:sz w:val="30"/>
          <w:szCs w:val="30"/>
          <w:highlight w:val="none"/>
        </w:rPr>
        <w:t>签</w:t>
      </w:r>
      <w:r>
        <w:rPr>
          <w:rFonts w:hAnsi="宋体" w:cs="Times New Roman"/>
          <w:color w:val="auto"/>
          <w:sz w:val="30"/>
          <w:szCs w:val="30"/>
          <w:highlight w:val="none"/>
        </w:rPr>
        <w:t xml:space="preserve"> </w:t>
      </w:r>
      <w:r>
        <w:rPr>
          <w:rFonts w:hint="eastAsia" w:hAnsi="宋体" w:cs="Times New Roman"/>
          <w:color w:val="auto"/>
          <w:sz w:val="30"/>
          <w:szCs w:val="30"/>
          <w:highlight w:val="none"/>
        </w:rPr>
        <w:t>订</w:t>
      </w:r>
      <w:r>
        <w:rPr>
          <w:rFonts w:hAnsi="宋体" w:cs="Times New Roman"/>
          <w:color w:val="auto"/>
          <w:sz w:val="30"/>
          <w:szCs w:val="30"/>
          <w:highlight w:val="none"/>
        </w:rPr>
        <w:t xml:space="preserve"> </w:t>
      </w:r>
      <w:r>
        <w:rPr>
          <w:rFonts w:hint="eastAsia" w:hAnsi="宋体" w:cs="Times New Roman"/>
          <w:color w:val="auto"/>
          <w:sz w:val="30"/>
          <w:szCs w:val="30"/>
          <w:highlight w:val="none"/>
        </w:rPr>
        <w:t>日</w:t>
      </w:r>
      <w:r>
        <w:rPr>
          <w:rFonts w:hAnsi="宋体" w:cs="Times New Roman"/>
          <w:color w:val="auto"/>
          <w:sz w:val="30"/>
          <w:szCs w:val="30"/>
          <w:highlight w:val="none"/>
        </w:rPr>
        <w:t xml:space="preserve"> </w:t>
      </w:r>
      <w:r>
        <w:rPr>
          <w:rFonts w:hint="eastAsia" w:hAnsi="宋体" w:cs="Times New Roman"/>
          <w:color w:val="auto"/>
          <w:sz w:val="30"/>
          <w:szCs w:val="30"/>
          <w:highlight w:val="none"/>
        </w:rPr>
        <w:t>期：</w:t>
      </w:r>
      <w:r>
        <w:rPr>
          <w:rFonts w:hAnsi="宋体" w:cs="Times New Roman"/>
          <w:color w:val="auto"/>
          <w:sz w:val="30"/>
          <w:szCs w:val="30"/>
          <w:highlight w:val="none"/>
        </w:rPr>
        <w:t xml:space="preserve">       </w:t>
      </w:r>
      <w:r>
        <w:rPr>
          <w:rFonts w:hint="eastAsia" w:hAnsi="宋体" w:cs="Times New Roman"/>
          <w:color w:val="auto"/>
          <w:sz w:val="30"/>
          <w:szCs w:val="30"/>
          <w:highlight w:val="none"/>
        </w:rPr>
        <w:t>年</w:t>
      </w:r>
      <w:r>
        <w:rPr>
          <w:rFonts w:hAnsi="宋体" w:cs="Times New Roman"/>
          <w:color w:val="auto"/>
          <w:sz w:val="30"/>
          <w:szCs w:val="30"/>
          <w:highlight w:val="none"/>
        </w:rPr>
        <w:t xml:space="preserve">    </w:t>
      </w:r>
      <w:r>
        <w:rPr>
          <w:rFonts w:hint="eastAsia" w:hAnsi="宋体" w:cs="Times New Roman"/>
          <w:color w:val="auto"/>
          <w:sz w:val="30"/>
          <w:szCs w:val="30"/>
          <w:highlight w:val="none"/>
        </w:rPr>
        <w:t xml:space="preserve">  月</w:t>
      </w:r>
      <w:r>
        <w:rPr>
          <w:rFonts w:hAnsi="宋体" w:cs="Times New Roman"/>
          <w:color w:val="auto"/>
          <w:sz w:val="30"/>
          <w:szCs w:val="30"/>
          <w:highlight w:val="none"/>
        </w:rPr>
        <w:t xml:space="preserve">     </w:t>
      </w:r>
      <w:r>
        <w:rPr>
          <w:rFonts w:hint="eastAsia" w:hAnsi="宋体" w:cs="Times New Roman"/>
          <w:color w:val="auto"/>
          <w:sz w:val="30"/>
          <w:szCs w:val="30"/>
          <w:highlight w:val="none"/>
        </w:rPr>
        <w:t>日</w:t>
      </w:r>
    </w:p>
    <w:p>
      <w:pPr>
        <w:pStyle w:val="20"/>
        <w:jc w:val="center"/>
        <w:rPr>
          <w:rFonts w:ascii="Times New Roman" w:hAnsi="Times New Roman" w:eastAsia="黑体" w:cs="Times New Roman"/>
          <w:b/>
          <w:color w:val="auto"/>
          <w:sz w:val="30"/>
          <w:szCs w:val="30"/>
          <w:highlight w:val="none"/>
        </w:rPr>
      </w:pPr>
      <w:r>
        <w:rPr>
          <w:rFonts w:hint="eastAsia" w:asciiTheme="minorEastAsia" w:hAnsiTheme="minorEastAsia" w:eastAsiaTheme="minorEastAsia" w:cstheme="minorEastAsia"/>
          <w:color w:val="auto"/>
          <w:kern w:val="0"/>
          <w:szCs w:val="21"/>
          <w:highlight w:val="none"/>
        </w:rPr>
        <w:br w:type="page"/>
      </w:r>
      <w:r>
        <w:rPr>
          <w:rFonts w:hint="eastAsia" w:ascii="Times New Roman" w:hAnsi="Times New Roman" w:eastAsia="黑体" w:cs="Times New Roman"/>
          <w:b/>
          <w:color w:val="auto"/>
          <w:sz w:val="30"/>
          <w:szCs w:val="30"/>
          <w:highlight w:val="none"/>
        </w:rPr>
        <w:t>一、合同前文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根据《中华人民共和国</w:t>
      </w:r>
      <w:r>
        <w:rPr>
          <w:rFonts w:hint="eastAsia" w:asciiTheme="minorEastAsia" w:hAnsiTheme="minorEastAsia" w:eastAsiaTheme="minorEastAsia" w:cstheme="minorEastAsia"/>
          <w:color w:val="auto"/>
          <w:kern w:val="0"/>
          <w:szCs w:val="21"/>
          <w:highlight w:val="none"/>
          <w:lang w:eastAsia="zh-CN"/>
        </w:rPr>
        <w:t>民法典</w:t>
      </w:r>
      <w:r>
        <w:rPr>
          <w:rFonts w:hint="eastAsia" w:asciiTheme="minorEastAsia" w:hAnsiTheme="minorEastAsia" w:eastAsiaTheme="minorEastAsia" w:cstheme="minorEastAsia"/>
          <w:color w:val="auto"/>
          <w:kern w:val="0"/>
          <w:szCs w:val="21"/>
          <w:highlight w:val="none"/>
        </w:rPr>
        <w:t>》等有关法律法规规定</w:t>
      </w:r>
      <w:r>
        <w:rPr>
          <w:rFonts w:hint="eastAsia" w:asciiTheme="minorEastAsia" w:hAnsiTheme="minorEastAsia" w:eastAsiaTheme="minorEastAsia" w:cstheme="minorEastAsia"/>
          <w:color w:val="auto"/>
          <w:kern w:val="0"/>
          <w:szCs w:val="21"/>
          <w:highlight w:val="none"/>
          <w:lang w:eastAsia="zh-CN"/>
        </w:rPr>
        <w:t>，</w:t>
      </w:r>
      <w:r>
        <w:rPr>
          <w:rFonts w:hint="eastAsia"/>
          <w:color w:val="auto"/>
          <w:highlight w:val="none"/>
        </w:rPr>
        <w:t>按照采购文件规定采购方式、条款和成交供应商的承诺，甲乙双方经协商一致同意签订本合同</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1.合同文件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下列文件是构成本合同不可分割的部分：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(1)采购项目需求、磋商文件规定的合同条款；</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(2)报价表；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(3)响应文件技术部分和商务部分；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(4)甲、乙双方商定确认后的补充协议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(5)其他(根据实际情况需要增加的内容)。</w:t>
      </w:r>
    </w:p>
    <w:p>
      <w:pPr>
        <w:pStyle w:val="2"/>
        <w:rPr>
          <w:rFonts w:hint="eastAsia"/>
          <w:color w:val="auto"/>
        </w:rPr>
      </w:pPr>
    </w:p>
    <w:p>
      <w:pPr>
        <w:numPr>
          <w:ilvl w:val="0"/>
          <w:numId w:val="3"/>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合同标的(根据实际情况填写)</w:t>
      </w:r>
    </w:p>
    <w:p>
      <w:pPr>
        <w:pStyle w:val="2"/>
        <w:numPr>
          <w:ilvl w:val="0"/>
          <w:numId w:val="0"/>
        </w:numPr>
        <w:ind w:firstLine="420" w:firstLineChars="200"/>
        <w:rPr>
          <w:rFonts w:hint="eastAsia"/>
          <w:color w:val="auto"/>
        </w:rPr>
      </w:pPr>
      <w:r>
        <w:rPr>
          <w:rFonts w:hint="eastAsia"/>
          <w:color w:val="auto"/>
        </w:rPr>
        <w:t>乙方应按照合同的规定，提供本项目采购文件中要求的服务（详见附件：服务内容一览表）。</w:t>
      </w:r>
    </w:p>
    <w:p>
      <w:pPr>
        <w:pStyle w:val="2"/>
        <w:numPr>
          <w:ilvl w:val="0"/>
          <w:numId w:val="0"/>
        </w:numPr>
        <w:ind w:firstLine="420" w:firstLineChars="200"/>
        <w:rPr>
          <w:rFonts w:hint="eastAsia"/>
          <w:color w:val="auto"/>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3.合同金额</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本合同服务时间为</w:t>
      </w:r>
      <w:r>
        <w:rPr>
          <w:rFonts w:hint="eastAsia" w:asciiTheme="minorEastAsia" w:hAnsiTheme="minorEastAsia" w:eastAsiaTheme="minorEastAsia" w:cstheme="minorEastAsia"/>
          <w:color w:val="auto"/>
          <w:kern w:val="0"/>
          <w:szCs w:val="21"/>
          <w:highlight w:val="none"/>
          <w:u w:val="none"/>
          <w:lang w:val="en-US" w:eastAsia="zh-CN"/>
        </w:rPr>
        <w:t>12</w:t>
      </w:r>
      <w:r>
        <w:rPr>
          <w:rFonts w:hint="eastAsia" w:asciiTheme="minorEastAsia" w:hAnsiTheme="minorEastAsia" w:eastAsiaTheme="minorEastAsia" w:cstheme="minorEastAsia"/>
          <w:color w:val="auto"/>
          <w:kern w:val="0"/>
          <w:szCs w:val="21"/>
          <w:highlight w:val="none"/>
          <w:lang w:val="en-US" w:eastAsia="zh-CN"/>
        </w:rPr>
        <w:t>个月</w:t>
      </w:r>
      <w:r>
        <w:rPr>
          <w:rFonts w:hint="eastAsia" w:asciiTheme="minorEastAsia" w:hAnsiTheme="minorEastAsia" w:eastAsiaTheme="minorEastAsia" w:cstheme="minorEastAsia"/>
          <w:color w:val="auto"/>
          <w:kern w:val="0"/>
          <w:szCs w:val="21"/>
          <w:highlight w:val="none"/>
        </w:rPr>
        <w:t>，合同单价为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元/年，合同总金额为人民币______元(______)。本合同项下所有服务的全部税费均已包含于合同价中，甲方不再另行支付。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4.合同签订地</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color w:val="auto"/>
          <w:szCs w:val="21"/>
          <w:highlight w:val="none"/>
          <w:u w:val="single"/>
        </w:rPr>
        <w:t>广西壮族自治区</w:t>
      </w:r>
      <w:r>
        <w:rPr>
          <w:rFonts w:hint="eastAsia" w:asciiTheme="minorEastAsia" w:hAnsiTheme="minorEastAsia" w:eastAsiaTheme="minorEastAsia" w:cstheme="minorEastAsia"/>
          <w:color w:val="auto"/>
          <w:szCs w:val="21"/>
          <w:highlight w:val="none"/>
          <w:u w:val="single"/>
          <w:lang w:val="en-US" w:eastAsia="zh-CN"/>
        </w:rPr>
        <w:t>柳州</w:t>
      </w:r>
      <w:r>
        <w:rPr>
          <w:rFonts w:hint="eastAsia" w:asciiTheme="minorEastAsia" w:hAnsiTheme="minorEastAsia" w:eastAsiaTheme="minorEastAsia" w:cstheme="minorEastAsia"/>
          <w:color w:val="auto"/>
          <w:szCs w:val="21"/>
          <w:highlight w:val="none"/>
          <w:u w:val="single"/>
        </w:rPr>
        <w:t>市</w:t>
      </w:r>
      <w:r>
        <w:rPr>
          <w:rFonts w:hint="eastAsia" w:asciiTheme="minorEastAsia" w:hAnsiTheme="minorEastAsia" w:eastAsiaTheme="minorEastAsia" w:cstheme="minorEastAsia"/>
          <w:color w:val="auto"/>
          <w:szCs w:val="21"/>
          <w:highlight w:val="none"/>
          <w:u w:val="single"/>
          <w:lang w:val="en-US" w:eastAsia="zh-CN"/>
        </w:rPr>
        <w:t>融安县</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5.合同生效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cs="Times New Roman"/>
          <w:color w:val="auto"/>
          <w:highlight w:val="none"/>
        </w:rPr>
        <w:t>本合同一式</w:t>
      </w:r>
      <w:r>
        <w:rPr>
          <w:rFonts w:hint="eastAsia" w:cs="Times New Roman"/>
          <w:color w:val="auto"/>
          <w:highlight w:val="none"/>
          <w:lang w:eastAsia="zh-CN"/>
        </w:rPr>
        <w:t>六</w:t>
      </w:r>
      <w:r>
        <w:rPr>
          <w:rFonts w:hint="eastAsia" w:cs="Times New Roman"/>
          <w:color w:val="auto"/>
          <w:highlight w:val="none"/>
        </w:rPr>
        <w:t>份，</w:t>
      </w:r>
      <w:r>
        <w:rPr>
          <w:rFonts w:hint="eastAsia"/>
          <w:color w:val="auto"/>
          <w:highlight w:val="none"/>
        </w:rPr>
        <w:t>具有同等法律效力，甲</w:t>
      </w:r>
      <w:r>
        <w:rPr>
          <w:rFonts w:hint="eastAsia"/>
          <w:color w:val="auto"/>
          <w:highlight w:val="none"/>
          <w:lang w:eastAsia="zh-CN"/>
        </w:rPr>
        <w:t>方三份，</w:t>
      </w:r>
      <w:r>
        <w:rPr>
          <w:rFonts w:hint="eastAsia"/>
          <w:color w:val="auto"/>
          <w:highlight w:val="none"/>
        </w:rPr>
        <w:t>乙方二份，采购代理机构一份。</w:t>
      </w:r>
      <w:r>
        <w:rPr>
          <w:rFonts w:hint="eastAsia" w:asciiTheme="minorEastAsia" w:hAnsiTheme="minorEastAsia" w:eastAsiaTheme="minorEastAsia" w:cstheme="minorEastAsia"/>
          <w:color w:val="auto"/>
          <w:kern w:val="0"/>
          <w:szCs w:val="21"/>
          <w:highlight w:val="none"/>
        </w:rPr>
        <w:t>经甲乙双方</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或其授权代表签字盖章，并在甲方收到乙方提交的履约保证金后生效。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甲方（盖章）：</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或其授权代表签字(或签章)：</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乙方（盖章）：</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或其授权代表签字(或签章)：</w:t>
      </w:r>
    </w:p>
    <w:p>
      <w:pPr>
        <w:jc w:val="center"/>
        <w:rPr>
          <w:rFonts w:hint="eastAsia" w:asciiTheme="minorEastAsia" w:hAnsiTheme="minorEastAsia" w:eastAsiaTheme="minorEastAsia" w:cstheme="minorEastAsia"/>
          <w:b/>
          <w:color w:val="auto"/>
          <w:kern w:val="0"/>
          <w:sz w:val="28"/>
          <w:szCs w:val="21"/>
          <w:highlight w:val="none"/>
        </w:rPr>
      </w:pPr>
    </w:p>
    <w:p>
      <w:pPr>
        <w:jc w:val="center"/>
        <w:rPr>
          <w:rFonts w:hint="eastAsia" w:asciiTheme="minorEastAsia" w:hAnsiTheme="minorEastAsia" w:eastAsiaTheme="minorEastAsia" w:cstheme="minorEastAsia"/>
          <w:b/>
          <w:color w:val="auto"/>
          <w:kern w:val="0"/>
          <w:sz w:val="28"/>
          <w:szCs w:val="21"/>
          <w:highlight w:val="none"/>
        </w:rPr>
      </w:pPr>
      <w:r>
        <w:rPr>
          <w:rFonts w:hint="eastAsia" w:asciiTheme="minorEastAsia" w:hAnsiTheme="minorEastAsia" w:eastAsiaTheme="minorEastAsia" w:cstheme="minorEastAsia"/>
          <w:b/>
          <w:color w:val="auto"/>
          <w:kern w:val="0"/>
          <w:sz w:val="28"/>
          <w:szCs w:val="21"/>
          <w:highlight w:val="none"/>
        </w:rPr>
        <w:t>二、合同前附表</w:t>
      </w:r>
    </w:p>
    <w:p>
      <w:pPr>
        <w:jc w:val="center"/>
        <w:rPr>
          <w:rFonts w:hint="eastAsia" w:asciiTheme="minorEastAsia" w:hAnsiTheme="minorEastAsia" w:eastAsiaTheme="minorEastAsia" w:cstheme="minorEastAsia"/>
          <w:b/>
          <w:color w:val="auto"/>
          <w:kern w:val="0"/>
          <w:sz w:val="28"/>
          <w:szCs w:val="21"/>
          <w:highlight w:val="none"/>
        </w:rPr>
      </w:pPr>
    </w:p>
    <w:tbl>
      <w:tblPr>
        <w:tblStyle w:val="4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7941" w:type="dxa"/>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7941" w:type="dxa"/>
            <w:vAlign w:val="center"/>
          </w:tcPr>
          <w:p>
            <w:pPr>
              <w:spacing w:line="360" w:lineRule="auto"/>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合同名称：</w:t>
            </w:r>
          </w:p>
          <w:p>
            <w:pPr>
              <w:spacing w:line="360" w:lineRule="auto"/>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75" w:type="dxa"/>
            <w:vMerge w:val="restart"/>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甲方联系人：</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甲方开户名称：             </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开户银行：                            </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Merge w:val="restart"/>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乙方联系人：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乙方开户名称： </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开户银行： </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5" w:type="dxa"/>
            <w:vAlign w:val="center"/>
          </w:tcPr>
          <w:p>
            <w:pPr>
              <w:pStyle w:val="2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941" w:type="dxa"/>
            <w:vAlign w:val="center"/>
          </w:tcPr>
          <w:p>
            <w:pPr>
              <w:pStyle w:val="2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合同金额：总金额为人民币（大写）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服务时间、履行期：</w:t>
            </w:r>
            <w:r>
              <w:rPr>
                <w:rFonts w:hint="eastAsia" w:asciiTheme="minorEastAsia" w:hAnsiTheme="minorEastAsia" w:eastAsiaTheme="minorEastAsia" w:cstheme="minorEastAsia"/>
                <w:color w:val="auto"/>
                <w:szCs w:val="21"/>
                <w:highlight w:val="none"/>
                <w:u w:val="single"/>
                <w:lang w:val="en-US" w:eastAsia="zh-CN"/>
              </w:rPr>
              <w:t>12个月</w:t>
            </w:r>
            <w:r>
              <w:rPr>
                <w:rFonts w:hint="eastAsia" w:asciiTheme="minorEastAsia" w:hAnsiTheme="minorEastAsia" w:eastAsiaTheme="minorEastAsia" w:cstheme="minorEastAsia"/>
                <w:color w:val="auto"/>
                <w:szCs w:val="21"/>
                <w:highlight w:val="none"/>
              </w:rPr>
              <w:t>内实施完毕，具体时间从</w:t>
            </w:r>
            <w:r>
              <w:rPr>
                <w:rFonts w:hint="eastAsia" w:asciiTheme="minorEastAsia" w:hAnsiTheme="minorEastAsia" w:eastAsiaTheme="minorEastAsia" w:cstheme="minorEastAsia"/>
                <w:color w:val="auto"/>
                <w:szCs w:val="21"/>
                <w:highlight w:val="none"/>
                <w:u w:val="single"/>
                <w:lang w:val="en-US" w:eastAsia="zh-CN"/>
              </w:rPr>
              <w:t>2022</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lang w:val="en-US" w:eastAsia="zh-CN"/>
              </w:rPr>
              <w:t>2</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日起至</w:t>
            </w:r>
            <w:r>
              <w:rPr>
                <w:rFonts w:hint="eastAsia" w:asciiTheme="minorEastAsia" w:hAnsiTheme="minorEastAsia" w:eastAsiaTheme="minorEastAsia" w:cstheme="minorEastAsia"/>
                <w:color w:val="auto"/>
                <w:szCs w:val="21"/>
                <w:highlight w:val="none"/>
                <w:u w:val="single"/>
                <w:lang w:val="en-US" w:eastAsia="zh-CN"/>
              </w:rPr>
              <w:t>2023</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lang w:val="en-US" w:eastAsia="zh-CN"/>
              </w:rPr>
              <w:t>31</w:t>
            </w:r>
            <w:r>
              <w:rPr>
                <w:rFonts w:hint="eastAsia" w:asciiTheme="minorEastAsia" w:hAnsiTheme="minorEastAsia" w:eastAsiaTheme="minorEastAsia" w:cstheme="minorEastAsia"/>
                <w:color w:val="auto"/>
                <w:szCs w:val="21"/>
                <w:highlight w:val="none"/>
              </w:rPr>
              <w:t>日止，即自合同生效之日起至合同全部权利义务履行完毕之日止。</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期满，如甲方要求乙方继续提供本合同服务的，顺延至新的成交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7941" w:type="dxa"/>
            <w:vAlign w:val="center"/>
          </w:tcPr>
          <w:p>
            <w:pPr>
              <w:spacing w:line="360" w:lineRule="auto"/>
              <w:jc w:val="left"/>
              <w:rPr>
                <w:rFonts w:hint="default" w:eastAsia="宋体" w:asciiTheme="minorEastAsia" w:hAnsiTheme="minorEastAsia" w:cstheme="minorEastAsia"/>
                <w:color w:val="auto"/>
                <w:szCs w:val="21"/>
                <w:highlight w:val="none"/>
                <w:lang w:val="en-US" w:eastAsia="zh-CN"/>
              </w:rPr>
            </w:pPr>
            <w:r>
              <w:rPr>
                <w:rFonts w:hint="eastAsia" w:ascii="Times New Roman" w:hAnsi="Times New Roman"/>
                <w:color w:val="auto"/>
                <w:highlight w:val="none"/>
              </w:rPr>
              <w:t>服务地点：</w:t>
            </w:r>
            <w:r>
              <w:rPr>
                <w:rFonts w:hint="eastAsia"/>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验收方式及标准：双方到场共同验收。按照采购需求、磋商(响应)文件及国家、行业规定的技术标准及规范验收。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7941"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付款方式：</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①采购人自行支付。</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②按月支付服务费用，甲方在合同生效后，于每月10日前以转账方式（如遇休息日或节假日，付款日期顺延）向乙方支付上月物业服务费；乙方应向甲方开具正式发票。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9</w:t>
            </w:r>
          </w:p>
        </w:tc>
        <w:tc>
          <w:tcPr>
            <w:tcW w:w="7941" w:type="dxa"/>
            <w:vAlign w:val="center"/>
          </w:tcPr>
          <w:p>
            <w:pPr>
              <w:spacing w:line="360" w:lineRule="auto"/>
              <w:jc w:val="left"/>
              <w:rPr>
                <w:rFonts w:hint="default" w:asciiTheme="minorEastAsia" w:hAnsiTheme="minorEastAsia" w:eastAsiaTheme="minorEastAsia" w:cstheme="minorEastAsia"/>
                <w:b/>
                <w:i/>
                <w:color w:val="auto"/>
                <w:szCs w:val="21"/>
                <w:highlight w:val="none"/>
                <w:lang w:val="en-US" w:eastAsia="zh-CN"/>
              </w:rPr>
            </w:pPr>
            <w:r>
              <w:rPr>
                <w:rFonts w:hint="eastAsia" w:asciiTheme="minorEastAsia" w:hAnsiTheme="minorEastAsia" w:eastAsiaTheme="minorEastAsia" w:cstheme="minorEastAsia"/>
                <w:color w:val="auto"/>
                <w:sz w:val="21"/>
                <w:szCs w:val="21"/>
                <w:highlight w:val="none"/>
              </w:rPr>
              <w:t>履约保证金及其返还：本项目</w:t>
            </w:r>
            <w:r>
              <w:rPr>
                <w:rFonts w:hint="eastAsia" w:asciiTheme="minorEastAsia" w:hAnsiTheme="minorEastAsia" w:eastAsiaTheme="minorEastAsia" w:cstheme="minorEastAsia"/>
                <w:color w:val="auto"/>
                <w:sz w:val="21"/>
                <w:szCs w:val="21"/>
                <w:highlight w:val="none"/>
                <w:lang w:val="en-US" w:eastAsia="zh-CN"/>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违约金约定：1.乙方违约或无正当理由造成解除合同的，按合同价款的10%计算。逾期退回款项及违约金的，每逾期一天，按应退款项及违约金总额的0.5%计算违约金。2.其它违约行为按违约服务款额5%收取违约金。</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误期赔偿费约定：如果乙方没有按照合同规定的时间交货和提供服务，甲方有权从货款或履约保证金中扣除误期赔偿费而不影响合同项下的其他补救方法。赔偿费按每日加收合同金额的0.5%计收，直至交货或提供服务为止。但误期赔偿费的最高限额不超过合同价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75" w:type="dxa"/>
            <w:vAlign w:val="center"/>
          </w:tcPr>
          <w:p>
            <w:pPr>
              <w:pStyle w:val="2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7941" w:type="dxa"/>
            <w:vAlign w:val="center"/>
          </w:tcPr>
          <w:p>
            <w:pPr>
              <w:pStyle w:val="2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合同履行期限：12个月（2022年2月1日至2023年1月31日）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13</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合同纠纷的解决方式：</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首先通过双方协商解决，协商解决不成，则通过以下途径之一解决纠纷(请在方框内画“√”选择)：</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提请______仲裁委员会按照仲裁程序在______(仲裁地)仲裁</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向人民法院提起诉讼</w:t>
            </w:r>
          </w:p>
        </w:tc>
      </w:tr>
    </w:tbl>
    <w:p>
      <w:pPr>
        <w:ind w:firstLine="420" w:firstLineChars="200"/>
        <w:rPr>
          <w:rFonts w:hint="eastAsia" w:asciiTheme="minorEastAsia" w:hAnsiTheme="minorEastAsia" w:eastAsiaTheme="minorEastAsia" w:cstheme="minorEastAsia"/>
          <w:color w:val="auto"/>
          <w:szCs w:val="21"/>
          <w:highlight w:val="none"/>
        </w:rPr>
      </w:pPr>
    </w:p>
    <w:p>
      <w:pPr>
        <w:ind w:firstLine="422" w:firstLineChars="200"/>
        <w:jc w:val="center"/>
        <w:rPr>
          <w:rFonts w:hint="eastAsia" w:asciiTheme="minorEastAsia" w:hAnsiTheme="minorEastAsia" w:eastAsiaTheme="minorEastAsia" w:cstheme="minorEastAsia"/>
          <w:b/>
          <w:color w:val="auto"/>
          <w:szCs w:val="21"/>
          <w:highlight w:val="none"/>
        </w:rPr>
      </w:pPr>
    </w:p>
    <w:p>
      <w:pPr>
        <w:spacing w:line="360" w:lineRule="auto"/>
        <w:ind w:firstLine="422" w:firstLineChars="20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三、合同通用条款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1.定义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本合同下列术语应解释为：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　“甲方”是指采购人。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　“乙方”是指成交供应商。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　“合同”系指甲乙双方签署的、载明甲乙双方权利义务所达成的协议，包括所有的附件、附录和上述文件所提到的构成合同的所有文件。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　“服务”是指乙方按照采购、响应文件要求，向采购人提供的技术支持服务。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　“项目现场”是指甲方指定的最终服务地点。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　“天”除非特别指出，“天”均为自然天。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2.服务标准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　乙方为甲方交付的服务应符合采购文件和乙方的响应文件所述的内容，如果没有提及适用标准，则应符合相应的国家标准。这些标准必须是有关机构发布的最新版本的标准。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　除非技术要求中另有规定，计量单位均采用中华人民共和国法定计量单位。</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乙方应按照合同的规定，提供下列服务甲方提供符合要求的服务。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4.知识产权</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　乙方应保证所提供的服务免受第三方提出侵犯其知识产权(专利权、商标权、版权等)的起诉。因侵害他人知识产权而产生的法律责任，全部由乙方承担。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　甲方委托乙方开发的产品，甲方享有知识产权，未经甲方许可不得转让任何第三人。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5.保密条款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(1)应以审慎态度避免泄露、公开或传播甲方的信息；</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(2)未经甲方书面许可，不得对有关信息进行修改、补充、复制；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(3)未经甲方书面许可，不得将信息以任何方式(如E－mail)携带出甲方场所；</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(4)未经甲方书面许可，不得将信息透露给任何其他人；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(5)甲方以书面形式提出的其他保密措施。</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　甲乙双方如出现泄密行为，泄密方应承担相关的法律责任，包括但是不限于对由此给对方造成的经济损失进行赔偿。</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5.5  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6.服务质量保证</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乙方应保证所提供的服务，符合合同规定的技术要求。如不符时，乙方应负全责并尽快处理解决，由此造成的损失和相关费用由乙方负责，甲方保留终止合同及索赔的权利。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乙方应保证通过执行合同中全部方案后，可以取得本合同规定的结果，达到本合同规定的预期目标。对任何情况下出现问题的，应尽快提出解决方案。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7.履约保证金</w:t>
      </w:r>
    </w:p>
    <w:p>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本项目不收取履约保证金。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8.服务时间、地点与验收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8.1　服务地点：合同条款前附表指定地点。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　服务时间：合同条款前附表指定时间。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　甲方应在乙方完成相关服务工作后及时对服务质量、技术指标、服务成果进行验收。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服务缺陷的补救措施和索赔</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(1)如果乙方提供的服务不符合本合同约定以及</w:t>
      </w:r>
      <w:r>
        <w:rPr>
          <w:rFonts w:hint="eastAsia" w:asciiTheme="minorEastAsia" w:hAnsiTheme="minorEastAsia" w:eastAsiaTheme="minorEastAsia" w:cstheme="minorEastAsia"/>
          <w:color w:val="auto"/>
          <w:szCs w:val="21"/>
          <w:highlight w:val="none"/>
          <w:lang w:eastAsia="zh-CN"/>
        </w:rPr>
        <w:t>磋商文件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关于服务的要求和承诺，乙方应按照甲方同意的下列一种或几种方式结合起来解决索赔事宜：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①乙方同意将服务款项退还给甲方，由此发生的一切费用和损失由乙方承担。如甲方以适当的条件和方法购买与未履约标的相类似的服务，乙方应负担新购买类似服务所超出的费用。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②根据服务的质量状况以及甲方所遭受的损失，经过甲乙双方商定降低服务的价格。</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如不足以弥补甲方损失的，甲方有权进一步要求乙方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迟延履约的违约责任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(1)乙方应按照本合同规定的时间、地点提供服务。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计收，直至交货或提供服务为止。但误期赔偿费的最高限额不超过合同价的15%。</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(4)如果乙方延迟履约超过30日，甲方有权终止全部或部分合同，并依其认为适当的条件和方法购买与未履约类似的服务，乙方应负担购买类似服务所超出的费用。但是，乙方应继续执行合同中未终止的部分。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　未履行合同义务的违约责任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(1)守约方有权终止全部或部分合同。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(2)不予退还全额履约保证金。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(3)由违约一方支付违约金，违约金标准见合同条款前附表。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(4)违约金不足以弥补守约方实际损失、可预见或者应当预见的损失，由违约方全额予以赔偿。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10.不可抗力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　如果合同双方因不可抗力而导致合同实施延误或合同无法实施，不应该承担误期赔偿或不能履行合同义务的责任。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　本条所述的“不可抗力”系指那些双方不可预见、不可避免、不可克服的客观情况，但不包括双方的违约或疏忽。这些事件包括但不限于：战争、严重火灾、洪水、台风、地震等。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11.合同纠纷的解决方式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合同各方应通过友好协商，解决在执行合同过程中所发生的或与合同有关的一切争端。如协商30日内(根据实际情况设定)不能解决，可以按合同规定的方式提起仲裁或诉讼。</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仲裁裁决应为最终裁决，对双方均具有约束力。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仲裁费除仲裁机关另有裁决外应由败诉方负担。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　诉讼应由服务所在地人民法院管辖。诉讼费除人民法院另有判决外应由败诉方负担。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11.5　如仲裁或诉讼事项不影响合同其他部分的履行，则在仲裁或诉讼期间，除正在进行仲裁或诉讼的部分外，合同的其他部分应继续执行。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12.合同修改或变更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如无重大变故，甲方双方不得擅自变更合同。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　如确需变更合同，甲乙双方应签署书面变更协议。变更协议为本合同不可分割的一部分。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　在不改变合同其他条款的前提下，甲方有权在合同价款10%的范围内追加与合同标的相同的货物或服务，并就此与乙方签订补充合同，乙方不得拒绝。</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13.合同中止</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13.1合同在履行过程中，因采购计划调整，甲方可以要求中止履行，待计划确定后继续履行；合同履行过程中因供应商就采购过程或结果提起投诉的，甲方认为有必要或财政部责令中止的，应当中止合同的履行。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14.违约终止合同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若出现如下情况，在甲方对乙方违约行为而采取的任何补救措施不受影响的情况下，甲方可向乙方发出书面通知书，提出终止部分或全部合同。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14.1.1　如果乙方未能在合同规定的期限或甲方同意延长的期限内提供服务；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14.1.2　因乙方技术人员自身技术能力、经验不足等原因造成甲方硬件设备、应用系统发生重大紧急故障或应用系统数据丢失，带来重大影响和损失的；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14.1.3　乙方对甲方硬件设备、应用系统重大紧急故障没有及时响应，或不能在规定时间内解决处理故障，恢复系统正常运行的；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14.1.4　不能满足本项目技术需求的管理要求和规范，且经多次（3次及以上）整改无明显改进，仍然不能满足要求的；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14.1.5　在合同规定的每个服务年度(12个自然月)内，在运行维护支持服务过程中，出现2次经甲乙双方确认的违规操作的。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如果甲方根据上述第14.1条的规定，终止了全部或部分合同，甲方可以适当的条件和方法购买乙方未能提供的服务，乙方应对甲方购买类似服务所超出的费用负责。同时，乙方应继续执行合同中未终止的部分。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15.破产终止合同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　如果乙方破产或无清偿能力，甲方可在任何时候以书面形式通知乙方终止合同而不给乙方补偿。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　该终止协议将不损害或影响甲方已经采取或将要采取的任何行动或补救措施的权利。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16.其他情况的终止合同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　若合同继续履行将给甲方造成重大损失的，甲方可以终止合同而不给予乙方任何补偿。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　乙方在执行合同的过程中发生重大事故，对履行合同有直接影响的，甲方可以终止合同而不给予乙方任何补偿。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16.3　甲方因重大变故取消或部分取消原来的采购任务，导致合同全部或部分内容无须继续履行的，可以终止合同而不给予乙方任何补偿。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17.合同转让和分包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乙方不得以任何形式将合同转包，或部分或全部转让其应履行的合同义务。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　除经甲方事先书面同意外，乙方不得以任何形式将合同分包。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18.适用法律</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　本合同适用中华人民共和国现行法律、行政法规和规章，如合同条款与法律、行政法规和规章不一致的，按照法律、行政法规和规章修改本合同。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19.合同语言</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19.1　本合同语言为中文。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19.2　双方交换的与合同有关的信件和其他文件应用合同语言书写。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20.合同生效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　本合同应在双方签字盖章后生效。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21.合同效力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　除本合同和甲乙双方书面签署的补充协议外，其他任何形式的双方约定和往来函件均不具有合同效力，对本项目无约束。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22.检查和审计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22.1在本合同的履行过程中，甲方有权对乙方的合同履约情况进行阶段性检查，并对乙方响应时提供的相关资料进行复核。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　在本合同的履行过程中，如果甲乙双方发生争议或者乙方没有按照合同约定履行义务，乙方应允许甲方检查乙方与实施本合同有关的账户和记录，并由甲方指定的审计人员对其进行审计。</w:t>
      </w:r>
    </w:p>
    <w:p>
      <w:pPr>
        <w:rPr>
          <w:rFonts w:hint="eastAsia" w:asciiTheme="minorEastAsia" w:hAnsiTheme="minorEastAsia" w:eastAsiaTheme="minorEastAsia" w:cstheme="minorEastAsia"/>
          <w:color w:val="auto"/>
          <w:szCs w:val="21"/>
          <w:highlight w:val="none"/>
        </w:rPr>
      </w:pPr>
    </w:p>
    <w:p>
      <w:pPr>
        <w:pStyle w:val="2"/>
        <w:rPr>
          <w:rFonts w:hint="eastAsia" w:asciiTheme="minorEastAsia" w:hAnsiTheme="minorEastAsia" w:eastAsiaTheme="minorEastAsia" w:cstheme="minorEastAsia"/>
          <w:color w:val="auto"/>
          <w:szCs w:val="21"/>
          <w:highlight w:val="none"/>
        </w:rPr>
      </w:pPr>
    </w:p>
    <w:p>
      <w:pPr>
        <w:pStyle w:val="2"/>
        <w:rPr>
          <w:rFonts w:hint="eastAsia" w:asciiTheme="minorEastAsia" w:hAnsiTheme="minorEastAsia" w:eastAsiaTheme="minorEastAsia" w:cstheme="minorEastAsia"/>
          <w:color w:val="auto"/>
          <w:szCs w:val="21"/>
          <w:highlight w:val="none"/>
        </w:rPr>
      </w:pPr>
    </w:p>
    <w:p>
      <w:pPr>
        <w:pStyle w:val="2"/>
        <w:rPr>
          <w:rFonts w:hint="eastAsia" w:asciiTheme="minorEastAsia" w:hAnsiTheme="minorEastAsia" w:eastAsiaTheme="minorEastAsia" w:cstheme="minorEastAsia"/>
          <w:color w:val="auto"/>
          <w:szCs w:val="21"/>
          <w:highlight w:val="none"/>
        </w:rPr>
      </w:pPr>
    </w:p>
    <w:p>
      <w:pPr>
        <w:pStyle w:val="2"/>
        <w:rPr>
          <w:rFonts w:hint="eastAsia" w:asciiTheme="minorEastAsia" w:hAnsiTheme="minorEastAsia" w:eastAsiaTheme="minorEastAsia" w:cstheme="minorEastAsia"/>
          <w:color w:val="auto"/>
          <w:szCs w:val="21"/>
          <w:highlight w:val="none"/>
        </w:rPr>
      </w:pPr>
    </w:p>
    <w:p>
      <w:pPr>
        <w:numPr>
          <w:ilvl w:val="0"/>
          <w:numId w:val="4"/>
        </w:numPr>
        <w:spacing w:line="460" w:lineRule="exact"/>
        <w:rPr>
          <w:rFonts w:hint="eastAsia" w:asciiTheme="minorEastAsia" w:hAnsiTheme="minorEastAsia" w:eastAsiaTheme="minorEastAsia" w:cstheme="minorEastAsia"/>
          <w:b/>
          <w:color w:val="auto"/>
          <w:kern w:val="0"/>
          <w:sz w:val="24"/>
          <w:szCs w:val="21"/>
          <w:highlight w:val="none"/>
        </w:rPr>
      </w:pPr>
      <w:r>
        <w:rPr>
          <w:rFonts w:hint="eastAsia" w:asciiTheme="minorEastAsia" w:hAnsiTheme="minorEastAsia" w:eastAsiaTheme="minorEastAsia" w:cstheme="minorEastAsia"/>
          <w:b/>
          <w:color w:val="auto"/>
          <w:kern w:val="0"/>
          <w:sz w:val="24"/>
          <w:szCs w:val="21"/>
          <w:highlight w:val="none"/>
        </w:rPr>
        <w:t>合同补充条款（双方据实商定）</w:t>
      </w:r>
    </w:p>
    <w:p>
      <w:pPr>
        <w:spacing w:line="460" w:lineRule="exact"/>
        <w:rPr>
          <w:rFonts w:hint="eastAsia" w:asciiTheme="minorEastAsia" w:hAnsiTheme="minorEastAsia" w:eastAsiaTheme="minorEastAsia" w:cstheme="minorEastAsia"/>
          <w:b/>
          <w:color w:val="auto"/>
          <w:kern w:val="0"/>
          <w:sz w:val="24"/>
          <w:szCs w:val="21"/>
          <w:highlight w:val="none"/>
        </w:rPr>
      </w:pPr>
    </w:p>
    <w:p>
      <w:pPr>
        <w:spacing w:line="460" w:lineRule="exact"/>
        <w:rPr>
          <w:rFonts w:hint="eastAsia" w:asciiTheme="minorEastAsia" w:hAnsiTheme="minorEastAsia" w:eastAsiaTheme="minorEastAsia" w:cstheme="minorEastAsia"/>
          <w:b/>
          <w:color w:val="auto"/>
          <w:kern w:val="0"/>
          <w:sz w:val="24"/>
          <w:szCs w:val="21"/>
          <w:highlight w:val="none"/>
        </w:rPr>
      </w:pPr>
    </w:p>
    <w:p>
      <w:pPr>
        <w:widowControl/>
        <w:jc w:val="lef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
          <w:color w:val="auto"/>
          <w:sz w:val="24"/>
          <w:szCs w:val="21"/>
          <w:highlight w:val="none"/>
        </w:rPr>
        <w:t>五、合同附件（与正件装订成册）</w:t>
      </w:r>
    </w:p>
    <w:p>
      <w:pPr>
        <w:spacing w:line="460" w:lineRule="exac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（一）服务内容一览表（乙方填制）；</w:t>
      </w:r>
    </w:p>
    <w:p>
      <w:pPr>
        <w:spacing w:line="460" w:lineRule="exac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（二）磋商（响应）文件报价表部分（乙方提供）；</w:t>
      </w:r>
    </w:p>
    <w:p>
      <w:pPr>
        <w:spacing w:line="460" w:lineRule="exac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（三）磋商（响应）文件技术部分和商务部分（乙方提供）；</w:t>
      </w:r>
    </w:p>
    <w:p>
      <w:pPr>
        <w:spacing w:line="460" w:lineRule="exac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（四）采购需求（与采购文件一致）；</w:t>
      </w:r>
    </w:p>
    <w:p>
      <w:pPr>
        <w:spacing w:line="460" w:lineRule="exac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（五）合同验收书格式（验收时填制，供参考）；</w:t>
      </w:r>
    </w:p>
    <w:p>
      <w:pPr>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 w:val="24"/>
          <w:szCs w:val="21"/>
          <w:highlight w:val="none"/>
        </w:rPr>
        <w:t>（六）</w:t>
      </w:r>
      <w:r>
        <w:rPr>
          <w:rFonts w:hint="eastAsia" w:asciiTheme="minorEastAsia" w:hAnsiTheme="minorEastAsia" w:eastAsiaTheme="minorEastAsia" w:cstheme="minorEastAsia"/>
          <w:bCs/>
          <w:color w:val="auto"/>
          <w:sz w:val="24"/>
          <w:szCs w:val="21"/>
          <w:highlight w:val="none"/>
          <w:lang w:eastAsia="zh-CN"/>
        </w:rPr>
        <w:t>采购</w:t>
      </w:r>
      <w:r>
        <w:rPr>
          <w:rFonts w:hint="eastAsia" w:asciiTheme="minorEastAsia" w:hAnsiTheme="minorEastAsia" w:eastAsiaTheme="minorEastAsia" w:cstheme="minorEastAsia"/>
          <w:bCs/>
          <w:color w:val="auto"/>
          <w:sz w:val="24"/>
          <w:szCs w:val="21"/>
          <w:highlight w:val="none"/>
        </w:rPr>
        <w:t>项目履约保证金或质量保证金退付意见书（供参考）。</w:t>
      </w:r>
    </w:p>
    <w:p>
      <w:pPr>
        <w:spacing w:line="460" w:lineRule="exact"/>
        <w:rPr>
          <w:rFonts w:hint="eastAsia" w:asciiTheme="minorEastAsia" w:hAnsiTheme="minorEastAsia" w:eastAsiaTheme="minorEastAsia" w:cstheme="minorEastAsia"/>
          <w:color w:val="auto"/>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(一)服务内容一览表（乙方填制）</w:t>
      </w:r>
    </w:p>
    <w:p>
      <w:pPr>
        <w:ind w:firstLine="480" w:firstLineChars="200"/>
        <w:rPr>
          <w:rFonts w:hint="eastAsia" w:asciiTheme="minorEastAsia" w:hAnsiTheme="minorEastAsia" w:eastAsiaTheme="minorEastAsia" w:cstheme="minorEastAsia"/>
          <w:color w:val="auto"/>
          <w:sz w:val="24"/>
          <w:szCs w:val="21"/>
          <w:highlight w:val="none"/>
        </w:rPr>
      </w:pPr>
    </w:p>
    <w:tbl>
      <w:tblPr>
        <w:tblStyle w:val="4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570"/>
        <w:gridCol w:w="810"/>
        <w:gridCol w:w="5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服务名称</w:t>
            </w:r>
          </w:p>
        </w:tc>
        <w:tc>
          <w:tcPr>
            <w:tcW w:w="750"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单位</w:t>
            </w:r>
          </w:p>
        </w:tc>
        <w:tc>
          <w:tcPr>
            <w:tcW w:w="570"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数量</w:t>
            </w:r>
          </w:p>
        </w:tc>
        <w:tc>
          <w:tcPr>
            <w:tcW w:w="810" w:type="dxa"/>
            <w:vAlign w:val="center"/>
          </w:tcPr>
          <w:p>
            <w:pPr>
              <w:snapToGrid w:val="0"/>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金额</w:t>
            </w:r>
          </w:p>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（元）</w:t>
            </w:r>
          </w:p>
        </w:tc>
        <w:tc>
          <w:tcPr>
            <w:tcW w:w="5393"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具体服务承诺(包含但不限于服务内容、范围和基本要求)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hint="eastAsia" w:asciiTheme="minorEastAsia" w:hAnsiTheme="minorEastAsia" w:eastAsiaTheme="minorEastAsia" w:cstheme="minorEastAsia"/>
                <w:color w:val="auto"/>
                <w:sz w:val="24"/>
                <w:szCs w:val="21"/>
                <w:highlight w:val="none"/>
              </w:rPr>
            </w:pPr>
          </w:p>
        </w:tc>
        <w:tc>
          <w:tcPr>
            <w:tcW w:w="750"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w:t>
            </w:r>
          </w:p>
        </w:tc>
        <w:tc>
          <w:tcPr>
            <w:tcW w:w="57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81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5393" w:type="dxa"/>
            <w:vAlign w:val="center"/>
          </w:tcPr>
          <w:p>
            <w:pPr>
              <w:jc w:val="center"/>
              <w:rPr>
                <w:rFonts w:hint="eastAsia" w:asciiTheme="minorEastAsia" w:hAnsiTheme="minorEastAsia" w:eastAsiaTheme="minorEastAsia" w:cs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75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57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81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5393" w:type="dxa"/>
            <w:vAlign w:val="center"/>
          </w:tcPr>
          <w:p>
            <w:pPr>
              <w:jc w:val="center"/>
              <w:rPr>
                <w:rFonts w:hint="eastAsia" w:asciiTheme="minorEastAsia" w:hAnsiTheme="minorEastAsia" w:eastAsiaTheme="minorEastAsia" w:cstheme="minorEastAsia"/>
                <w:color w:val="auto"/>
                <w:sz w:val="24"/>
                <w:szCs w:val="21"/>
                <w:highlight w:val="none"/>
              </w:rPr>
            </w:pPr>
          </w:p>
        </w:tc>
      </w:tr>
    </w:tbl>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(二)</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szCs w:val="21"/>
          <w:highlight w:val="none"/>
        </w:rPr>
        <w:t>磋商（响应）文件报价表部分（乙方提供）</w:t>
      </w: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由乙方按照磋商（响应）文件提供，并保持与磋商（响应）文件一致。</w:t>
      </w:r>
    </w:p>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(三)响应文件技术部分和商务部分（乙方提供）</w:t>
      </w: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由乙方按照磋商（响应）文件提供，并保持与磋商（响应）文件一致。</w:t>
      </w:r>
    </w:p>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(四)采购需求（与采购文件一致）</w:t>
      </w:r>
    </w:p>
    <w:p>
      <w:pPr>
        <w:rPr>
          <w:rFonts w:hint="eastAsia" w:asciiTheme="minorEastAsia" w:hAnsiTheme="minorEastAsia" w:eastAsiaTheme="minorEastAsia" w:cstheme="minorEastAsia"/>
          <w:b/>
          <w:color w:val="auto"/>
          <w:sz w:val="24"/>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Cs w:val="21"/>
          <w:highlight w:val="none"/>
        </w:rPr>
        <w:t>(五)合同验收书格式</w:t>
      </w:r>
      <w:r>
        <w:rPr>
          <w:rFonts w:hint="eastAsia" w:asciiTheme="minorEastAsia" w:hAnsiTheme="minorEastAsia" w:eastAsiaTheme="minorEastAsia" w:cstheme="minorEastAsia"/>
          <w:color w:val="auto"/>
          <w:szCs w:val="21"/>
          <w:highlight w:val="none"/>
        </w:rPr>
        <w:t>（验收时填制）</w:t>
      </w:r>
    </w:p>
    <w:p>
      <w:pPr>
        <w:jc w:val="center"/>
        <w:rPr>
          <w:rFonts w:hint="eastAsia" w:asciiTheme="minorEastAsia" w:hAnsiTheme="minorEastAsia" w:eastAsiaTheme="minorEastAsia" w:cstheme="minorEastAsia"/>
          <w:color w:val="auto"/>
          <w:szCs w:val="21"/>
          <w:highlight w:val="none"/>
        </w:rPr>
      </w:pPr>
    </w:p>
    <w:p>
      <w:pPr>
        <w:pStyle w:val="193"/>
        <w:adjustRightInd w:val="0"/>
        <w:spacing w:line="560" w:lineRule="exact"/>
        <w:ind w:firstLineChars="0"/>
        <w:jc w:val="center"/>
        <w:rPr>
          <w:rFonts w:hint="eastAsia" w:ascii="方正小标宋简体" w:hAnsi="方正小标宋简体" w:eastAsia="方正小标宋简体" w:cs="方正小标宋简体"/>
          <w:b w:val="0"/>
          <w:bCs/>
          <w:color w:val="auto"/>
          <w:sz w:val="36"/>
          <w:szCs w:val="36"/>
          <w:highlight w:val="none"/>
          <w:lang w:eastAsia="zh-CN"/>
        </w:rPr>
      </w:pPr>
      <w:r>
        <w:rPr>
          <w:rFonts w:hint="eastAsia" w:ascii="方正小标宋简体" w:hAnsi="方正小标宋简体" w:eastAsia="方正小标宋简体" w:cs="方正小标宋简体"/>
          <w:b w:val="0"/>
          <w:bCs/>
          <w:color w:val="auto"/>
          <w:sz w:val="36"/>
          <w:szCs w:val="36"/>
          <w:highlight w:val="none"/>
        </w:rPr>
        <w:t>项目验收</w:t>
      </w:r>
      <w:r>
        <w:rPr>
          <w:rFonts w:hint="eastAsia" w:ascii="方正小标宋简体" w:hAnsi="方正小标宋简体" w:eastAsia="方正小标宋简体" w:cs="方正小标宋简体"/>
          <w:b w:val="0"/>
          <w:bCs/>
          <w:color w:val="auto"/>
          <w:sz w:val="36"/>
          <w:szCs w:val="36"/>
          <w:highlight w:val="none"/>
          <w:lang w:eastAsia="zh-CN"/>
        </w:rPr>
        <w:t>书（付款时提供）</w:t>
      </w:r>
    </w:p>
    <w:p>
      <w:pPr>
        <w:pStyle w:val="193"/>
        <w:adjustRightInd w:val="0"/>
        <w:spacing w:line="560" w:lineRule="exact"/>
        <w:ind w:firstLineChars="0"/>
        <w:jc w:val="center"/>
        <w:rPr>
          <w:rFonts w:hint="eastAsia" w:ascii="仿宋_GB2312" w:hAnsi="仿宋_GB2312" w:eastAsia="仿宋_GB2312" w:cs="仿宋_GB2312"/>
          <w:b/>
          <w:color w:val="auto"/>
          <w:sz w:val="28"/>
          <w:szCs w:val="28"/>
          <w:highlight w:val="none"/>
        </w:rPr>
      </w:pP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一、</w:t>
      </w:r>
      <w:r>
        <w:rPr>
          <w:rFonts w:hint="eastAsia" w:ascii="黑体" w:hAnsi="黑体" w:eastAsia="黑体" w:cs="黑体"/>
          <w:color w:val="auto"/>
          <w:sz w:val="32"/>
          <w:szCs w:val="32"/>
          <w:highlight w:val="none"/>
        </w:rPr>
        <w:t>项目基本情况</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（一）</w:t>
      </w:r>
      <w:r>
        <w:rPr>
          <w:rFonts w:hint="eastAsia" w:ascii="仿宋_GB2312" w:hAnsi="仿宋_GB2312" w:eastAsia="仿宋_GB2312" w:cs="仿宋_GB2312"/>
          <w:color w:val="auto"/>
          <w:sz w:val="32"/>
          <w:szCs w:val="32"/>
          <w:highlight w:val="none"/>
        </w:rPr>
        <w:t>项目名称及编号</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合同名称及编号</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乙方名称、乙方联系人及联系方式</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（四）</w:t>
      </w:r>
      <w:r>
        <w:rPr>
          <w:rFonts w:hint="eastAsia" w:ascii="仿宋_GB2312" w:hAnsi="仿宋_GB2312" w:eastAsia="仿宋_GB2312" w:cs="仿宋_GB2312"/>
          <w:color w:val="auto"/>
          <w:sz w:val="32"/>
          <w:szCs w:val="32"/>
          <w:highlight w:val="none"/>
        </w:rPr>
        <w:t>合同金额</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（五）</w:t>
      </w:r>
      <w:r>
        <w:rPr>
          <w:rFonts w:hint="eastAsia" w:ascii="仿宋_GB2312" w:hAnsi="仿宋_GB2312" w:eastAsia="仿宋_GB2312" w:cs="仿宋_GB2312"/>
          <w:color w:val="auto"/>
          <w:sz w:val="32"/>
          <w:szCs w:val="32"/>
          <w:highlight w:val="none"/>
        </w:rPr>
        <w:t>历次验收及已付款情况等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二、</w:t>
      </w:r>
      <w:r>
        <w:rPr>
          <w:rFonts w:hint="eastAsia" w:ascii="黑体" w:hAnsi="黑体" w:eastAsia="黑体" w:cs="黑体"/>
          <w:color w:val="auto"/>
          <w:sz w:val="32"/>
          <w:szCs w:val="32"/>
          <w:highlight w:val="none"/>
        </w:rPr>
        <w:t>项目基本内容</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合同约定的主要内容</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本次付款对应的合同内容和所属阶段</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三、</w:t>
      </w:r>
      <w:r>
        <w:rPr>
          <w:rFonts w:hint="eastAsia" w:ascii="黑体" w:hAnsi="黑体" w:eastAsia="黑体" w:cs="黑体"/>
          <w:color w:val="auto"/>
          <w:sz w:val="32"/>
          <w:szCs w:val="32"/>
          <w:highlight w:val="none"/>
        </w:rPr>
        <w:t>组织验收情况</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验收情况，包括验收内容、验收期限等</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验收评价及结论，包括项目执行情况、是否通过验收等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四、</w:t>
      </w:r>
      <w:r>
        <w:rPr>
          <w:rFonts w:hint="eastAsia" w:ascii="黑体" w:hAnsi="黑体" w:eastAsia="黑体" w:cs="黑体"/>
          <w:color w:val="auto"/>
          <w:sz w:val="32"/>
          <w:szCs w:val="32"/>
          <w:highlight w:val="none"/>
        </w:rPr>
        <w:t>其他需要说明的情况</w:t>
      </w:r>
    </w:p>
    <w:p>
      <w:pPr>
        <w:numPr>
          <w:ilvl w:val="0"/>
          <w:numId w:val="0"/>
        </w:numPr>
        <w:spacing w:line="560" w:lineRule="exact"/>
        <w:ind w:left="0"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　　五、应支付合同款情况</w:t>
      </w:r>
    </w:p>
    <w:p>
      <w:pPr>
        <w:numPr>
          <w:ilvl w:val="0"/>
          <w:numId w:val="0"/>
        </w:numPr>
        <w:spacing w:line="560" w:lineRule="exact"/>
        <w:ind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rPr>
        <w:t>依据验收结论，</w:t>
      </w:r>
      <w:r>
        <w:rPr>
          <w:rFonts w:hint="eastAsia" w:ascii="仿宋_GB2312" w:hAnsi="仿宋_GB2312" w:eastAsia="仿宋_GB2312" w:cs="仿宋_GB2312"/>
          <w:color w:val="auto"/>
          <w:sz w:val="32"/>
          <w:szCs w:val="32"/>
          <w:highlight w:val="none"/>
          <w:lang w:eastAsia="zh-CN"/>
        </w:rPr>
        <w:t>本次验收后应支付</w:t>
      </w:r>
      <w:r>
        <w:rPr>
          <w:rFonts w:hint="eastAsia" w:ascii="仿宋_GB2312" w:hAnsi="仿宋_GB2312" w:eastAsia="仿宋_GB2312" w:cs="仿宋_GB2312"/>
          <w:color w:val="auto"/>
          <w:sz w:val="32"/>
          <w:szCs w:val="32"/>
          <w:highlight w:val="none"/>
        </w:rPr>
        <w:t>合同第几次付款及付款金额等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w:t>
      </w:r>
    </w:p>
    <w:p>
      <w:pPr>
        <w:numPr>
          <w:ilvl w:val="0"/>
          <w:numId w:val="0"/>
        </w:numPr>
        <w:spacing w:line="560" w:lineRule="exact"/>
        <w:ind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rPr>
        <w:t>项目负责人签字：</w:t>
      </w:r>
    </w:p>
    <w:p>
      <w:pPr>
        <w:numPr>
          <w:ilvl w:val="0"/>
          <w:numId w:val="0"/>
        </w:numPr>
        <w:spacing w:line="560" w:lineRule="exact"/>
        <w:ind w:left="0" w:firstLine="0" w:firstLineChars="0"/>
        <w:rPr>
          <w:rStyle w:val="45"/>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lang w:eastAsia="zh-CN" w:bidi="ar"/>
        </w:rPr>
        <w:t>　　验收牵头部门</w:t>
      </w:r>
      <w:r>
        <w:rPr>
          <w:rFonts w:hint="eastAsia" w:ascii="仿宋_GB2312" w:hAnsi="仿宋_GB2312" w:eastAsia="仿宋_GB2312" w:cs="仿宋_GB2312"/>
          <w:color w:val="auto"/>
          <w:sz w:val="32"/>
          <w:szCs w:val="32"/>
          <w:highlight w:val="none"/>
        </w:rPr>
        <w:t>领导签字：</w:t>
      </w:r>
      <w:r>
        <w:rPr>
          <w:rStyle w:val="45"/>
          <w:rFonts w:hint="eastAsia" w:ascii="仿宋_GB2312" w:hAnsi="仿宋_GB2312" w:eastAsia="仿宋_GB2312" w:cs="仿宋_GB2312"/>
          <w:b w:val="0"/>
          <w:color w:val="auto"/>
          <w:sz w:val="32"/>
          <w:szCs w:val="32"/>
          <w:highlight w:val="none"/>
        </w:rPr>
        <w:t xml:space="preserve">                                       </w:t>
      </w:r>
    </w:p>
    <w:p>
      <w:pPr>
        <w:spacing w:line="560" w:lineRule="exact"/>
        <w:ind w:left="3839" w:leftChars="1828" w:firstLine="1600" w:firstLineChars="500"/>
        <w:rPr>
          <w:rStyle w:val="45"/>
          <w:rFonts w:hint="eastAsia" w:ascii="仿宋_GB2312" w:hAnsi="仿宋_GB2312" w:eastAsia="仿宋_GB2312" w:cs="仿宋_GB2312"/>
          <w:b w:val="0"/>
          <w:color w:val="auto"/>
          <w:sz w:val="32"/>
          <w:szCs w:val="32"/>
          <w:highlight w:val="none"/>
        </w:rPr>
      </w:pPr>
      <w:r>
        <w:rPr>
          <w:rStyle w:val="45"/>
          <w:rFonts w:hint="eastAsia" w:ascii="仿宋_GB2312" w:hAnsi="仿宋_GB2312" w:eastAsia="仿宋_GB2312" w:cs="仿宋_GB2312"/>
          <w:b w:val="0"/>
          <w:color w:val="auto"/>
          <w:sz w:val="32"/>
          <w:szCs w:val="32"/>
          <w:highlight w:val="none"/>
        </w:rPr>
        <w:t xml:space="preserve">验收部门 (章) </w:t>
      </w:r>
    </w:p>
    <w:p>
      <w:pPr>
        <w:spacing w:line="360" w:lineRule="auto"/>
        <w:ind w:firstLine="4160" w:firstLineChars="1300"/>
        <w:jc w:val="center"/>
        <w:rPr>
          <w:rStyle w:val="45"/>
          <w:rFonts w:hint="eastAsia" w:ascii="仿宋_GB2312" w:hAnsi="仿宋_GB2312" w:eastAsia="仿宋_GB2312" w:cs="仿宋_GB2312"/>
          <w:b w:val="0"/>
          <w:color w:val="auto"/>
          <w:sz w:val="32"/>
          <w:szCs w:val="32"/>
          <w:highlight w:val="none"/>
        </w:rPr>
        <w:sectPr>
          <w:footerReference r:id="rId3" w:type="default"/>
          <w:pgSz w:w="11906" w:h="16838"/>
          <w:pgMar w:top="1270" w:right="1474" w:bottom="1157" w:left="1587" w:header="851" w:footer="992" w:gutter="0"/>
          <w:pgNumType w:fmt="decimal"/>
          <w:cols w:space="720" w:num="1"/>
          <w:rtlGutter w:val="0"/>
          <w:docGrid w:type="lines" w:linePitch="312" w:charSpace="0"/>
        </w:sectPr>
      </w:pPr>
      <w:r>
        <w:rPr>
          <w:rStyle w:val="45"/>
          <w:rFonts w:hint="eastAsia" w:ascii="仿宋_GB2312" w:hAnsi="仿宋_GB2312" w:eastAsia="仿宋_GB2312" w:cs="仿宋_GB2312"/>
          <w:b w:val="0"/>
          <w:color w:val="auto"/>
          <w:sz w:val="32"/>
          <w:szCs w:val="32"/>
          <w:highlight w:val="none"/>
        </w:rPr>
        <w:t>年   月   日</w:t>
      </w:r>
    </w:p>
    <w:p>
      <w:pPr>
        <w:rPr>
          <w:rFonts w:ascii="宋体" w:hAnsi="宋体" w:cs="宋体"/>
          <w:color w:val="auto"/>
          <w:sz w:val="32"/>
          <w:szCs w:val="32"/>
        </w:rPr>
      </w:pPr>
    </w:p>
    <w:p>
      <w:pPr>
        <w:spacing w:line="400" w:lineRule="exact"/>
        <w:jc w:val="center"/>
        <w:outlineLvl w:val="0"/>
        <w:rPr>
          <w:rFonts w:ascii="宋体" w:hAnsi="宋体" w:cs="宋体"/>
          <w:b/>
          <w:color w:val="auto"/>
          <w:sz w:val="28"/>
          <w:szCs w:val="28"/>
        </w:rPr>
      </w:pPr>
      <w:bookmarkStart w:id="62" w:name="_Toc3075"/>
      <w:r>
        <w:rPr>
          <w:rFonts w:hint="eastAsia" w:ascii="宋体" w:hAnsi="宋体" w:cs="宋体"/>
          <w:b/>
          <w:color w:val="auto"/>
          <w:sz w:val="28"/>
          <w:szCs w:val="28"/>
        </w:rPr>
        <w:t>第五章 响应文件组成</w:t>
      </w:r>
      <w:bookmarkEnd w:id="62"/>
    </w:p>
    <w:p>
      <w:pPr>
        <w:pStyle w:val="20"/>
        <w:spacing w:line="380" w:lineRule="exact"/>
        <w:jc w:val="center"/>
        <w:rPr>
          <w:rFonts w:hAnsi="宋体" w:cs="宋体"/>
          <w:b/>
          <w:color w:val="auto"/>
          <w:sz w:val="32"/>
          <w:szCs w:val="32"/>
        </w:rPr>
      </w:pPr>
    </w:p>
    <w:p>
      <w:pPr>
        <w:pStyle w:val="20"/>
        <w:spacing w:line="380" w:lineRule="exact"/>
        <w:jc w:val="center"/>
        <w:rPr>
          <w:rFonts w:hAnsi="宋体" w:cs="宋体"/>
          <w:b/>
          <w:color w:val="auto"/>
          <w:sz w:val="32"/>
          <w:szCs w:val="32"/>
        </w:rPr>
      </w:pPr>
    </w:p>
    <w:p>
      <w:pPr>
        <w:pStyle w:val="20"/>
        <w:spacing w:line="380" w:lineRule="exact"/>
        <w:jc w:val="center"/>
        <w:rPr>
          <w:rFonts w:hAnsi="宋体" w:cs="宋体"/>
          <w:b/>
          <w:color w:val="auto"/>
          <w:sz w:val="32"/>
          <w:szCs w:val="32"/>
        </w:rPr>
      </w:pPr>
    </w:p>
    <w:p>
      <w:pPr>
        <w:spacing w:line="400" w:lineRule="exact"/>
        <w:ind w:left="421" w:leftChars="172" w:hanging="60" w:hangingChars="25"/>
        <w:rPr>
          <w:rFonts w:ascii="宋体" w:hAnsi="宋体" w:cs="宋体"/>
          <w:b/>
          <w:color w:val="auto"/>
          <w:sz w:val="24"/>
          <w:szCs w:val="28"/>
        </w:rPr>
      </w:pPr>
      <w:r>
        <w:rPr>
          <w:rFonts w:hint="eastAsia" w:ascii="宋体" w:hAnsi="宋体" w:cs="宋体"/>
          <w:b/>
          <w:color w:val="auto"/>
          <w:sz w:val="24"/>
          <w:szCs w:val="28"/>
        </w:rPr>
        <w:t>响应文件的</w:t>
      </w:r>
      <w:r>
        <w:rPr>
          <w:rFonts w:hint="eastAsia" w:ascii="宋体" w:hAnsi="宋体" w:cs="宋体"/>
          <w:b/>
          <w:color w:val="auto"/>
          <w:sz w:val="32"/>
          <w:szCs w:val="28"/>
        </w:rPr>
        <w:t>外层包装封套</w:t>
      </w:r>
      <w:r>
        <w:rPr>
          <w:rFonts w:hint="eastAsia" w:ascii="宋体" w:hAnsi="宋体" w:cs="宋体"/>
          <w:b/>
          <w:color w:val="auto"/>
          <w:sz w:val="24"/>
          <w:szCs w:val="28"/>
        </w:rPr>
        <w:t>格式：</w:t>
      </w:r>
    </w:p>
    <w:p>
      <w:pPr>
        <w:spacing w:line="400" w:lineRule="exact"/>
        <w:ind w:left="441" w:leftChars="172" w:hanging="80" w:hangingChars="25"/>
        <w:rPr>
          <w:rFonts w:ascii="宋体" w:hAnsi="宋体" w:cs="宋体"/>
          <w:b/>
          <w:color w:val="auto"/>
          <w:sz w:val="32"/>
          <w:szCs w:val="28"/>
        </w:rPr>
      </w:pPr>
    </w:p>
    <w:p>
      <w:pPr>
        <w:spacing w:line="400" w:lineRule="exact"/>
        <w:ind w:left="441" w:leftChars="172" w:hanging="80" w:hangingChars="25"/>
        <w:rPr>
          <w:rFonts w:ascii="宋体" w:hAnsi="宋体" w:cs="宋体"/>
          <w:b/>
          <w:color w:val="auto"/>
          <w:sz w:val="32"/>
          <w:szCs w:val="28"/>
        </w:rPr>
      </w:pPr>
    </w:p>
    <w:p>
      <w:pPr>
        <w:spacing w:line="400" w:lineRule="exact"/>
        <w:ind w:left="441" w:leftChars="172" w:hanging="80" w:hangingChars="25"/>
        <w:rPr>
          <w:rFonts w:ascii="宋体" w:hAnsi="宋体" w:cs="宋体"/>
          <w:b/>
          <w:color w:val="auto"/>
          <w:sz w:val="32"/>
          <w:szCs w:val="28"/>
        </w:rPr>
      </w:pPr>
    </w:p>
    <w:p>
      <w:pPr>
        <w:spacing w:line="360" w:lineRule="auto"/>
        <w:ind w:left="413" w:leftChars="172" w:hanging="52" w:hangingChars="25"/>
        <w:jc w:val="left"/>
        <w:rPr>
          <w:rFonts w:ascii="宋体" w:hAnsi="宋体" w:cs="宋体"/>
          <w:color w:val="auto"/>
          <w:szCs w:val="21"/>
        </w:rPr>
      </w:pPr>
    </w:p>
    <w:p>
      <w:pPr>
        <w:spacing w:line="720" w:lineRule="auto"/>
        <w:jc w:val="center"/>
        <w:rPr>
          <w:rFonts w:ascii="宋体" w:hAnsi="宋体" w:cs="宋体"/>
          <w:color w:val="auto"/>
          <w:sz w:val="32"/>
          <w:szCs w:val="21"/>
        </w:rPr>
      </w:pPr>
      <w:r>
        <w:rPr>
          <w:rFonts w:hint="eastAsia" w:ascii="宋体" w:hAnsi="宋体" w:cs="宋体"/>
          <w:color w:val="auto"/>
          <w:sz w:val="32"/>
          <w:szCs w:val="21"/>
        </w:rPr>
        <w:t>___________________(项目名称)响应文件</w:t>
      </w:r>
    </w:p>
    <w:p>
      <w:pPr>
        <w:spacing w:line="720" w:lineRule="auto"/>
        <w:jc w:val="center"/>
        <w:rPr>
          <w:rFonts w:ascii="宋体" w:hAnsi="宋体" w:cs="宋体"/>
          <w:color w:val="auto"/>
          <w:sz w:val="32"/>
          <w:szCs w:val="21"/>
        </w:rPr>
      </w:pPr>
      <w:r>
        <w:rPr>
          <w:rFonts w:hint="eastAsia" w:ascii="宋体" w:hAnsi="宋体" w:cs="宋体"/>
          <w:color w:val="auto"/>
          <w:sz w:val="32"/>
          <w:szCs w:val="21"/>
        </w:rPr>
        <w:t>项目编号：____________________</w:t>
      </w:r>
    </w:p>
    <w:p>
      <w:pPr>
        <w:spacing w:line="720" w:lineRule="auto"/>
        <w:jc w:val="center"/>
        <w:rPr>
          <w:rFonts w:ascii="宋体" w:hAnsi="宋体" w:cs="宋体"/>
          <w:color w:val="auto"/>
          <w:sz w:val="32"/>
          <w:szCs w:val="21"/>
        </w:rPr>
      </w:pPr>
      <w:r>
        <w:rPr>
          <w:rFonts w:hint="eastAsia" w:ascii="宋体" w:hAnsi="宋体" w:cs="宋体"/>
          <w:color w:val="auto"/>
          <w:sz w:val="32"/>
          <w:szCs w:val="21"/>
        </w:rPr>
        <w:t>在______年____月____日____时____分之前不得启封</w:t>
      </w:r>
    </w:p>
    <w:p>
      <w:pPr>
        <w:spacing w:line="720" w:lineRule="auto"/>
        <w:jc w:val="center"/>
        <w:rPr>
          <w:rFonts w:ascii="宋体" w:hAnsi="宋体" w:cs="宋体"/>
          <w:color w:val="auto"/>
          <w:sz w:val="32"/>
          <w:szCs w:val="21"/>
        </w:rPr>
      </w:pPr>
      <w:r>
        <w:rPr>
          <w:rFonts w:hint="eastAsia" w:ascii="宋体" w:hAnsi="宋体" w:cs="宋体"/>
          <w:color w:val="auto"/>
          <w:sz w:val="32"/>
          <w:szCs w:val="21"/>
        </w:rPr>
        <w:t>供应商名称：____________________</w:t>
      </w:r>
    </w:p>
    <w:p>
      <w:pPr>
        <w:spacing w:line="720" w:lineRule="auto"/>
        <w:ind w:left="441" w:leftChars="172" w:hanging="80" w:hangingChars="25"/>
        <w:jc w:val="center"/>
        <w:rPr>
          <w:rFonts w:ascii="宋体" w:hAnsi="宋体" w:cs="宋体"/>
          <w:b/>
          <w:color w:val="auto"/>
          <w:sz w:val="44"/>
          <w:szCs w:val="21"/>
        </w:rPr>
      </w:pPr>
      <w:r>
        <w:rPr>
          <w:rFonts w:hint="eastAsia" w:ascii="宋体" w:hAnsi="宋体" w:cs="宋体"/>
          <w:color w:val="auto"/>
          <w:sz w:val="32"/>
        </w:rPr>
        <w:t>其他____________________</w:t>
      </w:r>
    </w:p>
    <w:p>
      <w:pPr>
        <w:spacing w:line="720" w:lineRule="auto"/>
        <w:ind w:left="461" w:leftChars="172" w:hanging="100" w:hangingChars="25"/>
        <w:jc w:val="center"/>
        <w:rPr>
          <w:rFonts w:ascii="宋体" w:hAnsi="宋体" w:cs="宋体"/>
          <w:b/>
          <w:color w:val="auto"/>
          <w:sz w:val="40"/>
          <w:szCs w:val="21"/>
        </w:rPr>
      </w:pPr>
      <w:r>
        <w:rPr>
          <w:rFonts w:hint="eastAsia" w:ascii="宋体" w:hAnsi="宋体" w:cs="宋体"/>
          <w:b/>
          <w:color w:val="auto"/>
          <w:sz w:val="40"/>
          <w:szCs w:val="21"/>
        </w:rPr>
        <w:t>（加盖公章）</w:t>
      </w:r>
    </w:p>
    <w:p>
      <w:pPr>
        <w:pStyle w:val="20"/>
        <w:spacing w:line="480" w:lineRule="auto"/>
        <w:jc w:val="center"/>
        <w:rPr>
          <w:rFonts w:hAnsi="宋体" w:cs="宋体"/>
          <w:color w:val="auto"/>
          <w:sz w:val="24"/>
          <w:szCs w:val="21"/>
        </w:rPr>
      </w:pPr>
    </w:p>
    <w:p>
      <w:pPr>
        <w:pStyle w:val="20"/>
        <w:spacing w:line="380" w:lineRule="exact"/>
        <w:jc w:val="center"/>
        <w:rPr>
          <w:rFonts w:hAnsi="宋体" w:cs="宋体"/>
          <w:b/>
          <w:color w:val="auto"/>
          <w:sz w:val="32"/>
          <w:szCs w:val="32"/>
        </w:rPr>
      </w:pPr>
    </w:p>
    <w:p>
      <w:pPr>
        <w:pStyle w:val="20"/>
        <w:spacing w:line="380" w:lineRule="exact"/>
        <w:jc w:val="center"/>
        <w:rPr>
          <w:rFonts w:hAnsi="宋体" w:cs="宋体"/>
          <w:b/>
          <w:color w:val="auto"/>
          <w:sz w:val="32"/>
          <w:szCs w:val="32"/>
        </w:rPr>
      </w:pPr>
    </w:p>
    <w:p>
      <w:pPr>
        <w:spacing w:line="400" w:lineRule="exact"/>
        <w:ind w:left="441" w:leftChars="172" w:hanging="80" w:hangingChars="25"/>
        <w:jc w:val="center"/>
        <w:rPr>
          <w:rFonts w:ascii="宋体" w:hAnsi="宋体" w:cs="宋体"/>
          <w:b/>
          <w:color w:val="auto"/>
          <w:sz w:val="32"/>
          <w:szCs w:val="28"/>
        </w:rPr>
      </w:pPr>
      <w:r>
        <w:rPr>
          <w:rFonts w:hint="eastAsia" w:ascii="宋体" w:hAnsi="宋体" w:cs="宋体"/>
          <w:b/>
          <w:color w:val="auto"/>
          <w:sz w:val="32"/>
          <w:szCs w:val="28"/>
        </w:rPr>
        <w:br w:type="page"/>
      </w:r>
    </w:p>
    <w:p>
      <w:pPr>
        <w:spacing w:line="400" w:lineRule="exact"/>
        <w:ind w:left="421" w:leftChars="172" w:hanging="60" w:hangingChars="25"/>
        <w:rPr>
          <w:rFonts w:ascii="宋体" w:hAnsi="宋体" w:cs="宋体"/>
          <w:b/>
          <w:color w:val="auto"/>
          <w:sz w:val="24"/>
          <w:szCs w:val="28"/>
        </w:rPr>
      </w:pPr>
      <w:r>
        <w:rPr>
          <w:rFonts w:hint="eastAsia" w:ascii="宋体" w:hAnsi="宋体" w:cs="宋体"/>
          <w:b/>
          <w:color w:val="auto"/>
          <w:sz w:val="24"/>
          <w:szCs w:val="28"/>
        </w:rPr>
        <w:t>响应文件的封面格式：</w:t>
      </w:r>
    </w:p>
    <w:p>
      <w:pPr>
        <w:spacing w:line="400" w:lineRule="exact"/>
        <w:ind w:left="441" w:leftChars="172" w:hanging="80" w:hangingChars="25"/>
        <w:jc w:val="center"/>
        <w:rPr>
          <w:rFonts w:ascii="宋体" w:hAnsi="宋体" w:cs="宋体"/>
          <w:b/>
          <w:color w:val="auto"/>
          <w:sz w:val="32"/>
          <w:szCs w:val="28"/>
        </w:rPr>
      </w:pPr>
    </w:p>
    <w:p>
      <w:pPr>
        <w:spacing w:line="400" w:lineRule="exact"/>
        <w:ind w:left="441" w:leftChars="172" w:hanging="80" w:hangingChars="25"/>
        <w:jc w:val="center"/>
        <w:rPr>
          <w:rFonts w:ascii="宋体" w:hAnsi="宋体" w:cs="宋体"/>
          <w:b/>
          <w:color w:val="auto"/>
          <w:sz w:val="32"/>
          <w:szCs w:val="28"/>
        </w:rPr>
      </w:pPr>
    </w:p>
    <w:p>
      <w:pPr>
        <w:spacing w:line="400" w:lineRule="exact"/>
        <w:ind w:left="441" w:leftChars="172" w:hanging="80" w:hangingChars="25"/>
        <w:jc w:val="center"/>
        <w:rPr>
          <w:rFonts w:ascii="宋体" w:hAnsi="宋体" w:cs="宋体"/>
          <w:b/>
          <w:color w:val="auto"/>
          <w:sz w:val="32"/>
          <w:szCs w:val="28"/>
        </w:rPr>
      </w:pPr>
      <w:r>
        <w:rPr>
          <w:rFonts w:hint="eastAsia" w:ascii="宋体" w:hAnsi="宋体" w:cs="宋体"/>
          <w:b/>
          <w:color w:val="auto"/>
          <w:sz w:val="32"/>
          <w:szCs w:val="28"/>
        </w:rPr>
        <w:t xml:space="preserve">                                     正本/副本</w:t>
      </w:r>
    </w:p>
    <w:p>
      <w:pPr>
        <w:spacing w:line="400" w:lineRule="exact"/>
        <w:ind w:left="441" w:leftChars="172" w:hanging="80" w:hangingChars="25"/>
        <w:jc w:val="center"/>
        <w:rPr>
          <w:rFonts w:ascii="宋体" w:hAnsi="宋体" w:cs="宋体"/>
          <w:b/>
          <w:color w:val="auto"/>
          <w:sz w:val="32"/>
          <w:szCs w:val="28"/>
        </w:rPr>
      </w:pPr>
    </w:p>
    <w:p>
      <w:pPr>
        <w:spacing w:line="400" w:lineRule="exact"/>
        <w:ind w:left="441" w:leftChars="172" w:hanging="80" w:hangingChars="25"/>
        <w:jc w:val="center"/>
        <w:rPr>
          <w:rFonts w:ascii="宋体" w:hAnsi="宋体" w:cs="宋体"/>
          <w:b/>
          <w:color w:val="auto"/>
          <w:sz w:val="32"/>
          <w:szCs w:val="28"/>
        </w:rPr>
      </w:pPr>
    </w:p>
    <w:p>
      <w:pPr>
        <w:spacing w:line="400" w:lineRule="exact"/>
        <w:ind w:left="451" w:leftChars="172" w:hanging="90" w:hangingChars="25"/>
        <w:jc w:val="center"/>
        <w:rPr>
          <w:rFonts w:ascii="宋体" w:hAnsi="宋体" w:cs="宋体"/>
          <w:b/>
          <w:color w:val="auto"/>
          <w:sz w:val="36"/>
          <w:szCs w:val="28"/>
        </w:rPr>
      </w:pPr>
      <w:r>
        <w:rPr>
          <w:rFonts w:hint="eastAsia" w:ascii="宋体" w:hAnsi="宋体" w:cs="宋体"/>
          <w:b/>
          <w:color w:val="auto"/>
          <w:sz w:val="36"/>
          <w:szCs w:val="28"/>
        </w:rPr>
        <w:t>响应文件</w:t>
      </w:r>
    </w:p>
    <w:p>
      <w:pPr>
        <w:spacing w:line="360" w:lineRule="auto"/>
        <w:ind w:left="413" w:leftChars="172" w:hanging="52" w:hangingChars="25"/>
        <w:jc w:val="left"/>
        <w:rPr>
          <w:rFonts w:ascii="宋体" w:hAnsi="宋体" w:cs="宋体"/>
          <w:color w:val="auto"/>
          <w:szCs w:val="21"/>
        </w:rPr>
      </w:pPr>
    </w:p>
    <w:p>
      <w:pPr>
        <w:spacing w:line="360" w:lineRule="auto"/>
        <w:ind w:left="413" w:leftChars="172" w:hanging="52" w:hangingChars="25"/>
        <w:jc w:val="left"/>
        <w:rPr>
          <w:rFonts w:ascii="宋体" w:hAnsi="宋体" w:cs="宋体"/>
          <w:color w:val="auto"/>
          <w:szCs w:val="21"/>
        </w:rPr>
      </w:pPr>
    </w:p>
    <w:p>
      <w:pPr>
        <w:spacing w:line="360" w:lineRule="auto"/>
        <w:ind w:left="413" w:leftChars="172" w:hanging="52" w:hangingChars="25"/>
        <w:jc w:val="left"/>
        <w:rPr>
          <w:rFonts w:ascii="宋体" w:hAnsi="宋体" w:cs="宋体"/>
          <w:color w:val="auto"/>
          <w:szCs w:val="21"/>
        </w:rPr>
      </w:pPr>
    </w:p>
    <w:p>
      <w:pPr>
        <w:spacing w:line="480" w:lineRule="auto"/>
        <w:ind w:left="421" w:leftChars="172" w:hanging="60" w:hangingChars="25"/>
        <w:jc w:val="left"/>
        <w:rPr>
          <w:rFonts w:ascii="宋体" w:hAnsi="宋体" w:cs="宋体"/>
          <w:color w:val="auto"/>
          <w:sz w:val="24"/>
          <w:szCs w:val="21"/>
        </w:rPr>
      </w:pPr>
      <w:r>
        <w:rPr>
          <w:rFonts w:hint="eastAsia" w:ascii="宋体" w:hAnsi="宋体" w:cs="宋体"/>
          <w:color w:val="auto"/>
          <w:sz w:val="24"/>
          <w:szCs w:val="21"/>
        </w:rPr>
        <w:t>项目编号：</w:t>
      </w:r>
    </w:p>
    <w:p>
      <w:pPr>
        <w:spacing w:line="480" w:lineRule="auto"/>
        <w:ind w:left="421" w:leftChars="172" w:hanging="60" w:hangingChars="25"/>
        <w:jc w:val="left"/>
        <w:rPr>
          <w:rFonts w:ascii="宋体" w:hAnsi="宋体" w:cs="宋体"/>
          <w:color w:val="auto"/>
          <w:sz w:val="24"/>
          <w:szCs w:val="21"/>
        </w:rPr>
      </w:pPr>
      <w:r>
        <w:rPr>
          <w:rFonts w:hint="eastAsia" w:ascii="宋体" w:hAnsi="宋体" w:cs="宋体"/>
          <w:color w:val="auto"/>
          <w:sz w:val="24"/>
          <w:szCs w:val="21"/>
        </w:rPr>
        <w:t>项目名称：</w:t>
      </w:r>
    </w:p>
    <w:p>
      <w:pPr>
        <w:spacing w:line="480" w:lineRule="auto"/>
        <w:ind w:left="421" w:leftChars="172" w:hanging="60" w:hangingChars="25"/>
        <w:jc w:val="left"/>
        <w:rPr>
          <w:rFonts w:ascii="宋体" w:hAnsi="宋体" w:cs="宋体"/>
          <w:color w:val="auto"/>
          <w:sz w:val="24"/>
          <w:szCs w:val="21"/>
        </w:rPr>
      </w:pPr>
      <w:r>
        <w:rPr>
          <w:rFonts w:hint="eastAsia" w:ascii="宋体" w:hAnsi="宋体" w:cs="宋体"/>
          <w:color w:val="auto"/>
          <w:sz w:val="24"/>
          <w:szCs w:val="21"/>
        </w:rPr>
        <w:t>供应商名称：</w:t>
      </w:r>
    </w:p>
    <w:p>
      <w:pPr>
        <w:spacing w:line="480" w:lineRule="auto"/>
        <w:ind w:left="421" w:leftChars="172" w:hanging="60" w:hangingChars="25"/>
        <w:jc w:val="left"/>
        <w:rPr>
          <w:rFonts w:ascii="宋体" w:hAnsi="宋体" w:cs="宋体"/>
          <w:color w:val="auto"/>
          <w:sz w:val="24"/>
          <w:szCs w:val="21"/>
        </w:rPr>
      </w:pPr>
      <w:r>
        <w:rPr>
          <w:rFonts w:hint="eastAsia" w:ascii="宋体" w:hAnsi="宋体" w:cs="宋体"/>
          <w:color w:val="auto"/>
          <w:sz w:val="24"/>
          <w:szCs w:val="21"/>
        </w:rPr>
        <w:t>供应商地址：</w:t>
      </w:r>
    </w:p>
    <w:p>
      <w:pPr>
        <w:spacing w:line="480" w:lineRule="auto"/>
        <w:ind w:left="421" w:leftChars="172" w:hanging="60" w:hangingChars="25"/>
        <w:jc w:val="left"/>
        <w:rPr>
          <w:rFonts w:ascii="宋体" w:hAnsi="宋体" w:cs="宋体"/>
          <w:color w:val="auto"/>
          <w:sz w:val="24"/>
          <w:szCs w:val="21"/>
        </w:rPr>
      </w:pPr>
    </w:p>
    <w:p>
      <w:pPr>
        <w:spacing w:line="480" w:lineRule="auto"/>
        <w:ind w:left="421" w:leftChars="172" w:hanging="60" w:hangingChars="25"/>
        <w:jc w:val="center"/>
        <w:rPr>
          <w:rFonts w:ascii="宋体" w:hAnsi="宋体" w:cs="宋体"/>
          <w:b/>
          <w:color w:val="auto"/>
          <w:sz w:val="24"/>
          <w:szCs w:val="21"/>
        </w:rPr>
      </w:pPr>
      <w:r>
        <w:rPr>
          <w:rFonts w:hint="eastAsia" w:ascii="宋体" w:hAnsi="宋体" w:cs="宋体"/>
          <w:b/>
          <w:color w:val="auto"/>
          <w:sz w:val="24"/>
          <w:szCs w:val="21"/>
        </w:rPr>
        <w:t>（加盖公章）</w:t>
      </w:r>
    </w:p>
    <w:p>
      <w:pPr>
        <w:pStyle w:val="20"/>
        <w:spacing w:line="480" w:lineRule="auto"/>
        <w:ind w:firstLine="4320" w:firstLineChars="1800"/>
        <w:rPr>
          <w:rFonts w:hAnsi="宋体" w:cs="宋体"/>
          <w:color w:val="auto"/>
          <w:sz w:val="24"/>
          <w:szCs w:val="21"/>
        </w:rPr>
      </w:pPr>
      <w:r>
        <w:rPr>
          <w:rFonts w:hint="eastAsia" w:hAnsi="宋体" w:cs="宋体"/>
          <w:color w:val="auto"/>
          <w:sz w:val="24"/>
          <w:szCs w:val="21"/>
        </w:rPr>
        <w:t>年   月    日</w:t>
      </w:r>
    </w:p>
    <w:p>
      <w:pPr>
        <w:pStyle w:val="20"/>
        <w:spacing w:line="480" w:lineRule="auto"/>
        <w:jc w:val="center"/>
        <w:rPr>
          <w:rFonts w:hAnsi="宋体" w:cs="宋体"/>
          <w:color w:val="auto"/>
          <w:sz w:val="24"/>
          <w:szCs w:val="21"/>
        </w:rPr>
      </w:pPr>
    </w:p>
    <w:p>
      <w:pPr>
        <w:pStyle w:val="20"/>
        <w:spacing w:line="380" w:lineRule="exact"/>
        <w:jc w:val="center"/>
        <w:rPr>
          <w:rFonts w:hAnsi="宋体" w:cs="宋体"/>
          <w:color w:val="auto"/>
          <w:szCs w:val="21"/>
        </w:rPr>
      </w:pPr>
    </w:p>
    <w:p>
      <w:pPr>
        <w:pStyle w:val="20"/>
        <w:ind w:firstLine="562" w:firstLineChars="200"/>
        <w:jc w:val="center"/>
        <w:rPr>
          <w:rFonts w:hAnsi="宋体" w:cs="宋体"/>
          <w:b/>
          <w:color w:val="auto"/>
          <w:sz w:val="28"/>
          <w:szCs w:val="28"/>
        </w:rPr>
      </w:pPr>
      <w:r>
        <w:rPr>
          <w:rFonts w:hint="eastAsia" w:hAnsi="宋体" w:cs="宋体"/>
          <w:b/>
          <w:color w:val="auto"/>
          <w:sz w:val="28"/>
          <w:szCs w:val="28"/>
        </w:rPr>
        <w:br w:type="page"/>
      </w:r>
      <w:r>
        <w:rPr>
          <w:rFonts w:hint="eastAsia" w:hAnsi="宋体" w:cs="宋体"/>
          <w:b/>
          <w:color w:val="auto"/>
          <w:sz w:val="28"/>
          <w:szCs w:val="28"/>
        </w:rPr>
        <w:t>第一部分　商务部分</w:t>
      </w:r>
    </w:p>
    <w:p>
      <w:pPr>
        <w:pStyle w:val="20"/>
        <w:spacing w:line="360" w:lineRule="auto"/>
        <w:ind w:firstLine="482" w:firstLineChars="200"/>
        <w:jc w:val="center"/>
        <w:rPr>
          <w:rFonts w:hAnsi="宋体" w:cs="宋体"/>
          <w:b/>
          <w:color w:val="auto"/>
          <w:sz w:val="24"/>
          <w:szCs w:val="28"/>
        </w:rPr>
      </w:pPr>
    </w:p>
    <w:p>
      <w:pPr>
        <w:numPr>
          <w:ilvl w:val="0"/>
          <w:numId w:val="5"/>
        </w:numPr>
        <w:spacing w:line="360" w:lineRule="auto"/>
        <w:rPr>
          <w:rFonts w:ascii="宋体" w:hAnsi="宋体" w:cs="宋体"/>
          <w:color w:val="auto"/>
          <w:kern w:val="0"/>
          <w:sz w:val="24"/>
          <w:szCs w:val="28"/>
        </w:rPr>
      </w:pPr>
      <w:r>
        <w:rPr>
          <w:rFonts w:hint="eastAsia" w:ascii="宋体" w:hAnsi="宋体" w:cs="宋体"/>
          <w:color w:val="auto"/>
          <w:kern w:val="0"/>
          <w:sz w:val="24"/>
          <w:szCs w:val="28"/>
        </w:rPr>
        <w:t>磋商响应声明</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附件1－1　法定代表人（负责人）身份证明复印件(法定代表人（负责人）参加磋商)</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附件1－2　法定代表人（负责人）授权书(授权代表参加磋商)</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附件1－3：授权委托书(自然人提供)</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二、报价一览表、分项价格表</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附件2－1　报价一览表(服务类)</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附件2－2　分项价格表(服务类)</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附件2－3　最终报价承诺书</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三、商务条款偏离表(格式附后)</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四、磋商保证金</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五、供应商的资格证明材料</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★①供应商基本情况表（格式见第五章）</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★②有效的新版“营业执照”或《事业单位法人证书》或其他依法成立组织的证明文件（必须具有，如能够在线查询的材料，请提供国家有关部门规定查询的网址链接，原件备查）。</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★③有效的税务登记证（必须具有，如能够在线查询的材料，请提供国家有关部门规定查询的网址链接，原件备查）；（若已经取得“三证合一”的可不提供）</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★④法定代表人（负责人）完整有效的身份证复印件（第二代身份证必须提供正反面复印件）。</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★⑤法定代表人（负责人）授权委托书(格式见第五章) 和委托代理人完整有效的身份证复印件（委托代理时必须提供。第二代身份证必须提供正反面复印件）。</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★⑥供应商参加本项目磋商时2020年或2021年的年度财务报告复印件（如供应商为参加本项目磋商当年新成立公司的，应提供于公司成立之日后的财务报表），原件备查；</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⑦响应文件递交截止时间前半年内，供应商提供至少连续三个月的依法纳税的依法缴纳税费或依法免缴税费的证明（复印件，原件备查）；供应商无纳税记录或为新成立公司，应提供由供应商所在地主管税务部门出具的依法纳税或依法免税证明（复印件，原件备查）。</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⑧响应文件递交截止时间前半年内，供应商提供至少连续三个月的依法缴纳社保费的缴费凭证（复印件，原件备查）；供应商无缴费记录或为新成立公司，应提供由供应商所在地社保部门出具的依法缴纳或依法免缴社保费证明（复印件，原件备查）。</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★⑨参加本采购活动前三年内在经营活动中没有重大违法记录的书面声明（格式见第五章）。</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fldChar w:fldCharType="begin"/>
      </w:r>
      <w:r>
        <w:rPr>
          <w:rFonts w:hint="eastAsia" w:ascii="宋体" w:hAnsi="宋体" w:cs="宋体"/>
          <w:color w:val="auto"/>
          <w:kern w:val="0"/>
          <w:sz w:val="24"/>
          <w:szCs w:val="28"/>
        </w:rPr>
        <w:instrText xml:space="preserve"> = 10 \* GB3 \* MERGEFORMAT </w:instrText>
      </w:r>
      <w:r>
        <w:rPr>
          <w:rFonts w:hint="eastAsia" w:ascii="宋体" w:hAnsi="宋体" w:cs="宋体"/>
          <w:color w:val="auto"/>
          <w:kern w:val="0"/>
          <w:sz w:val="24"/>
          <w:szCs w:val="28"/>
        </w:rPr>
        <w:fldChar w:fldCharType="separate"/>
      </w:r>
      <w:r>
        <w:rPr>
          <w:rFonts w:hint="eastAsia" w:ascii="宋体" w:hAnsi="宋体" w:cs="宋体"/>
          <w:color w:val="auto"/>
          <w:kern w:val="0"/>
          <w:sz w:val="24"/>
          <w:szCs w:val="28"/>
        </w:rPr>
        <w:t>⑩</w:t>
      </w:r>
      <w:r>
        <w:rPr>
          <w:rFonts w:hint="eastAsia" w:ascii="宋体" w:hAnsi="宋体" w:cs="宋体"/>
          <w:color w:val="auto"/>
          <w:kern w:val="0"/>
          <w:sz w:val="24"/>
          <w:szCs w:val="28"/>
        </w:rPr>
        <w:fldChar w:fldCharType="end"/>
      </w:r>
      <w:r>
        <w:rPr>
          <w:rFonts w:hint="eastAsia" w:ascii="宋体" w:hAnsi="宋体" w:cs="宋体"/>
          <w:color w:val="auto"/>
          <w:kern w:val="0"/>
          <w:sz w:val="24"/>
          <w:szCs w:val="28"/>
        </w:rPr>
        <w:t>符合政府采购政策的证明材料。</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10.联合体协议(格式附后)</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六、磋商须知前附表要求供应商提供的其他资料（格式附后）</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七、供应商认为需提供的其他资料</w:t>
      </w:r>
    </w:p>
    <w:p>
      <w:pPr>
        <w:ind w:firstLine="480" w:firstLineChars="200"/>
        <w:jc w:val="center"/>
        <w:rPr>
          <w:rFonts w:ascii="宋体" w:hAnsi="宋体" w:cs="宋体"/>
          <w:b/>
          <w:color w:val="auto"/>
          <w:kern w:val="0"/>
          <w:sz w:val="28"/>
          <w:szCs w:val="28"/>
        </w:rPr>
      </w:pPr>
      <w:r>
        <w:rPr>
          <w:rFonts w:hint="eastAsia" w:ascii="宋体" w:hAnsi="宋体" w:cs="宋体"/>
          <w:color w:val="auto"/>
          <w:kern w:val="0"/>
          <w:sz w:val="24"/>
          <w:szCs w:val="28"/>
        </w:rPr>
        <w:br w:type="page"/>
      </w:r>
      <w:r>
        <w:rPr>
          <w:rFonts w:hint="eastAsia" w:ascii="宋体" w:hAnsi="宋体" w:cs="宋体"/>
          <w:b/>
          <w:color w:val="auto"/>
          <w:kern w:val="0"/>
          <w:sz w:val="28"/>
          <w:szCs w:val="28"/>
        </w:rPr>
        <w:t>第二部分　技术部分</w:t>
      </w:r>
    </w:p>
    <w:p>
      <w:pPr>
        <w:jc w:val="both"/>
        <w:rPr>
          <w:rFonts w:hint="eastAsia" w:asciiTheme="minorEastAsia" w:hAnsiTheme="minorEastAsia" w:eastAsiaTheme="minorEastAsia" w:cstheme="minorEastAsia"/>
          <w:b/>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一、服务方案</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rPr>
        <w:t>二、</w:t>
      </w:r>
      <w:r>
        <w:rPr>
          <w:rFonts w:hint="eastAsia" w:asciiTheme="minorEastAsia" w:hAnsiTheme="minorEastAsia" w:eastAsiaTheme="minorEastAsia" w:cstheme="minorEastAsia"/>
          <w:color w:val="auto"/>
          <w:kern w:val="0"/>
          <w:sz w:val="24"/>
          <w:szCs w:val="28"/>
          <w:highlight w:val="none"/>
          <w:lang w:eastAsia="zh-CN"/>
        </w:rPr>
        <w:t>技术条款偏离表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三、售后服务承诺</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四、用于本项目人员简历表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五、磋商标的物符合磋商文件要求的相关证明文件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六、其他资料</w:t>
      </w:r>
    </w:p>
    <w:p>
      <w:pPr>
        <w:pStyle w:val="2"/>
        <w:rPr>
          <w:color w:val="auto"/>
        </w:rPr>
      </w:pPr>
    </w:p>
    <w:p>
      <w:pPr>
        <w:spacing w:line="360" w:lineRule="auto"/>
        <w:ind w:firstLine="480" w:firstLineChars="200"/>
        <w:jc w:val="center"/>
        <w:rPr>
          <w:rFonts w:ascii="宋体" w:hAnsi="宋体" w:cs="宋体"/>
          <w:b/>
          <w:color w:val="auto"/>
          <w:kern w:val="0"/>
          <w:sz w:val="32"/>
          <w:szCs w:val="32"/>
        </w:rPr>
      </w:pPr>
      <w:r>
        <w:rPr>
          <w:rFonts w:hint="eastAsia" w:ascii="宋体" w:hAnsi="宋体" w:cs="宋体"/>
          <w:color w:val="auto"/>
          <w:kern w:val="0"/>
          <w:sz w:val="24"/>
          <w:szCs w:val="28"/>
        </w:rPr>
        <w:br w:type="page"/>
      </w:r>
      <w:r>
        <w:rPr>
          <w:rFonts w:hint="eastAsia" w:ascii="宋体" w:hAnsi="宋体" w:cs="宋体"/>
          <w:b/>
          <w:color w:val="auto"/>
          <w:kern w:val="0"/>
          <w:sz w:val="32"/>
          <w:szCs w:val="32"/>
        </w:rPr>
        <w:t>第一部分　商务部分</w:t>
      </w:r>
    </w:p>
    <w:p>
      <w:pPr>
        <w:ind w:firstLine="482" w:firstLineChars="200"/>
        <w:rPr>
          <w:rFonts w:ascii="宋体" w:hAnsi="宋体" w:cs="宋体"/>
          <w:b/>
          <w:color w:val="auto"/>
          <w:kern w:val="0"/>
          <w:sz w:val="24"/>
          <w:szCs w:val="28"/>
        </w:rPr>
      </w:pPr>
      <w:r>
        <w:rPr>
          <w:rFonts w:hint="eastAsia" w:ascii="宋体" w:hAnsi="宋体" w:cs="宋体"/>
          <w:b/>
          <w:color w:val="auto"/>
          <w:kern w:val="0"/>
          <w:sz w:val="24"/>
          <w:szCs w:val="28"/>
        </w:rPr>
        <w:t>一、磋商响应声明</w:t>
      </w:r>
    </w:p>
    <w:p>
      <w:pPr>
        <w:keepNext/>
        <w:keepLines/>
        <w:spacing w:before="240" w:after="64" w:line="319" w:lineRule="auto"/>
        <w:jc w:val="center"/>
        <w:outlineLvl w:val="5"/>
        <w:rPr>
          <w:rFonts w:ascii="宋体" w:hAnsi="宋体" w:cs="宋体"/>
          <w:b/>
          <w:bCs/>
          <w:color w:val="auto"/>
          <w:kern w:val="0"/>
          <w:sz w:val="30"/>
          <w:szCs w:val="30"/>
        </w:rPr>
      </w:pPr>
      <w:r>
        <w:rPr>
          <w:rFonts w:hint="eastAsia" w:ascii="宋体" w:hAnsi="宋体" w:cs="宋体"/>
          <w:b/>
          <w:bCs/>
          <w:color w:val="auto"/>
          <w:kern w:val="0"/>
          <w:sz w:val="30"/>
          <w:szCs w:val="30"/>
        </w:rPr>
        <w:t>磋商响应声明</w:t>
      </w:r>
    </w:p>
    <w:p>
      <w:pPr>
        <w:spacing w:line="360" w:lineRule="auto"/>
        <w:rPr>
          <w:rFonts w:ascii="宋体" w:hAnsi="宋体" w:cs="宋体"/>
          <w:color w:val="auto"/>
          <w:kern w:val="0"/>
          <w:sz w:val="24"/>
          <w:szCs w:val="28"/>
        </w:rPr>
      </w:pPr>
    </w:p>
    <w:p>
      <w:pPr>
        <w:spacing w:line="360" w:lineRule="auto"/>
        <w:rPr>
          <w:rFonts w:ascii="宋体" w:hAnsi="宋体" w:cs="宋体"/>
          <w:color w:val="auto"/>
          <w:kern w:val="0"/>
          <w:sz w:val="24"/>
          <w:szCs w:val="28"/>
        </w:rPr>
      </w:pPr>
      <w:r>
        <w:rPr>
          <w:rFonts w:hint="eastAsia" w:ascii="宋体" w:hAnsi="宋体" w:cs="宋体"/>
          <w:color w:val="auto"/>
          <w:kern w:val="0"/>
          <w:sz w:val="24"/>
          <w:szCs w:val="28"/>
        </w:rPr>
        <w:t>致____________(采购人或采购代理机构)：</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我方已仔细研究了____________(项目名称)的磋商文件(项目编号：____________)的全部内容，知悉参加磋商的风险，我方承诺接受磋商文件的全部条款且无任何异议。</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一、我方同意在磋商响应有效期内遵守本响应文件中的承诺，且在此期限期满之前均具有法律约束力。</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二、我方提交纸质响应文件正本______份和副本______份，并保证响应文件提供的数据和材料是真实、准确的。</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三、我方愿意向贵方提供任何与本项采购有关的数据、情况和技术资料。若贵方需要，我方愿意提供我方作出的一切承诺的证明材料。</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四、我方愿意按磋商文件规定和磋商小组要求重新提交响应文件和最后报价。</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五、我方保证在获得成交资格后，按照磋商文件确定的事项签订采购合同，履行双方所签订的合同，并承担合同规定的责任和义务。</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附件1－1：法定代表人（负责人）身份证明复印件(法定代表人（负责人）参加磋商)</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附件1－2：法定代表人（负责人）授权书(授权代表参加磋商)</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附件1－3：授权委托书(自然人提供)</w:t>
      </w:r>
    </w:p>
    <w:p>
      <w:pPr>
        <w:spacing w:line="360" w:lineRule="auto"/>
        <w:ind w:firstLine="480" w:firstLineChars="200"/>
        <w:rPr>
          <w:rFonts w:ascii="宋体" w:hAnsi="宋体" w:cs="宋体"/>
          <w:color w:val="auto"/>
          <w:kern w:val="0"/>
          <w:sz w:val="24"/>
          <w:szCs w:val="28"/>
        </w:rPr>
      </w:pP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供应商名称(公章)：____________</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法定代表人（负责人）或授权代表(签字或盖章)：____________</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日期：______年____月____日</w:t>
      </w:r>
    </w:p>
    <w:p>
      <w:pPr>
        <w:ind w:firstLine="480" w:firstLineChars="200"/>
        <w:rPr>
          <w:rFonts w:ascii="宋体" w:hAnsi="宋体" w:cs="宋体"/>
          <w:color w:val="auto"/>
          <w:kern w:val="0"/>
          <w:sz w:val="24"/>
          <w:szCs w:val="28"/>
        </w:rPr>
      </w:pPr>
      <w:r>
        <w:rPr>
          <w:rFonts w:hint="eastAsia" w:ascii="宋体" w:hAnsi="宋体" w:cs="宋体"/>
          <w:color w:val="auto"/>
          <w:kern w:val="0"/>
          <w:sz w:val="24"/>
          <w:szCs w:val="28"/>
        </w:rPr>
        <w:br w:type="page"/>
      </w:r>
      <w:r>
        <w:rPr>
          <w:rFonts w:hint="eastAsia" w:ascii="宋体" w:hAnsi="宋体" w:cs="宋体"/>
          <w:color w:val="auto"/>
          <w:kern w:val="0"/>
          <w:sz w:val="24"/>
          <w:szCs w:val="28"/>
        </w:rPr>
        <w:t>　附件1－1　法定代表人（负责人）身份证明复印件(法定代表人（负责人）参加磋商)</w:t>
      </w:r>
    </w:p>
    <w:p>
      <w:pPr>
        <w:ind w:firstLine="480" w:firstLineChars="200"/>
        <w:rPr>
          <w:rFonts w:ascii="宋体" w:hAnsi="宋体" w:cs="宋体"/>
          <w:color w:val="auto"/>
          <w:kern w:val="0"/>
          <w:sz w:val="24"/>
          <w:szCs w:val="28"/>
        </w:rPr>
      </w:pPr>
    </w:p>
    <w:tbl>
      <w:tblPr>
        <w:tblStyle w:val="42"/>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8" w:hRule="atLeast"/>
          <w:jc w:val="center"/>
        </w:trPr>
        <w:tc>
          <w:tcPr>
            <w:tcW w:w="4983" w:type="dxa"/>
            <w:tcBorders>
              <w:top w:val="single" w:color="auto" w:sz="4" w:space="0"/>
              <w:bottom w:val="single" w:color="auto" w:sz="4" w:space="0"/>
            </w:tcBorders>
            <w:vAlign w:val="center"/>
          </w:tcPr>
          <w:p>
            <w:pPr>
              <w:jc w:val="center"/>
              <w:rPr>
                <w:rFonts w:ascii="宋体" w:hAnsi="宋体" w:cs="宋体"/>
                <w:color w:val="auto"/>
                <w:kern w:val="0"/>
                <w:sz w:val="24"/>
                <w:szCs w:val="28"/>
              </w:rPr>
            </w:pPr>
            <w:r>
              <w:rPr>
                <w:rFonts w:hint="eastAsia" w:ascii="宋体" w:hAnsi="宋体" w:cs="宋体"/>
                <w:color w:val="auto"/>
                <w:kern w:val="0"/>
                <w:sz w:val="24"/>
                <w:szCs w:val="28"/>
              </w:rPr>
              <w:t>法定代表人（负责人）身份证明复印件</w:t>
            </w:r>
          </w:p>
          <w:p>
            <w:pPr>
              <w:jc w:val="center"/>
              <w:rPr>
                <w:rFonts w:ascii="宋体" w:hAnsi="宋体" w:cs="宋体"/>
                <w:color w:val="auto"/>
                <w:kern w:val="0"/>
                <w:sz w:val="24"/>
                <w:szCs w:val="28"/>
              </w:rPr>
            </w:pPr>
            <w:r>
              <w:rPr>
                <w:rFonts w:hint="eastAsia" w:ascii="宋体" w:hAnsi="宋体" w:cs="宋体"/>
                <w:color w:val="auto"/>
                <w:kern w:val="0"/>
                <w:sz w:val="24"/>
                <w:szCs w:val="28"/>
              </w:rPr>
              <w:t>第二代身份证必须提供正反面复印件</w:t>
            </w:r>
          </w:p>
        </w:tc>
      </w:tr>
    </w:tbl>
    <w:p>
      <w:pPr>
        <w:ind w:firstLine="480" w:firstLineChars="200"/>
        <w:rPr>
          <w:rFonts w:ascii="宋体" w:hAnsi="宋体" w:cs="宋体"/>
          <w:color w:val="auto"/>
          <w:kern w:val="0"/>
          <w:sz w:val="24"/>
          <w:szCs w:val="28"/>
        </w:rPr>
      </w:pPr>
    </w:p>
    <w:p>
      <w:pPr>
        <w:ind w:firstLine="480" w:firstLineChars="200"/>
        <w:rPr>
          <w:rFonts w:ascii="宋体" w:hAnsi="宋体" w:cs="宋体"/>
          <w:color w:val="auto"/>
          <w:kern w:val="0"/>
          <w:sz w:val="24"/>
          <w:szCs w:val="28"/>
        </w:rPr>
      </w:pPr>
      <w:r>
        <w:rPr>
          <w:rFonts w:hint="eastAsia" w:ascii="宋体" w:hAnsi="宋体" w:cs="宋体"/>
          <w:color w:val="auto"/>
          <w:kern w:val="0"/>
          <w:sz w:val="24"/>
          <w:szCs w:val="28"/>
        </w:rPr>
        <w:t>附件1－2</w:t>
      </w:r>
    </w:p>
    <w:p>
      <w:pPr>
        <w:keepNext/>
        <w:keepLines/>
        <w:spacing w:before="240" w:after="64" w:line="319" w:lineRule="auto"/>
        <w:jc w:val="center"/>
        <w:outlineLvl w:val="5"/>
        <w:rPr>
          <w:rFonts w:ascii="宋体" w:hAnsi="宋体" w:cs="宋体"/>
          <w:b/>
          <w:bCs/>
          <w:color w:val="auto"/>
          <w:kern w:val="0"/>
          <w:sz w:val="24"/>
          <w:szCs w:val="28"/>
        </w:rPr>
      </w:pPr>
      <w:r>
        <w:rPr>
          <w:rFonts w:hint="eastAsia" w:ascii="宋体" w:hAnsi="宋体" w:cs="宋体"/>
          <w:b/>
          <w:bCs/>
          <w:color w:val="auto"/>
          <w:kern w:val="0"/>
          <w:sz w:val="24"/>
          <w:szCs w:val="28"/>
        </w:rPr>
        <w:t>法定代表人（负责人）授权委托书</w:t>
      </w:r>
    </w:p>
    <w:p>
      <w:pPr>
        <w:ind w:firstLine="480" w:firstLineChars="200"/>
        <w:rPr>
          <w:rFonts w:ascii="宋体" w:hAnsi="宋体" w:cs="宋体"/>
          <w:color w:val="auto"/>
          <w:kern w:val="0"/>
          <w:sz w:val="24"/>
          <w:szCs w:val="28"/>
        </w:rPr>
      </w:pPr>
      <w:r>
        <w:rPr>
          <w:rFonts w:hint="eastAsia" w:ascii="宋体" w:hAnsi="宋体" w:cs="宋体"/>
          <w:color w:val="auto"/>
          <w:kern w:val="0"/>
          <w:sz w:val="24"/>
          <w:szCs w:val="28"/>
        </w:rPr>
        <w:t>致：____________(采购人或采购代理机构)</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____________(供应商名称)的法定代表人（负责人）(姓名、职务)授权____________(磋商代表姓名、职务)为本公司的磋商代表，就____________(项目名称)磋商及相关事务代表本公司处理与之有关的一切事务。</w:t>
      </w:r>
    </w:p>
    <w:p>
      <w:pPr>
        <w:spacing w:line="360" w:lineRule="auto"/>
        <w:ind w:firstLine="480" w:firstLineChars="200"/>
        <w:rPr>
          <w:rFonts w:ascii="宋体" w:hAnsi="宋体" w:cs="宋体"/>
          <w:color w:val="auto"/>
          <w:kern w:val="0"/>
          <w:sz w:val="24"/>
          <w:szCs w:val="28"/>
        </w:rPr>
      </w:pP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委托期限：____________________。</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代理人无转委托权。</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本授权书于______年____月____日签字生效，特此声明。</w:t>
      </w:r>
    </w:p>
    <w:p>
      <w:pPr>
        <w:ind w:firstLine="480" w:firstLineChars="200"/>
        <w:rPr>
          <w:rFonts w:ascii="宋体" w:hAnsi="宋体" w:cs="宋体"/>
          <w:color w:val="auto"/>
          <w:kern w:val="0"/>
          <w:sz w:val="24"/>
          <w:szCs w:val="28"/>
        </w:rPr>
      </w:pPr>
    </w:p>
    <w:tbl>
      <w:tblPr>
        <w:tblStyle w:val="42"/>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3" w:hRule="atLeast"/>
          <w:jc w:val="center"/>
        </w:trPr>
        <w:tc>
          <w:tcPr>
            <w:tcW w:w="5296" w:type="dxa"/>
            <w:tcBorders>
              <w:top w:val="single" w:color="auto" w:sz="4" w:space="0"/>
              <w:bottom w:val="single" w:color="auto" w:sz="4" w:space="0"/>
            </w:tcBorders>
            <w:vAlign w:val="center"/>
          </w:tcPr>
          <w:p>
            <w:pPr>
              <w:spacing w:line="360" w:lineRule="auto"/>
              <w:jc w:val="center"/>
              <w:rPr>
                <w:rFonts w:ascii="宋体" w:hAnsi="宋体" w:cs="宋体"/>
                <w:color w:val="auto"/>
                <w:sz w:val="24"/>
                <w:szCs w:val="28"/>
              </w:rPr>
            </w:pPr>
            <w:r>
              <w:rPr>
                <w:rFonts w:hint="eastAsia" w:ascii="宋体" w:hAnsi="宋体" w:cs="宋体"/>
                <w:color w:val="auto"/>
                <w:sz w:val="24"/>
                <w:szCs w:val="28"/>
              </w:rPr>
              <w:t>被授权代表身份证正反面复印件</w:t>
            </w:r>
          </w:p>
        </w:tc>
      </w:tr>
    </w:tbl>
    <w:p>
      <w:pPr>
        <w:ind w:firstLine="480" w:firstLineChars="200"/>
        <w:rPr>
          <w:rFonts w:ascii="宋体" w:hAnsi="宋体" w:cs="宋体"/>
          <w:color w:val="auto"/>
          <w:kern w:val="0"/>
          <w:sz w:val="24"/>
          <w:szCs w:val="28"/>
        </w:rPr>
      </w:pP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供应商名称(公章)：____________</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法定代表人（负责人）(签字或盖章)：____________</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授权代表(签字或签章)：____________</w:t>
      </w:r>
    </w:p>
    <w:p>
      <w:pPr>
        <w:spacing w:line="360" w:lineRule="auto"/>
        <w:ind w:firstLine="480" w:firstLineChars="200"/>
        <w:rPr>
          <w:rFonts w:ascii="宋体" w:hAnsi="宋体" w:cs="宋体"/>
          <w:color w:val="auto"/>
          <w:kern w:val="0"/>
          <w:sz w:val="24"/>
          <w:szCs w:val="28"/>
        </w:rPr>
      </w:pPr>
    </w:p>
    <w:p>
      <w:pPr>
        <w:spacing w:line="360" w:lineRule="auto"/>
        <w:ind w:firstLine="480" w:firstLineChars="200"/>
        <w:jc w:val="right"/>
        <w:rPr>
          <w:rFonts w:ascii="宋体" w:hAnsi="宋体" w:cs="宋体"/>
          <w:color w:val="auto"/>
          <w:kern w:val="0"/>
          <w:sz w:val="24"/>
          <w:szCs w:val="28"/>
        </w:rPr>
      </w:pPr>
      <w:r>
        <w:rPr>
          <w:rFonts w:hint="eastAsia" w:ascii="宋体" w:hAnsi="宋体" w:cs="宋体"/>
          <w:color w:val="auto"/>
          <w:kern w:val="0"/>
          <w:sz w:val="24"/>
          <w:szCs w:val="28"/>
        </w:rPr>
        <w:t>______年____月____日</w:t>
      </w:r>
    </w:p>
    <w:p>
      <w:pPr>
        <w:ind w:firstLine="480" w:firstLineChars="200"/>
        <w:rPr>
          <w:rFonts w:ascii="宋体" w:hAnsi="宋体" w:cs="宋体"/>
          <w:color w:val="auto"/>
          <w:kern w:val="0"/>
          <w:sz w:val="24"/>
          <w:szCs w:val="28"/>
        </w:rPr>
      </w:pPr>
      <w:r>
        <w:rPr>
          <w:rFonts w:hint="eastAsia" w:ascii="宋体" w:hAnsi="宋体" w:cs="宋体"/>
          <w:color w:val="auto"/>
          <w:kern w:val="0"/>
          <w:sz w:val="24"/>
          <w:szCs w:val="28"/>
        </w:rPr>
        <w:br w:type="page"/>
      </w:r>
      <w:r>
        <w:rPr>
          <w:rFonts w:hint="eastAsia" w:ascii="宋体" w:hAnsi="宋体" w:cs="宋体"/>
          <w:color w:val="auto"/>
          <w:kern w:val="0"/>
          <w:sz w:val="24"/>
          <w:szCs w:val="28"/>
        </w:rPr>
        <w:t>二、报价一览表及分项价格表</w:t>
      </w:r>
    </w:p>
    <w:p>
      <w:pPr>
        <w:ind w:firstLine="480" w:firstLineChars="200"/>
        <w:rPr>
          <w:rFonts w:ascii="宋体" w:hAnsi="宋体" w:cs="宋体"/>
          <w:color w:val="auto"/>
          <w:kern w:val="0"/>
          <w:sz w:val="24"/>
          <w:szCs w:val="28"/>
        </w:rPr>
      </w:pPr>
      <w:r>
        <w:rPr>
          <w:rFonts w:hint="eastAsia" w:ascii="宋体" w:hAnsi="宋体" w:cs="宋体"/>
          <w:color w:val="auto"/>
          <w:kern w:val="0"/>
          <w:sz w:val="24"/>
          <w:szCs w:val="28"/>
        </w:rPr>
        <w:t xml:space="preserve"> 　　　附件2－1</w:t>
      </w:r>
    </w:p>
    <w:p>
      <w:pPr>
        <w:spacing w:line="360" w:lineRule="auto"/>
        <w:ind w:firstLine="480" w:firstLineChars="200"/>
        <w:rPr>
          <w:rFonts w:ascii="宋体" w:hAnsi="宋体" w:cs="宋体"/>
          <w:color w:val="auto"/>
          <w:kern w:val="0"/>
          <w:sz w:val="24"/>
          <w:szCs w:val="28"/>
        </w:rPr>
      </w:pPr>
    </w:p>
    <w:p>
      <w:pPr>
        <w:spacing w:line="360" w:lineRule="auto"/>
        <w:ind w:firstLine="480" w:firstLineChars="200"/>
        <w:jc w:val="center"/>
        <w:rPr>
          <w:rFonts w:ascii="宋体" w:hAnsi="宋体" w:cs="宋体"/>
          <w:color w:val="auto"/>
          <w:kern w:val="0"/>
          <w:sz w:val="24"/>
          <w:szCs w:val="28"/>
        </w:rPr>
      </w:pPr>
      <w:r>
        <w:rPr>
          <w:rFonts w:hint="eastAsia" w:ascii="宋体" w:hAnsi="宋体" w:cs="宋体"/>
          <w:color w:val="auto"/>
          <w:kern w:val="0"/>
          <w:sz w:val="24"/>
          <w:szCs w:val="28"/>
        </w:rPr>
        <w:t>报价一览表</w:t>
      </w:r>
    </w:p>
    <w:p>
      <w:pPr>
        <w:spacing w:line="360" w:lineRule="auto"/>
        <w:jc w:val="both"/>
        <w:rPr>
          <w:rFonts w:hint="eastAsia" w:asciiTheme="minorEastAsia" w:hAnsiTheme="minorEastAsia" w:eastAsiaTheme="minorEastAsia" w:cstheme="minorEastAsia"/>
          <w:color w:val="auto"/>
          <w:kern w:val="0"/>
          <w:sz w:val="24"/>
          <w:szCs w:val="28"/>
          <w:highlight w:val="none"/>
        </w:rPr>
      </w:pPr>
    </w:p>
    <w:tbl>
      <w:tblPr>
        <w:tblStyle w:val="4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59"/>
        <w:gridCol w:w="3109"/>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310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23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172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包号</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w:t>
            </w:r>
          </w:p>
        </w:tc>
        <w:tc>
          <w:tcPr>
            <w:tcW w:w="6069" w:type="dxa"/>
            <w:gridSpan w:val="3"/>
            <w:vAlign w:val="center"/>
          </w:tcPr>
          <w:p>
            <w:pPr>
              <w:spacing w:line="360" w:lineRule="auto"/>
              <w:jc w:val="left"/>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rPr>
              <w:t>大写：人民币______元</w:t>
            </w:r>
            <w:r>
              <w:rPr>
                <w:rFonts w:hint="eastAsia" w:asciiTheme="minorEastAsia" w:hAnsiTheme="minorEastAsia" w:eastAsiaTheme="minorEastAsia" w:cstheme="minorEastAsia"/>
                <w:color w:val="auto"/>
                <w:kern w:val="0"/>
                <w:sz w:val="24"/>
                <w:szCs w:val="28"/>
                <w:highlight w:val="none"/>
                <w:lang w:val="en-US" w:eastAsia="zh-CN"/>
              </w:rPr>
              <w:t>/年</w:t>
            </w:r>
          </w:p>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小写：</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______元</w:t>
            </w:r>
            <w:r>
              <w:rPr>
                <w:rFonts w:hint="eastAsia" w:asciiTheme="minorEastAsia" w:hAnsiTheme="minorEastAsia" w:eastAsiaTheme="minorEastAsia" w:cstheme="minorEastAsia"/>
                <w:color w:val="auto"/>
                <w:kern w:val="0"/>
                <w:sz w:val="24"/>
                <w:szCs w:val="28"/>
                <w:highlight w:val="none"/>
                <w:lang w:val="en-US" w:eastAsia="zh-CN"/>
              </w:rPr>
              <w:t>/年</w:t>
            </w:r>
            <w:r>
              <w:rPr>
                <w:rFonts w:hint="eastAsia" w:asciiTheme="minorEastAsia" w:hAnsiTheme="minorEastAsia" w:eastAsiaTheme="minorEastAsia" w:cstheme="minorEastAsia"/>
                <w:color w:val="auto"/>
                <w:kern w:val="0"/>
                <w:sz w:val="24"/>
                <w:szCs w:val="28"/>
                <w:highlight w:val="none"/>
              </w:rPr>
              <w:t>（小写请保留至小数点后两位）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3</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服务期限</w:t>
            </w:r>
          </w:p>
        </w:tc>
        <w:tc>
          <w:tcPr>
            <w:tcW w:w="6069" w:type="dxa"/>
            <w:gridSpan w:val="3"/>
            <w:vAlign w:val="center"/>
          </w:tcPr>
          <w:p>
            <w:pPr>
              <w:spacing w:line="360" w:lineRule="auto"/>
              <w:jc w:val="both"/>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4</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0" w:firstLineChars="200"/>
        <w:rPr>
          <w:rFonts w:ascii="宋体" w:hAnsi="宋体" w:cs="宋体"/>
          <w:color w:val="auto"/>
          <w:kern w:val="0"/>
          <w:sz w:val="24"/>
          <w:szCs w:val="28"/>
        </w:rPr>
      </w:pP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供应商名称(公章)：____________</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法定代表人（负责人）或其授权代表(签字或盖章)：____________</w:t>
      </w:r>
    </w:p>
    <w:p>
      <w:pPr>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宋体" w:hAnsi="宋体" w:cs="宋体"/>
          <w:color w:val="auto"/>
          <w:kern w:val="0"/>
          <w:sz w:val="24"/>
          <w:szCs w:val="28"/>
        </w:rPr>
        <w:br w:type="page"/>
      </w:r>
      <w:r>
        <w:rPr>
          <w:rFonts w:hint="eastAsia" w:asciiTheme="minorEastAsia" w:hAnsiTheme="minorEastAsia" w:eastAsiaTheme="minorEastAsia" w:cstheme="minorEastAsia"/>
          <w:color w:val="auto"/>
          <w:kern w:val="0"/>
          <w:sz w:val="24"/>
          <w:szCs w:val="28"/>
          <w:highlight w:val="none"/>
        </w:rPr>
        <w:t>　　附件2－2</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分项价格表</w:t>
      </w: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(服务类项目适用)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项目编号：　</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包号：无</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金额单位：元</w:t>
      </w:r>
    </w:p>
    <w:tbl>
      <w:tblPr>
        <w:tblStyle w:val="4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服务内容</w:t>
            </w: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w:t>
            </w: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(收费依据、收费标准等)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3</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4</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总计</w:t>
            </w:r>
          </w:p>
        </w:tc>
        <w:tc>
          <w:tcPr>
            <w:tcW w:w="6098" w:type="dxa"/>
            <w:gridSpan w:val="2"/>
            <w:vAlign w:val="center"/>
          </w:tcPr>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大写：人民币____________________元</w:t>
            </w:r>
            <w:r>
              <w:rPr>
                <w:rFonts w:hint="eastAsia" w:asciiTheme="minorEastAsia" w:hAnsiTheme="minorEastAsia" w:eastAsiaTheme="minorEastAsia" w:cstheme="minorEastAsia"/>
                <w:color w:val="auto"/>
                <w:kern w:val="0"/>
                <w:sz w:val="24"/>
                <w:szCs w:val="28"/>
                <w:highlight w:val="none"/>
                <w:lang w:val="en-US" w:eastAsia="zh-CN"/>
              </w:rPr>
              <w:t>/年</w:t>
            </w:r>
          </w:p>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小写：</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__________________元</w:t>
            </w:r>
            <w:r>
              <w:rPr>
                <w:rFonts w:hint="eastAsia" w:asciiTheme="minorEastAsia" w:hAnsiTheme="minorEastAsia" w:eastAsiaTheme="minorEastAsia" w:cstheme="minorEastAsia"/>
                <w:color w:val="auto"/>
                <w:kern w:val="0"/>
                <w:sz w:val="24"/>
                <w:szCs w:val="28"/>
                <w:highlight w:val="none"/>
                <w:lang w:val="en-US" w:eastAsia="zh-CN"/>
              </w:rPr>
              <w:t>/年</w:t>
            </w: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附件2－3</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最终报价承诺书</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项目编号：____________________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项目包号：_无</w:t>
      </w:r>
    </w:p>
    <w:tbl>
      <w:tblPr>
        <w:tblStyle w:val="4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13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磋商范围</w:t>
            </w:r>
          </w:p>
        </w:tc>
        <w:tc>
          <w:tcPr>
            <w:tcW w:w="7136" w:type="dxa"/>
            <w:vAlign w:val="center"/>
          </w:tcPr>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最终报价</w:t>
            </w: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(详见备注说明)</w:t>
            </w:r>
          </w:p>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7136" w:type="dxa"/>
            <w:vAlign w:val="center"/>
          </w:tcPr>
          <w:p>
            <w:pPr>
              <w:spacing w:line="360" w:lineRule="auto"/>
              <w:jc w:val="left"/>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rPr>
              <w:t>人民币大写：</w:t>
            </w:r>
            <w:r>
              <w:rPr>
                <w:rFonts w:hint="eastAsia" w:asciiTheme="minorEastAsia" w:hAnsiTheme="minorEastAsia" w:eastAsiaTheme="minorEastAsia" w:cstheme="minorEastAsia"/>
                <w:color w:val="auto"/>
                <w:kern w:val="0"/>
                <w:sz w:val="24"/>
                <w:szCs w:val="28"/>
                <w:highlight w:val="none"/>
                <w:u w:val="single"/>
                <w:lang w:val="en-US" w:eastAsia="zh-CN"/>
              </w:rPr>
              <w:t xml:space="preserve">                         </w:t>
            </w:r>
            <w:r>
              <w:rPr>
                <w:rFonts w:hint="eastAsia" w:asciiTheme="minorEastAsia" w:hAnsiTheme="minorEastAsia" w:eastAsiaTheme="minorEastAsia" w:cstheme="minorEastAsia"/>
                <w:color w:val="auto"/>
                <w:kern w:val="0"/>
                <w:sz w:val="24"/>
                <w:szCs w:val="28"/>
                <w:highlight w:val="none"/>
              </w:rPr>
              <w:t>元</w:t>
            </w:r>
            <w:r>
              <w:rPr>
                <w:rFonts w:hint="eastAsia" w:asciiTheme="minorEastAsia" w:hAnsiTheme="minorEastAsia" w:eastAsiaTheme="minorEastAsia" w:cstheme="minorEastAsia"/>
                <w:color w:val="auto"/>
                <w:kern w:val="0"/>
                <w:sz w:val="24"/>
                <w:szCs w:val="28"/>
                <w:highlight w:val="none"/>
                <w:lang w:val="en-US" w:eastAsia="zh-CN"/>
              </w:rPr>
              <w:t>/年,</w:t>
            </w:r>
          </w:p>
          <w:p>
            <w:pPr>
              <w:spacing w:line="360" w:lineRule="auto"/>
              <w:jc w:val="left"/>
              <w:rPr>
                <w:rFonts w:hint="eastAsia" w:asciiTheme="minorEastAsia" w:hAnsiTheme="minorEastAsia" w:eastAsiaTheme="minorEastAsia" w:cstheme="minorEastAsia"/>
                <w:color w:val="auto"/>
                <w:kern w:val="0"/>
                <w:sz w:val="24"/>
                <w:szCs w:val="28"/>
                <w:highlight w:val="none"/>
                <w:u w:val="single"/>
              </w:rPr>
            </w:pPr>
            <w:r>
              <w:rPr>
                <w:rFonts w:hint="eastAsia" w:asciiTheme="minorEastAsia" w:hAnsiTheme="minorEastAsia" w:eastAsiaTheme="minorEastAsia" w:cstheme="minorEastAsia"/>
                <w:color w:val="auto"/>
                <w:kern w:val="0"/>
                <w:sz w:val="24"/>
                <w:szCs w:val="28"/>
                <w:highlight w:val="none"/>
              </w:rPr>
              <w:t>小写：</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u w:val="single"/>
                <w:lang w:val="en-US" w:eastAsia="zh-CN"/>
              </w:rPr>
              <w:t xml:space="preserve">           </w:t>
            </w:r>
            <w:r>
              <w:rPr>
                <w:rFonts w:hint="eastAsia" w:asciiTheme="minorEastAsia" w:hAnsiTheme="minorEastAsia" w:eastAsiaTheme="minorEastAsia" w:cstheme="minorEastAsia"/>
                <w:color w:val="auto"/>
                <w:kern w:val="0"/>
                <w:sz w:val="24"/>
                <w:szCs w:val="28"/>
                <w:highlight w:val="none"/>
              </w:rPr>
              <w:t>元</w:t>
            </w:r>
            <w:r>
              <w:rPr>
                <w:rFonts w:hint="eastAsia" w:asciiTheme="minorEastAsia" w:hAnsiTheme="minorEastAsia" w:eastAsiaTheme="minorEastAsia" w:cstheme="minorEastAsia"/>
                <w:color w:val="auto"/>
                <w:kern w:val="0"/>
                <w:sz w:val="24"/>
                <w:szCs w:val="28"/>
                <w:highlight w:val="none"/>
                <w:lang w:val="en-US" w:eastAsia="zh-CN"/>
              </w:rPr>
              <w:t>/年</w:t>
            </w:r>
          </w:p>
          <w:p>
            <w:pPr>
              <w:spacing w:line="360" w:lineRule="auto"/>
              <w:jc w:val="left"/>
              <w:rPr>
                <w:rFonts w:hint="eastAsia" w:asciiTheme="minorEastAsia" w:hAnsiTheme="minorEastAsia" w:eastAsiaTheme="minorEastAsia" w:cstheme="minorEastAsia"/>
                <w:color w:val="auto"/>
                <w:kern w:val="0"/>
                <w:sz w:val="24"/>
                <w:szCs w:val="28"/>
                <w:highlight w:val="none"/>
                <w:u w:val="single"/>
              </w:rPr>
            </w:pPr>
            <w:r>
              <w:rPr>
                <w:rFonts w:hint="eastAsia" w:asciiTheme="minorEastAsia" w:hAnsiTheme="minorEastAsia" w:eastAsiaTheme="minorEastAsia" w:cstheme="minorEastAsia"/>
                <w:color w:val="auto"/>
                <w:kern w:val="0"/>
                <w:sz w:val="24"/>
                <w:szCs w:val="28"/>
                <w:highlight w:val="none"/>
              </w:rPr>
              <w:t>（小写请保留至小数点后两位）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备注说明</w:t>
            </w:r>
          </w:p>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7136" w:type="dxa"/>
            <w:vAlign w:val="center"/>
          </w:tcPr>
          <w:p>
            <w:pPr>
              <w:spacing w:line="360" w:lineRule="auto"/>
              <w:jc w:val="both"/>
              <w:rPr>
                <w:rFonts w:hint="default" w:asciiTheme="minorEastAsia" w:hAnsiTheme="minorEastAsia" w:eastAsiaTheme="minorEastAsia" w:cstheme="minorEastAsia"/>
                <w:color w:val="auto"/>
                <w:kern w:val="0"/>
                <w:sz w:val="24"/>
                <w:szCs w:val="28"/>
                <w:highlight w:val="none"/>
                <w:u w:val="single"/>
                <w:lang w:val="en-US" w:eastAsia="zh-CN"/>
              </w:rPr>
            </w:pPr>
            <w:r>
              <w:rPr>
                <w:rFonts w:hint="eastAsia" w:asciiTheme="minorEastAsia" w:hAnsiTheme="minorEastAsia" w:eastAsiaTheme="minorEastAsia" w:cstheme="minorEastAsia"/>
                <w:color w:val="auto"/>
                <w:kern w:val="0"/>
                <w:sz w:val="24"/>
                <w:szCs w:val="28"/>
                <w:highlight w:val="none"/>
              </w:rPr>
              <w:t>服务期限</w:t>
            </w:r>
            <w:r>
              <w:rPr>
                <w:rFonts w:hint="eastAsia" w:asciiTheme="minorEastAsia" w:hAnsiTheme="minorEastAsia" w:eastAsiaTheme="minorEastAsia" w:cstheme="minorEastAsia"/>
                <w:color w:val="auto"/>
                <w:kern w:val="0"/>
                <w:sz w:val="24"/>
                <w:szCs w:val="28"/>
                <w:highlight w:val="none"/>
                <w:lang w:val="en-US" w:eastAsia="zh-CN"/>
              </w:rPr>
              <w:t>:</w:t>
            </w:r>
          </w:p>
        </w:tc>
      </w:tr>
    </w:tbl>
    <w:p>
      <w:pPr>
        <w:spacing w:line="360" w:lineRule="auto"/>
        <w:ind w:right="400" w:firstLine="480" w:firstLineChars="200"/>
        <w:jc w:val="center"/>
        <w:rPr>
          <w:rFonts w:hint="eastAsia" w:asciiTheme="minorEastAsia" w:hAnsiTheme="minorEastAsia" w:eastAsiaTheme="minorEastAsia" w:cstheme="minorEastAsia"/>
          <w:color w:val="auto"/>
          <w:kern w:val="0"/>
          <w:sz w:val="24"/>
          <w:szCs w:val="28"/>
          <w:highlight w:val="none"/>
        </w:rPr>
      </w:pPr>
    </w:p>
    <w:p>
      <w:pPr>
        <w:spacing w:line="360" w:lineRule="auto"/>
        <w:ind w:right="400"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xml:space="preserve">  授权代表签字：</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年　　月　　日</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注：</w:t>
      </w:r>
      <w:r>
        <w:rPr>
          <w:rFonts w:hint="eastAsia" w:asciiTheme="minorEastAsia" w:hAnsiTheme="minorEastAsia" w:eastAsiaTheme="minorEastAsia" w:cstheme="minorEastAsia"/>
          <w:b/>
          <w:color w:val="auto"/>
          <w:kern w:val="0"/>
          <w:sz w:val="24"/>
          <w:szCs w:val="28"/>
          <w:highlight w:val="none"/>
        </w:rPr>
        <w:t>本页《最终报价承诺书》由供应商在磋商现场依磋商情况填写 (无需装订在响应文件内)。</w:t>
      </w:r>
      <w:r>
        <w:rPr>
          <w:rFonts w:hint="eastAsia" w:asciiTheme="minorEastAsia" w:hAnsiTheme="minorEastAsia" w:eastAsiaTheme="minorEastAsia" w:cstheme="minorEastAsia"/>
          <w:color w:val="auto"/>
          <w:kern w:val="0"/>
          <w:sz w:val="24"/>
          <w:szCs w:val="28"/>
          <w:highlight w:val="none"/>
        </w:rPr>
        <w:t>考虑磋商报价的方便，供应商在填写最终承诺报价后，(第一次报价－最终承诺报价)除以第一次报价后得出的优惠率视同为需求表中全部分项设备或服务的优惠浮动值(特定分项优惠除外)。此优惠率调整原则适用于合同内价格的计算及项目增减、变更时价格的计算。</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三、商务条款偏离表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商务条款偏离表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项目编号：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p>
    <w:tbl>
      <w:tblPr>
        <w:tblStyle w:val="42"/>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磋商文件条目号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磋商文件的商务条款</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响应文件的商务条款</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偏离</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2"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说明：如有偏离，则必须注明“偏离”；未注明偏离的，视为完全响应。</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四、磋商保证金</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说明：可提供付款凭证或金融机构、担保机构出具的保函原件。</w:t>
      </w:r>
    </w:p>
    <w:p>
      <w:pPr>
        <w:keepNext/>
        <w:keepLines/>
        <w:spacing w:before="240" w:after="64" w:line="360" w:lineRule="auto"/>
        <w:jc w:val="center"/>
        <w:outlineLvl w:val="5"/>
        <w:rPr>
          <w:rFonts w:hint="eastAsia" w:asciiTheme="minorEastAsia" w:hAnsiTheme="minorEastAsia" w:eastAsiaTheme="minorEastAsia" w:cstheme="minorEastAsia"/>
          <w:b/>
          <w:bCs/>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rPr>
        <w:t>保证金汇款声明函(适用银行转账)</w:t>
      </w: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w:t>
      </w:r>
      <w:r>
        <w:rPr>
          <w:rFonts w:hint="eastAsia" w:asciiTheme="minorEastAsia" w:hAnsiTheme="minorEastAsia" w:eastAsiaTheme="minorEastAsia" w:cstheme="minorEastAsia"/>
          <w:color w:val="auto"/>
          <w:kern w:val="0"/>
          <w:sz w:val="24"/>
          <w:szCs w:val="28"/>
          <w:highlight w:val="none"/>
          <w:u w:val="single"/>
        </w:rPr>
        <w:t>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我方为____________(项目名称)(项目编号：________)递交保证金人民币________元(大写人民币______元)已于______年____月____日以银行主动划账方式划入你方账户。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详见附件：银行出具的汇款单或转账凭证复印件。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退还保证金时请按以下内容划入我方账户。若因内容不全、错误、字迹潦草模糊导致该项目保证金未能及时退还或退还过程中发生错误，我方将承担全部责任和损失。</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单位全称：</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开户银行：</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开户账号：</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供应商(公章)：　　</w:t>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地址：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项目联系人：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电话(手机)：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tbl>
      <w:tblPr>
        <w:tblStyle w:val="42"/>
        <w:tblW w:w="5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5704"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汇款单或转账凭证复印件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五、供应商的资格证明材料</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602" w:firstLineChars="200"/>
        <w:jc w:val="center"/>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bCs w:val="0"/>
          <w:color w:val="auto"/>
          <w:kern w:val="0"/>
          <w:sz w:val="30"/>
          <w:szCs w:val="30"/>
          <w:highlight w:val="none"/>
        </w:rPr>
        <w:t>供应商基本情况表</w:t>
      </w:r>
    </w:p>
    <w:p>
      <w:pPr>
        <w:ind w:firstLine="480"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供应商</w:t>
      </w:r>
      <w:r>
        <w:rPr>
          <w:rFonts w:hint="eastAsia" w:asciiTheme="minorEastAsia" w:hAnsiTheme="minorEastAsia" w:eastAsiaTheme="minorEastAsia" w:cstheme="minorEastAsia"/>
          <w:b/>
          <w:color w:val="auto"/>
          <w:kern w:val="0"/>
          <w:sz w:val="24"/>
          <w:szCs w:val="28"/>
          <w:highlight w:val="none"/>
        </w:rPr>
        <w:t>：(公章)</w:t>
      </w:r>
    </w:p>
    <w:tbl>
      <w:tblPr>
        <w:tblStyle w:val="4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810"/>
        <w:gridCol w:w="2115"/>
        <w:gridCol w:w="2464"/>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2925"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lang w:eastAsia="zh-CN"/>
              </w:rPr>
              <w:t>法定代表人（负责人）</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统一社会信用代码</w:t>
            </w:r>
          </w:p>
        </w:tc>
        <w:tc>
          <w:tcPr>
            <w:tcW w:w="2925"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邮政编码</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授权代表</w:t>
            </w:r>
          </w:p>
        </w:tc>
        <w:tc>
          <w:tcPr>
            <w:tcW w:w="2925"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电子邮箱</w:t>
            </w:r>
          </w:p>
        </w:tc>
        <w:tc>
          <w:tcPr>
            <w:tcW w:w="2925"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传真</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上年营业收入</w:t>
            </w:r>
          </w:p>
        </w:tc>
        <w:tc>
          <w:tcPr>
            <w:tcW w:w="2925"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员工总人数</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7"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基本账户开户行及账号</w:t>
            </w:r>
          </w:p>
        </w:tc>
        <w:tc>
          <w:tcPr>
            <w:tcW w:w="6327" w:type="dxa"/>
            <w:gridSpan w:val="3"/>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7"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税务登记机关</w:t>
            </w:r>
          </w:p>
        </w:tc>
        <w:tc>
          <w:tcPr>
            <w:tcW w:w="6327" w:type="dxa"/>
            <w:gridSpan w:val="3"/>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7"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资质名称</w:t>
            </w:r>
          </w:p>
        </w:tc>
        <w:tc>
          <w:tcPr>
            <w:tcW w:w="2115"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等级</w:t>
            </w: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发证机关</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7"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115"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7"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115"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tc>
        <w:tc>
          <w:tcPr>
            <w:tcW w:w="7137" w:type="dxa"/>
            <w:gridSpan w:val="4"/>
            <w:vAlign w:val="center"/>
          </w:tcPr>
          <w:p>
            <w:pPr>
              <w:jc w:val="center"/>
              <w:rPr>
                <w:rFonts w:hint="eastAsia" w:asciiTheme="minorEastAsia" w:hAnsiTheme="minorEastAsia" w:eastAsiaTheme="minorEastAsia" w:cstheme="minorEastAsia"/>
                <w:color w:val="auto"/>
                <w:kern w:val="0"/>
                <w:sz w:val="24"/>
                <w:szCs w:val="28"/>
                <w:highlight w:val="none"/>
              </w:rPr>
            </w:pP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★1.有效的新版“营业执照”或《事业单位法人证书》或其他依法成立组织的证明文件（必须具有，如能够在线查询的材料，请提供国家有关部门规定查询的网址链接，原件备查）。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★2.有效的税务登记证（必须具有，如能够在线查询的材料，请提供国家有关部门规定查询的网址链接，原件备查）；（若已经取得“三证合一”的可不提供）</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★3.法定代表人（负责人）完整有效的身份证复印件（第二代身份证必须提供正反面复印件）。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★4.法定代表人（负责人）授权委托书(格式见第五章) 和委托代理人完整有效的身份证复印件（委托代理时必须提供。第二代身份证必须提供正反面复印件）。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★5.供应商参加本项目磋商时2020年或2021年的年度财务报告复印件（如供应商为参加本项目磋商当年新成立公司的，应提供于公司成立之日后的财务报表），原件备查；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6.响应文件递交截止时间前半年内，供应商提供至少连续三个月的依法纳税的依法缴纳税费或依法免缴税费的证明（复印件，原件备查）；供应商无纳税记录或为新成立公司，应提供由供应商所在地主管税务部门出具的依法纳税或依法免税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7.响应文件递交截止时间前半年内，供应商提供至少连续三个月的依法缴纳社保费的缴费凭证（复印件，原件备查）；供应商无缴费记录或为新成立公司，应提供由供应商所在地社保部门出具的依法缴纳或依法免缴社保费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★8.参加本采购活动前三年内在经营活动中没有重大违法记录的书面声明（格式见第五章）。</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9.符合磋商文件要求的供应商特定资格条件的证明材料：无。</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10.符合政府采购政策的证明材料。</w:t>
      </w:r>
    </w:p>
    <w:p>
      <w:pPr>
        <w:keepNext/>
        <w:keepLines/>
        <w:widowControl w:val="0"/>
        <w:spacing w:before="0" w:after="0" w:line="360" w:lineRule="auto"/>
        <w:jc w:val="center"/>
        <w:outlineLvl w:val="5"/>
        <w:rPr>
          <w:rFonts w:ascii="宋体" w:hAnsi="宋体" w:eastAsia="宋体" w:cs="Calibri"/>
          <w:b/>
          <w:bCs w:val="0"/>
          <w:color w:val="auto"/>
          <w:kern w:val="2"/>
          <w:sz w:val="32"/>
          <w:szCs w:val="24"/>
          <w:highlight w:val="none"/>
          <w:lang w:val="en-US" w:eastAsia="zh-CN" w:bidi="ar-SA"/>
        </w:rPr>
      </w:pPr>
      <w:r>
        <w:rPr>
          <w:rFonts w:hint="eastAsia" w:ascii="宋体" w:hAnsi="宋体" w:eastAsia="宋体" w:cs="Calibri"/>
          <w:b/>
          <w:bCs w:val="0"/>
          <w:color w:val="auto"/>
          <w:kern w:val="2"/>
          <w:sz w:val="32"/>
          <w:szCs w:val="24"/>
          <w:highlight w:val="none"/>
          <w:lang w:val="en-US" w:eastAsia="zh-CN" w:bidi="ar-SA"/>
        </w:rPr>
        <w:t>参加采购活动前三年内在经营活动中</w:t>
      </w:r>
    </w:p>
    <w:p>
      <w:pPr>
        <w:keepNext/>
        <w:keepLines/>
        <w:widowControl w:val="0"/>
        <w:spacing w:before="0" w:after="0" w:line="360" w:lineRule="auto"/>
        <w:jc w:val="center"/>
        <w:outlineLvl w:val="5"/>
        <w:rPr>
          <w:rFonts w:hint="eastAsia" w:ascii="宋体" w:hAnsi="宋体" w:eastAsia="宋体" w:cs="Calibri"/>
          <w:b/>
          <w:bCs w:val="0"/>
          <w:color w:val="auto"/>
          <w:kern w:val="2"/>
          <w:sz w:val="32"/>
          <w:szCs w:val="24"/>
          <w:highlight w:val="none"/>
          <w:lang w:val="en-US" w:eastAsia="zh-CN" w:bidi="ar-SA"/>
        </w:rPr>
      </w:pPr>
      <w:r>
        <w:rPr>
          <w:rFonts w:hint="eastAsia" w:ascii="宋体" w:hAnsi="宋体" w:eastAsia="宋体" w:cs="Calibri"/>
          <w:b/>
          <w:bCs w:val="0"/>
          <w:color w:val="auto"/>
          <w:kern w:val="2"/>
          <w:sz w:val="32"/>
          <w:szCs w:val="24"/>
          <w:highlight w:val="none"/>
          <w:lang w:val="en-US" w:eastAsia="zh-CN" w:bidi="ar-SA"/>
        </w:rPr>
        <w:t>没有重大违法记录的书面声明</w:t>
      </w:r>
    </w:p>
    <w:p>
      <w:pPr>
        <w:keepNext/>
        <w:keepLines/>
        <w:widowControl w:val="0"/>
        <w:spacing w:before="0" w:after="0" w:line="360" w:lineRule="auto"/>
        <w:jc w:val="center"/>
        <w:outlineLvl w:val="5"/>
        <w:rPr>
          <w:rFonts w:hint="eastAsia" w:ascii="宋体" w:hAnsi="宋体" w:eastAsia="宋体" w:cs="Calibri"/>
          <w:b/>
          <w:bCs w:val="0"/>
          <w:color w:val="auto"/>
          <w:kern w:val="2"/>
          <w:sz w:val="32"/>
          <w:szCs w:val="24"/>
          <w:highlight w:val="none"/>
          <w:lang w:val="en-US" w:eastAsia="zh-CN" w:bidi="ar-SA"/>
        </w:rPr>
      </w:pPr>
    </w:p>
    <w:p>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本单位郑重声明：</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我单位在参加采购活动前三年内在经营活动中没有《政府采购法》第二十二条第一款第</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五</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项所称重大违法记录</w:t>
      </w:r>
      <w:r>
        <w:rPr>
          <w:rFonts w:hint="eastAsia" w:ascii="宋体" w:hAnsi="宋体" w:eastAsia="宋体" w:cs="MingLiU_HKS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包括：</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我单位或者其法定代表人（负责人）、董事、监事、高级管理人员未因经营活动中的违法行为受到刑事处罚或者责令停产停业、吊销许可证或者执照、较大数额罚款等行政处罚。</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特此声明！</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公章</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____________</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法定代表人（负责人）或其授权代表</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签字或盖章</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____________</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r>
        <w:rPr>
          <w:rFonts w:ascii="宋体" w:hAnsi="宋体" w:eastAsia="宋体" w:cs="Times New Roman"/>
          <w:color w:val="auto"/>
          <w:kern w:val="2"/>
          <w:sz w:val="24"/>
          <w:szCs w:val="24"/>
          <w:highlight w:val="none"/>
          <w:lang w:val="en-US" w:eastAsia="zh-CN" w:bidi="ar-SA"/>
        </w:rPr>
        <w:t>______</w:t>
      </w:r>
      <w:r>
        <w:rPr>
          <w:rFonts w:hint="eastAsia" w:ascii="宋体" w:hAnsi="宋体" w:eastAsia="宋体" w:cs="宋体"/>
          <w:color w:val="auto"/>
          <w:kern w:val="2"/>
          <w:sz w:val="24"/>
          <w:szCs w:val="24"/>
          <w:highlight w:val="none"/>
          <w:lang w:val="en-US" w:eastAsia="zh-CN" w:bidi="ar-SA"/>
        </w:rPr>
        <w:t>年</w:t>
      </w:r>
      <w:r>
        <w:rPr>
          <w:rFonts w:ascii="宋体" w:hAnsi="宋体" w:eastAsia="宋体" w:cs="Times New Roman"/>
          <w:color w:val="auto"/>
          <w:kern w:val="2"/>
          <w:sz w:val="24"/>
          <w:szCs w:val="24"/>
          <w:highlight w:val="none"/>
          <w:lang w:val="en-US" w:eastAsia="zh-CN" w:bidi="ar-SA"/>
        </w:rPr>
        <w:t>____</w:t>
      </w:r>
      <w:r>
        <w:rPr>
          <w:rFonts w:hint="eastAsia" w:ascii="宋体" w:hAnsi="宋体" w:eastAsia="宋体" w:cs="宋体"/>
          <w:color w:val="auto"/>
          <w:kern w:val="2"/>
          <w:sz w:val="24"/>
          <w:szCs w:val="24"/>
          <w:highlight w:val="none"/>
          <w:lang w:val="en-US" w:eastAsia="zh-CN" w:bidi="ar-SA"/>
        </w:rPr>
        <w:t>月</w:t>
      </w:r>
      <w:r>
        <w:rPr>
          <w:rFonts w:ascii="宋体" w:hAnsi="宋体" w:eastAsia="宋体" w:cs="Times New Roman"/>
          <w:color w:val="auto"/>
          <w:kern w:val="2"/>
          <w:sz w:val="24"/>
          <w:szCs w:val="24"/>
          <w:highlight w:val="none"/>
          <w:lang w:val="en-US" w:eastAsia="zh-CN" w:bidi="ar-SA"/>
        </w:rPr>
        <w:t>____</w:t>
      </w:r>
      <w:r>
        <w:rPr>
          <w:rFonts w:hint="eastAsia" w:ascii="宋体" w:hAnsi="宋体" w:eastAsia="宋体" w:cs="宋体"/>
          <w:color w:val="auto"/>
          <w:kern w:val="2"/>
          <w:sz w:val="24"/>
          <w:szCs w:val="24"/>
          <w:highlight w:val="none"/>
          <w:lang w:val="en-US" w:eastAsia="zh-CN" w:bidi="ar-SA"/>
        </w:rPr>
        <w:t>日</w:t>
      </w:r>
    </w:p>
    <w:p>
      <w:pPr>
        <w:pStyle w:val="2"/>
        <w:spacing w:line="360" w:lineRule="auto"/>
        <w:rPr>
          <w:rFonts w:hint="eastAsia"/>
          <w:color w:val="auto"/>
          <w:lang w:val="en-US" w:eastAsia="zh-CN"/>
        </w:rPr>
      </w:pPr>
    </w:p>
    <w:p>
      <w:pPr>
        <w:pStyle w:val="2"/>
        <w:rPr>
          <w:rFonts w:hint="eastAsia"/>
          <w:color w:val="auto"/>
        </w:rPr>
      </w:pPr>
    </w:p>
    <w:p>
      <w:pPr>
        <w:numPr>
          <w:ilvl w:val="0"/>
          <w:numId w:val="0"/>
        </w:numPr>
        <w:spacing w:line="360" w:lineRule="auto"/>
        <w:ind w:leftChars="0"/>
        <w:rPr>
          <w:rFonts w:hint="eastAsia" w:asciiTheme="minorEastAsia" w:hAnsiTheme="minorEastAsia" w:eastAsiaTheme="minorEastAsia" w:cstheme="minorEastAsia"/>
          <w:color w:val="auto"/>
          <w:kern w:val="0"/>
          <w:sz w:val="24"/>
          <w:szCs w:val="28"/>
          <w:highlight w:val="none"/>
          <w:lang w:eastAsia="zh-CN"/>
        </w:rPr>
      </w:pPr>
    </w:p>
    <w:p>
      <w:pPr>
        <w:numPr>
          <w:ilvl w:val="0"/>
          <w:numId w:val="0"/>
        </w:numPr>
        <w:spacing w:line="360" w:lineRule="auto"/>
        <w:ind w:leftChars="0"/>
        <w:rPr>
          <w:b w:val="0"/>
          <w:bCs w:val="0"/>
          <w:color w:val="auto"/>
          <w:highlight w:val="none"/>
        </w:rPr>
      </w:pPr>
      <w:r>
        <w:rPr>
          <w:rFonts w:hint="eastAsia" w:asciiTheme="minorEastAsia" w:hAnsiTheme="minorEastAsia" w:eastAsiaTheme="minorEastAsia" w:cstheme="minorEastAsia"/>
          <w:b w:val="0"/>
          <w:bCs w:val="0"/>
          <w:color w:val="auto"/>
          <w:kern w:val="0"/>
          <w:sz w:val="24"/>
          <w:szCs w:val="28"/>
          <w:highlight w:val="none"/>
          <w:lang w:eastAsia="zh-CN"/>
        </w:rPr>
        <w:br w:type="page"/>
      </w:r>
      <w:r>
        <w:rPr>
          <w:rFonts w:hint="eastAsia" w:asciiTheme="minorEastAsia" w:hAnsiTheme="minorEastAsia" w:eastAsiaTheme="minorEastAsia" w:cstheme="minorEastAsia"/>
          <w:b w:val="0"/>
          <w:bCs w:val="0"/>
          <w:color w:val="auto"/>
          <w:kern w:val="0"/>
          <w:sz w:val="24"/>
          <w:szCs w:val="28"/>
          <w:highlight w:val="none"/>
          <w:lang w:eastAsia="zh-CN"/>
        </w:rPr>
        <w:t>六、</w:t>
      </w:r>
      <w:r>
        <w:rPr>
          <w:rFonts w:hint="eastAsia" w:asciiTheme="minorEastAsia" w:hAnsiTheme="minorEastAsia" w:eastAsiaTheme="minorEastAsia" w:cstheme="minorEastAsia"/>
          <w:b w:val="0"/>
          <w:bCs w:val="0"/>
          <w:color w:val="auto"/>
          <w:kern w:val="0"/>
          <w:sz w:val="24"/>
          <w:szCs w:val="28"/>
          <w:highlight w:val="none"/>
        </w:rPr>
        <w:t>提供符合政府采购政策的证明材料</w:t>
      </w:r>
    </w:p>
    <w:p>
      <w:pPr>
        <w:pStyle w:val="2"/>
        <w:numPr>
          <w:ilvl w:val="0"/>
          <w:numId w:val="0"/>
        </w:numPr>
        <w:ind w:leftChars="0"/>
        <w:rPr>
          <w:rFonts w:hint="eastAsia" w:ascii="宋体" w:hAnsi="宋体" w:cs="宋体"/>
          <w:b/>
          <w:color w:val="auto"/>
          <w:sz w:val="24"/>
          <w:highlight w:val="none"/>
          <w:lang w:eastAsia="zh-CN"/>
        </w:rPr>
      </w:pPr>
    </w:p>
    <w:p>
      <w:pPr>
        <w:pStyle w:val="2"/>
        <w:numPr>
          <w:ilvl w:val="0"/>
          <w:numId w:val="0"/>
        </w:numPr>
        <w:ind w:leftChars="0"/>
        <w:rPr>
          <w:rFonts w:hint="eastAsia" w:ascii="宋体" w:hAnsi="宋体" w:cs="宋体"/>
          <w:b/>
          <w:color w:val="auto"/>
          <w:sz w:val="24"/>
          <w:highlight w:val="yellow"/>
          <w:lang w:eastAsia="zh-CN"/>
        </w:rPr>
      </w:pPr>
      <w:r>
        <w:rPr>
          <w:rFonts w:hint="eastAsia" w:ascii="宋体" w:hAnsi="宋体" w:cs="宋体"/>
          <w:b/>
          <w:color w:val="auto"/>
          <w:sz w:val="24"/>
          <w:highlight w:val="yellow"/>
          <w:lang w:eastAsia="zh-CN"/>
        </w:rPr>
        <w:t>中小企业声明函格式：</w:t>
      </w:r>
    </w:p>
    <w:p>
      <w:pPr>
        <w:pStyle w:val="2"/>
        <w:numPr>
          <w:ilvl w:val="0"/>
          <w:numId w:val="0"/>
        </w:numPr>
        <w:ind w:leftChars="0"/>
        <w:rPr>
          <w:rFonts w:hint="eastAsia" w:ascii="宋体" w:hAnsi="宋体" w:cs="宋体"/>
          <w:b/>
          <w:color w:val="auto"/>
          <w:sz w:val="24"/>
          <w:highlight w:val="none"/>
          <w:lang w:eastAsia="zh-CN"/>
        </w:rPr>
      </w:pPr>
    </w:p>
    <w:p>
      <w:pPr>
        <w:widowControl w:val="0"/>
        <w:spacing w:line="360" w:lineRule="auto"/>
        <w:ind w:firstLine="562" w:firstLineChars="20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中小企业声明函（服务）</w:t>
      </w:r>
    </w:p>
    <w:p>
      <w:pPr>
        <w:widowControl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SA"/>
        </w:rPr>
        <w:t>（单位名称）</w:t>
      </w:r>
      <w:r>
        <w:rPr>
          <w:rFonts w:hint="eastAsia" w:ascii="宋体" w:hAnsi="宋体" w:eastAsia="宋体" w:cs="宋体"/>
          <w:color w:val="auto"/>
          <w:kern w:val="2"/>
          <w:sz w:val="24"/>
          <w:szCs w:val="24"/>
          <w:highlight w:val="none"/>
          <w:lang w:val="en-US" w:eastAsia="zh-CN" w:bidi="ar-SA"/>
        </w:rPr>
        <w:t xml:space="preserve">的 </w:t>
      </w:r>
      <w:r>
        <w:rPr>
          <w:rFonts w:hint="eastAsia" w:ascii="宋体" w:hAnsi="宋体" w:eastAsia="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采购活动，服务全部由符合政策要求的中小企业承接。相关企业（含联合体中的中小企业、签订分包意向协议的中小企业）的具体情况如下：</w:t>
      </w:r>
    </w:p>
    <w:p>
      <w:pPr>
        <w:widowControl w:val="0"/>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1.</w:t>
      </w:r>
      <w:r>
        <w:rPr>
          <w:rFonts w:hint="eastAsia" w:ascii="宋体" w:hAnsi="宋体" w:eastAsia="宋体" w:cs="宋体"/>
          <w:color w:val="auto"/>
          <w:kern w:val="2"/>
          <w:sz w:val="24"/>
          <w:szCs w:val="24"/>
          <w:highlight w:val="none"/>
          <w:u w:val="single"/>
          <w:lang w:val="en-US" w:eastAsia="zh-CN" w:bidi="ar-SA"/>
        </w:rPr>
        <w:t xml:space="preserve">（标的名称） </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 xml:space="preserve">（采购文件中明确的所属行业）  </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 xml:space="preserve">（企业名称） </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（中型企业、小型企业、微型企业） </w:t>
      </w:r>
      <w:r>
        <w:rPr>
          <w:rFonts w:hint="eastAsia" w:ascii="宋体" w:hAnsi="宋体" w:eastAsia="宋体" w:cs="宋体"/>
          <w:color w:val="auto"/>
          <w:kern w:val="2"/>
          <w:sz w:val="24"/>
          <w:szCs w:val="24"/>
          <w:highlight w:val="none"/>
          <w:lang w:val="en-US" w:eastAsia="zh-CN" w:bidi="ar-SA"/>
        </w:rPr>
        <w:t>；</w:t>
      </w:r>
    </w:p>
    <w:p>
      <w:pPr>
        <w:widowControl w:val="0"/>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2.</w:t>
      </w:r>
      <w:r>
        <w:rPr>
          <w:rFonts w:hint="eastAsia" w:ascii="宋体" w:hAnsi="宋体" w:eastAsia="宋体" w:cs="宋体"/>
          <w:color w:val="auto"/>
          <w:kern w:val="2"/>
          <w:sz w:val="24"/>
          <w:szCs w:val="24"/>
          <w:highlight w:val="none"/>
          <w:u w:val="single"/>
          <w:lang w:val="en-US" w:eastAsia="zh-CN" w:bidi="ar-SA"/>
        </w:rPr>
        <w:t xml:space="preserve">（标的名称） </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 xml:space="preserve">（采购文件中明确的所属行业） </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 xml:space="preserve">（企业名称） </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（中型企业、小型企业、微型企业） </w:t>
      </w:r>
      <w:r>
        <w:rPr>
          <w:rFonts w:hint="eastAsia" w:ascii="宋体" w:hAnsi="宋体" w:eastAsia="宋体" w:cs="宋体"/>
          <w:color w:val="auto"/>
          <w:kern w:val="2"/>
          <w:sz w:val="24"/>
          <w:szCs w:val="24"/>
          <w:highlight w:val="none"/>
          <w:lang w:val="en-US" w:eastAsia="zh-CN" w:bidi="ar-SA"/>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360" w:lineRule="auto"/>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spacing w:line="360" w:lineRule="auto"/>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auto"/>
        <w:rPr>
          <w:rFonts w:hint="eastAsia" w:ascii="宋体" w:hAnsi="宋体" w:eastAsia="宋体" w:cs="宋体"/>
          <w:color w:val="auto"/>
          <w:sz w:val="24"/>
          <w:szCs w:val="24"/>
          <w:highlight w:val="none"/>
        </w:rPr>
      </w:pP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p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资产总额填报上一年度数据，无上一年度数据的新成立企业可不填报。</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2.中小企业划型应按《关于印发中小企业划型标准规定的通知》（工信部联企业〔2011〕300号）规定的划型标准划分。</w:t>
      </w:r>
    </w:p>
    <w:p>
      <w:pPr>
        <w:spacing w:line="360" w:lineRule="auto"/>
        <w:ind w:firstLine="562" w:firstLineChars="200"/>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sz w:val="28"/>
          <w:szCs w:val="28"/>
          <w:highlight w:val="none"/>
          <w:u w:val="double"/>
        </w:rPr>
        <w:t>本项目</w:t>
      </w:r>
      <w:r>
        <w:rPr>
          <w:rFonts w:hint="eastAsia" w:ascii="宋体" w:hAnsi="宋体" w:cs="宋体"/>
          <w:b/>
          <w:bCs/>
          <w:color w:val="auto"/>
          <w:sz w:val="28"/>
          <w:szCs w:val="28"/>
          <w:highlight w:val="none"/>
          <w:u w:val="double"/>
          <w:lang w:eastAsia="zh-CN"/>
        </w:rPr>
        <w:t>采购标的对应的中小企业划分标准所属行业</w:t>
      </w:r>
      <w:r>
        <w:rPr>
          <w:rFonts w:hint="eastAsia" w:ascii="宋体" w:hAnsi="宋体" w:eastAsia="宋体" w:cs="宋体"/>
          <w:b/>
          <w:bCs/>
          <w:color w:val="auto"/>
          <w:sz w:val="28"/>
          <w:szCs w:val="28"/>
          <w:highlight w:val="none"/>
          <w:u w:val="double"/>
        </w:rPr>
        <w:t>为</w:t>
      </w:r>
      <w:r>
        <w:rPr>
          <w:rFonts w:hint="eastAsia" w:ascii="宋体" w:hAnsi="宋体" w:cs="宋体"/>
          <w:b/>
          <w:bCs/>
          <w:color w:val="auto"/>
          <w:sz w:val="28"/>
          <w:szCs w:val="28"/>
          <w:highlight w:val="none"/>
          <w:u w:val="double"/>
          <w:lang w:val="en-US" w:eastAsia="zh-CN"/>
        </w:rPr>
        <w:t>物业管理</w:t>
      </w:r>
      <w:r>
        <w:rPr>
          <w:rFonts w:hint="eastAsia" w:ascii="宋体" w:hAnsi="宋体" w:eastAsia="宋体" w:cs="宋体"/>
          <w:b/>
          <w:bCs/>
          <w:color w:val="auto"/>
          <w:sz w:val="28"/>
          <w:szCs w:val="28"/>
          <w:highlight w:val="none"/>
          <w:u w:val="double"/>
        </w:rPr>
        <w:t>。</w:t>
      </w:r>
    </w:p>
    <w:p>
      <w:pPr>
        <w:pStyle w:val="3"/>
        <w:rPr>
          <w:rFonts w:hint="eastAsia"/>
          <w:color w:val="auto"/>
          <w:highlight w:val="none"/>
          <w:u w:val="single"/>
        </w:rPr>
      </w:pPr>
    </w:p>
    <w:p>
      <w:pPr>
        <w:pStyle w:val="37"/>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auto"/>
          <w:spacing w:val="0"/>
          <w:sz w:val="24"/>
          <w:szCs w:val="24"/>
        </w:rPr>
      </w:pPr>
      <w:r>
        <w:rPr>
          <w:rFonts w:hint="eastAsia" w:ascii="宋体" w:hAnsi="宋体" w:cs="宋体"/>
          <w:b/>
          <w:bCs/>
          <w:color w:val="auto"/>
          <w:kern w:val="0"/>
          <w:sz w:val="28"/>
          <w:szCs w:val="28"/>
          <w:highlight w:val="none"/>
        </w:rPr>
        <w:br w:type="page"/>
      </w:r>
      <w:r>
        <w:rPr>
          <w:rFonts w:hint="eastAsia" w:ascii="宋体" w:hAnsi="宋体" w:eastAsia="宋体" w:cs="宋体"/>
          <w:b/>
          <w:i w:val="0"/>
          <w:caps w:val="0"/>
          <w:color w:val="auto"/>
          <w:spacing w:val="0"/>
          <w:sz w:val="36"/>
          <w:szCs w:val="36"/>
          <w:u w:val="none"/>
          <w:shd w:val="clear" w:fill="FFFFFF"/>
        </w:rPr>
        <w:t>关于印发中小企业划型标准规定的通知</w:t>
      </w:r>
      <w:r>
        <w:rPr>
          <w:rFonts w:hint="eastAsia" w:ascii="宋体" w:hAnsi="宋体" w:eastAsia="宋体" w:cs="宋体"/>
          <w:b w:val="0"/>
          <w:i w:val="0"/>
          <w:caps w:val="0"/>
          <w:color w:val="auto"/>
          <w:spacing w:val="0"/>
          <w:sz w:val="24"/>
          <w:szCs w:val="24"/>
          <w:shd w:val="clear" w:fill="FFFFFF"/>
        </w:rPr>
        <w:br w:type="textWrapping"/>
      </w:r>
      <w:r>
        <w:rPr>
          <w:rFonts w:ascii="楷体_GB2312" w:hAnsi="宋体" w:eastAsia="楷体_GB2312" w:cs="楷体_GB2312"/>
          <w:b w:val="0"/>
          <w:i w:val="0"/>
          <w:caps w:val="0"/>
          <w:color w:val="auto"/>
          <w:spacing w:val="0"/>
          <w:sz w:val="24"/>
          <w:szCs w:val="24"/>
          <w:shd w:val="clear" w:fill="FFFFFF"/>
        </w:rPr>
        <w:t>工信部联企业〔2011〕300号</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各省、自治区、直辖市人民政府，国务院各部委、各直属机构及有关单位：</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工业和信息化部　国家统计局</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国家发展和改革委员会　财政部</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二○一一年六月十八日</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w:t>
      </w:r>
    </w:p>
    <w:p>
      <w:pPr>
        <w:pStyle w:val="37"/>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auto"/>
          <w:spacing w:val="0"/>
          <w:sz w:val="24"/>
          <w:szCs w:val="24"/>
        </w:rPr>
      </w:pPr>
      <w:r>
        <w:rPr>
          <w:rStyle w:val="45"/>
          <w:rFonts w:hint="eastAsia" w:ascii="宋体" w:hAnsi="宋体" w:eastAsia="宋体" w:cs="宋体"/>
          <w:i w:val="0"/>
          <w:caps w:val="0"/>
          <w:color w:val="auto"/>
          <w:spacing w:val="0"/>
          <w:sz w:val="36"/>
          <w:szCs w:val="36"/>
          <w:shd w:val="clear" w:fill="FFFFFF"/>
        </w:rPr>
        <w:t>中小企业划型标准规定</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一、根据《中华人民共和国中小企业促进法》和《国务院关于进一步促进中小企业发展的若干意见》(国发〔2009〕36号)，制定本规定。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二、中小企业划分为中型、小型、微型三种类型，具体标准根据企业从业人员、营业收入、资产总额等指标，结合行业特点制定。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四、各行业划型标准为：</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五、企业类型的划分以统计部门的统计数据为依据。</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八、本规定由工业和信息化部、国家统计局会同有关部门根据《国民经济行业分类》修订情况和企业发展变化情况适时修订。</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九、本规定由工业和信息化部、国家统计局会同有关部门负责解释。</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十、本规定自发布之日起执行，原国家经贸委、原国家计委、财政部和国家统计局2003年颁布的《中小企业标准暂行规定》同时废止。</w:t>
      </w:r>
    </w:p>
    <w:p>
      <w:pPr>
        <w:rPr>
          <w:color w:val="auto"/>
        </w:rPr>
      </w:pPr>
    </w:p>
    <w:p>
      <w:pPr>
        <w:overflowPunct w:val="0"/>
        <w:spacing w:line="360" w:lineRule="auto"/>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残疾人福利性单位声明函</w:t>
      </w:r>
      <w:r>
        <w:rPr>
          <w:rFonts w:hint="eastAsia" w:ascii="宋体" w:hAnsi="宋体" w:cs="宋体"/>
          <w:b/>
          <w:color w:val="auto"/>
          <w:sz w:val="24"/>
          <w:highlight w:val="none"/>
          <w:lang w:eastAsia="zh-CN"/>
        </w:rPr>
        <w:t>格式：</w:t>
      </w:r>
    </w:p>
    <w:p>
      <w:pPr>
        <w:rPr>
          <w:rFonts w:hint="eastAsia" w:ascii="宋体" w:hAnsi="宋体" w:eastAsia="宋体" w:cs="宋体"/>
          <w:color w:val="auto"/>
          <w:sz w:val="24"/>
          <w:highlight w:val="none"/>
        </w:rPr>
      </w:pPr>
    </w:p>
    <w:p>
      <w:pPr>
        <w:rPr>
          <w:rFonts w:hint="eastAsia"/>
          <w:color w:val="auto"/>
          <w:highlight w:val="none"/>
        </w:rPr>
      </w:pPr>
    </w:p>
    <w:p>
      <w:pPr>
        <w:overflowPunct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overflowPunct w:val="0"/>
        <w:spacing w:line="360" w:lineRule="auto"/>
        <w:ind w:firstLine="480" w:firstLineChars="200"/>
        <w:rPr>
          <w:rFonts w:hint="eastAsia" w:ascii="宋体" w:hAnsi="宋体" w:eastAsia="宋体" w:cs="宋体"/>
          <w:color w:val="auto"/>
          <w:sz w:val="24"/>
          <w:highlight w:val="none"/>
        </w:rPr>
      </w:pPr>
    </w:p>
    <w:p>
      <w:pPr>
        <w:overflowPunct w:val="0"/>
        <w:spacing w:line="360" w:lineRule="auto"/>
        <w:ind w:firstLine="6720" w:firstLineChars="2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单位名称（盖章）：             </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1.填写前请认真阅读财库〔2017〕141号《三部门联合发布关于促进残疾人就业政府采购政策的通知》相关规定，并对声明的真实性负责。</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供应商为残疾人福利性单位的，</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结果将同时公告其《残疾人福利性单位声明函》，接受社会监督。</w:t>
      </w: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宋体" w:hAnsi="宋体" w:eastAsia="宋体" w:cs="宋体"/>
          <w:color w:val="auto"/>
          <w:sz w:val="24"/>
          <w:highlight w:val="none"/>
        </w:rPr>
        <w:br w:type="page"/>
      </w:r>
      <w:r>
        <w:rPr>
          <w:rFonts w:hint="eastAsia" w:asciiTheme="minorEastAsia" w:hAnsiTheme="minorEastAsia" w:eastAsiaTheme="minorEastAsia" w:cstheme="minorEastAsia"/>
          <w:color w:val="auto"/>
          <w:kern w:val="0"/>
          <w:sz w:val="24"/>
          <w:szCs w:val="28"/>
          <w:highlight w:val="none"/>
          <w:lang w:eastAsia="zh-CN"/>
        </w:rPr>
        <w:t>七、</w:t>
      </w:r>
      <w:r>
        <w:rPr>
          <w:rFonts w:hint="eastAsia" w:asciiTheme="minorEastAsia" w:hAnsiTheme="minorEastAsia" w:eastAsiaTheme="minorEastAsia" w:cstheme="minorEastAsia"/>
          <w:color w:val="auto"/>
          <w:kern w:val="0"/>
          <w:sz w:val="24"/>
          <w:szCs w:val="28"/>
          <w:highlight w:val="none"/>
        </w:rPr>
        <w:t>磋商须知前附表要求供应商提供的其他资料</w:t>
      </w:r>
    </w:p>
    <w:p>
      <w:pPr>
        <w:autoSpaceDE w:val="0"/>
        <w:autoSpaceDN w:val="0"/>
        <w:adjustRightInd w:val="0"/>
        <w:spacing w:line="400" w:lineRule="exact"/>
        <w:jc w:val="left"/>
        <w:rPr>
          <w:rFonts w:hint="eastAsia" w:asciiTheme="minorEastAsia" w:hAnsiTheme="minorEastAsia" w:eastAsiaTheme="minorEastAsia" w:cstheme="minorEastAsia"/>
          <w:b/>
          <w:color w:val="auto"/>
          <w:spacing w:val="20"/>
          <w:sz w:val="24"/>
          <w:szCs w:val="28"/>
          <w:highlight w:val="none"/>
        </w:rPr>
      </w:pPr>
      <w:r>
        <w:rPr>
          <w:rFonts w:hint="eastAsia" w:asciiTheme="minorEastAsia" w:hAnsiTheme="minorEastAsia" w:eastAsiaTheme="minorEastAsia" w:cstheme="minorEastAsia"/>
          <w:b/>
          <w:color w:val="auto"/>
          <w:spacing w:val="20"/>
          <w:sz w:val="24"/>
          <w:szCs w:val="28"/>
          <w:highlight w:val="none"/>
        </w:rPr>
        <w:t>（注意：供应商递交</w:t>
      </w:r>
      <w:r>
        <w:rPr>
          <w:rFonts w:hint="eastAsia" w:asciiTheme="minorEastAsia" w:hAnsiTheme="minorEastAsia" w:eastAsiaTheme="minorEastAsia" w:cstheme="minorEastAsia"/>
          <w:b/>
          <w:color w:val="auto"/>
          <w:spacing w:val="20"/>
          <w:sz w:val="24"/>
          <w:szCs w:val="28"/>
          <w:highlight w:val="none"/>
          <w:lang w:val="en-US" w:eastAsia="zh-CN"/>
        </w:rPr>
        <w:t>首次</w:t>
      </w:r>
      <w:r>
        <w:rPr>
          <w:rFonts w:hint="eastAsia" w:asciiTheme="minorEastAsia" w:hAnsiTheme="minorEastAsia" w:eastAsiaTheme="minorEastAsia" w:cstheme="minorEastAsia"/>
          <w:b/>
          <w:color w:val="auto"/>
          <w:spacing w:val="20"/>
          <w:sz w:val="24"/>
          <w:szCs w:val="28"/>
          <w:highlight w:val="none"/>
        </w:rPr>
        <w:t>响应文件时，请同时单独递交供应商信息、响应文件签收回执，无需密封包装）</w:t>
      </w:r>
    </w:p>
    <w:p>
      <w:pPr>
        <w:autoSpaceDE w:val="0"/>
        <w:autoSpaceDN w:val="0"/>
        <w:adjustRightInd w:val="0"/>
        <w:spacing w:line="400" w:lineRule="exact"/>
        <w:jc w:val="left"/>
        <w:rPr>
          <w:rFonts w:hint="eastAsia" w:asciiTheme="minorEastAsia" w:hAnsiTheme="minorEastAsia" w:eastAsiaTheme="minorEastAsia" w:cstheme="minorEastAsia"/>
          <w:b/>
          <w:color w:val="auto"/>
          <w:spacing w:val="20"/>
          <w:sz w:val="24"/>
          <w:szCs w:val="28"/>
          <w:highlight w:val="none"/>
        </w:rPr>
      </w:pPr>
    </w:p>
    <w:p>
      <w:pPr>
        <w:ind w:firstLine="420"/>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供应商信息</w:t>
      </w:r>
    </w:p>
    <w:p>
      <w:pPr>
        <w:autoSpaceDE w:val="0"/>
        <w:autoSpaceDN w:val="0"/>
        <w:adjustRightInd w:val="0"/>
        <w:spacing w:line="480" w:lineRule="auto"/>
        <w:jc w:val="left"/>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供应商信息：</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供应商全称：</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供应商统一社会信用代码：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供应商联系电话：</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供应商地址：</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法定代表人（负责人）姓名：</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法定代表人（负责人）身份证号码：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授权委托代理人姓名：</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授权委托代理人身份证号码：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p>
    <w:p>
      <w:pPr>
        <w:snapToGrid w:val="0"/>
        <w:spacing w:line="480" w:lineRule="auto"/>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供应商开票资料：</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开票信息</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（填“专票”或“普票”）</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供应商名称：</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纳税人识别号：</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地址、电话：</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开户行及帐号：</w:t>
      </w:r>
      <w:r>
        <w:rPr>
          <w:rFonts w:hint="eastAsia" w:asciiTheme="minorEastAsia" w:hAnsiTheme="minorEastAsia" w:eastAsiaTheme="minorEastAsia" w:cstheme="minorEastAsia"/>
          <w:color w:val="auto"/>
          <w:sz w:val="24"/>
          <w:szCs w:val="28"/>
          <w:highlight w:val="none"/>
          <w:u w:val="single"/>
        </w:rPr>
        <w:t xml:space="preserve">             　               </w:t>
      </w:r>
    </w:p>
    <w:p>
      <w:pPr>
        <w:autoSpaceDE w:val="0"/>
        <w:autoSpaceDN w:val="0"/>
        <w:adjustRightInd w:val="0"/>
        <w:spacing w:line="276" w:lineRule="auto"/>
        <w:ind w:firstLine="241" w:firstLineChars="100"/>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b/>
          <w:bCs/>
          <w:color w:val="auto"/>
          <w:sz w:val="24"/>
          <w:szCs w:val="28"/>
          <w:highlight w:val="none"/>
        </w:rPr>
        <w:br w:type="page"/>
      </w:r>
      <w:r>
        <w:rPr>
          <w:rFonts w:hint="eastAsia" w:asciiTheme="minorEastAsia" w:hAnsiTheme="minorEastAsia" w:eastAsiaTheme="minorEastAsia" w:cstheme="minorEastAsia"/>
          <w:b/>
          <w:bCs/>
          <w:color w:val="auto"/>
          <w:sz w:val="24"/>
          <w:szCs w:val="28"/>
          <w:highlight w:val="none"/>
        </w:rPr>
        <w:t>响应文件签收回执</w:t>
      </w:r>
      <w:r>
        <w:rPr>
          <w:rFonts w:hint="eastAsia" w:asciiTheme="minorEastAsia" w:hAnsiTheme="minorEastAsia" w:eastAsiaTheme="minorEastAsia" w:cstheme="minorEastAsia"/>
          <w:b/>
          <w:color w:val="auto"/>
          <w:spacing w:val="20"/>
          <w:sz w:val="24"/>
          <w:szCs w:val="28"/>
          <w:highlight w:val="none"/>
        </w:rPr>
        <w:t>（一式两联）</w:t>
      </w:r>
    </w:p>
    <w:tbl>
      <w:tblPr>
        <w:tblStyle w:val="42"/>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393"/>
        <w:gridCol w:w="447"/>
        <w:gridCol w:w="143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递交人姓名</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身份证号码</w:t>
            </w:r>
          </w:p>
        </w:tc>
        <w:tc>
          <w:tcPr>
            <w:tcW w:w="1840"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43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84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递交时间</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密封情况</w:t>
            </w:r>
          </w:p>
        </w:tc>
        <w:tc>
          <w:tcPr>
            <w:tcW w:w="1393"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886"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签收人</w:t>
            </w:r>
          </w:p>
        </w:tc>
        <w:tc>
          <w:tcPr>
            <w:tcW w:w="184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bl>
    <w:p>
      <w:pPr>
        <w:autoSpaceDE w:val="0"/>
        <w:autoSpaceDN w:val="0"/>
        <w:adjustRightInd w:val="0"/>
        <w:spacing w:line="276" w:lineRule="auto"/>
        <w:jc w:val="center"/>
        <w:rPr>
          <w:rFonts w:hint="eastAsia" w:asciiTheme="minorEastAsia" w:hAnsiTheme="minorEastAsia" w:eastAsiaTheme="minorEastAsia" w:cstheme="minorEastAsia"/>
          <w:color w:val="auto"/>
          <w:spacing w:val="20"/>
          <w:sz w:val="24"/>
          <w:szCs w:val="28"/>
          <w:highlight w:val="none"/>
        </w:rPr>
      </w:pPr>
    </w:p>
    <w:p>
      <w:pPr>
        <w:autoSpaceDE w:val="0"/>
        <w:autoSpaceDN w:val="0"/>
        <w:adjustRightInd w:val="0"/>
        <w:spacing w:line="276" w:lineRule="auto"/>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color w:val="auto"/>
          <w:spacing w:val="20"/>
          <w:sz w:val="24"/>
          <w:szCs w:val="28"/>
          <w:highlight w:val="none"/>
        </w:rPr>
        <w:t>注：在“采购代理机构签收人”处，供应商不用填写</w:t>
      </w:r>
    </w:p>
    <w:p>
      <w:pPr>
        <w:autoSpaceDE w:val="0"/>
        <w:autoSpaceDN w:val="0"/>
        <w:adjustRightInd w:val="0"/>
        <w:spacing w:line="276" w:lineRule="auto"/>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color w:val="auto"/>
          <w:spacing w:val="20"/>
          <w:sz w:val="24"/>
          <w:szCs w:val="28"/>
          <w:highlight w:val="none"/>
        </w:rPr>
        <w:t>—————————————————————————————————</w:t>
      </w:r>
    </w:p>
    <w:p>
      <w:pPr>
        <w:autoSpaceDE w:val="0"/>
        <w:autoSpaceDN w:val="0"/>
        <w:adjustRightInd w:val="0"/>
        <w:spacing w:line="276" w:lineRule="auto"/>
        <w:ind w:firstLine="241" w:firstLineChars="100"/>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b/>
          <w:bCs/>
          <w:color w:val="auto"/>
          <w:sz w:val="24"/>
          <w:szCs w:val="28"/>
          <w:highlight w:val="none"/>
        </w:rPr>
        <w:t>响应文件签收回执</w:t>
      </w:r>
      <w:r>
        <w:rPr>
          <w:rFonts w:hint="eastAsia" w:asciiTheme="minorEastAsia" w:hAnsiTheme="minorEastAsia" w:eastAsiaTheme="minorEastAsia" w:cstheme="minorEastAsia"/>
          <w:b/>
          <w:color w:val="auto"/>
          <w:spacing w:val="20"/>
          <w:sz w:val="24"/>
          <w:szCs w:val="28"/>
          <w:highlight w:val="none"/>
        </w:rPr>
        <w:t>（一式两联）</w:t>
      </w:r>
    </w:p>
    <w:tbl>
      <w:tblPr>
        <w:tblStyle w:val="42"/>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803"/>
        <w:gridCol w:w="37"/>
        <w:gridCol w:w="1439"/>
        <w:gridCol w:w="57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递交人姓名</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身份证号码</w:t>
            </w:r>
          </w:p>
        </w:tc>
        <w:tc>
          <w:tcPr>
            <w:tcW w:w="1840"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43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849"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递交时间</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密封情况</w:t>
            </w:r>
          </w:p>
        </w:tc>
        <w:tc>
          <w:tcPr>
            <w:tcW w:w="1803"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2050" w:type="dxa"/>
            <w:gridSpan w:val="3"/>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签收人</w:t>
            </w:r>
          </w:p>
        </w:tc>
        <w:tc>
          <w:tcPr>
            <w:tcW w:w="1275"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bl>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八、供应商认为需提供的其他资料</w:t>
      </w:r>
    </w:p>
    <w:p>
      <w:pPr>
        <w:rPr>
          <w:rFonts w:hint="eastAsia" w:asciiTheme="minorEastAsia" w:hAnsiTheme="minorEastAsia" w:eastAsiaTheme="minorEastAsia" w:cstheme="minorEastAsia"/>
          <w:color w:val="auto"/>
          <w:kern w:val="0"/>
          <w:sz w:val="24"/>
          <w:szCs w:val="28"/>
          <w:highlight w:val="none"/>
        </w:rPr>
      </w:pPr>
    </w:p>
    <w:p>
      <w:pPr>
        <w:ind w:firstLine="482"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4"/>
          <w:szCs w:val="28"/>
          <w:highlight w:val="none"/>
        </w:rPr>
        <w:br w:type="page"/>
      </w:r>
      <w:r>
        <w:rPr>
          <w:rFonts w:hint="eastAsia" w:asciiTheme="minorEastAsia" w:hAnsiTheme="minorEastAsia" w:eastAsiaTheme="minorEastAsia" w:cstheme="minorEastAsia"/>
          <w:b/>
          <w:color w:val="auto"/>
          <w:kern w:val="0"/>
          <w:sz w:val="32"/>
          <w:szCs w:val="32"/>
          <w:highlight w:val="none"/>
        </w:rPr>
        <w:t>第二部分 技术部分</w:t>
      </w:r>
    </w:p>
    <w:p>
      <w:pPr>
        <w:ind w:firstLine="643" w:firstLineChars="200"/>
        <w:jc w:val="center"/>
        <w:rPr>
          <w:rFonts w:hint="eastAsia" w:asciiTheme="minorEastAsia" w:hAnsiTheme="minorEastAsia" w:eastAsiaTheme="minorEastAsia" w:cstheme="minorEastAsia"/>
          <w:b/>
          <w:color w:val="auto"/>
          <w:kern w:val="0"/>
          <w:sz w:val="32"/>
          <w:szCs w:val="32"/>
          <w:highlight w:val="none"/>
        </w:rPr>
      </w:pP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一、服务方案（格式自拟）</w:t>
      </w: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rPr>
      </w:pP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rPr>
        <w:t>二、</w:t>
      </w:r>
      <w:r>
        <w:rPr>
          <w:rFonts w:hint="eastAsia" w:asciiTheme="minorEastAsia" w:hAnsiTheme="minorEastAsia" w:eastAsiaTheme="minorEastAsia" w:cstheme="minorEastAsia"/>
          <w:color w:val="auto"/>
          <w:kern w:val="0"/>
          <w:sz w:val="24"/>
          <w:szCs w:val="28"/>
          <w:highlight w:val="none"/>
          <w:lang w:eastAsia="zh-CN"/>
        </w:rPr>
        <w:t>技术条款偏离表</w:t>
      </w:r>
    </w:p>
    <w:p>
      <w:pPr>
        <w:spacing w:line="360" w:lineRule="auto"/>
        <w:ind w:firstLine="602" w:firstLineChars="200"/>
        <w:jc w:val="center"/>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kern w:val="0"/>
          <w:sz w:val="30"/>
          <w:szCs w:val="30"/>
          <w:highlight w:val="none"/>
          <w:lang w:eastAsia="zh-CN"/>
        </w:rPr>
        <w:t>技术条款偏离表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项目编号：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p>
    <w:tbl>
      <w:tblPr>
        <w:tblStyle w:val="42"/>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94"/>
        <w:gridCol w:w="2986"/>
        <w:gridCol w:w="1652"/>
        <w:gridCol w:w="10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品目号</w:t>
            </w: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服务名称</w:t>
            </w: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技术服务需求及要求</w:t>
            </w: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响应情况</w:t>
            </w: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偏离</w:t>
            </w: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2"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说明：在偏离项必须注明正偏离、负偏离或无偏离。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三、售后服务承诺格式</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lang w:eastAsia="zh-CN"/>
        </w:rPr>
        <w:t>（正文内容自拟）</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四、用于本项目人员简历表</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用于本项目人员简历表</w:t>
      </w:r>
    </w:p>
    <w:p>
      <w:pPr>
        <w:ind w:firstLine="480" w:firstLineChars="200"/>
        <w:rPr>
          <w:rFonts w:hint="eastAsia" w:asciiTheme="minorEastAsia" w:hAnsiTheme="minorEastAsia" w:eastAsiaTheme="minorEastAsia" w:cstheme="minorEastAsia"/>
          <w:color w:val="auto"/>
          <w:kern w:val="0"/>
          <w:sz w:val="24"/>
          <w:szCs w:val="28"/>
          <w:highlight w:val="none"/>
        </w:rPr>
      </w:pPr>
    </w:p>
    <w:tbl>
      <w:tblPr>
        <w:tblStyle w:val="42"/>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1964"/>
        <w:gridCol w:w="2212"/>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姓名</w:t>
            </w: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性别</w:t>
            </w: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职务</w:t>
            </w: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职称</w:t>
            </w: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毕业学校、专业</w:t>
            </w:r>
          </w:p>
        </w:tc>
        <w:tc>
          <w:tcPr>
            <w:tcW w:w="6891" w:type="dxa"/>
            <w:gridSpan w:val="3"/>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w:t>
            </w: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拟在本项目任职</w:t>
            </w: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执业资格证</w:t>
            </w: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执业资格证书号</w:t>
            </w: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0" w:type="dxa"/>
            <w:gridSpan w:val="4"/>
            <w:vAlign w:val="center"/>
          </w:tcPr>
          <w:p>
            <w:pPr>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近____年承担项目情况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时间</w:t>
            </w: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类似项目名称</w:t>
            </w: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担任职务</w:t>
            </w: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五、磋商标的物符合磋商文件规定的证明文件</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备注：提供第二章“磋商须知前附表”和第六章“项目采购需求”要求(包括磋商标的物的强制性认证、注册等)的证明材料复印件。</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六、其他资料</w:t>
      </w:r>
    </w:p>
    <w:p>
      <w:pPr>
        <w:rPr>
          <w:rFonts w:ascii="宋体" w:hAnsi="宋体" w:cs="宋体"/>
          <w:color w:val="auto"/>
          <w:kern w:val="0"/>
          <w:sz w:val="24"/>
          <w:szCs w:val="28"/>
        </w:rPr>
      </w:pPr>
    </w:p>
    <w:p>
      <w:pPr>
        <w:rPr>
          <w:rFonts w:ascii="宋体" w:hAnsi="宋体" w:cs="宋体"/>
          <w:color w:val="auto"/>
          <w:kern w:val="0"/>
          <w:sz w:val="24"/>
          <w:szCs w:val="28"/>
        </w:rPr>
      </w:pPr>
    </w:p>
    <w:p>
      <w:pPr>
        <w:spacing w:line="360" w:lineRule="auto"/>
        <w:jc w:val="center"/>
        <w:outlineLvl w:val="0"/>
        <w:rPr>
          <w:rFonts w:cs="Courier New"/>
          <w:b/>
          <w:color w:val="auto"/>
          <w:sz w:val="28"/>
        </w:rPr>
      </w:pPr>
      <w:r>
        <w:rPr>
          <w:rFonts w:hint="eastAsia" w:ascii="宋体" w:hAnsi="宋体" w:cs="宋体"/>
          <w:b/>
          <w:color w:val="auto"/>
          <w:kern w:val="0"/>
          <w:sz w:val="24"/>
          <w:szCs w:val="28"/>
        </w:rPr>
        <w:br w:type="page"/>
      </w:r>
      <w:bookmarkStart w:id="63" w:name="_Toc30243"/>
      <w:bookmarkStart w:id="64" w:name="_Toc17978"/>
      <w:r>
        <w:rPr>
          <w:rFonts w:hint="eastAsia" w:cs="Courier New"/>
          <w:b/>
          <w:color w:val="auto"/>
          <w:sz w:val="28"/>
        </w:rPr>
        <w:t>第二部分　技术部分</w:t>
      </w:r>
      <w:bookmarkEnd w:id="63"/>
    </w:p>
    <w:p>
      <w:pPr>
        <w:spacing w:line="360" w:lineRule="auto"/>
        <w:jc w:val="center"/>
        <w:outlineLvl w:val="0"/>
        <w:rPr>
          <w:rFonts w:ascii="宋体" w:hAnsi="宋体" w:cs="宋体"/>
          <w:b/>
          <w:color w:val="auto"/>
          <w:sz w:val="28"/>
          <w:szCs w:val="28"/>
        </w:rPr>
      </w:pPr>
      <w:r>
        <w:rPr>
          <w:rFonts w:hint="eastAsia" w:ascii="宋体" w:hAnsi="宋体" w:cs="宋体"/>
          <w:b/>
          <w:color w:val="auto"/>
          <w:sz w:val="28"/>
          <w:szCs w:val="28"/>
        </w:rPr>
        <w:t>第六章 项目采购需求</w:t>
      </w:r>
      <w:bookmarkEnd w:id="64"/>
    </w:p>
    <w:p>
      <w:pPr>
        <w:spacing w:line="360" w:lineRule="auto"/>
        <w:rPr>
          <w:rFonts w:ascii="宋体" w:hAnsi="宋体" w:cs="宋体"/>
          <w:b/>
          <w:bCs/>
          <w:color w:val="auto"/>
          <w:szCs w:val="21"/>
        </w:rPr>
      </w:pPr>
      <w:bookmarkStart w:id="65" w:name="_Toc457576272"/>
      <w:r>
        <w:rPr>
          <w:rFonts w:hint="eastAsia" w:ascii="宋体" w:hAnsi="宋体" w:cs="宋体"/>
          <w:b/>
          <w:bCs/>
          <w:color w:val="auto"/>
          <w:szCs w:val="21"/>
        </w:rPr>
        <w:t>说明：</w:t>
      </w:r>
    </w:p>
    <w:p>
      <w:pPr>
        <w:spacing w:line="360" w:lineRule="auto"/>
        <w:ind w:firstLine="413" w:firstLineChars="196"/>
        <w:rPr>
          <w:rFonts w:ascii="宋体" w:hAnsi="宋体" w:cs="宋体"/>
          <w:b/>
          <w:bCs/>
          <w:color w:val="auto"/>
          <w:szCs w:val="21"/>
        </w:rPr>
      </w:pPr>
      <w:r>
        <w:rPr>
          <w:rFonts w:hint="eastAsia" w:ascii="宋体" w:hAnsi="宋体" w:cs="宋体"/>
          <w:b/>
          <w:bCs/>
          <w:color w:val="auto"/>
          <w:szCs w:val="21"/>
        </w:rPr>
        <w:t>磋商文件中带“★”的条款为实质性要求和条件，供应商须满足或响应，若无法完全满足，将会被认定为无效竞标。</w:t>
      </w:r>
    </w:p>
    <w:p>
      <w:pPr>
        <w:spacing w:line="360" w:lineRule="auto"/>
        <w:ind w:firstLine="413" w:firstLineChars="196"/>
        <w:rPr>
          <w:rFonts w:hint="eastAsia" w:ascii="宋体" w:hAnsi="宋体" w:cs="宋体"/>
          <w:b/>
          <w:bCs/>
          <w:color w:val="auto"/>
          <w:sz w:val="21"/>
          <w:szCs w:val="21"/>
          <w:lang w:eastAsia="zh-CN"/>
        </w:rPr>
      </w:pPr>
      <w:r>
        <w:rPr>
          <w:rFonts w:hint="eastAsia" w:ascii="宋体" w:hAnsi="宋体" w:cs="宋体"/>
          <w:b/>
          <w:bCs/>
          <w:color w:val="auto"/>
          <w:sz w:val="21"/>
          <w:szCs w:val="21"/>
        </w:rPr>
        <w:t>采购内容所属行业：物业管理</w:t>
      </w:r>
      <w:r>
        <w:rPr>
          <w:rFonts w:hint="eastAsia" w:ascii="宋体" w:hAnsi="宋体" w:cs="宋体"/>
          <w:b/>
          <w:bCs/>
          <w:color w:val="auto"/>
          <w:sz w:val="21"/>
          <w:szCs w:val="21"/>
          <w:lang w:eastAsia="zh-CN"/>
        </w:rPr>
        <w:t>。</w:t>
      </w:r>
    </w:p>
    <w:bookmarkEnd w:id="65"/>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b/>
          <w:bCs/>
          <w:color w:val="auto"/>
          <w:kern w:val="0"/>
          <w:sz w:val="21"/>
          <w:szCs w:val="21"/>
          <w:lang w:val="en-US" w:eastAsia="zh-CN"/>
        </w:rPr>
        <w:t>一、物业管理服务范围为国家税务总局融安县税务局办公区，其中：</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县局本部办公区位于融安县长安镇融州路588号，建筑面积3695㎡，占地面积为：5500㎡，办公大楼1栋，6层，配备有电梯一部，发电机房1个，广场1个，停车棚2个，篮球场１个，食堂1栋，绿地面积为：350㎡，共有1个出入口。</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东兴办公区位于融安县长安镇东兴路13号，建筑面积4169.08㎡，占地面积为：7000㎡，办公大楼1栋，6层，无电梯，地下停车场1个，篮球场１个，食堂1栋，绿地面积为：230㎡，共有1个出入口。</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b/>
          <w:bCs/>
          <w:color w:val="auto"/>
          <w:kern w:val="0"/>
          <w:sz w:val="21"/>
          <w:szCs w:val="21"/>
          <w:lang w:val="en-US" w:eastAsia="zh-CN"/>
        </w:rPr>
        <w:t>二、物业管理服务委托事项</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（一）房屋建筑本体共用部位日常维护和管理的服务质量标准</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负责建筑本体（楼盖、梁、柱、内外墙体和基础等承重结构部位、外墙面、楼梯间、走廊通门厅等）按国家或行业标准进行维修、养护和管理，保证各建筑物均处于良好状态，发现损坏及时组织维修部门维修。维护费用由采购人支付。</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（二）房屋建筑本体共用设施设备日常维护、管理和运行服务的服务质量标准</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1.负责建筑本体共用设施设备（共用的上、下管道、落水管、照明、配电系统，消防设备、安防监控设施等）的维修、养护、清洁、管理、保证各种设施设备均处于良好状态，出现故障及时排除；</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2.负责公共设施和附属建筑物、构筑物的维修、养护和管理，包括道路、室外上下水管道、排水道、化粪池、泵房、发电机房、露天停车场、电动门等；</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3.负责电梯、安防监控设备的维保及防雷检测等，费用由采购人支付；</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4.确保物业服务区域内休闲设施保持完好；路面平整、畅通、井盖无丢失；负责路灯、楼道灯、各办公区域等设施的维修、更换；</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5.保证物业服务区域内公用设施、设备及场所运行正常，处于完好状态，水电供应正常；急修1小时内到达现场，出现故障12小时内排除；</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6.电梯、变压设备、消防设备、建筑外墙清洗、安防监控设备及防雷设施的大、中、修更新改造等工作由采购人另行聘请专业单位负责，费用由采购人承担，中标单位做好设备的日常管理和巡检，发现问题及时联系专业单位进行处理并做好相关配合工作。</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（三）安全防范的服务质量标准及要求</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1.做好小区内的安全生产、安全保卫、处置治安、突发事件和消防保障、消防安全检查工作；</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秩序维护管理严密、严格、正规，措施得力，人员尽责，监管到位，防范严密，无重大疏漏；保安人员要求具备良好的综合素质，责任心强，自觉执行制度，精神面貌佳，口齿伶俐，反应敏捷；能认真遵守各项规章制度，熟练掌握工作流程；</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3.各种安全应急预案齐备，处理突发事件及时，处置突发群体性事件果断、正确；物业及物业管理档案、资料管理服务标准；物业及物业管理档案、资料齐全、完整；</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4.在本物业区域内实行保安24小时值班、巡逻和监控，做好本物业区域内安全防范、门岗执勤、安全监控、防范巡逻；做好防火灭火、防盗防毁等工作；发现本物业区域内存在的安全隐患要及时报告并采取有效措施排除；</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5.负责本物业区域内全天24小时安全保障服务，协助配合公安机关和有关部门处理本物业区域内一切与治安有关的事件，做好维护本物业区域周边治安秩序及其他安全事务， 对管理不善发生物品失窃事件负相应的过失责任；</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6.安防监控室要求24小时值班，及时发现不安全因素，消除隐患；</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7.不得让闲杂人员进入本物业区域内，对可疑人员和物品进行盘问和检查，驱赶散放广告等闲杂人员，制止本物业区域内的打架、滋事事件；</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8.遇到突发事件要及时报告和处理，必要时报公安机关处理；</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9.当班保安员要严守本职岗位，不得擅离职守，要做好记录。门卫岗对搬出的大件物品要主动询问清楚，认真记录，以防偷盗；</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10.定期检查消防器材，健全管理制度并严格执行，责任落实到人。保安员要求能够正确使用消防器材，一旦发生火灾事故时必须能正确处理；</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11.定期检查电气设备是否安全运行；电线、电缆有无老化、漏电、受潮、短路等现象，有无私拉电线情况；检查防雷装置是否完好，并按防雷部门统一安排进行防雷检测等；</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12.禁止运载携带易燃危险品的人员、车辆进本物业区域内，定期汇报消防安全情况。</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（四）公共环境卫生的服务质量标准及要求</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负责公共环境（包括公共场地、道路、停车场、庭院、围墙内、楼道、栏杆、消防设施、门厅、建筑物共用部分等）及办公楼的清洁，并巡视保洁，地面无纸屑、烟头、杂物等废弃物，保证本物业区域公共环境卫生整洁；</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2.有健全的保洁制度，根据本物业区域实际情况合理布设果皮箱或垃圾桶，垃圾袋装化，垃圾清运日产日清，无垃圾桶、果皮箱满溢现象。</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3.本物业区域道路、广场、停车场、绿地等公共区域设专人保洁，每天清扫2次；电梯厅每日清扫1次，每三天拖洗1次，每月对电梯门壁打蜡上光1次；楼道，每天清扫1次，每周拖洗1次；楼梯扶手每日擦洗1次；共用部位玻璃每周清洁1次；室外标识、宣传栏、信报箱等共用部位设施设备每周擦拭1次；路灯、楼道灯每两个月清洁1次。本物业区域垃圾的收集、清运，每天2次，公厕每天冲洗2次以上，并保持无污迹、无积水、无异味，下水道畅通；</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4.共用雨、污水管道每年疏通1次；雨水井、化粪井、污水井每月检查1次，视检查情况及时清掏，保持通畅，无堵塞外溢；化粪池每月检查1次，每半年清掏1次，发现异常及时清掏。</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5.二次供水水箱按规定清洗，定时巡查，水质符合卫生要求。</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6.进行保洁巡查，楼道内无乱悬挂、乱贴乱画、乱堆放，无明显暴露垃圾、卫生死角等现象，保证本物业区域内干净整洁。</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7.建立消杀工作管理制度，根据小区实际情况开展消毒和灭虫除害工作，适时投放消杀药物，有效控制鼠、蟑、蚊、蝇等害虫孳生。</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8.协助采购人进行宣传环境布置等其他临时性工作。</w:t>
      </w:r>
    </w:p>
    <w:p>
      <w:pPr>
        <w:spacing w:line="360" w:lineRule="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五</w:t>
      </w:r>
      <w:r>
        <w:rPr>
          <w:rFonts w:hint="eastAsia" w:ascii="宋体" w:hAnsi="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会务接待内容、服务要求和服务标准</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负责会议室的会议服务和清洁卫生工作。会务工作包括：会议对接、会场布置、会议用品、杯子物品的摆放、会议音响话筒操作、会场服务、会场恢复；清洁卫生工作包括：各会议室、接待室的杯子清洗、消毒；各会议室、接待室场内的座位、桌椅、沙发、茶几清洁保养消毒；各会议室、接待室场内地面、墙面、柱机、门窗、玻璃、灯具、天花板光亮，无灰尘、无手印、无污渍。每天巡查会议室音响、灯光、消毒柜等设施设备完好情况，发现故障及时报修。</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2、提供会议服务工作，包括会前接待、会间服务、会后服务。（茶叶、杯子、热水壶等会议所用物品由</w:t>
      </w:r>
      <w:r>
        <w:rPr>
          <w:rFonts w:hint="eastAsia" w:ascii="宋体" w:hAnsi="宋体" w:cs="宋体"/>
          <w:color w:val="auto"/>
          <w:kern w:val="0"/>
          <w:sz w:val="21"/>
          <w:szCs w:val="21"/>
          <w:lang w:val="en-US" w:eastAsia="zh-CN"/>
        </w:rPr>
        <w:t>采购人</w:t>
      </w:r>
      <w:r>
        <w:rPr>
          <w:rFonts w:hint="default" w:ascii="宋体" w:hAnsi="宋体" w:eastAsia="宋体" w:cs="宋体"/>
          <w:color w:val="auto"/>
          <w:kern w:val="0"/>
          <w:sz w:val="21"/>
          <w:szCs w:val="21"/>
          <w:lang w:val="en-US" w:eastAsia="zh-CN"/>
        </w:rPr>
        <w:t>提供）。</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3、配合业主方做好大院内举行的各重大活动、仪式等服务保障工作。</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 xml:space="preserve">4、配合业主方及项目经理做好其它临时性的客服工作。 </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（六）交通与车辆停泊秩序管理的服务质量标准及要求</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1.科学调控车辆进出、停放有序；道路平整、通畅，无堵塞，无井盖丢失，无危及安全的地方；按采购人要求设计、制作、完善车辆出入证件和交通标志；</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2.按照小区规划设计的要求设计制作车辆出入牌和小区交通标志；车辆凭出入牌出入；</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3.保证消防通道畅通，若发现行车通道、消防通道及非停车位有车辆停放，要及时纠正。</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4.负责本物业区域内道路交通和车辆停泊管理，保证交通顺畅，行驶安全，停放有序；发生车辆失窃事件后，应积极协助有关部门处理。</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（七）档案及资料管理</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负责物业管理档案及资料的归档管理，保证各类档案、资料完整便于工作查询，合同期满将全部档案资料移交采购人。</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（八）其它物业服务</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1.建立有完善的物业管理制度、作业流程及物业管理工作计划及实施时间。建立财务制度，财务收支符合国家有关规定；</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2.根据物业服务内容制定的服务标准，公示24小时服务电话及投诉电话、有专职管理人员处理各项咨询、投诉、保修。并在承诺的时间内给予回复解决；</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3.全体员工统一着装，佩戴标志，服务意识高，敬业精神高，业务素质强，行为语言规范，服务主动，热情；</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4.定期对服务人员进行物业管理业务培训、消防培训及其他服务培训；</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5.协助完成社区安排的各项社会治安综合治理工作；</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6.供水、供电、供气、网络等相关专业单位在小区内对有关管线设施维修养护时进行必要的协调和管理；</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7.协助悬挂各种宣传横幅和配合做好小区内举行的大型会议、庆典、迎接上级单位检查等活动；</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8.临时安排的与物业相关其它工作。</w:t>
      </w:r>
    </w:p>
    <w:p>
      <w:pPr>
        <w:spacing w:line="360" w:lineRule="auto"/>
        <w:rPr>
          <w:rFonts w:hint="default" w:ascii="宋体" w:hAnsi="宋体" w:eastAsia="宋体" w:cs="宋体"/>
          <w:b/>
          <w:bCs/>
          <w:color w:val="auto"/>
          <w:kern w:val="0"/>
          <w:sz w:val="21"/>
          <w:szCs w:val="21"/>
          <w:lang w:val="en-US" w:eastAsia="zh-CN"/>
        </w:rPr>
      </w:pPr>
      <w:r>
        <w:rPr>
          <w:rFonts w:hint="default" w:ascii="宋体" w:hAnsi="宋体" w:eastAsia="宋体" w:cs="宋体"/>
          <w:b/>
          <w:bCs/>
          <w:color w:val="auto"/>
          <w:kern w:val="0"/>
          <w:sz w:val="21"/>
          <w:szCs w:val="21"/>
          <w:lang w:val="en-US" w:eastAsia="zh-CN"/>
        </w:rPr>
        <w:t>三、人员配置要求</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（一）成交供应商聘用员工必须符合国家法律、政策的有关规定，对员工的疾病和人身安全负责，员工的劳资、各项保险费用均由成交供应商自理，发生的劳资纠纷由成交供应商负责。</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（二）本次采购服务范围，人员配置必须满足下列要求且满足服务工作的需要。</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w:t>
      </w:r>
      <w:r>
        <w:rPr>
          <w:rFonts w:hint="eastAsia" w:ascii="宋体" w:hAnsi="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县局本部办公区域人员配置总人数不少于9人，各岗位人员配置及要求如下：</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1</w:t>
      </w:r>
      <w:r>
        <w:rPr>
          <w:rFonts w:hint="default" w:ascii="宋体" w:hAnsi="宋体" w:eastAsia="宋体" w:cs="宋体"/>
          <w:color w:val="auto"/>
          <w:kern w:val="0"/>
          <w:sz w:val="21"/>
          <w:szCs w:val="21"/>
          <w:lang w:val="en-US" w:eastAsia="zh-CN"/>
        </w:rPr>
        <w:t>）物业主任1人：从事机关物业服务2年以上经验。年龄不超过50岁，须面貌端庄，高中以上文化，有一定工作经验，能吃苦耐劳，能够较快熟悉人员及办公环境。</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2</w:t>
      </w:r>
      <w:r>
        <w:rPr>
          <w:rFonts w:hint="default" w:ascii="宋体" w:hAnsi="宋体" w:eastAsia="宋体" w:cs="宋体"/>
          <w:color w:val="auto"/>
          <w:kern w:val="0"/>
          <w:sz w:val="21"/>
          <w:szCs w:val="21"/>
          <w:lang w:val="en-US" w:eastAsia="zh-CN"/>
        </w:rPr>
        <w:t>）秩序维护员：5人，年龄不超过55岁，身体健壮，有责任心，要有处理突发事件的经验；保持良好上岗仪态，做到文明礼貌值勤，能够较快熟悉人员及办公环境，值班人员上岗时必须遵守“五不”，即不喝酒，不抽烟，不擅离工作岗位，不迟到早退，不做与工作无关的事。</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3</w:t>
      </w:r>
      <w:r>
        <w:rPr>
          <w:rFonts w:hint="default" w:ascii="宋体" w:hAnsi="宋体" w:eastAsia="宋体" w:cs="宋体"/>
          <w:color w:val="auto"/>
          <w:kern w:val="0"/>
          <w:sz w:val="21"/>
          <w:szCs w:val="21"/>
          <w:lang w:val="en-US" w:eastAsia="zh-CN"/>
        </w:rPr>
        <w:t>）保洁人员：2人，年龄不超过55岁，身体健康、能吃苦耐劳，服从管理，能正常沟通，初中以上文化。</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4</w:t>
      </w:r>
      <w:r>
        <w:rPr>
          <w:rFonts w:hint="default" w:ascii="宋体" w:hAnsi="宋体" w:eastAsia="宋体" w:cs="宋体"/>
          <w:color w:val="auto"/>
          <w:kern w:val="0"/>
          <w:sz w:val="21"/>
          <w:szCs w:val="21"/>
          <w:lang w:val="en-US" w:eastAsia="zh-CN"/>
        </w:rPr>
        <w:t>）水电工：1人，(持电工上岗证)；</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2、东兴办公区域人员配置总人数不少于5人，各岗位人员配置及要求如下：</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秩序维护员：4人，年龄不超过55岁，身体健壮，有责任心，要有处理突发事件的经验；保持良好上岗仪态，做到文明礼貌值勤，能够较快熟悉人员及办公环境，值班人员上岗时必须遵守“五不”，即不喝酒，不抽烟，不擅离工作岗位，不迟到早退，不做与工作无关的事。</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（2）保洁人员：1人，年龄不超过55岁，身体健康、能吃苦耐劳，服从管理，能正常沟通，初中以上文化。</w:t>
      </w:r>
    </w:p>
    <w:p>
      <w:pPr>
        <w:spacing w:line="360" w:lineRule="auto"/>
        <w:rPr>
          <w:rFonts w:hint="default" w:ascii="宋体" w:hAnsi="宋体" w:eastAsia="宋体" w:cs="宋体"/>
          <w:b/>
          <w:bCs/>
          <w:color w:val="auto"/>
          <w:kern w:val="0"/>
          <w:sz w:val="21"/>
          <w:szCs w:val="21"/>
          <w:lang w:val="en-US" w:eastAsia="zh-CN"/>
        </w:rPr>
      </w:pPr>
      <w:r>
        <w:rPr>
          <w:rFonts w:hint="default" w:ascii="宋体" w:hAnsi="宋体" w:eastAsia="宋体" w:cs="宋体"/>
          <w:b/>
          <w:bCs/>
          <w:color w:val="auto"/>
          <w:kern w:val="0"/>
          <w:sz w:val="21"/>
          <w:szCs w:val="21"/>
          <w:lang w:val="en-US" w:eastAsia="zh-CN"/>
        </w:rPr>
        <w:t>四、安全赔偿责任</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因管理不到位，人员失职等原因发生的责任事故（如财产被盗、损坏）的，成交供应商须承担相应责任，造成采购人损失的，成交供应商须承担相应的经济赔偿。</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b/>
          <w:bCs/>
          <w:color w:val="auto"/>
          <w:kern w:val="0"/>
          <w:sz w:val="21"/>
          <w:szCs w:val="21"/>
          <w:lang w:val="en-US" w:eastAsia="zh-CN"/>
        </w:rPr>
        <w:t>五、其他要求</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物业管理计划方案及服务承诺须体现供应商对磋商物业的总体目标（即在一定期限内质量管理达到何种标准），并包括如下内容：</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（一）供应商拟采取的管理方式，包括内部管理架构设置、动作机制、工艺流程、信息反馈处理机制、员工待遇、激励机制等。</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（二）管理人员及员工配置。包括：人员编制、人员素质要求（学历、能力、经历）、人员培训计划、上岗考核标准、管理者人员、员工人数，文化素质、各岗位人员的配置、管理人员的培训计划。</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（三）管理工作必需的物质准备计划情况。包括：管理人员住房、管理用房、机械及其它维修工具、以及通讯、安保装备、保洁工具、绿化养护设备等。</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（四）档案建立与管理。包括竣工验收资料、房屋单体竣工图、装修档案、投诉与回访记录等。</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（五）各项指标的承诺。包括：</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a．房屋完好率 90%以上；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b．房屋零修、急修及时率90%以上；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 xml:space="preserve">c．安全责任事故发生率为零；   </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d．维修工程质量合格率100%；</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e．绿化完好率90%以上；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f．道路完好率90%以上；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g．化粪池、雨水井完好率90%以上；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h．排水管、暗沟完好率90%以上；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i．公共设施完好率基本完好率90%以上；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j．照明灯完好率 90%以上；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k．消防设施设备完好率90%以上；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l．投诉处理及回访率85%以上；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m．管理人员专业培训合格率80%以上；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n．对物业管理满意率80%以上。</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b/>
          <w:bCs/>
          <w:color w:val="auto"/>
          <w:kern w:val="0"/>
          <w:sz w:val="21"/>
          <w:szCs w:val="21"/>
          <w:lang w:val="en-US" w:eastAsia="zh-CN"/>
        </w:rPr>
        <w:t>六、物业服务费用</w:t>
      </w:r>
    </w:p>
    <w:p>
      <w:pPr>
        <w:spacing w:line="360" w:lineRule="auto"/>
        <w:rPr>
          <w:rFonts w:hint="default" w:ascii="宋体" w:hAnsi="宋体" w:eastAsia="宋体" w:cs="宋体"/>
          <w:b w:val="0"/>
          <w:bCs w:val="0"/>
          <w:color w:val="auto"/>
          <w:kern w:val="0"/>
          <w:sz w:val="21"/>
          <w:szCs w:val="21"/>
          <w:lang w:val="en-US" w:eastAsia="zh-CN"/>
        </w:rPr>
      </w:pPr>
      <w:r>
        <w:rPr>
          <w:rFonts w:hint="eastAsia"/>
          <w:color w:val="auto"/>
          <w:lang w:eastAsia="zh-CN"/>
        </w:rPr>
        <w:t>本项目采购预算金额：</w:t>
      </w:r>
      <w:r>
        <w:rPr>
          <w:rFonts w:hint="default" w:ascii="宋体" w:hAnsi="宋体" w:eastAsia="宋体" w:cs="宋体"/>
          <w:b w:val="0"/>
          <w:bCs w:val="0"/>
          <w:color w:val="auto"/>
          <w:kern w:val="0"/>
          <w:sz w:val="21"/>
          <w:szCs w:val="21"/>
          <w:lang w:val="en-US" w:eastAsia="zh-CN"/>
        </w:rPr>
        <w:t>人民币陆拾叁万伍仟元整（¥635000.00）</w:t>
      </w:r>
    </w:p>
    <w:p>
      <w:pPr>
        <w:spacing w:line="360" w:lineRule="auto"/>
        <w:rPr>
          <w:rFonts w:hint="default" w:ascii="宋体" w:hAnsi="宋体" w:eastAsia="宋体" w:cs="宋体"/>
          <w:b/>
          <w:bCs/>
          <w:color w:val="auto"/>
          <w:kern w:val="0"/>
          <w:sz w:val="21"/>
          <w:szCs w:val="21"/>
          <w:lang w:val="en-US" w:eastAsia="zh-CN"/>
        </w:rPr>
      </w:pPr>
      <w:r>
        <w:rPr>
          <w:rFonts w:hint="default" w:ascii="宋体" w:hAnsi="宋体" w:eastAsia="宋体" w:cs="宋体"/>
          <w:b/>
          <w:bCs/>
          <w:color w:val="auto"/>
          <w:kern w:val="0"/>
          <w:sz w:val="21"/>
          <w:szCs w:val="21"/>
          <w:lang w:val="en-US" w:eastAsia="zh-CN"/>
        </w:rPr>
        <w:t>七、服务期限</w:t>
      </w:r>
    </w:p>
    <w:p>
      <w:pPr>
        <w:spacing w:line="360" w:lineRule="auto"/>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提供服务的时间：12个月（2022年2月1日至2023年1月31日）</w:t>
      </w:r>
    </w:p>
    <w:p>
      <w:pPr>
        <w:spacing w:line="360" w:lineRule="auto"/>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提供服务的地点：采购人指定地点</w:t>
      </w:r>
    </w:p>
    <w:p>
      <w:pPr>
        <w:spacing w:line="360" w:lineRule="auto"/>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提供服务的方式：按磋商文件采购需求提供</w:t>
      </w:r>
    </w:p>
    <w:p>
      <w:pPr>
        <w:spacing w:line="360" w:lineRule="auto"/>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项目服务期限：12个月（2022年2月1日至2023年1月31日）</w:t>
      </w:r>
    </w:p>
    <w:p>
      <w:pPr>
        <w:spacing w:line="360" w:lineRule="auto"/>
        <w:rPr>
          <w:rFonts w:hint="default" w:ascii="宋体" w:hAnsi="宋体" w:eastAsia="宋体" w:cs="宋体"/>
          <w:b/>
          <w:bCs/>
          <w:color w:val="auto"/>
          <w:kern w:val="0"/>
          <w:sz w:val="21"/>
          <w:szCs w:val="21"/>
          <w:lang w:val="en-US" w:eastAsia="zh-CN"/>
        </w:rPr>
      </w:pPr>
      <w:r>
        <w:rPr>
          <w:rFonts w:hint="default" w:ascii="宋体" w:hAnsi="宋体" w:eastAsia="宋体" w:cs="宋体"/>
          <w:b/>
          <w:bCs/>
          <w:color w:val="auto"/>
          <w:kern w:val="0"/>
          <w:sz w:val="21"/>
          <w:szCs w:val="21"/>
          <w:lang w:val="en-US" w:eastAsia="zh-CN"/>
        </w:rPr>
        <w:t>八、付款条件</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①采购人自行支付。</w:t>
      </w:r>
    </w:p>
    <w:p>
      <w:pPr>
        <w:spacing w:line="360" w:lineRule="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②按月支付服务费用，</w:t>
      </w:r>
      <w:r>
        <w:rPr>
          <w:rFonts w:hint="eastAsia" w:ascii="宋体" w:hAnsi="宋体" w:cs="宋体"/>
          <w:color w:val="auto"/>
          <w:kern w:val="0"/>
          <w:sz w:val="21"/>
          <w:szCs w:val="21"/>
          <w:lang w:val="en-US" w:eastAsia="zh-CN"/>
        </w:rPr>
        <w:t>采购人</w:t>
      </w:r>
      <w:r>
        <w:rPr>
          <w:rFonts w:hint="default" w:ascii="宋体" w:hAnsi="宋体" w:eastAsia="宋体" w:cs="宋体"/>
          <w:color w:val="auto"/>
          <w:kern w:val="0"/>
          <w:sz w:val="21"/>
          <w:szCs w:val="21"/>
          <w:lang w:val="en-US" w:eastAsia="zh-CN"/>
        </w:rPr>
        <w:t>在合同生效后，于每月10日前以转账方式（如遇休息日或节假日，付款日期顺延）向</w:t>
      </w:r>
      <w:r>
        <w:rPr>
          <w:rFonts w:hint="eastAsia" w:ascii="宋体" w:hAnsi="宋体" w:cs="宋体"/>
          <w:color w:val="auto"/>
          <w:kern w:val="0"/>
          <w:sz w:val="21"/>
          <w:szCs w:val="21"/>
          <w:lang w:val="en-US" w:eastAsia="zh-CN"/>
        </w:rPr>
        <w:t>成交供应商</w:t>
      </w:r>
      <w:r>
        <w:rPr>
          <w:rFonts w:hint="default" w:ascii="宋体" w:hAnsi="宋体" w:eastAsia="宋体" w:cs="宋体"/>
          <w:color w:val="auto"/>
          <w:kern w:val="0"/>
          <w:sz w:val="21"/>
          <w:szCs w:val="21"/>
          <w:lang w:val="en-US" w:eastAsia="zh-CN"/>
        </w:rPr>
        <w:t>支付上月物业服务费；</w:t>
      </w:r>
      <w:r>
        <w:rPr>
          <w:rFonts w:hint="eastAsia" w:ascii="宋体" w:hAnsi="宋体" w:cs="宋体"/>
          <w:color w:val="auto"/>
          <w:kern w:val="0"/>
          <w:sz w:val="21"/>
          <w:szCs w:val="21"/>
          <w:lang w:val="en-US" w:eastAsia="zh-CN"/>
        </w:rPr>
        <w:t>成交供应商</w:t>
      </w:r>
      <w:r>
        <w:rPr>
          <w:rFonts w:hint="default" w:ascii="宋体" w:hAnsi="宋体" w:eastAsia="宋体" w:cs="宋体"/>
          <w:color w:val="auto"/>
          <w:kern w:val="0"/>
          <w:sz w:val="21"/>
          <w:szCs w:val="21"/>
          <w:lang w:val="en-US" w:eastAsia="zh-CN"/>
        </w:rPr>
        <w:t>应向</w:t>
      </w:r>
      <w:r>
        <w:rPr>
          <w:rFonts w:hint="eastAsia" w:ascii="宋体" w:hAnsi="宋体" w:cs="宋体"/>
          <w:color w:val="auto"/>
          <w:kern w:val="0"/>
          <w:sz w:val="21"/>
          <w:szCs w:val="21"/>
          <w:lang w:val="en-US" w:eastAsia="zh-CN"/>
        </w:rPr>
        <w:t>采购人</w:t>
      </w:r>
      <w:r>
        <w:rPr>
          <w:rFonts w:hint="default" w:ascii="宋体" w:hAnsi="宋体" w:eastAsia="宋体" w:cs="宋体"/>
          <w:color w:val="auto"/>
          <w:kern w:val="0"/>
          <w:sz w:val="21"/>
          <w:szCs w:val="21"/>
          <w:lang w:val="en-US" w:eastAsia="zh-CN"/>
        </w:rPr>
        <w:t>开具正式发票。</w:t>
      </w:r>
    </w:p>
    <w:sectPr>
      <w:headerReference r:id="rId5" w:type="first"/>
      <w:footerReference r:id="rId8" w:type="first"/>
      <w:headerReference r:id="rId4" w:type="default"/>
      <w:footerReference r:id="rId6" w:type="default"/>
      <w:footerReference r:id="rId7" w:type="even"/>
      <w:pgSz w:w="11906" w:h="16838"/>
      <w:pgMar w:top="1134" w:right="1134" w:bottom="1134" w:left="1134" w:header="680" w:footer="680" w:gutter="0"/>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方正小标宋简体">
    <w:altName w:val="黑体"/>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20"/>
      </w:rPr>
      <w:pict>
        <v:shape id="_x0000_s3082" o:spid="_x0000_s308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rPr>
                    <w:rFonts w:hint="eastAsia" w:ascii="宋体" w:hAnsi="宋体"/>
                    <w:sz w:val="28"/>
                    <w:szCs w:val="28"/>
                  </w:rPr>
                  <w:t xml:space="preserve">— </w:t>
                </w:r>
                <w:r>
                  <w:rPr>
                    <w:rFonts w:ascii="宋体" w:hAnsi="宋体"/>
                    <w:sz w:val="28"/>
                    <w:szCs w:val="28"/>
                  </w:rPr>
                  <w:fldChar w:fldCharType="begin"/>
                </w:r>
                <w:r>
                  <w:rPr>
                    <w:rStyle w:val="46"/>
                    <w:rFonts w:ascii="宋体" w:hAnsi="宋体"/>
                    <w:sz w:val="28"/>
                    <w:szCs w:val="28"/>
                  </w:rPr>
                  <w:instrText xml:space="preserve">PAGE  </w:instrText>
                </w:r>
                <w:r>
                  <w:rPr>
                    <w:rFonts w:ascii="宋体" w:hAnsi="宋体"/>
                    <w:sz w:val="28"/>
                    <w:szCs w:val="28"/>
                  </w:rPr>
                  <w:fldChar w:fldCharType="separate"/>
                </w:r>
                <w:r>
                  <w:rPr>
                    <w:rStyle w:val="46"/>
                    <w:rFonts w:ascii="宋体" w:hAnsi="宋体"/>
                    <w:sz w:val="28"/>
                    <w:szCs w:val="28"/>
                  </w:rPr>
                  <w:t>1</w:t>
                </w:r>
                <w:r>
                  <w:rPr>
                    <w:rFonts w:ascii="宋体" w:hAnsi="宋体"/>
                    <w:sz w:val="28"/>
                    <w:szCs w:val="28"/>
                  </w:rPr>
                  <w:fldChar w:fldCharType="end"/>
                </w:r>
                <w:r>
                  <w:rPr>
                    <w:rStyle w:val="46"/>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_x0000_s3080" o:spid="_x0000_s308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jc w:val="center"/>
                </w:pPr>
                <w:r>
                  <w:fldChar w:fldCharType="begin"/>
                </w:r>
                <w:r>
                  <w:instrText xml:space="preserve"> PAGE   \* MERGEFORMAT </w:instrText>
                </w:r>
                <w:r>
                  <w:fldChar w:fldCharType="separate"/>
                </w:r>
                <w:r>
                  <w:rPr>
                    <w:lang w:val="zh-CN"/>
                  </w:rPr>
                  <w:t>8</w:t>
                </w:r>
                <w:r>
                  <w:fldChar w:fldCharType="end"/>
                </w:r>
              </w:p>
            </w:txbxContent>
          </v:textbox>
        </v:shape>
      </w:pict>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3073" o:spid="_x0000_s3073" o:spt="202" type="#_x0000_t202" style="position:absolute;left:0pt;margin-top:0pt;height:11.65pt;width:4.4pt;mso-position-horizontal:center;mso-position-horizontal-relative:margin;mso-wrap-distance-bottom:0pt;mso-wrap-distance-left:0pt;mso-wrap-distance-right:0pt;mso-wrap-distance-top:0pt;z-index:251659264;mso-width-relative:page;mso-height-relative:page;" filled="f" stroked="f" coordsize="21600,21600" o:allowincell="f">
          <v:path/>
          <v:fill on="f" focussize="0,0"/>
          <v:stroke on="f" joinstyle="miter"/>
          <v:imagedata o:title=""/>
          <o:lock v:ext="edit"/>
          <v:textbox inset="0mm,0mm,0mm,0mm">
            <w:txbxContent>
              <w:p>
                <w:pPr>
                  <w:pStyle w:val="25"/>
                  <w:rPr>
                    <w:rStyle w:val="46"/>
                  </w:rPr>
                </w:pPr>
                <w:r>
                  <w:rPr>
                    <w:rStyle w:val="46"/>
                  </w:rPr>
                  <w:fldChar w:fldCharType="begin"/>
                </w:r>
                <w:r>
                  <w:rPr>
                    <w:rStyle w:val="46"/>
                  </w:rPr>
                  <w:instrText xml:space="preserve">PAGE  </w:instrText>
                </w:r>
                <w:r>
                  <w:rPr>
                    <w:rStyle w:val="46"/>
                  </w:rPr>
                  <w:fldChar w:fldCharType="separate"/>
                </w:r>
                <w:r>
                  <w:rPr>
                    <w:rStyle w:val="46"/>
                  </w:rPr>
                  <w:t>1</w:t>
                </w:r>
                <w:r>
                  <w:rPr>
                    <w:rStyle w:val="46"/>
                  </w:rPr>
                  <w:fldChar w:fldCharType="end"/>
                </w:r>
              </w:p>
            </w:txbxContent>
          </v:textbox>
          <w10:wrap type="squar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_x0000_s3081" o:spid="_x0000_s308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D5E7B"/>
    <w:multiLevelType w:val="singleLevel"/>
    <w:tmpl w:val="CECD5E7B"/>
    <w:lvl w:ilvl="0" w:tentative="0">
      <w:start w:val="2"/>
      <w:numFmt w:val="decimal"/>
      <w:lvlText w:val="%1."/>
      <w:lvlJc w:val="left"/>
      <w:pPr>
        <w:tabs>
          <w:tab w:val="left" w:pos="312"/>
        </w:tabs>
      </w:pPr>
    </w:lvl>
  </w:abstractNum>
  <w:abstractNum w:abstractNumId="1">
    <w:nsid w:val="2A73644E"/>
    <w:multiLevelType w:val="singleLevel"/>
    <w:tmpl w:val="2A73644E"/>
    <w:lvl w:ilvl="0" w:tentative="0">
      <w:start w:val="4"/>
      <w:numFmt w:val="decimal"/>
      <w:lvlText w:val="%1."/>
      <w:lvlJc w:val="left"/>
      <w:pPr>
        <w:tabs>
          <w:tab w:val="left" w:pos="312"/>
        </w:tabs>
      </w:pPr>
      <w:rPr>
        <w:rFonts w:hint="default"/>
        <w:color w:val="000000"/>
      </w:rPr>
    </w:lvl>
  </w:abstractNum>
  <w:abstractNum w:abstractNumId="2">
    <w:nsid w:val="4C0E79E8"/>
    <w:multiLevelType w:val="multilevel"/>
    <w:tmpl w:val="4C0E79E8"/>
    <w:lvl w:ilvl="0" w:tentative="0">
      <w:start w:val="1"/>
      <w:numFmt w:val="japaneseCounting"/>
      <w:lvlText w:val="%1、"/>
      <w:lvlJc w:val="left"/>
      <w:pPr>
        <w:ind w:left="790" w:hanging="39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3">
    <w:nsid w:val="5C29471B"/>
    <w:multiLevelType w:val="singleLevel"/>
    <w:tmpl w:val="5C29471B"/>
    <w:lvl w:ilvl="0" w:tentative="0">
      <w:start w:val="4"/>
      <w:numFmt w:val="chineseCounting"/>
      <w:suff w:val="nothing"/>
      <w:lvlText w:val="%1、"/>
      <w:lvlJc w:val="left"/>
      <w:rPr>
        <w:rFonts w:hint="eastAsia"/>
      </w:rPr>
    </w:lvl>
  </w:abstractNum>
  <w:abstractNum w:abstractNumId="4">
    <w:nsid w:val="6E0DE96C"/>
    <w:multiLevelType w:val="singleLevel"/>
    <w:tmpl w:val="6E0DE96C"/>
    <w:lvl w:ilvl="0" w:tentative="0">
      <w:start w:val="7"/>
      <w:numFmt w:val="decimal"/>
      <w:lvlText w:val="(%1)"/>
      <w:lvlJc w:val="left"/>
      <w:pPr>
        <w:tabs>
          <w:tab w:val="left" w:pos="312"/>
        </w:tabs>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162"/>
    <w:rsid w:val="00000960"/>
    <w:rsid w:val="00003934"/>
    <w:rsid w:val="000142D2"/>
    <w:rsid w:val="00014708"/>
    <w:rsid w:val="00015E99"/>
    <w:rsid w:val="00017405"/>
    <w:rsid w:val="00021194"/>
    <w:rsid w:val="00022B7F"/>
    <w:rsid w:val="0002357F"/>
    <w:rsid w:val="0002410C"/>
    <w:rsid w:val="00025159"/>
    <w:rsid w:val="0002718B"/>
    <w:rsid w:val="000306A9"/>
    <w:rsid w:val="00033F59"/>
    <w:rsid w:val="00037F93"/>
    <w:rsid w:val="000407F6"/>
    <w:rsid w:val="00041C5B"/>
    <w:rsid w:val="00042260"/>
    <w:rsid w:val="000428A6"/>
    <w:rsid w:val="00043F1A"/>
    <w:rsid w:val="000450BF"/>
    <w:rsid w:val="00045C94"/>
    <w:rsid w:val="00045FCF"/>
    <w:rsid w:val="00046A9C"/>
    <w:rsid w:val="00046C4E"/>
    <w:rsid w:val="00047520"/>
    <w:rsid w:val="000537B9"/>
    <w:rsid w:val="0005400C"/>
    <w:rsid w:val="00055B11"/>
    <w:rsid w:val="0005713B"/>
    <w:rsid w:val="000577C1"/>
    <w:rsid w:val="0006022C"/>
    <w:rsid w:val="00065FDD"/>
    <w:rsid w:val="00070B9D"/>
    <w:rsid w:val="00072475"/>
    <w:rsid w:val="00075373"/>
    <w:rsid w:val="00075756"/>
    <w:rsid w:val="00076F2E"/>
    <w:rsid w:val="0008771B"/>
    <w:rsid w:val="00094DE1"/>
    <w:rsid w:val="00095950"/>
    <w:rsid w:val="000972D3"/>
    <w:rsid w:val="000A06DB"/>
    <w:rsid w:val="000A09C2"/>
    <w:rsid w:val="000A24A8"/>
    <w:rsid w:val="000A31E5"/>
    <w:rsid w:val="000A3CB3"/>
    <w:rsid w:val="000A4669"/>
    <w:rsid w:val="000B232F"/>
    <w:rsid w:val="000B2A1B"/>
    <w:rsid w:val="000B35F9"/>
    <w:rsid w:val="000B5DE0"/>
    <w:rsid w:val="000B5F88"/>
    <w:rsid w:val="000B60AB"/>
    <w:rsid w:val="000B7917"/>
    <w:rsid w:val="000C0F9C"/>
    <w:rsid w:val="000C4CED"/>
    <w:rsid w:val="000D0531"/>
    <w:rsid w:val="000D4435"/>
    <w:rsid w:val="000D4A3D"/>
    <w:rsid w:val="000E632D"/>
    <w:rsid w:val="000F1938"/>
    <w:rsid w:val="000F23E8"/>
    <w:rsid w:val="000F532A"/>
    <w:rsid w:val="000F5C3C"/>
    <w:rsid w:val="000F600E"/>
    <w:rsid w:val="000F7E48"/>
    <w:rsid w:val="001010AD"/>
    <w:rsid w:val="00101A39"/>
    <w:rsid w:val="001026ED"/>
    <w:rsid w:val="00102DE9"/>
    <w:rsid w:val="0010421E"/>
    <w:rsid w:val="00105F0C"/>
    <w:rsid w:val="00113C18"/>
    <w:rsid w:val="00114D66"/>
    <w:rsid w:val="00114F05"/>
    <w:rsid w:val="0011654B"/>
    <w:rsid w:val="00121BDF"/>
    <w:rsid w:val="001223B1"/>
    <w:rsid w:val="001321B0"/>
    <w:rsid w:val="001331EA"/>
    <w:rsid w:val="00150F3C"/>
    <w:rsid w:val="0015199A"/>
    <w:rsid w:val="001536C8"/>
    <w:rsid w:val="00155472"/>
    <w:rsid w:val="001632C9"/>
    <w:rsid w:val="00163355"/>
    <w:rsid w:val="00165006"/>
    <w:rsid w:val="001733A3"/>
    <w:rsid w:val="00174813"/>
    <w:rsid w:val="00174F3B"/>
    <w:rsid w:val="0017557A"/>
    <w:rsid w:val="00177132"/>
    <w:rsid w:val="00183C2B"/>
    <w:rsid w:val="00184AC7"/>
    <w:rsid w:val="0018575E"/>
    <w:rsid w:val="0018797D"/>
    <w:rsid w:val="00191E07"/>
    <w:rsid w:val="001921DE"/>
    <w:rsid w:val="00192F7E"/>
    <w:rsid w:val="001939EE"/>
    <w:rsid w:val="001B239D"/>
    <w:rsid w:val="001B2A1F"/>
    <w:rsid w:val="001B3678"/>
    <w:rsid w:val="001B43CB"/>
    <w:rsid w:val="001B43F9"/>
    <w:rsid w:val="001B6E16"/>
    <w:rsid w:val="001C0123"/>
    <w:rsid w:val="001C1B95"/>
    <w:rsid w:val="001C48BA"/>
    <w:rsid w:val="001C64A3"/>
    <w:rsid w:val="001C749A"/>
    <w:rsid w:val="001D6B85"/>
    <w:rsid w:val="001E0038"/>
    <w:rsid w:val="001E0EE8"/>
    <w:rsid w:val="001E123D"/>
    <w:rsid w:val="001E2172"/>
    <w:rsid w:val="001E3426"/>
    <w:rsid w:val="001E40A9"/>
    <w:rsid w:val="001E42A5"/>
    <w:rsid w:val="001E45FD"/>
    <w:rsid w:val="001F0359"/>
    <w:rsid w:val="001F050A"/>
    <w:rsid w:val="001F2A66"/>
    <w:rsid w:val="001F55B7"/>
    <w:rsid w:val="001F6BCF"/>
    <w:rsid w:val="00204D53"/>
    <w:rsid w:val="0021170C"/>
    <w:rsid w:val="00212F28"/>
    <w:rsid w:val="002161BC"/>
    <w:rsid w:val="002217BE"/>
    <w:rsid w:val="00225101"/>
    <w:rsid w:val="00226238"/>
    <w:rsid w:val="002275C5"/>
    <w:rsid w:val="00227B5F"/>
    <w:rsid w:val="00231531"/>
    <w:rsid w:val="00231BD2"/>
    <w:rsid w:val="00231DA6"/>
    <w:rsid w:val="00232460"/>
    <w:rsid w:val="002332C2"/>
    <w:rsid w:val="00235C65"/>
    <w:rsid w:val="00237865"/>
    <w:rsid w:val="00237AB5"/>
    <w:rsid w:val="002412C8"/>
    <w:rsid w:val="00241912"/>
    <w:rsid w:val="002448DF"/>
    <w:rsid w:val="002456EF"/>
    <w:rsid w:val="00250F63"/>
    <w:rsid w:val="00251DFC"/>
    <w:rsid w:val="00252B76"/>
    <w:rsid w:val="00257541"/>
    <w:rsid w:val="0026048F"/>
    <w:rsid w:val="002619DF"/>
    <w:rsid w:val="002631F8"/>
    <w:rsid w:val="00263B6D"/>
    <w:rsid w:val="00265E27"/>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41F9"/>
    <w:rsid w:val="002951DC"/>
    <w:rsid w:val="002A3424"/>
    <w:rsid w:val="002A5179"/>
    <w:rsid w:val="002B0F69"/>
    <w:rsid w:val="002B51A0"/>
    <w:rsid w:val="002B5FDF"/>
    <w:rsid w:val="002C03F9"/>
    <w:rsid w:val="002C3239"/>
    <w:rsid w:val="002C54B9"/>
    <w:rsid w:val="002C6AE0"/>
    <w:rsid w:val="002D1C4F"/>
    <w:rsid w:val="002D584E"/>
    <w:rsid w:val="002D690A"/>
    <w:rsid w:val="002E0238"/>
    <w:rsid w:val="002E048B"/>
    <w:rsid w:val="002E270A"/>
    <w:rsid w:val="002E29FC"/>
    <w:rsid w:val="002E3CDF"/>
    <w:rsid w:val="002E4E6E"/>
    <w:rsid w:val="002F1614"/>
    <w:rsid w:val="002F17F3"/>
    <w:rsid w:val="002F4F40"/>
    <w:rsid w:val="0030206C"/>
    <w:rsid w:val="00304234"/>
    <w:rsid w:val="00307DC5"/>
    <w:rsid w:val="00310172"/>
    <w:rsid w:val="0031577C"/>
    <w:rsid w:val="003162DB"/>
    <w:rsid w:val="0032478C"/>
    <w:rsid w:val="00327522"/>
    <w:rsid w:val="00331B36"/>
    <w:rsid w:val="003342E3"/>
    <w:rsid w:val="00340B4C"/>
    <w:rsid w:val="00343058"/>
    <w:rsid w:val="003432ED"/>
    <w:rsid w:val="00343DED"/>
    <w:rsid w:val="00344B87"/>
    <w:rsid w:val="00346B05"/>
    <w:rsid w:val="003514B5"/>
    <w:rsid w:val="00351912"/>
    <w:rsid w:val="003543CA"/>
    <w:rsid w:val="00356326"/>
    <w:rsid w:val="00361526"/>
    <w:rsid w:val="003637C2"/>
    <w:rsid w:val="00370A92"/>
    <w:rsid w:val="0037135D"/>
    <w:rsid w:val="003735D6"/>
    <w:rsid w:val="00373D5F"/>
    <w:rsid w:val="00374D50"/>
    <w:rsid w:val="00376208"/>
    <w:rsid w:val="003767DE"/>
    <w:rsid w:val="00377947"/>
    <w:rsid w:val="00381D20"/>
    <w:rsid w:val="00384A87"/>
    <w:rsid w:val="00385816"/>
    <w:rsid w:val="0039087F"/>
    <w:rsid w:val="00391A8A"/>
    <w:rsid w:val="003926AE"/>
    <w:rsid w:val="00392D34"/>
    <w:rsid w:val="0039314E"/>
    <w:rsid w:val="00393554"/>
    <w:rsid w:val="00393FFC"/>
    <w:rsid w:val="00397158"/>
    <w:rsid w:val="00397360"/>
    <w:rsid w:val="003A2D25"/>
    <w:rsid w:val="003A453D"/>
    <w:rsid w:val="003A4DF7"/>
    <w:rsid w:val="003A57FD"/>
    <w:rsid w:val="003A5CA4"/>
    <w:rsid w:val="003A66FD"/>
    <w:rsid w:val="003A7614"/>
    <w:rsid w:val="003A7B97"/>
    <w:rsid w:val="003B02EE"/>
    <w:rsid w:val="003B2A80"/>
    <w:rsid w:val="003B38FD"/>
    <w:rsid w:val="003B5C24"/>
    <w:rsid w:val="003B7539"/>
    <w:rsid w:val="003C0C65"/>
    <w:rsid w:val="003C1D03"/>
    <w:rsid w:val="003C7C0C"/>
    <w:rsid w:val="003D5297"/>
    <w:rsid w:val="003E10B1"/>
    <w:rsid w:val="003E3083"/>
    <w:rsid w:val="003E3208"/>
    <w:rsid w:val="003E358C"/>
    <w:rsid w:val="003E3AD0"/>
    <w:rsid w:val="003E7B69"/>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5B26"/>
    <w:rsid w:val="00416B0F"/>
    <w:rsid w:val="004206BA"/>
    <w:rsid w:val="00420BB4"/>
    <w:rsid w:val="00421BF3"/>
    <w:rsid w:val="004231BE"/>
    <w:rsid w:val="00424C14"/>
    <w:rsid w:val="004255A1"/>
    <w:rsid w:val="00425786"/>
    <w:rsid w:val="00432D1B"/>
    <w:rsid w:val="00433EE2"/>
    <w:rsid w:val="00435EDF"/>
    <w:rsid w:val="0043617F"/>
    <w:rsid w:val="00436235"/>
    <w:rsid w:val="0043675D"/>
    <w:rsid w:val="004368F0"/>
    <w:rsid w:val="00441F42"/>
    <w:rsid w:val="00443154"/>
    <w:rsid w:val="004433E7"/>
    <w:rsid w:val="00445E17"/>
    <w:rsid w:val="00446DA4"/>
    <w:rsid w:val="004503AF"/>
    <w:rsid w:val="00450ED6"/>
    <w:rsid w:val="00452491"/>
    <w:rsid w:val="00452B03"/>
    <w:rsid w:val="0045342F"/>
    <w:rsid w:val="004545B6"/>
    <w:rsid w:val="004547FC"/>
    <w:rsid w:val="004576BB"/>
    <w:rsid w:val="00460930"/>
    <w:rsid w:val="00461248"/>
    <w:rsid w:val="00462E7E"/>
    <w:rsid w:val="00465E4E"/>
    <w:rsid w:val="004663B2"/>
    <w:rsid w:val="00473E7D"/>
    <w:rsid w:val="00485167"/>
    <w:rsid w:val="0048749D"/>
    <w:rsid w:val="00487E46"/>
    <w:rsid w:val="00490498"/>
    <w:rsid w:val="00491CBD"/>
    <w:rsid w:val="00494B94"/>
    <w:rsid w:val="004958A1"/>
    <w:rsid w:val="00496112"/>
    <w:rsid w:val="004973C7"/>
    <w:rsid w:val="004A20D8"/>
    <w:rsid w:val="004B0A78"/>
    <w:rsid w:val="004B42EE"/>
    <w:rsid w:val="004B5C32"/>
    <w:rsid w:val="004B5CE4"/>
    <w:rsid w:val="004C16BB"/>
    <w:rsid w:val="004C214D"/>
    <w:rsid w:val="004C2176"/>
    <w:rsid w:val="004C3576"/>
    <w:rsid w:val="004C5463"/>
    <w:rsid w:val="004C655C"/>
    <w:rsid w:val="004C76AF"/>
    <w:rsid w:val="004D1420"/>
    <w:rsid w:val="004D2E46"/>
    <w:rsid w:val="004D326F"/>
    <w:rsid w:val="004D412B"/>
    <w:rsid w:val="004D5383"/>
    <w:rsid w:val="004E38E6"/>
    <w:rsid w:val="004E61CF"/>
    <w:rsid w:val="004E6F3E"/>
    <w:rsid w:val="004F0C60"/>
    <w:rsid w:val="004F2286"/>
    <w:rsid w:val="00503206"/>
    <w:rsid w:val="00510164"/>
    <w:rsid w:val="00511EE4"/>
    <w:rsid w:val="00516D65"/>
    <w:rsid w:val="0052201E"/>
    <w:rsid w:val="0053115F"/>
    <w:rsid w:val="005334B2"/>
    <w:rsid w:val="005352A6"/>
    <w:rsid w:val="00536795"/>
    <w:rsid w:val="00536CDB"/>
    <w:rsid w:val="00537CE9"/>
    <w:rsid w:val="00540CDA"/>
    <w:rsid w:val="00545C33"/>
    <w:rsid w:val="005479EF"/>
    <w:rsid w:val="00547ACC"/>
    <w:rsid w:val="005553D5"/>
    <w:rsid w:val="00556177"/>
    <w:rsid w:val="0055688A"/>
    <w:rsid w:val="00557310"/>
    <w:rsid w:val="00561D85"/>
    <w:rsid w:val="00563159"/>
    <w:rsid w:val="005647E9"/>
    <w:rsid w:val="00564CE8"/>
    <w:rsid w:val="00566865"/>
    <w:rsid w:val="0057165E"/>
    <w:rsid w:val="005722FB"/>
    <w:rsid w:val="00573A73"/>
    <w:rsid w:val="00574209"/>
    <w:rsid w:val="00574696"/>
    <w:rsid w:val="00580CEC"/>
    <w:rsid w:val="00580DAD"/>
    <w:rsid w:val="00583E39"/>
    <w:rsid w:val="00584289"/>
    <w:rsid w:val="005848C6"/>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1DDB"/>
    <w:rsid w:val="005B4AB1"/>
    <w:rsid w:val="005B5E3A"/>
    <w:rsid w:val="005C24E2"/>
    <w:rsid w:val="005C43B1"/>
    <w:rsid w:val="005C49EA"/>
    <w:rsid w:val="005C6648"/>
    <w:rsid w:val="005C7EA5"/>
    <w:rsid w:val="005D1FAF"/>
    <w:rsid w:val="005D2E42"/>
    <w:rsid w:val="005D2F91"/>
    <w:rsid w:val="005D6E65"/>
    <w:rsid w:val="005E3506"/>
    <w:rsid w:val="005E7C5C"/>
    <w:rsid w:val="005E7EB2"/>
    <w:rsid w:val="005F0B39"/>
    <w:rsid w:val="005F1E51"/>
    <w:rsid w:val="005F524C"/>
    <w:rsid w:val="005F65D1"/>
    <w:rsid w:val="006007A8"/>
    <w:rsid w:val="00600F3F"/>
    <w:rsid w:val="00602378"/>
    <w:rsid w:val="00605DEB"/>
    <w:rsid w:val="006061C8"/>
    <w:rsid w:val="00613429"/>
    <w:rsid w:val="00613D41"/>
    <w:rsid w:val="00614DF2"/>
    <w:rsid w:val="0061564E"/>
    <w:rsid w:val="00615AC0"/>
    <w:rsid w:val="00616293"/>
    <w:rsid w:val="0062357D"/>
    <w:rsid w:val="00624245"/>
    <w:rsid w:val="00624BA8"/>
    <w:rsid w:val="00630813"/>
    <w:rsid w:val="00634C1D"/>
    <w:rsid w:val="00635291"/>
    <w:rsid w:val="00635A43"/>
    <w:rsid w:val="00635F17"/>
    <w:rsid w:val="00640FB8"/>
    <w:rsid w:val="0064182E"/>
    <w:rsid w:val="00642481"/>
    <w:rsid w:val="00644328"/>
    <w:rsid w:val="00652F4B"/>
    <w:rsid w:val="00655FFE"/>
    <w:rsid w:val="006569DE"/>
    <w:rsid w:val="00665F6E"/>
    <w:rsid w:val="00670462"/>
    <w:rsid w:val="0067061D"/>
    <w:rsid w:val="00670A7F"/>
    <w:rsid w:val="00670C9C"/>
    <w:rsid w:val="00674A72"/>
    <w:rsid w:val="00675057"/>
    <w:rsid w:val="00675CC0"/>
    <w:rsid w:val="006763C2"/>
    <w:rsid w:val="00683123"/>
    <w:rsid w:val="0068437B"/>
    <w:rsid w:val="0068637D"/>
    <w:rsid w:val="006906EB"/>
    <w:rsid w:val="006916CF"/>
    <w:rsid w:val="00691C62"/>
    <w:rsid w:val="00691E89"/>
    <w:rsid w:val="00691F68"/>
    <w:rsid w:val="00692276"/>
    <w:rsid w:val="006A060C"/>
    <w:rsid w:val="006A5A3A"/>
    <w:rsid w:val="006A7033"/>
    <w:rsid w:val="006A7738"/>
    <w:rsid w:val="006B1C9B"/>
    <w:rsid w:val="006B238F"/>
    <w:rsid w:val="006B350C"/>
    <w:rsid w:val="006B4F71"/>
    <w:rsid w:val="006B63A7"/>
    <w:rsid w:val="006B794A"/>
    <w:rsid w:val="006C2B78"/>
    <w:rsid w:val="006C635B"/>
    <w:rsid w:val="006C6FF8"/>
    <w:rsid w:val="006C7A71"/>
    <w:rsid w:val="006D0501"/>
    <w:rsid w:val="006D3C5D"/>
    <w:rsid w:val="006D4018"/>
    <w:rsid w:val="006E1662"/>
    <w:rsid w:val="006E4FD4"/>
    <w:rsid w:val="006E5221"/>
    <w:rsid w:val="006E675C"/>
    <w:rsid w:val="006F5049"/>
    <w:rsid w:val="00700327"/>
    <w:rsid w:val="00700E47"/>
    <w:rsid w:val="00700FE8"/>
    <w:rsid w:val="00701DBF"/>
    <w:rsid w:val="00703309"/>
    <w:rsid w:val="007041B5"/>
    <w:rsid w:val="0071055F"/>
    <w:rsid w:val="007125C4"/>
    <w:rsid w:val="00716413"/>
    <w:rsid w:val="00720E80"/>
    <w:rsid w:val="00721587"/>
    <w:rsid w:val="007231BC"/>
    <w:rsid w:val="00723CCA"/>
    <w:rsid w:val="00724EF4"/>
    <w:rsid w:val="007317A0"/>
    <w:rsid w:val="00733CBF"/>
    <w:rsid w:val="00735188"/>
    <w:rsid w:val="00741EDC"/>
    <w:rsid w:val="00746396"/>
    <w:rsid w:val="00750C3E"/>
    <w:rsid w:val="007517A1"/>
    <w:rsid w:val="00751DF6"/>
    <w:rsid w:val="00752440"/>
    <w:rsid w:val="00756017"/>
    <w:rsid w:val="007575C1"/>
    <w:rsid w:val="00760E7F"/>
    <w:rsid w:val="00763BA1"/>
    <w:rsid w:val="00764AC5"/>
    <w:rsid w:val="00765034"/>
    <w:rsid w:val="00775435"/>
    <w:rsid w:val="00775D69"/>
    <w:rsid w:val="00777F15"/>
    <w:rsid w:val="00781F2C"/>
    <w:rsid w:val="00787779"/>
    <w:rsid w:val="00791AB6"/>
    <w:rsid w:val="00791EB9"/>
    <w:rsid w:val="00793F35"/>
    <w:rsid w:val="007959E8"/>
    <w:rsid w:val="0079617B"/>
    <w:rsid w:val="007A0CE4"/>
    <w:rsid w:val="007A7CD6"/>
    <w:rsid w:val="007B01DB"/>
    <w:rsid w:val="007B0B37"/>
    <w:rsid w:val="007B23B8"/>
    <w:rsid w:val="007B53E5"/>
    <w:rsid w:val="007B6C04"/>
    <w:rsid w:val="007C0031"/>
    <w:rsid w:val="007C2AC8"/>
    <w:rsid w:val="007C5B4C"/>
    <w:rsid w:val="007C5E07"/>
    <w:rsid w:val="007C5F3E"/>
    <w:rsid w:val="007D3408"/>
    <w:rsid w:val="007D5A8C"/>
    <w:rsid w:val="007D690D"/>
    <w:rsid w:val="007D696D"/>
    <w:rsid w:val="007E42D2"/>
    <w:rsid w:val="007E676B"/>
    <w:rsid w:val="007F01BA"/>
    <w:rsid w:val="007F0602"/>
    <w:rsid w:val="007F1CF2"/>
    <w:rsid w:val="007F3E98"/>
    <w:rsid w:val="007F6FAC"/>
    <w:rsid w:val="008045D3"/>
    <w:rsid w:val="0081046D"/>
    <w:rsid w:val="00815A01"/>
    <w:rsid w:val="00816EE7"/>
    <w:rsid w:val="0081775B"/>
    <w:rsid w:val="00820D36"/>
    <w:rsid w:val="008218E4"/>
    <w:rsid w:val="00821D38"/>
    <w:rsid w:val="00834099"/>
    <w:rsid w:val="0083631D"/>
    <w:rsid w:val="00840843"/>
    <w:rsid w:val="00850EA4"/>
    <w:rsid w:val="0085304B"/>
    <w:rsid w:val="008538E8"/>
    <w:rsid w:val="008568C2"/>
    <w:rsid w:val="008619D8"/>
    <w:rsid w:val="008659F5"/>
    <w:rsid w:val="00866035"/>
    <w:rsid w:val="00870302"/>
    <w:rsid w:val="0087044E"/>
    <w:rsid w:val="00870C11"/>
    <w:rsid w:val="0087354E"/>
    <w:rsid w:val="00880AB1"/>
    <w:rsid w:val="008820EE"/>
    <w:rsid w:val="0088603E"/>
    <w:rsid w:val="008877CE"/>
    <w:rsid w:val="00887A24"/>
    <w:rsid w:val="00887D47"/>
    <w:rsid w:val="00891CDD"/>
    <w:rsid w:val="00891E59"/>
    <w:rsid w:val="00894195"/>
    <w:rsid w:val="00894C91"/>
    <w:rsid w:val="00896117"/>
    <w:rsid w:val="00897BC2"/>
    <w:rsid w:val="008A34CF"/>
    <w:rsid w:val="008A6C9F"/>
    <w:rsid w:val="008A6EAE"/>
    <w:rsid w:val="008A7FBE"/>
    <w:rsid w:val="008B1220"/>
    <w:rsid w:val="008B567D"/>
    <w:rsid w:val="008B74B2"/>
    <w:rsid w:val="008C543E"/>
    <w:rsid w:val="008C6CD4"/>
    <w:rsid w:val="008D23B0"/>
    <w:rsid w:val="008D5500"/>
    <w:rsid w:val="008D66C0"/>
    <w:rsid w:val="008D7B54"/>
    <w:rsid w:val="008E110B"/>
    <w:rsid w:val="008E2B92"/>
    <w:rsid w:val="008E5DE8"/>
    <w:rsid w:val="008F0524"/>
    <w:rsid w:val="008F08FE"/>
    <w:rsid w:val="008F19C1"/>
    <w:rsid w:val="008F1B34"/>
    <w:rsid w:val="00900C6D"/>
    <w:rsid w:val="00902B5D"/>
    <w:rsid w:val="00903526"/>
    <w:rsid w:val="00904233"/>
    <w:rsid w:val="009051B9"/>
    <w:rsid w:val="00914F20"/>
    <w:rsid w:val="00915DDA"/>
    <w:rsid w:val="009167E8"/>
    <w:rsid w:val="009171F1"/>
    <w:rsid w:val="00917372"/>
    <w:rsid w:val="0092044A"/>
    <w:rsid w:val="00920DC1"/>
    <w:rsid w:val="00921361"/>
    <w:rsid w:val="00922511"/>
    <w:rsid w:val="00922970"/>
    <w:rsid w:val="0092332C"/>
    <w:rsid w:val="00923BF5"/>
    <w:rsid w:val="00924543"/>
    <w:rsid w:val="009262E2"/>
    <w:rsid w:val="00930C89"/>
    <w:rsid w:val="00932F4D"/>
    <w:rsid w:val="0093397E"/>
    <w:rsid w:val="00935075"/>
    <w:rsid w:val="0093552F"/>
    <w:rsid w:val="009369D7"/>
    <w:rsid w:val="00937E74"/>
    <w:rsid w:val="009407E1"/>
    <w:rsid w:val="009407E3"/>
    <w:rsid w:val="00940A5D"/>
    <w:rsid w:val="00940E1F"/>
    <w:rsid w:val="00942C5C"/>
    <w:rsid w:val="00945EA0"/>
    <w:rsid w:val="0095001E"/>
    <w:rsid w:val="00950417"/>
    <w:rsid w:val="0095091B"/>
    <w:rsid w:val="00950937"/>
    <w:rsid w:val="00953B07"/>
    <w:rsid w:val="009561A0"/>
    <w:rsid w:val="00957C3C"/>
    <w:rsid w:val="0096129C"/>
    <w:rsid w:val="00961D33"/>
    <w:rsid w:val="009669FD"/>
    <w:rsid w:val="00970B19"/>
    <w:rsid w:val="00971884"/>
    <w:rsid w:val="00972A65"/>
    <w:rsid w:val="009748E2"/>
    <w:rsid w:val="00982B91"/>
    <w:rsid w:val="00983820"/>
    <w:rsid w:val="009845D1"/>
    <w:rsid w:val="00984FA4"/>
    <w:rsid w:val="00985F17"/>
    <w:rsid w:val="009910F2"/>
    <w:rsid w:val="00993D82"/>
    <w:rsid w:val="009945C3"/>
    <w:rsid w:val="00996E8B"/>
    <w:rsid w:val="009A31AA"/>
    <w:rsid w:val="009A4562"/>
    <w:rsid w:val="009A4D45"/>
    <w:rsid w:val="009A71AC"/>
    <w:rsid w:val="009A7FEB"/>
    <w:rsid w:val="009B016D"/>
    <w:rsid w:val="009B0A4E"/>
    <w:rsid w:val="009B22A5"/>
    <w:rsid w:val="009B2F60"/>
    <w:rsid w:val="009B52D9"/>
    <w:rsid w:val="009C008E"/>
    <w:rsid w:val="009C27F4"/>
    <w:rsid w:val="009C6BE5"/>
    <w:rsid w:val="009C7FBE"/>
    <w:rsid w:val="009D05A0"/>
    <w:rsid w:val="009D1487"/>
    <w:rsid w:val="009D2416"/>
    <w:rsid w:val="009D41C3"/>
    <w:rsid w:val="009E0DC1"/>
    <w:rsid w:val="009E4FA6"/>
    <w:rsid w:val="009E644E"/>
    <w:rsid w:val="009F030A"/>
    <w:rsid w:val="009F0563"/>
    <w:rsid w:val="009F310A"/>
    <w:rsid w:val="009F393E"/>
    <w:rsid w:val="009F3E0D"/>
    <w:rsid w:val="009F5287"/>
    <w:rsid w:val="00A01E30"/>
    <w:rsid w:val="00A06DED"/>
    <w:rsid w:val="00A07A6E"/>
    <w:rsid w:val="00A119F2"/>
    <w:rsid w:val="00A1255F"/>
    <w:rsid w:val="00A15738"/>
    <w:rsid w:val="00A16804"/>
    <w:rsid w:val="00A171F0"/>
    <w:rsid w:val="00A172F6"/>
    <w:rsid w:val="00A17575"/>
    <w:rsid w:val="00A17B9D"/>
    <w:rsid w:val="00A208B6"/>
    <w:rsid w:val="00A30D37"/>
    <w:rsid w:val="00A3341F"/>
    <w:rsid w:val="00A335A7"/>
    <w:rsid w:val="00A35228"/>
    <w:rsid w:val="00A376BD"/>
    <w:rsid w:val="00A379BB"/>
    <w:rsid w:val="00A405DD"/>
    <w:rsid w:val="00A43071"/>
    <w:rsid w:val="00A44400"/>
    <w:rsid w:val="00A46CD4"/>
    <w:rsid w:val="00A47081"/>
    <w:rsid w:val="00A53FAB"/>
    <w:rsid w:val="00A56B0D"/>
    <w:rsid w:val="00A56F48"/>
    <w:rsid w:val="00A573E9"/>
    <w:rsid w:val="00A57BCD"/>
    <w:rsid w:val="00A57CE6"/>
    <w:rsid w:val="00A6086E"/>
    <w:rsid w:val="00A647A9"/>
    <w:rsid w:val="00A65061"/>
    <w:rsid w:val="00A652D0"/>
    <w:rsid w:val="00A675B9"/>
    <w:rsid w:val="00A70043"/>
    <w:rsid w:val="00A71E6D"/>
    <w:rsid w:val="00A74CF5"/>
    <w:rsid w:val="00A753D3"/>
    <w:rsid w:val="00A76424"/>
    <w:rsid w:val="00A7679D"/>
    <w:rsid w:val="00A767B6"/>
    <w:rsid w:val="00A76EDD"/>
    <w:rsid w:val="00A77EF6"/>
    <w:rsid w:val="00A8143C"/>
    <w:rsid w:val="00A84ECE"/>
    <w:rsid w:val="00A871EA"/>
    <w:rsid w:val="00A8759C"/>
    <w:rsid w:val="00A90881"/>
    <w:rsid w:val="00A916E2"/>
    <w:rsid w:val="00A919F0"/>
    <w:rsid w:val="00A922A3"/>
    <w:rsid w:val="00A96E37"/>
    <w:rsid w:val="00A97B90"/>
    <w:rsid w:val="00AA2735"/>
    <w:rsid w:val="00AA2F82"/>
    <w:rsid w:val="00AA3ACC"/>
    <w:rsid w:val="00AA716D"/>
    <w:rsid w:val="00AB1743"/>
    <w:rsid w:val="00AB4CE8"/>
    <w:rsid w:val="00AC07F4"/>
    <w:rsid w:val="00AC2499"/>
    <w:rsid w:val="00AC5AAF"/>
    <w:rsid w:val="00AD1994"/>
    <w:rsid w:val="00AD774E"/>
    <w:rsid w:val="00AE2C94"/>
    <w:rsid w:val="00AE39C1"/>
    <w:rsid w:val="00AE4566"/>
    <w:rsid w:val="00AE4CF3"/>
    <w:rsid w:val="00AE559D"/>
    <w:rsid w:val="00AE55A6"/>
    <w:rsid w:val="00AF35D6"/>
    <w:rsid w:val="00AF62B9"/>
    <w:rsid w:val="00AF6B2D"/>
    <w:rsid w:val="00B02C35"/>
    <w:rsid w:val="00B03B87"/>
    <w:rsid w:val="00B056D9"/>
    <w:rsid w:val="00B057AC"/>
    <w:rsid w:val="00B0714E"/>
    <w:rsid w:val="00B10BCB"/>
    <w:rsid w:val="00B13583"/>
    <w:rsid w:val="00B13CF9"/>
    <w:rsid w:val="00B2107E"/>
    <w:rsid w:val="00B2168D"/>
    <w:rsid w:val="00B21EF5"/>
    <w:rsid w:val="00B255DD"/>
    <w:rsid w:val="00B27C3E"/>
    <w:rsid w:val="00B30270"/>
    <w:rsid w:val="00B31CCE"/>
    <w:rsid w:val="00B326E3"/>
    <w:rsid w:val="00B33538"/>
    <w:rsid w:val="00B33C20"/>
    <w:rsid w:val="00B3746C"/>
    <w:rsid w:val="00B37D3A"/>
    <w:rsid w:val="00B41327"/>
    <w:rsid w:val="00B4169B"/>
    <w:rsid w:val="00B42153"/>
    <w:rsid w:val="00B42DF9"/>
    <w:rsid w:val="00B46A09"/>
    <w:rsid w:val="00B55E47"/>
    <w:rsid w:val="00B56037"/>
    <w:rsid w:val="00B562F0"/>
    <w:rsid w:val="00B6043D"/>
    <w:rsid w:val="00B60D88"/>
    <w:rsid w:val="00B61B55"/>
    <w:rsid w:val="00B622BE"/>
    <w:rsid w:val="00B6596D"/>
    <w:rsid w:val="00B728F1"/>
    <w:rsid w:val="00B73473"/>
    <w:rsid w:val="00B738D5"/>
    <w:rsid w:val="00B74D75"/>
    <w:rsid w:val="00B750A9"/>
    <w:rsid w:val="00B76104"/>
    <w:rsid w:val="00B80EF1"/>
    <w:rsid w:val="00B80EFF"/>
    <w:rsid w:val="00B844E6"/>
    <w:rsid w:val="00B85AF5"/>
    <w:rsid w:val="00B85EF0"/>
    <w:rsid w:val="00B90035"/>
    <w:rsid w:val="00B91E3F"/>
    <w:rsid w:val="00B91FC3"/>
    <w:rsid w:val="00BA3DF8"/>
    <w:rsid w:val="00BA4BD6"/>
    <w:rsid w:val="00BA6B6C"/>
    <w:rsid w:val="00BB0B16"/>
    <w:rsid w:val="00BB43CA"/>
    <w:rsid w:val="00BC1570"/>
    <w:rsid w:val="00BC4916"/>
    <w:rsid w:val="00BC52C5"/>
    <w:rsid w:val="00BC5BED"/>
    <w:rsid w:val="00BD1900"/>
    <w:rsid w:val="00BD1FAD"/>
    <w:rsid w:val="00BD3FDB"/>
    <w:rsid w:val="00BD427A"/>
    <w:rsid w:val="00BE0A19"/>
    <w:rsid w:val="00BE0DA3"/>
    <w:rsid w:val="00BE2263"/>
    <w:rsid w:val="00BE3139"/>
    <w:rsid w:val="00BE3E8D"/>
    <w:rsid w:val="00BE6B4C"/>
    <w:rsid w:val="00BE747D"/>
    <w:rsid w:val="00BE782D"/>
    <w:rsid w:val="00BE7C41"/>
    <w:rsid w:val="00BF0992"/>
    <w:rsid w:val="00BF359A"/>
    <w:rsid w:val="00BF43F6"/>
    <w:rsid w:val="00BF46C3"/>
    <w:rsid w:val="00C03EA4"/>
    <w:rsid w:val="00C05D97"/>
    <w:rsid w:val="00C060A8"/>
    <w:rsid w:val="00C10903"/>
    <w:rsid w:val="00C11A6E"/>
    <w:rsid w:val="00C12D1A"/>
    <w:rsid w:val="00C136AE"/>
    <w:rsid w:val="00C17544"/>
    <w:rsid w:val="00C21345"/>
    <w:rsid w:val="00C21BD8"/>
    <w:rsid w:val="00C21DB2"/>
    <w:rsid w:val="00C2733C"/>
    <w:rsid w:val="00C30E57"/>
    <w:rsid w:val="00C3244E"/>
    <w:rsid w:val="00C355F5"/>
    <w:rsid w:val="00C35BD1"/>
    <w:rsid w:val="00C35E4D"/>
    <w:rsid w:val="00C3605F"/>
    <w:rsid w:val="00C4046B"/>
    <w:rsid w:val="00C415FB"/>
    <w:rsid w:val="00C4492B"/>
    <w:rsid w:val="00C44DEE"/>
    <w:rsid w:val="00C45E79"/>
    <w:rsid w:val="00C46241"/>
    <w:rsid w:val="00C475BF"/>
    <w:rsid w:val="00C528D1"/>
    <w:rsid w:val="00C52F53"/>
    <w:rsid w:val="00C56087"/>
    <w:rsid w:val="00C568C5"/>
    <w:rsid w:val="00C57E52"/>
    <w:rsid w:val="00C60162"/>
    <w:rsid w:val="00C73177"/>
    <w:rsid w:val="00C740BC"/>
    <w:rsid w:val="00C74502"/>
    <w:rsid w:val="00C745EE"/>
    <w:rsid w:val="00C75ECA"/>
    <w:rsid w:val="00C82089"/>
    <w:rsid w:val="00C8674D"/>
    <w:rsid w:val="00C8729F"/>
    <w:rsid w:val="00C90AA1"/>
    <w:rsid w:val="00C91244"/>
    <w:rsid w:val="00C913A9"/>
    <w:rsid w:val="00C921FF"/>
    <w:rsid w:val="00C92E47"/>
    <w:rsid w:val="00C96124"/>
    <w:rsid w:val="00C96CB3"/>
    <w:rsid w:val="00C96DB7"/>
    <w:rsid w:val="00C9714A"/>
    <w:rsid w:val="00C974C6"/>
    <w:rsid w:val="00CA0979"/>
    <w:rsid w:val="00CA3FF1"/>
    <w:rsid w:val="00CA502C"/>
    <w:rsid w:val="00CA5C50"/>
    <w:rsid w:val="00CA7400"/>
    <w:rsid w:val="00CB0328"/>
    <w:rsid w:val="00CB7F26"/>
    <w:rsid w:val="00CC03F2"/>
    <w:rsid w:val="00CC2ED1"/>
    <w:rsid w:val="00CC318E"/>
    <w:rsid w:val="00CC39DF"/>
    <w:rsid w:val="00CC3B7D"/>
    <w:rsid w:val="00CC4D58"/>
    <w:rsid w:val="00CC637D"/>
    <w:rsid w:val="00CD2692"/>
    <w:rsid w:val="00CD38BE"/>
    <w:rsid w:val="00CD3B78"/>
    <w:rsid w:val="00CD3ED0"/>
    <w:rsid w:val="00CD65AD"/>
    <w:rsid w:val="00CD75C2"/>
    <w:rsid w:val="00CE3180"/>
    <w:rsid w:val="00CE3A48"/>
    <w:rsid w:val="00CE3A6F"/>
    <w:rsid w:val="00CE5182"/>
    <w:rsid w:val="00CE7B40"/>
    <w:rsid w:val="00CF06F8"/>
    <w:rsid w:val="00CF11D1"/>
    <w:rsid w:val="00CF2583"/>
    <w:rsid w:val="00CF421C"/>
    <w:rsid w:val="00CF6DB0"/>
    <w:rsid w:val="00D051CC"/>
    <w:rsid w:val="00D0669C"/>
    <w:rsid w:val="00D07B02"/>
    <w:rsid w:val="00D07D28"/>
    <w:rsid w:val="00D07F66"/>
    <w:rsid w:val="00D1043A"/>
    <w:rsid w:val="00D21DE5"/>
    <w:rsid w:val="00D23CE6"/>
    <w:rsid w:val="00D3019A"/>
    <w:rsid w:val="00D30D8A"/>
    <w:rsid w:val="00D30EE2"/>
    <w:rsid w:val="00D32F72"/>
    <w:rsid w:val="00D33663"/>
    <w:rsid w:val="00D34606"/>
    <w:rsid w:val="00D37EE1"/>
    <w:rsid w:val="00D40446"/>
    <w:rsid w:val="00D43B93"/>
    <w:rsid w:val="00D45F42"/>
    <w:rsid w:val="00D50CC9"/>
    <w:rsid w:val="00D51F9E"/>
    <w:rsid w:val="00D534A3"/>
    <w:rsid w:val="00D54920"/>
    <w:rsid w:val="00D56E24"/>
    <w:rsid w:val="00D60ACE"/>
    <w:rsid w:val="00D652AF"/>
    <w:rsid w:val="00D65D9F"/>
    <w:rsid w:val="00D7013A"/>
    <w:rsid w:val="00D72684"/>
    <w:rsid w:val="00D72A23"/>
    <w:rsid w:val="00D73045"/>
    <w:rsid w:val="00D74385"/>
    <w:rsid w:val="00D7633F"/>
    <w:rsid w:val="00D804D4"/>
    <w:rsid w:val="00D80926"/>
    <w:rsid w:val="00D815FF"/>
    <w:rsid w:val="00D84225"/>
    <w:rsid w:val="00D940E9"/>
    <w:rsid w:val="00DA1041"/>
    <w:rsid w:val="00DA28B1"/>
    <w:rsid w:val="00DA6C19"/>
    <w:rsid w:val="00DA6F28"/>
    <w:rsid w:val="00DA78FA"/>
    <w:rsid w:val="00DB32D4"/>
    <w:rsid w:val="00DB3E1E"/>
    <w:rsid w:val="00DB5015"/>
    <w:rsid w:val="00DB5D6F"/>
    <w:rsid w:val="00DC06ED"/>
    <w:rsid w:val="00DC2A88"/>
    <w:rsid w:val="00DC5B5B"/>
    <w:rsid w:val="00DC6AC3"/>
    <w:rsid w:val="00DC7B2E"/>
    <w:rsid w:val="00DC7E78"/>
    <w:rsid w:val="00DD0A7A"/>
    <w:rsid w:val="00DD1BAC"/>
    <w:rsid w:val="00DD2722"/>
    <w:rsid w:val="00DD51FA"/>
    <w:rsid w:val="00DD7452"/>
    <w:rsid w:val="00DE01D2"/>
    <w:rsid w:val="00DE1CFE"/>
    <w:rsid w:val="00DE3011"/>
    <w:rsid w:val="00DE3841"/>
    <w:rsid w:val="00DE3A79"/>
    <w:rsid w:val="00DF1C74"/>
    <w:rsid w:val="00DF34CA"/>
    <w:rsid w:val="00DF3F6A"/>
    <w:rsid w:val="00DF6E3C"/>
    <w:rsid w:val="00DF704C"/>
    <w:rsid w:val="00E007CB"/>
    <w:rsid w:val="00E0113C"/>
    <w:rsid w:val="00E02BB1"/>
    <w:rsid w:val="00E053D0"/>
    <w:rsid w:val="00E05960"/>
    <w:rsid w:val="00E05CBB"/>
    <w:rsid w:val="00E103D7"/>
    <w:rsid w:val="00E10A5C"/>
    <w:rsid w:val="00E13570"/>
    <w:rsid w:val="00E13C58"/>
    <w:rsid w:val="00E1459D"/>
    <w:rsid w:val="00E14B7A"/>
    <w:rsid w:val="00E1532B"/>
    <w:rsid w:val="00E154FF"/>
    <w:rsid w:val="00E20CEB"/>
    <w:rsid w:val="00E21647"/>
    <w:rsid w:val="00E2242F"/>
    <w:rsid w:val="00E3275D"/>
    <w:rsid w:val="00E367DB"/>
    <w:rsid w:val="00E37C61"/>
    <w:rsid w:val="00E425A4"/>
    <w:rsid w:val="00E43CB6"/>
    <w:rsid w:val="00E44B0D"/>
    <w:rsid w:val="00E576DB"/>
    <w:rsid w:val="00E61291"/>
    <w:rsid w:val="00E62D08"/>
    <w:rsid w:val="00E6512A"/>
    <w:rsid w:val="00E73082"/>
    <w:rsid w:val="00E731EE"/>
    <w:rsid w:val="00E74089"/>
    <w:rsid w:val="00E742A0"/>
    <w:rsid w:val="00E76848"/>
    <w:rsid w:val="00E77840"/>
    <w:rsid w:val="00E8188B"/>
    <w:rsid w:val="00E8342D"/>
    <w:rsid w:val="00E850A7"/>
    <w:rsid w:val="00E8755E"/>
    <w:rsid w:val="00E918F0"/>
    <w:rsid w:val="00E946F1"/>
    <w:rsid w:val="00E96367"/>
    <w:rsid w:val="00E97230"/>
    <w:rsid w:val="00E97EB9"/>
    <w:rsid w:val="00EA03A8"/>
    <w:rsid w:val="00EA2BAC"/>
    <w:rsid w:val="00EA3434"/>
    <w:rsid w:val="00EA4590"/>
    <w:rsid w:val="00EA7002"/>
    <w:rsid w:val="00EA7722"/>
    <w:rsid w:val="00EB074F"/>
    <w:rsid w:val="00EB1553"/>
    <w:rsid w:val="00EB4870"/>
    <w:rsid w:val="00EB6C8A"/>
    <w:rsid w:val="00EB7190"/>
    <w:rsid w:val="00EC05DC"/>
    <w:rsid w:val="00EC1044"/>
    <w:rsid w:val="00EC34A9"/>
    <w:rsid w:val="00EC5162"/>
    <w:rsid w:val="00EC7D02"/>
    <w:rsid w:val="00ED40FF"/>
    <w:rsid w:val="00ED6381"/>
    <w:rsid w:val="00ED6AAC"/>
    <w:rsid w:val="00ED7F15"/>
    <w:rsid w:val="00EE12BB"/>
    <w:rsid w:val="00EE346C"/>
    <w:rsid w:val="00EE756F"/>
    <w:rsid w:val="00EF186F"/>
    <w:rsid w:val="00EF3A61"/>
    <w:rsid w:val="00EF3A70"/>
    <w:rsid w:val="00EF52F1"/>
    <w:rsid w:val="00F005AC"/>
    <w:rsid w:val="00F01CB3"/>
    <w:rsid w:val="00F033EC"/>
    <w:rsid w:val="00F03BB8"/>
    <w:rsid w:val="00F05ACA"/>
    <w:rsid w:val="00F105B2"/>
    <w:rsid w:val="00F10B78"/>
    <w:rsid w:val="00F117B3"/>
    <w:rsid w:val="00F11E32"/>
    <w:rsid w:val="00F12E19"/>
    <w:rsid w:val="00F20796"/>
    <w:rsid w:val="00F21376"/>
    <w:rsid w:val="00F23A55"/>
    <w:rsid w:val="00F25E0C"/>
    <w:rsid w:val="00F3029B"/>
    <w:rsid w:val="00F331ED"/>
    <w:rsid w:val="00F33F00"/>
    <w:rsid w:val="00F348B0"/>
    <w:rsid w:val="00F34EA3"/>
    <w:rsid w:val="00F3567F"/>
    <w:rsid w:val="00F35E02"/>
    <w:rsid w:val="00F36881"/>
    <w:rsid w:val="00F40C93"/>
    <w:rsid w:val="00F467D0"/>
    <w:rsid w:val="00F5043A"/>
    <w:rsid w:val="00F50CDF"/>
    <w:rsid w:val="00F517E7"/>
    <w:rsid w:val="00F53C43"/>
    <w:rsid w:val="00F57B45"/>
    <w:rsid w:val="00F67180"/>
    <w:rsid w:val="00F679A3"/>
    <w:rsid w:val="00F73F2B"/>
    <w:rsid w:val="00F75ED3"/>
    <w:rsid w:val="00F80747"/>
    <w:rsid w:val="00F81620"/>
    <w:rsid w:val="00F869BD"/>
    <w:rsid w:val="00F90614"/>
    <w:rsid w:val="00F93A3F"/>
    <w:rsid w:val="00F93BA6"/>
    <w:rsid w:val="00F96497"/>
    <w:rsid w:val="00FA044B"/>
    <w:rsid w:val="00FA37D9"/>
    <w:rsid w:val="00FA3843"/>
    <w:rsid w:val="00FA5B2D"/>
    <w:rsid w:val="00FB0EF5"/>
    <w:rsid w:val="00FB1D84"/>
    <w:rsid w:val="00FB21FD"/>
    <w:rsid w:val="00FB4589"/>
    <w:rsid w:val="00FB6A89"/>
    <w:rsid w:val="00FC025D"/>
    <w:rsid w:val="00FC0905"/>
    <w:rsid w:val="00FC2455"/>
    <w:rsid w:val="00FC4FB4"/>
    <w:rsid w:val="00FC5152"/>
    <w:rsid w:val="00FD5ADD"/>
    <w:rsid w:val="00FD7E69"/>
    <w:rsid w:val="00FE00B3"/>
    <w:rsid w:val="00FE1466"/>
    <w:rsid w:val="00FE19E5"/>
    <w:rsid w:val="00FE2181"/>
    <w:rsid w:val="00FE2F65"/>
    <w:rsid w:val="00FE56F3"/>
    <w:rsid w:val="00FE5D1D"/>
    <w:rsid w:val="00FE6B9F"/>
    <w:rsid w:val="00FF5456"/>
    <w:rsid w:val="00FF7472"/>
    <w:rsid w:val="01220CF5"/>
    <w:rsid w:val="012D2EC5"/>
    <w:rsid w:val="01710F01"/>
    <w:rsid w:val="01866661"/>
    <w:rsid w:val="018F6336"/>
    <w:rsid w:val="01A8004E"/>
    <w:rsid w:val="01C11008"/>
    <w:rsid w:val="02281ACB"/>
    <w:rsid w:val="023E5953"/>
    <w:rsid w:val="023F2E8C"/>
    <w:rsid w:val="024A028C"/>
    <w:rsid w:val="02A35ADD"/>
    <w:rsid w:val="02CA601E"/>
    <w:rsid w:val="02D84A36"/>
    <w:rsid w:val="02F93F6A"/>
    <w:rsid w:val="03000716"/>
    <w:rsid w:val="03013312"/>
    <w:rsid w:val="03173BD2"/>
    <w:rsid w:val="037F54DC"/>
    <w:rsid w:val="03A33348"/>
    <w:rsid w:val="03BD27FE"/>
    <w:rsid w:val="03C53A79"/>
    <w:rsid w:val="03E033DF"/>
    <w:rsid w:val="040746DF"/>
    <w:rsid w:val="042934D9"/>
    <w:rsid w:val="042D4A23"/>
    <w:rsid w:val="04562834"/>
    <w:rsid w:val="045B362A"/>
    <w:rsid w:val="04713603"/>
    <w:rsid w:val="049931E9"/>
    <w:rsid w:val="04AD01DD"/>
    <w:rsid w:val="04DF6E7A"/>
    <w:rsid w:val="04E92BD4"/>
    <w:rsid w:val="0506412C"/>
    <w:rsid w:val="05357951"/>
    <w:rsid w:val="05EE2D3C"/>
    <w:rsid w:val="05F9301F"/>
    <w:rsid w:val="06043DDA"/>
    <w:rsid w:val="06051ED1"/>
    <w:rsid w:val="061D3517"/>
    <w:rsid w:val="064908D3"/>
    <w:rsid w:val="0666718B"/>
    <w:rsid w:val="06C113BF"/>
    <w:rsid w:val="06D5473A"/>
    <w:rsid w:val="0735411F"/>
    <w:rsid w:val="0763320F"/>
    <w:rsid w:val="07701841"/>
    <w:rsid w:val="07E415FD"/>
    <w:rsid w:val="07F868FE"/>
    <w:rsid w:val="081B70E2"/>
    <w:rsid w:val="081D144E"/>
    <w:rsid w:val="08324EFA"/>
    <w:rsid w:val="085A011E"/>
    <w:rsid w:val="08664722"/>
    <w:rsid w:val="087210F5"/>
    <w:rsid w:val="08892065"/>
    <w:rsid w:val="088B26A9"/>
    <w:rsid w:val="08C30259"/>
    <w:rsid w:val="095443A2"/>
    <w:rsid w:val="0958411A"/>
    <w:rsid w:val="09B64B81"/>
    <w:rsid w:val="0A0B4C5D"/>
    <w:rsid w:val="0A5646FF"/>
    <w:rsid w:val="0A613935"/>
    <w:rsid w:val="0A7B1588"/>
    <w:rsid w:val="0A8248C7"/>
    <w:rsid w:val="0AD25578"/>
    <w:rsid w:val="0AE6579C"/>
    <w:rsid w:val="0B056A98"/>
    <w:rsid w:val="0B234949"/>
    <w:rsid w:val="0B2C306B"/>
    <w:rsid w:val="0B367D68"/>
    <w:rsid w:val="0B37192D"/>
    <w:rsid w:val="0B3C3E6E"/>
    <w:rsid w:val="0B5E54D2"/>
    <w:rsid w:val="0B9233BA"/>
    <w:rsid w:val="0B953549"/>
    <w:rsid w:val="0B9C4D21"/>
    <w:rsid w:val="0C291372"/>
    <w:rsid w:val="0C542F86"/>
    <w:rsid w:val="0C5E57F4"/>
    <w:rsid w:val="0C6C13F0"/>
    <w:rsid w:val="0CB1145B"/>
    <w:rsid w:val="0CB82A8F"/>
    <w:rsid w:val="0CCA51A5"/>
    <w:rsid w:val="0CE80310"/>
    <w:rsid w:val="0D2F2A34"/>
    <w:rsid w:val="0D4F4553"/>
    <w:rsid w:val="0D813AA8"/>
    <w:rsid w:val="0DCE517E"/>
    <w:rsid w:val="0DCF202E"/>
    <w:rsid w:val="0E050638"/>
    <w:rsid w:val="0E624008"/>
    <w:rsid w:val="0E6D7980"/>
    <w:rsid w:val="0EA612FA"/>
    <w:rsid w:val="0EDD23BC"/>
    <w:rsid w:val="0EF632FA"/>
    <w:rsid w:val="0F0517F9"/>
    <w:rsid w:val="0F233951"/>
    <w:rsid w:val="0F4E5291"/>
    <w:rsid w:val="0F802C2A"/>
    <w:rsid w:val="0FA52275"/>
    <w:rsid w:val="0FAC7A42"/>
    <w:rsid w:val="0FF0483D"/>
    <w:rsid w:val="0FF71687"/>
    <w:rsid w:val="10073A12"/>
    <w:rsid w:val="10242995"/>
    <w:rsid w:val="10567490"/>
    <w:rsid w:val="106C0A48"/>
    <w:rsid w:val="106E5A14"/>
    <w:rsid w:val="10924860"/>
    <w:rsid w:val="10B25489"/>
    <w:rsid w:val="10B77D5E"/>
    <w:rsid w:val="10C948EA"/>
    <w:rsid w:val="11013334"/>
    <w:rsid w:val="110F29EB"/>
    <w:rsid w:val="11154DB3"/>
    <w:rsid w:val="1125578F"/>
    <w:rsid w:val="113F06AD"/>
    <w:rsid w:val="1142151C"/>
    <w:rsid w:val="11584547"/>
    <w:rsid w:val="11B803E3"/>
    <w:rsid w:val="11CF2FD3"/>
    <w:rsid w:val="11E313AE"/>
    <w:rsid w:val="121F5337"/>
    <w:rsid w:val="12590794"/>
    <w:rsid w:val="126036F6"/>
    <w:rsid w:val="12700445"/>
    <w:rsid w:val="12D270FE"/>
    <w:rsid w:val="12F92FCD"/>
    <w:rsid w:val="13163595"/>
    <w:rsid w:val="134A3213"/>
    <w:rsid w:val="135544CB"/>
    <w:rsid w:val="13B47386"/>
    <w:rsid w:val="13D047FA"/>
    <w:rsid w:val="140A5109"/>
    <w:rsid w:val="14627B07"/>
    <w:rsid w:val="147641AE"/>
    <w:rsid w:val="147F0940"/>
    <w:rsid w:val="1495642C"/>
    <w:rsid w:val="14A118D5"/>
    <w:rsid w:val="14A91FC6"/>
    <w:rsid w:val="14D503D0"/>
    <w:rsid w:val="14F564FC"/>
    <w:rsid w:val="14FB7CE6"/>
    <w:rsid w:val="150819DB"/>
    <w:rsid w:val="15A379E8"/>
    <w:rsid w:val="15C852A0"/>
    <w:rsid w:val="15DD32CF"/>
    <w:rsid w:val="15ED499E"/>
    <w:rsid w:val="162A0D38"/>
    <w:rsid w:val="163E1FB5"/>
    <w:rsid w:val="164C2546"/>
    <w:rsid w:val="1671084C"/>
    <w:rsid w:val="16812655"/>
    <w:rsid w:val="16A801CB"/>
    <w:rsid w:val="16B54C35"/>
    <w:rsid w:val="16F9460E"/>
    <w:rsid w:val="17006957"/>
    <w:rsid w:val="17010E58"/>
    <w:rsid w:val="1751104B"/>
    <w:rsid w:val="17526B40"/>
    <w:rsid w:val="17881643"/>
    <w:rsid w:val="17A03817"/>
    <w:rsid w:val="17AF1E1D"/>
    <w:rsid w:val="17BE5E36"/>
    <w:rsid w:val="17EE05A8"/>
    <w:rsid w:val="17FD2BE1"/>
    <w:rsid w:val="18162133"/>
    <w:rsid w:val="18274990"/>
    <w:rsid w:val="187A77EE"/>
    <w:rsid w:val="18825DCA"/>
    <w:rsid w:val="18994CC6"/>
    <w:rsid w:val="18A11F85"/>
    <w:rsid w:val="18B5440E"/>
    <w:rsid w:val="18BB236B"/>
    <w:rsid w:val="18C10D8C"/>
    <w:rsid w:val="18D33856"/>
    <w:rsid w:val="18E401B4"/>
    <w:rsid w:val="19233AB4"/>
    <w:rsid w:val="19515F00"/>
    <w:rsid w:val="199A6F4C"/>
    <w:rsid w:val="19B36E89"/>
    <w:rsid w:val="19B9490E"/>
    <w:rsid w:val="19CB1816"/>
    <w:rsid w:val="19CF77AC"/>
    <w:rsid w:val="19D607CF"/>
    <w:rsid w:val="19D9534F"/>
    <w:rsid w:val="19E60A93"/>
    <w:rsid w:val="19EC4058"/>
    <w:rsid w:val="1A2A2353"/>
    <w:rsid w:val="1A2A68D9"/>
    <w:rsid w:val="1A662FB1"/>
    <w:rsid w:val="1A7C77D9"/>
    <w:rsid w:val="1AC02F34"/>
    <w:rsid w:val="1B3568BA"/>
    <w:rsid w:val="1B5779D5"/>
    <w:rsid w:val="1B584CD9"/>
    <w:rsid w:val="1B5C105E"/>
    <w:rsid w:val="1B5F2B71"/>
    <w:rsid w:val="1B5F5BC3"/>
    <w:rsid w:val="1B662708"/>
    <w:rsid w:val="1BAC3858"/>
    <w:rsid w:val="1BF126E8"/>
    <w:rsid w:val="1C5C2829"/>
    <w:rsid w:val="1C6110A8"/>
    <w:rsid w:val="1C6136F5"/>
    <w:rsid w:val="1C6C3E02"/>
    <w:rsid w:val="1C803656"/>
    <w:rsid w:val="1C904157"/>
    <w:rsid w:val="1CE2791E"/>
    <w:rsid w:val="1CE3453F"/>
    <w:rsid w:val="1CF850F8"/>
    <w:rsid w:val="1CF96E1F"/>
    <w:rsid w:val="1D0A14E8"/>
    <w:rsid w:val="1D2D14EE"/>
    <w:rsid w:val="1D5864FD"/>
    <w:rsid w:val="1D7B7EAB"/>
    <w:rsid w:val="1DA3195C"/>
    <w:rsid w:val="1DC04F9F"/>
    <w:rsid w:val="1DE92B23"/>
    <w:rsid w:val="1E0E75D4"/>
    <w:rsid w:val="1E2D31E8"/>
    <w:rsid w:val="1E5B55C8"/>
    <w:rsid w:val="1E977324"/>
    <w:rsid w:val="1EAC1126"/>
    <w:rsid w:val="1EAD5731"/>
    <w:rsid w:val="1F0B5B77"/>
    <w:rsid w:val="1F3F0D5D"/>
    <w:rsid w:val="1F746F81"/>
    <w:rsid w:val="1FA013B8"/>
    <w:rsid w:val="1FED2B80"/>
    <w:rsid w:val="200E6461"/>
    <w:rsid w:val="20186E6C"/>
    <w:rsid w:val="206316B5"/>
    <w:rsid w:val="208C5442"/>
    <w:rsid w:val="20AA2037"/>
    <w:rsid w:val="20D22B9B"/>
    <w:rsid w:val="210B1554"/>
    <w:rsid w:val="21600F64"/>
    <w:rsid w:val="217F4511"/>
    <w:rsid w:val="21806D28"/>
    <w:rsid w:val="21880846"/>
    <w:rsid w:val="219D20B5"/>
    <w:rsid w:val="21C45B13"/>
    <w:rsid w:val="21CC5BCB"/>
    <w:rsid w:val="2209059C"/>
    <w:rsid w:val="22254C4D"/>
    <w:rsid w:val="22605614"/>
    <w:rsid w:val="22970399"/>
    <w:rsid w:val="22E05540"/>
    <w:rsid w:val="230B5CEC"/>
    <w:rsid w:val="232D22B0"/>
    <w:rsid w:val="235E2343"/>
    <w:rsid w:val="2368614C"/>
    <w:rsid w:val="23906722"/>
    <w:rsid w:val="23A06920"/>
    <w:rsid w:val="24004303"/>
    <w:rsid w:val="240A40B2"/>
    <w:rsid w:val="24145536"/>
    <w:rsid w:val="24265FB9"/>
    <w:rsid w:val="24416CE3"/>
    <w:rsid w:val="247E3093"/>
    <w:rsid w:val="247F5174"/>
    <w:rsid w:val="24AD2296"/>
    <w:rsid w:val="250528B0"/>
    <w:rsid w:val="252B6B5B"/>
    <w:rsid w:val="257829F7"/>
    <w:rsid w:val="258C7EDA"/>
    <w:rsid w:val="25AC55EF"/>
    <w:rsid w:val="25B23BC8"/>
    <w:rsid w:val="25DD52F2"/>
    <w:rsid w:val="25F71B5A"/>
    <w:rsid w:val="26077FA3"/>
    <w:rsid w:val="26270381"/>
    <w:rsid w:val="262F1EEF"/>
    <w:rsid w:val="26604556"/>
    <w:rsid w:val="26817765"/>
    <w:rsid w:val="26C83DB6"/>
    <w:rsid w:val="26D468DF"/>
    <w:rsid w:val="26DE72B5"/>
    <w:rsid w:val="26EF621A"/>
    <w:rsid w:val="26FC075D"/>
    <w:rsid w:val="270846C4"/>
    <w:rsid w:val="270B43EA"/>
    <w:rsid w:val="274261F5"/>
    <w:rsid w:val="27440760"/>
    <w:rsid w:val="276E6E06"/>
    <w:rsid w:val="277417FC"/>
    <w:rsid w:val="27AC385B"/>
    <w:rsid w:val="27B9754B"/>
    <w:rsid w:val="27C75DAF"/>
    <w:rsid w:val="27E106FE"/>
    <w:rsid w:val="27E70979"/>
    <w:rsid w:val="28216FD2"/>
    <w:rsid w:val="2830013E"/>
    <w:rsid w:val="28357716"/>
    <w:rsid w:val="284C2B12"/>
    <w:rsid w:val="28947A10"/>
    <w:rsid w:val="29006482"/>
    <w:rsid w:val="290C02AF"/>
    <w:rsid w:val="292656AF"/>
    <w:rsid w:val="29425C46"/>
    <w:rsid w:val="294D5D55"/>
    <w:rsid w:val="297D4D3B"/>
    <w:rsid w:val="29920A58"/>
    <w:rsid w:val="29D97536"/>
    <w:rsid w:val="29EA35D3"/>
    <w:rsid w:val="2A436327"/>
    <w:rsid w:val="2A624569"/>
    <w:rsid w:val="2A682B5C"/>
    <w:rsid w:val="2A9B6C10"/>
    <w:rsid w:val="2AC463B4"/>
    <w:rsid w:val="2B001BEB"/>
    <w:rsid w:val="2B10795E"/>
    <w:rsid w:val="2B63714B"/>
    <w:rsid w:val="2BA7274F"/>
    <w:rsid w:val="2BB55721"/>
    <w:rsid w:val="2BD4634C"/>
    <w:rsid w:val="2BF023DA"/>
    <w:rsid w:val="2C204E94"/>
    <w:rsid w:val="2C2737F0"/>
    <w:rsid w:val="2C4F5E7E"/>
    <w:rsid w:val="2C952E57"/>
    <w:rsid w:val="2C9A1510"/>
    <w:rsid w:val="2CAE0B17"/>
    <w:rsid w:val="2CB203AC"/>
    <w:rsid w:val="2CEA239D"/>
    <w:rsid w:val="2CFB3109"/>
    <w:rsid w:val="2D134D45"/>
    <w:rsid w:val="2D2219EF"/>
    <w:rsid w:val="2D27747B"/>
    <w:rsid w:val="2D2F5925"/>
    <w:rsid w:val="2D343226"/>
    <w:rsid w:val="2D3D4DD6"/>
    <w:rsid w:val="2D3F54E0"/>
    <w:rsid w:val="2D4C133D"/>
    <w:rsid w:val="2D4C6D7E"/>
    <w:rsid w:val="2D601795"/>
    <w:rsid w:val="2D994590"/>
    <w:rsid w:val="2DA17AFE"/>
    <w:rsid w:val="2DF237AE"/>
    <w:rsid w:val="2E1B7662"/>
    <w:rsid w:val="2E1E5F27"/>
    <w:rsid w:val="2E635E79"/>
    <w:rsid w:val="2EBB5F72"/>
    <w:rsid w:val="2EBC27AA"/>
    <w:rsid w:val="2ED916E0"/>
    <w:rsid w:val="2F3A280F"/>
    <w:rsid w:val="2F3C1A2D"/>
    <w:rsid w:val="2F4A2787"/>
    <w:rsid w:val="2F5279CC"/>
    <w:rsid w:val="2F6B4286"/>
    <w:rsid w:val="2FB56E77"/>
    <w:rsid w:val="2FF14450"/>
    <w:rsid w:val="2FFB51B0"/>
    <w:rsid w:val="301268B1"/>
    <w:rsid w:val="30423A77"/>
    <w:rsid w:val="30493B8F"/>
    <w:rsid w:val="30543732"/>
    <w:rsid w:val="305F4675"/>
    <w:rsid w:val="307A5F46"/>
    <w:rsid w:val="308F23A0"/>
    <w:rsid w:val="30AB615D"/>
    <w:rsid w:val="30EE7B24"/>
    <w:rsid w:val="30F75AD5"/>
    <w:rsid w:val="31221663"/>
    <w:rsid w:val="313D44E3"/>
    <w:rsid w:val="3190076F"/>
    <w:rsid w:val="31BD2FCF"/>
    <w:rsid w:val="31CE0B2E"/>
    <w:rsid w:val="322F6D90"/>
    <w:rsid w:val="325029B8"/>
    <w:rsid w:val="32517AFD"/>
    <w:rsid w:val="32520100"/>
    <w:rsid w:val="32574CDB"/>
    <w:rsid w:val="32AD5A91"/>
    <w:rsid w:val="331C66A1"/>
    <w:rsid w:val="3352708F"/>
    <w:rsid w:val="33562B12"/>
    <w:rsid w:val="3369209D"/>
    <w:rsid w:val="33825082"/>
    <w:rsid w:val="33C64164"/>
    <w:rsid w:val="33FB6A7E"/>
    <w:rsid w:val="3483379D"/>
    <w:rsid w:val="34B87C3F"/>
    <w:rsid w:val="34BA33B8"/>
    <w:rsid w:val="34C44FA1"/>
    <w:rsid w:val="34D0311F"/>
    <w:rsid w:val="34D93DE9"/>
    <w:rsid w:val="350D449E"/>
    <w:rsid w:val="366A55B9"/>
    <w:rsid w:val="36990952"/>
    <w:rsid w:val="36A05A36"/>
    <w:rsid w:val="36A5046F"/>
    <w:rsid w:val="36AF48BF"/>
    <w:rsid w:val="36EE67C0"/>
    <w:rsid w:val="36EF2BC0"/>
    <w:rsid w:val="36FB3646"/>
    <w:rsid w:val="373805A7"/>
    <w:rsid w:val="373D522F"/>
    <w:rsid w:val="37767AE9"/>
    <w:rsid w:val="37777B59"/>
    <w:rsid w:val="37BC33DB"/>
    <w:rsid w:val="37BD234A"/>
    <w:rsid w:val="37DC4461"/>
    <w:rsid w:val="380642E2"/>
    <w:rsid w:val="38375CB1"/>
    <w:rsid w:val="38E16F84"/>
    <w:rsid w:val="38E43E04"/>
    <w:rsid w:val="392D58ED"/>
    <w:rsid w:val="396D0E78"/>
    <w:rsid w:val="39785D68"/>
    <w:rsid w:val="397C3891"/>
    <w:rsid w:val="397F2CB0"/>
    <w:rsid w:val="39C45CA1"/>
    <w:rsid w:val="39C577C8"/>
    <w:rsid w:val="39DD4B91"/>
    <w:rsid w:val="3A5A5A1A"/>
    <w:rsid w:val="3A5D22E7"/>
    <w:rsid w:val="3AA17214"/>
    <w:rsid w:val="3AAE314C"/>
    <w:rsid w:val="3AB8583D"/>
    <w:rsid w:val="3AE37D11"/>
    <w:rsid w:val="3AF35C5F"/>
    <w:rsid w:val="3B024B27"/>
    <w:rsid w:val="3B2001AC"/>
    <w:rsid w:val="3B253A65"/>
    <w:rsid w:val="3B2D54EE"/>
    <w:rsid w:val="3B832AE2"/>
    <w:rsid w:val="3BD0670F"/>
    <w:rsid w:val="3BDE4BA7"/>
    <w:rsid w:val="3BE71775"/>
    <w:rsid w:val="3C3E7321"/>
    <w:rsid w:val="3C41552D"/>
    <w:rsid w:val="3C5E53ED"/>
    <w:rsid w:val="3CB92E18"/>
    <w:rsid w:val="3CBD44CF"/>
    <w:rsid w:val="3CD9412D"/>
    <w:rsid w:val="3CF54B95"/>
    <w:rsid w:val="3D234E82"/>
    <w:rsid w:val="3D930B3B"/>
    <w:rsid w:val="3DA02F62"/>
    <w:rsid w:val="3E3E4744"/>
    <w:rsid w:val="3E416AFE"/>
    <w:rsid w:val="3E452B90"/>
    <w:rsid w:val="3E7C27CE"/>
    <w:rsid w:val="3E883F8B"/>
    <w:rsid w:val="3EC22BAE"/>
    <w:rsid w:val="3EDD647A"/>
    <w:rsid w:val="3F123024"/>
    <w:rsid w:val="3F322658"/>
    <w:rsid w:val="3F4877E4"/>
    <w:rsid w:val="3F6947D8"/>
    <w:rsid w:val="3F9C4267"/>
    <w:rsid w:val="3FB53723"/>
    <w:rsid w:val="3FBB58AC"/>
    <w:rsid w:val="3FC22361"/>
    <w:rsid w:val="400920A8"/>
    <w:rsid w:val="400A0BC7"/>
    <w:rsid w:val="402A0C5D"/>
    <w:rsid w:val="40532060"/>
    <w:rsid w:val="40585659"/>
    <w:rsid w:val="40EB48AF"/>
    <w:rsid w:val="40EF645B"/>
    <w:rsid w:val="40F06099"/>
    <w:rsid w:val="40FF67DD"/>
    <w:rsid w:val="412A4EB2"/>
    <w:rsid w:val="41305226"/>
    <w:rsid w:val="415D109C"/>
    <w:rsid w:val="416C6026"/>
    <w:rsid w:val="418D5BB6"/>
    <w:rsid w:val="41B869B8"/>
    <w:rsid w:val="41E443BE"/>
    <w:rsid w:val="41E73ED3"/>
    <w:rsid w:val="41F041F6"/>
    <w:rsid w:val="41F64722"/>
    <w:rsid w:val="42003CDE"/>
    <w:rsid w:val="424706A7"/>
    <w:rsid w:val="424E4280"/>
    <w:rsid w:val="427E1F17"/>
    <w:rsid w:val="430E0903"/>
    <w:rsid w:val="431B6C88"/>
    <w:rsid w:val="43211F27"/>
    <w:rsid w:val="43296D0F"/>
    <w:rsid w:val="43434FEC"/>
    <w:rsid w:val="435B5F68"/>
    <w:rsid w:val="437A1BF0"/>
    <w:rsid w:val="43877624"/>
    <w:rsid w:val="43B237DA"/>
    <w:rsid w:val="43F52A07"/>
    <w:rsid w:val="43F66A11"/>
    <w:rsid w:val="440E1D91"/>
    <w:rsid w:val="44210265"/>
    <w:rsid w:val="4440539A"/>
    <w:rsid w:val="44542398"/>
    <w:rsid w:val="44843DAD"/>
    <w:rsid w:val="44A80DF9"/>
    <w:rsid w:val="44B13A3F"/>
    <w:rsid w:val="44CA6470"/>
    <w:rsid w:val="45A673AE"/>
    <w:rsid w:val="45DB083F"/>
    <w:rsid w:val="45DB408C"/>
    <w:rsid w:val="45DF5D89"/>
    <w:rsid w:val="45FB0BC5"/>
    <w:rsid w:val="46274B29"/>
    <w:rsid w:val="463F0F1F"/>
    <w:rsid w:val="46414AF3"/>
    <w:rsid w:val="4668255C"/>
    <w:rsid w:val="46823974"/>
    <w:rsid w:val="46BE496C"/>
    <w:rsid w:val="46E53C65"/>
    <w:rsid w:val="46E63D91"/>
    <w:rsid w:val="473F7218"/>
    <w:rsid w:val="474C147D"/>
    <w:rsid w:val="476D2079"/>
    <w:rsid w:val="478B4D5C"/>
    <w:rsid w:val="47997BB5"/>
    <w:rsid w:val="47A93E15"/>
    <w:rsid w:val="47F34FCF"/>
    <w:rsid w:val="485523F0"/>
    <w:rsid w:val="487B2C47"/>
    <w:rsid w:val="488B6342"/>
    <w:rsid w:val="48D26390"/>
    <w:rsid w:val="48E03C70"/>
    <w:rsid w:val="48F16D90"/>
    <w:rsid w:val="498A5448"/>
    <w:rsid w:val="4A216B47"/>
    <w:rsid w:val="4A284CFD"/>
    <w:rsid w:val="4A375BAA"/>
    <w:rsid w:val="4A703D85"/>
    <w:rsid w:val="4A7323A7"/>
    <w:rsid w:val="4AEE640C"/>
    <w:rsid w:val="4AFD4C7B"/>
    <w:rsid w:val="4B08297C"/>
    <w:rsid w:val="4B15401C"/>
    <w:rsid w:val="4B234A68"/>
    <w:rsid w:val="4B3667C1"/>
    <w:rsid w:val="4B554F81"/>
    <w:rsid w:val="4B8D0273"/>
    <w:rsid w:val="4BC126E2"/>
    <w:rsid w:val="4BD702E7"/>
    <w:rsid w:val="4BE90FB4"/>
    <w:rsid w:val="4BEC20E3"/>
    <w:rsid w:val="4C196A63"/>
    <w:rsid w:val="4C7843AA"/>
    <w:rsid w:val="4C8F302E"/>
    <w:rsid w:val="4CD72FB7"/>
    <w:rsid w:val="4CDC0EB7"/>
    <w:rsid w:val="4CE00331"/>
    <w:rsid w:val="4CF26B7A"/>
    <w:rsid w:val="4D17698C"/>
    <w:rsid w:val="4D3D2422"/>
    <w:rsid w:val="4D5A0123"/>
    <w:rsid w:val="4DA51238"/>
    <w:rsid w:val="4DCA7E75"/>
    <w:rsid w:val="4E014703"/>
    <w:rsid w:val="4E2C4007"/>
    <w:rsid w:val="4E505F64"/>
    <w:rsid w:val="4E815E66"/>
    <w:rsid w:val="4EC11CD1"/>
    <w:rsid w:val="4EF710A8"/>
    <w:rsid w:val="4F4B05A8"/>
    <w:rsid w:val="4F53402A"/>
    <w:rsid w:val="4F851063"/>
    <w:rsid w:val="4FAF07F9"/>
    <w:rsid w:val="50370D76"/>
    <w:rsid w:val="507B33EA"/>
    <w:rsid w:val="50911690"/>
    <w:rsid w:val="50F65069"/>
    <w:rsid w:val="510E1558"/>
    <w:rsid w:val="511238D4"/>
    <w:rsid w:val="512B4AB9"/>
    <w:rsid w:val="51803E48"/>
    <w:rsid w:val="51A34ED7"/>
    <w:rsid w:val="51C64060"/>
    <w:rsid w:val="51CC1773"/>
    <w:rsid w:val="51DE17D9"/>
    <w:rsid w:val="51DF2492"/>
    <w:rsid w:val="51E76C31"/>
    <w:rsid w:val="51F56B1E"/>
    <w:rsid w:val="52AD6543"/>
    <w:rsid w:val="537D469C"/>
    <w:rsid w:val="538945BA"/>
    <w:rsid w:val="539A34D7"/>
    <w:rsid w:val="53E800DF"/>
    <w:rsid w:val="53EC2500"/>
    <w:rsid w:val="54324BBD"/>
    <w:rsid w:val="54466608"/>
    <w:rsid w:val="54614693"/>
    <w:rsid w:val="54846228"/>
    <w:rsid w:val="548E3187"/>
    <w:rsid w:val="549A4334"/>
    <w:rsid w:val="54A23E6C"/>
    <w:rsid w:val="54F66FA9"/>
    <w:rsid w:val="54F84291"/>
    <w:rsid w:val="55007A41"/>
    <w:rsid w:val="551634A5"/>
    <w:rsid w:val="55287CA8"/>
    <w:rsid w:val="559A4FB7"/>
    <w:rsid w:val="55AA0013"/>
    <w:rsid w:val="55BD3804"/>
    <w:rsid w:val="55C448D4"/>
    <w:rsid w:val="55D17BFC"/>
    <w:rsid w:val="55E162A6"/>
    <w:rsid w:val="562167E1"/>
    <w:rsid w:val="562D56EF"/>
    <w:rsid w:val="56391DCA"/>
    <w:rsid w:val="56565F8E"/>
    <w:rsid w:val="566A512A"/>
    <w:rsid w:val="567100BB"/>
    <w:rsid w:val="567F0818"/>
    <w:rsid w:val="56892354"/>
    <w:rsid w:val="56B109A1"/>
    <w:rsid w:val="56E41B84"/>
    <w:rsid w:val="57011DBA"/>
    <w:rsid w:val="57293748"/>
    <w:rsid w:val="575764EB"/>
    <w:rsid w:val="577A0069"/>
    <w:rsid w:val="578219C3"/>
    <w:rsid w:val="57A83A14"/>
    <w:rsid w:val="57A90050"/>
    <w:rsid w:val="57C11682"/>
    <w:rsid w:val="57CC0EB8"/>
    <w:rsid w:val="58043F47"/>
    <w:rsid w:val="580823FC"/>
    <w:rsid w:val="581B4A6D"/>
    <w:rsid w:val="584E74D1"/>
    <w:rsid w:val="587E04A6"/>
    <w:rsid w:val="58B17683"/>
    <w:rsid w:val="58B907CE"/>
    <w:rsid w:val="591C5BB6"/>
    <w:rsid w:val="59310F20"/>
    <w:rsid w:val="59432C66"/>
    <w:rsid w:val="5952308F"/>
    <w:rsid w:val="5980489F"/>
    <w:rsid w:val="59A538E7"/>
    <w:rsid w:val="59C22940"/>
    <w:rsid w:val="59C722FE"/>
    <w:rsid w:val="59EA2CD9"/>
    <w:rsid w:val="5A39041A"/>
    <w:rsid w:val="5A3F5FAF"/>
    <w:rsid w:val="5A432D43"/>
    <w:rsid w:val="5A563893"/>
    <w:rsid w:val="5AC70D29"/>
    <w:rsid w:val="5ACD0A91"/>
    <w:rsid w:val="5B170D24"/>
    <w:rsid w:val="5BC73AFD"/>
    <w:rsid w:val="5C2D58E6"/>
    <w:rsid w:val="5C372D98"/>
    <w:rsid w:val="5C711D2F"/>
    <w:rsid w:val="5C815359"/>
    <w:rsid w:val="5C9E3FCC"/>
    <w:rsid w:val="5CA11E8A"/>
    <w:rsid w:val="5CAA4C3D"/>
    <w:rsid w:val="5CB07B66"/>
    <w:rsid w:val="5CED1A7A"/>
    <w:rsid w:val="5D2D5741"/>
    <w:rsid w:val="5D7A5B2F"/>
    <w:rsid w:val="5DAC3FA0"/>
    <w:rsid w:val="5E0B5CFE"/>
    <w:rsid w:val="5E3F119C"/>
    <w:rsid w:val="5E7D011C"/>
    <w:rsid w:val="5E872B1F"/>
    <w:rsid w:val="5EDF1CA2"/>
    <w:rsid w:val="5EE04E07"/>
    <w:rsid w:val="5EE57A15"/>
    <w:rsid w:val="5EED1B29"/>
    <w:rsid w:val="5F5D4835"/>
    <w:rsid w:val="5F87025A"/>
    <w:rsid w:val="5F9067A3"/>
    <w:rsid w:val="5FA07AED"/>
    <w:rsid w:val="5FB05CDB"/>
    <w:rsid w:val="5FB61E72"/>
    <w:rsid w:val="5FBA3FF9"/>
    <w:rsid w:val="5FD71210"/>
    <w:rsid w:val="5FE155FF"/>
    <w:rsid w:val="5FE70AB0"/>
    <w:rsid w:val="5FF376F6"/>
    <w:rsid w:val="600D2EB2"/>
    <w:rsid w:val="6042387F"/>
    <w:rsid w:val="606B5493"/>
    <w:rsid w:val="608B7F32"/>
    <w:rsid w:val="615C1EA9"/>
    <w:rsid w:val="618E78A1"/>
    <w:rsid w:val="61CD595E"/>
    <w:rsid w:val="61F50435"/>
    <w:rsid w:val="62770119"/>
    <w:rsid w:val="628A41DC"/>
    <w:rsid w:val="62B71088"/>
    <w:rsid w:val="62DD09E9"/>
    <w:rsid w:val="62FF67E4"/>
    <w:rsid w:val="63456615"/>
    <w:rsid w:val="635856DF"/>
    <w:rsid w:val="636139BC"/>
    <w:rsid w:val="63856EF8"/>
    <w:rsid w:val="63870BA6"/>
    <w:rsid w:val="63BB6B84"/>
    <w:rsid w:val="63E22063"/>
    <w:rsid w:val="644113CB"/>
    <w:rsid w:val="645B27AD"/>
    <w:rsid w:val="645B401F"/>
    <w:rsid w:val="646B49D5"/>
    <w:rsid w:val="64853AA3"/>
    <w:rsid w:val="64944659"/>
    <w:rsid w:val="64B52F53"/>
    <w:rsid w:val="64C019AA"/>
    <w:rsid w:val="6507003D"/>
    <w:rsid w:val="652400B9"/>
    <w:rsid w:val="652860E9"/>
    <w:rsid w:val="6537177C"/>
    <w:rsid w:val="658C06F5"/>
    <w:rsid w:val="65B44AAE"/>
    <w:rsid w:val="65D17659"/>
    <w:rsid w:val="65EB4DAD"/>
    <w:rsid w:val="66CD0896"/>
    <w:rsid w:val="673C6884"/>
    <w:rsid w:val="67842F10"/>
    <w:rsid w:val="67BB1F70"/>
    <w:rsid w:val="67C276FB"/>
    <w:rsid w:val="67D03EC5"/>
    <w:rsid w:val="67F57194"/>
    <w:rsid w:val="68030CCD"/>
    <w:rsid w:val="68047B83"/>
    <w:rsid w:val="68145ED0"/>
    <w:rsid w:val="6844375D"/>
    <w:rsid w:val="684A3079"/>
    <w:rsid w:val="68735425"/>
    <w:rsid w:val="68DA1AD3"/>
    <w:rsid w:val="6963589B"/>
    <w:rsid w:val="69A52E3C"/>
    <w:rsid w:val="69B144DC"/>
    <w:rsid w:val="69D42EFC"/>
    <w:rsid w:val="69DB1854"/>
    <w:rsid w:val="69E631B0"/>
    <w:rsid w:val="69EA1359"/>
    <w:rsid w:val="69F81010"/>
    <w:rsid w:val="6A006040"/>
    <w:rsid w:val="6A015450"/>
    <w:rsid w:val="6A040BE3"/>
    <w:rsid w:val="6A151C40"/>
    <w:rsid w:val="6A3A7047"/>
    <w:rsid w:val="6A3D6ECD"/>
    <w:rsid w:val="6ABC0225"/>
    <w:rsid w:val="6B06103C"/>
    <w:rsid w:val="6B084C38"/>
    <w:rsid w:val="6B560413"/>
    <w:rsid w:val="6B9A4DBD"/>
    <w:rsid w:val="6BEE250B"/>
    <w:rsid w:val="6BF03FB6"/>
    <w:rsid w:val="6BF17E60"/>
    <w:rsid w:val="6C2D3C64"/>
    <w:rsid w:val="6C5E1C3D"/>
    <w:rsid w:val="6CA156F2"/>
    <w:rsid w:val="6CA376C5"/>
    <w:rsid w:val="6D760D35"/>
    <w:rsid w:val="6DA474D8"/>
    <w:rsid w:val="6DC44EDA"/>
    <w:rsid w:val="6DC97648"/>
    <w:rsid w:val="6DF12CC1"/>
    <w:rsid w:val="6E1D611F"/>
    <w:rsid w:val="6E4754BA"/>
    <w:rsid w:val="6E6B04F4"/>
    <w:rsid w:val="6E79351A"/>
    <w:rsid w:val="6ED13BBF"/>
    <w:rsid w:val="6EEA78A6"/>
    <w:rsid w:val="6F040F00"/>
    <w:rsid w:val="6F44343D"/>
    <w:rsid w:val="6F585DDA"/>
    <w:rsid w:val="6F5B4B2E"/>
    <w:rsid w:val="6F842AEE"/>
    <w:rsid w:val="6F850090"/>
    <w:rsid w:val="6FD14068"/>
    <w:rsid w:val="6FD47568"/>
    <w:rsid w:val="6FD91F92"/>
    <w:rsid w:val="6FDC4B5E"/>
    <w:rsid w:val="6FEC6BEC"/>
    <w:rsid w:val="7017589B"/>
    <w:rsid w:val="703D6F60"/>
    <w:rsid w:val="70403B17"/>
    <w:rsid w:val="70967C65"/>
    <w:rsid w:val="70A50814"/>
    <w:rsid w:val="70D5734C"/>
    <w:rsid w:val="70E952FD"/>
    <w:rsid w:val="711A42F2"/>
    <w:rsid w:val="71237795"/>
    <w:rsid w:val="717F547D"/>
    <w:rsid w:val="71A62F79"/>
    <w:rsid w:val="71A73B8F"/>
    <w:rsid w:val="7229148C"/>
    <w:rsid w:val="723A0AD1"/>
    <w:rsid w:val="72451726"/>
    <w:rsid w:val="724D5962"/>
    <w:rsid w:val="72785B36"/>
    <w:rsid w:val="72CD7E4D"/>
    <w:rsid w:val="72DB34C4"/>
    <w:rsid w:val="72DE6654"/>
    <w:rsid w:val="73077798"/>
    <w:rsid w:val="738F007E"/>
    <w:rsid w:val="73A30C7A"/>
    <w:rsid w:val="73B96F85"/>
    <w:rsid w:val="73C624BE"/>
    <w:rsid w:val="73D4574B"/>
    <w:rsid w:val="74214D05"/>
    <w:rsid w:val="74310172"/>
    <w:rsid w:val="747665BC"/>
    <w:rsid w:val="74824001"/>
    <w:rsid w:val="749C2402"/>
    <w:rsid w:val="74A90CCA"/>
    <w:rsid w:val="74A92F89"/>
    <w:rsid w:val="74CE09ED"/>
    <w:rsid w:val="74E96819"/>
    <w:rsid w:val="74F21F8B"/>
    <w:rsid w:val="74F33A8C"/>
    <w:rsid w:val="75414868"/>
    <w:rsid w:val="759454BB"/>
    <w:rsid w:val="759E589A"/>
    <w:rsid w:val="75BF7236"/>
    <w:rsid w:val="75C04997"/>
    <w:rsid w:val="75C335B9"/>
    <w:rsid w:val="75C67E4C"/>
    <w:rsid w:val="75DA4F1B"/>
    <w:rsid w:val="75F04518"/>
    <w:rsid w:val="75F45093"/>
    <w:rsid w:val="76760B12"/>
    <w:rsid w:val="76814153"/>
    <w:rsid w:val="76992E10"/>
    <w:rsid w:val="76D8044E"/>
    <w:rsid w:val="76F20D2B"/>
    <w:rsid w:val="77261E71"/>
    <w:rsid w:val="77452475"/>
    <w:rsid w:val="77690CCD"/>
    <w:rsid w:val="778F680C"/>
    <w:rsid w:val="77A55F74"/>
    <w:rsid w:val="77B52F59"/>
    <w:rsid w:val="77BD70C8"/>
    <w:rsid w:val="77D46579"/>
    <w:rsid w:val="77D4794A"/>
    <w:rsid w:val="77DD583D"/>
    <w:rsid w:val="782E03C8"/>
    <w:rsid w:val="78357D36"/>
    <w:rsid w:val="78961637"/>
    <w:rsid w:val="78A10449"/>
    <w:rsid w:val="78D3687E"/>
    <w:rsid w:val="78F36B4E"/>
    <w:rsid w:val="795D2EAD"/>
    <w:rsid w:val="796E3428"/>
    <w:rsid w:val="79B82E62"/>
    <w:rsid w:val="79CE2CAA"/>
    <w:rsid w:val="7A136D2B"/>
    <w:rsid w:val="7A4B37A6"/>
    <w:rsid w:val="7A650BCD"/>
    <w:rsid w:val="7AB10BAE"/>
    <w:rsid w:val="7AB25C2E"/>
    <w:rsid w:val="7AC562B4"/>
    <w:rsid w:val="7ADC05F0"/>
    <w:rsid w:val="7AF94FE5"/>
    <w:rsid w:val="7B2B06C7"/>
    <w:rsid w:val="7B2B779C"/>
    <w:rsid w:val="7B4F3845"/>
    <w:rsid w:val="7B5F164A"/>
    <w:rsid w:val="7B6D0992"/>
    <w:rsid w:val="7B7E7BDF"/>
    <w:rsid w:val="7BA3117B"/>
    <w:rsid w:val="7C483429"/>
    <w:rsid w:val="7C49646C"/>
    <w:rsid w:val="7C547083"/>
    <w:rsid w:val="7C783FFA"/>
    <w:rsid w:val="7C817AB4"/>
    <w:rsid w:val="7CAD301A"/>
    <w:rsid w:val="7CD20D26"/>
    <w:rsid w:val="7CEC74B4"/>
    <w:rsid w:val="7CFC3068"/>
    <w:rsid w:val="7D0864A9"/>
    <w:rsid w:val="7D160D5D"/>
    <w:rsid w:val="7D3E6E97"/>
    <w:rsid w:val="7DBB5005"/>
    <w:rsid w:val="7DBD1D05"/>
    <w:rsid w:val="7DE72D59"/>
    <w:rsid w:val="7DEF4E15"/>
    <w:rsid w:val="7E08693A"/>
    <w:rsid w:val="7E0C1293"/>
    <w:rsid w:val="7E346B9D"/>
    <w:rsid w:val="7E5B3E1E"/>
    <w:rsid w:val="7E830234"/>
    <w:rsid w:val="7E863295"/>
    <w:rsid w:val="7EA0618B"/>
    <w:rsid w:val="7EB40ACA"/>
    <w:rsid w:val="7EB775A1"/>
    <w:rsid w:val="7EB90B65"/>
    <w:rsid w:val="7EEB3813"/>
    <w:rsid w:val="7EEC7985"/>
    <w:rsid w:val="7F1F7466"/>
    <w:rsid w:val="7F2E698C"/>
    <w:rsid w:val="7F2F01AD"/>
    <w:rsid w:val="7F397F15"/>
    <w:rsid w:val="7F50451D"/>
    <w:rsid w:val="7F613D86"/>
    <w:rsid w:val="7F7967DA"/>
    <w:rsid w:val="7FCE5950"/>
    <w:rsid w:val="7FE807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outlineLvl w:val="0"/>
    </w:pPr>
    <w:rPr>
      <w:rFonts w:eastAsia="华文新魏"/>
      <w:b/>
    </w:rPr>
  </w:style>
  <w:style w:type="paragraph" w:styleId="4">
    <w:name w:val="heading 2"/>
    <w:basedOn w:val="1"/>
    <w:next w:val="1"/>
    <w:link w:val="57"/>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58"/>
    <w:qFormat/>
    <w:uiPriority w:val="0"/>
    <w:pPr>
      <w:keepNext/>
      <w:keepLines/>
      <w:spacing w:before="260" w:after="260" w:line="415" w:lineRule="auto"/>
      <w:outlineLvl w:val="2"/>
    </w:pPr>
    <w:rPr>
      <w:rFonts w:eastAsia="华文新魏"/>
      <w:b/>
      <w:bCs/>
      <w:sz w:val="32"/>
      <w:szCs w:val="32"/>
    </w:rPr>
  </w:style>
  <w:style w:type="paragraph" w:styleId="6">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0"/>
    <w:qFormat/>
    <w:uiPriority w:val="0"/>
    <w:pPr>
      <w:keepNext/>
      <w:keepLines/>
      <w:spacing w:before="280" w:after="290" w:line="376" w:lineRule="auto"/>
      <w:outlineLvl w:val="4"/>
    </w:pPr>
    <w:rPr>
      <w:rFonts w:eastAsia="华文新魏"/>
      <w:b/>
      <w:sz w:val="28"/>
      <w:szCs w:val="20"/>
    </w:rPr>
  </w:style>
  <w:style w:type="paragraph" w:styleId="9">
    <w:name w:val="heading 6"/>
    <w:basedOn w:val="1"/>
    <w:next w:val="1"/>
    <w:link w:val="61"/>
    <w:qFormat/>
    <w:uiPriority w:val="0"/>
    <w:pPr>
      <w:keepNext/>
      <w:keepLines/>
      <w:spacing w:before="240" w:after="64" w:line="319" w:lineRule="auto"/>
      <w:outlineLvl w:val="5"/>
    </w:pPr>
    <w:rPr>
      <w:rFonts w:ascii="Arial" w:hAnsi="Arial" w:eastAsia="黑体"/>
      <w:b/>
      <w:sz w:val="24"/>
      <w:szCs w:val="20"/>
    </w:rPr>
  </w:style>
  <w:style w:type="paragraph" w:styleId="10">
    <w:name w:val="heading 7"/>
    <w:basedOn w:val="1"/>
    <w:next w:val="8"/>
    <w:link w:val="62"/>
    <w:qFormat/>
    <w:uiPriority w:val="0"/>
    <w:pPr>
      <w:keepNext/>
      <w:keepLines/>
      <w:spacing w:before="240" w:after="64" w:line="319" w:lineRule="auto"/>
      <w:outlineLvl w:val="6"/>
    </w:pPr>
    <w:rPr>
      <w:rFonts w:eastAsia="华文新魏"/>
      <w:b/>
      <w:sz w:val="24"/>
      <w:szCs w:val="20"/>
    </w:rPr>
  </w:style>
  <w:style w:type="paragraph" w:styleId="11">
    <w:name w:val="heading 8"/>
    <w:basedOn w:val="1"/>
    <w:next w:val="8"/>
    <w:link w:val="63"/>
    <w:qFormat/>
    <w:uiPriority w:val="0"/>
    <w:pPr>
      <w:keepNext/>
      <w:keepLines/>
      <w:spacing w:before="240" w:after="64" w:line="319" w:lineRule="auto"/>
      <w:outlineLvl w:val="7"/>
    </w:pPr>
    <w:rPr>
      <w:rFonts w:ascii="Arial" w:hAnsi="Arial" w:eastAsia="黑体"/>
      <w:sz w:val="24"/>
      <w:szCs w:val="20"/>
    </w:rPr>
  </w:style>
  <w:style w:type="paragraph" w:styleId="12">
    <w:name w:val="heading 9"/>
    <w:basedOn w:val="1"/>
    <w:next w:val="8"/>
    <w:link w:val="64"/>
    <w:qFormat/>
    <w:uiPriority w:val="0"/>
    <w:pPr>
      <w:keepNext/>
      <w:keepLines/>
      <w:spacing w:before="240" w:after="64" w:line="319"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7"/>
    <w:qFormat/>
    <w:uiPriority w:val="99"/>
    <w:pPr>
      <w:spacing w:after="120"/>
    </w:pPr>
  </w:style>
  <w:style w:type="paragraph" w:styleId="8">
    <w:name w:val="Normal Indent"/>
    <w:basedOn w:val="1"/>
    <w:qFormat/>
    <w:uiPriority w:val="99"/>
    <w:pPr>
      <w:ind w:firstLine="420"/>
    </w:pPr>
    <w:rPr>
      <w:rFonts w:eastAsia="华文新魏"/>
      <w:szCs w:val="20"/>
    </w:rPr>
  </w:style>
  <w:style w:type="paragraph" w:styleId="13">
    <w:name w:val="toc 7"/>
    <w:basedOn w:val="1"/>
    <w:next w:val="1"/>
    <w:qFormat/>
    <w:uiPriority w:val="39"/>
    <w:pPr>
      <w:ind w:left="1260"/>
      <w:jc w:val="left"/>
    </w:pPr>
    <w:rPr>
      <w:rFonts w:ascii="等线" w:hAnsi="等线" w:eastAsia="等线"/>
      <w:sz w:val="18"/>
      <w:szCs w:val="18"/>
    </w:rPr>
  </w:style>
  <w:style w:type="paragraph" w:styleId="14">
    <w:name w:val="Document Map"/>
    <w:basedOn w:val="1"/>
    <w:link w:val="65"/>
    <w:qFormat/>
    <w:uiPriority w:val="99"/>
    <w:rPr>
      <w:rFonts w:ascii="宋体" w:eastAsia="华文新魏"/>
      <w:sz w:val="18"/>
      <w:szCs w:val="18"/>
    </w:rPr>
  </w:style>
  <w:style w:type="paragraph" w:styleId="15">
    <w:name w:val="annotation text"/>
    <w:basedOn w:val="1"/>
    <w:link w:val="66"/>
    <w:qFormat/>
    <w:uiPriority w:val="0"/>
    <w:pPr>
      <w:jc w:val="left"/>
    </w:pPr>
  </w:style>
  <w:style w:type="paragraph" w:styleId="16">
    <w:name w:val="Body Text Indent"/>
    <w:basedOn w:val="1"/>
    <w:link w:val="68"/>
    <w:qFormat/>
    <w:uiPriority w:val="99"/>
    <w:pPr>
      <w:spacing w:line="200" w:lineRule="exact"/>
      <w:ind w:firstLine="301"/>
    </w:pPr>
    <w:rPr>
      <w:rFonts w:ascii="宋体" w:eastAsia="华文新魏"/>
      <w:spacing w:val="-4"/>
      <w:sz w:val="18"/>
      <w:szCs w:val="20"/>
    </w:rPr>
  </w:style>
  <w:style w:type="paragraph" w:styleId="17">
    <w:name w:val="List 2"/>
    <w:basedOn w:val="1"/>
    <w:qFormat/>
    <w:uiPriority w:val="99"/>
    <w:pPr>
      <w:tabs>
        <w:tab w:val="left" w:pos="0"/>
      </w:tabs>
      <w:spacing w:line="360" w:lineRule="auto"/>
      <w:ind w:left="454"/>
    </w:pPr>
    <w:rPr>
      <w:rFonts w:eastAsia="华文新魏"/>
      <w:sz w:val="24"/>
    </w:rPr>
  </w:style>
  <w:style w:type="paragraph" w:styleId="18">
    <w:name w:val="toc 5"/>
    <w:basedOn w:val="1"/>
    <w:next w:val="1"/>
    <w:qFormat/>
    <w:uiPriority w:val="39"/>
    <w:pPr>
      <w:ind w:left="840"/>
      <w:jc w:val="left"/>
    </w:pPr>
    <w:rPr>
      <w:rFonts w:ascii="等线" w:hAnsi="等线" w:eastAsia="等线"/>
      <w:sz w:val="18"/>
      <w:szCs w:val="18"/>
    </w:rPr>
  </w:style>
  <w:style w:type="paragraph" w:styleId="19">
    <w:name w:val="toc 3"/>
    <w:basedOn w:val="1"/>
    <w:next w:val="1"/>
    <w:qFormat/>
    <w:uiPriority w:val="39"/>
    <w:pPr>
      <w:ind w:left="400" w:leftChars="400"/>
    </w:pPr>
    <w:rPr>
      <w:rFonts w:eastAsia="华文新魏"/>
    </w:rPr>
  </w:style>
  <w:style w:type="paragraph" w:styleId="20">
    <w:name w:val="Plain Text"/>
    <w:basedOn w:val="1"/>
    <w:next w:val="1"/>
    <w:link w:val="69"/>
    <w:qFormat/>
    <w:uiPriority w:val="0"/>
    <w:rPr>
      <w:rFonts w:ascii="宋体"/>
      <w:kern w:val="0"/>
      <w:sz w:val="20"/>
      <w:szCs w:val="20"/>
    </w:rPr>
  </w:style>
  <w:style w:type="paragraph" w:styleId="21">
    <w:name w:val="toc 8"/>
    <w:basedOn w:val="1"/>
    <w:next w:val="1"/>
    <w:qFormat/>
    <w:uiPriority w:val="39"/>
    <w:pPr>
      <w:ind w:left="1470"/>
      <w:jc w:val="left"/>
    </w:pPr>
    <w:rPr>
      <w:rFonts w:ascii="等线" w:hAnsi="等线" w:eastAsia="等线"/>
      <w:sz w:val="18"/>
      <w:szCs w:val="18"/>
    </w:rPr>
  </w:style>
  <w:style w:type="paragraph" w:styleId="22">
    <w:name w:val="Date"/>
    <w:basedOn w:val="1"/>
    <w:next w:val="1"/>
    <w:link w:val="70"/>
    <w:qFormat/>
    <w:uiPriority w:val="99"/>
    <w:pPr>
      <w:ind w:left="2500" w:leftChars="2500"/>
    </w:pPr>
    <w:rPr>
      <w:rFonts w:ascii="宋体" w:eastAsia="华文新魏"/>
      <w:bCs/>
      <w:sz w:val="24"/>
      <w:szCs w:val="20"/>
    </w:rPr>
  </w:style>
  <w:style w:type="paragraph" w:styleId="23">
    <w:name w:val="Body Text Indent 2"/>
    <w:basedOn w:val="1"/>
    <w:link w:val="71"/>
    <w:qFormat/>
    <w:uiPriority w:val="0"/>
    <w:pPr>
      <w:ind w:firstLine="196" w:firstLineChars="196"/>
    </w:pPr>
    <w:rPr>
      <w:rFonts w:eastAsia="华文新魏"/>
    </w:rPr>
  </w:style>
  <w:style w:type="paragraph" w:styleId="24">
    <w:name w:val="Balloon Text"/>
    <w:basedOn w:val="1"/>
    <w:link w:val="72"/>
    <w:qFormat/>
    <w:uiPriority w:val="99"/>
    <w:rPr>
      <w:rFonts w:eastAsia="华文新魏"/>
      <w:sz w:val="18"/>
      <w:szCs w:val="18"/>
    </w:rPr>
  </w:style>
  <w:style w:type="paragraph" w:styleId="25">
    <w:name w:val="footer"/>
    <w:basedOn w:val="1"/>
    <w:link w:val="73"/>
    <w:qFormat/>
    <w:uiPriority w:val="99"/>
    <w:pPr>
      <w:tabs>
        <w:tab w:val="center" w:pos="4153"/>
        <w:tab w:val="right" w:pos="8306"/>
      </w:tabs>
      <w:snapToGrid w:val="0"/>
      <w:jc w:val="left"/>
    </w:pPr>
    <w:rPr>
      <w:rFonts w:ascii="宋体"/>
      <w:kern w:val="0"/>
      <w:sz w:val="18"/>
      <w:szCs w:val="20"/>
    </w:rPr>
  </w:style>
  <w:style w:type="paragraph" w:styleId="26">
    <w:name w:val="header"/>
    <w:basedOn w:val="1"/>
    <w:link w:val="74"/>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7">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28">
    <w:name w:val="toc 4"/>
    <w:basedOn w:val="1"/>
    <w:next w:val="1"/>
    <w:qFormat/>
    <w:uiPriority w:val="39"/>
    <w:pPr>
      <w:ind w:left="630"/>
      <w:jc w:val="left"/>
    </w:pPr>
    <w:rPr>
      <w:rFonts w:ascii="等线" w:hAnsi="等线" w:eastAsia="等线"/>
      <w:sz w:val="18"/>
      <w:szCs w:val="18"/>
    </w:rPr>
  </w:style>
  <w:style w:type="paragraph" w:styleId="29">
    <w:name w:val="footnote text"/>
    <w:basedOn w:val="1"/>
    <w:link w:val="185"/>
    <w:unhideWhenUsed/>
    <w:qFormat/>
    <w:locked/>
    <w:uiPriority w:val="99"/>
    <w:pPr>
      <w:snapToGrid w:val="0"/>
      <w:jc w:val="left"/>
    </w:pPr>
    <w:rPr>
      <w:rFonts w:ascii="Calibri" w:hAnsi="Calibri"/>
      <w:sz w:val="18"/>
      <w:szCs w:val="18"/>
    </w:rPr>
  </w:style>
  <w:style w:type="paragraph" w:styleId="30">
    <w:name w:val="toc 6"/>
    <w:basedOn w:val="1"/>
    <w:next w:val="1"/>
    <w:qFormat/>
    <w:uiPriority w:val="39"/>
    <w:pPr>
      <w:ind w:left="1050"/>
      <w:jc w:val="left"/>
    </w:pPr>
    <w:rPr>
      <w:rFonts w:ascii="等线" w:hAnsi="等线" w:eastAsia="等线"/>
      <w:sz w:val="18"/>
      <w:szCs w:val="18"/>
    </w:rPr>
  </w:style>
  <w:style w:type="paragraph" w:styleId="31">
    <w:name w:val="Body Text Indent 3"/>
    <w:basedOn w:val="1"/>
    <w:link w:val="75"/>
    <w:qFormat/>
    <w:uiPriority w:val="99"/>
    <w:pPr>
      <w:spacing w:after="120"/>
      <w:ind w:left="200" w:leftChars="200"/>
    </w:pPr>
    <w:rPr>
      <w:rFonts w:eastAsia="华文新魏"/>
      <w:sz w:val="16"/>
      <w:szCs w:val="16"/>
    </w:rPr>
  </w:style>
  <w:style w:type="paragraph" w:styleId="32">
    <w:name w:val="toc 2"/>
    <w:basedOn w:val="1"/>
    <w:next w:val="1"/>
    <w:qFormat/>
    <w:uiPriority w:val="39"/>
    <w:rPr>
      <w:rFonts w:ascii="宋体" w:eastAsia="华文新魏" w:cs="Arial"/>
      <w:b/>
      <w:szCs w:val="21"/>
    </w:rPr>
  </w:style>
  <w:style w:type="paragraph" w:styleId="33">
    <w:name w:val="toc 9"/>
    <w:basedOn w:val="1"/>
    <w:next w:val="1"/>
    <w:qFormat/>
    <w:uiPriority w:val="39"/>
    <w:pPr>
      <w:ind w:left="1600" w:leftChars="1600"/>
    </w:pPr>
    <w:rPr>
      <w:rFonts w:eastAsia="华文新魏"/>
    </w:rPr>
  </w:style>
  <w:style w:type="paragraph" w:styleId="34">
    <w:name w:val="Body Text 2"/>
    <w:basedOn w:val="1"/>
    <w:link w:val="76"/>
    <w:qFormat/>
    <w:uiPriority w:val="99"/>
    <w:pPr>
      <w:spacing w:after="120" w:line="480" w:lineRule="auto"/>
    </w:pPr>
    <w:rPr>
      <w:rFonts w:eastAsia="华文新魏"/>
    </w:rPr>
  </w:style>
  <w:style w:type="paragraph" w:styleId="35">
    <w:name w:val="List 4"/>
    <w:basedOn w:val="1"/>
    <w:qFormat/>
    <w:uiPriority w:val="99"/>
    <w:pPr>
      <w:tabs>
        <w:tab w:val="left" w:pos="0"/>
      </w:tabs>
      <w:adjustRightInd w:val="0"/>
      <w:snapToGrid w:val="0"/>
      <w:spacing w:line="360" w:lineRule="auto"/>
      <w:ind w:left="1361"/>
    </w:pPr>
    <w:rPr>
      <w:rFonts w:eastAsia="华文新魏"/>
      <w:sz w:val="24"/>
    </w:rPr>
  </w:style>
  <w:style w:type="paragraph" w:styleId="36">
    <w:name w:val="HTML Preformatted"/>
    <w:basedOn w:val="1"/>
    <w:link w:val="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37">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38">
    <w:name w:val="index 1"/>
    <w:basedOn w:val="1"/>
    <w:next w:val="1"/>
    <w:qFormat/>
    <w:uiPriority w:val="99"/>
    <w:pPr>
      <w:spacing w:line="360" w:lineRule="auto"/>
    </w:pPr>
    <w:rPr>
      <w:rFonts w:ascii="宋体" w:eastAsia="华文新魏"/>
      <w:bCs/>
      <w:szCs w:val="21"/>
    </w:rPr>
  </w:style>
  <w:style w:type="paragraph" w:styleId="39">
    <w:name w:val="Title"/>
    <w:basedOn w:val="1"/>
    <w:link w:val="78"/>
    <w:qFormat/>
    <w:uiPriority w:val="0"/>
    <w:pPr>
      <w:spacing w:before="240" w:after="60"/>
      <w:jc w:val="center"/>
      <w:outlineLvl w:val="0"/>
    </w:pPr>
    <w:rPr>
      <w:rFonts w:ascii="Arial" w:hAnsi="Arial" w:eastAsia="华文新魏"/>
      <w:b/>
      <w:bCs/>
      <w:sz w:val="32"/>
      <w:szCs w:val="32"/>
    </w:rPr>
  </w:style>
  <w:style w:type="paragraph" w:styleId="40">
    <w:name w:val="annotation subject"/>
    <w:basedOn w:val="15"/>
    <w:next w:val="15"/>
    <w:link w:val="79"/>
    <w:qFormat/>
    <w:uiPriority w:val="99"/>
    <w:rPr>
      <w:rFonts w:eastAsia="华文新魏"/>
      <w:b/>
      <w:bCs/>
    </w:rPr>
  </w:style>
  <w:style w:type="paragraph" w:styleId="41">
    <w:name w:val="Body Text First Indent"/>
    <w:basedOn w:val="2"/>
    <w:link w:val="80"/>
    <w:qFormat/>
    <w:uiPriority w:val="99"/>
    <w:pPr>
      <w:ind w:firstLine="100" w:firstLineChars="1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99"/>
    <w:rPr>
      <w:rFonts w:ascii="Times New Roman" w:hAnsi="Times New Roman" w:eastAsia="华文新魏" w:cs="Times New Roman"/>
      <w:b/>
    </w:rPr>
  </w:style>
  <w:style w:type="character" w:styleId="46">
    <w:name w:val="page number"/>
    <w:basedOn w:val="44"/>
    <w:qFormat/>
    <w:uiPriority w:val="0"/>
    <w:rPr>
      <w:rFonts w:ascii="Times New Roman" w:hAnsi="Times New Roman" w:eastAsia="华文新魏" w:cs="Times New Roman"/>
    </w:rPr>
  </w:style>
  <w:style w:type="character" w:styleId="47">
    <w:name w:val="FollowedHyperlink"/>
    <w:qFormat/>
    <w:uiPriority w:val="99"/>
    <w:rPr>
      <w:rFonts w:ascii="Times New Roman" w:hAnsi="Times New Roman" w:eastAsia="华文新魏" w:cs="Times New Roman"/>
      <w:color w:val="800080"/>
      <w:u w:val="single"/>
    </w:rPr>
  </w:style>
  <w:style w:type="character" w:styleId="48">
    <w:name w:val="Emphasis"/>
    <w:qFormat/>
    <w:uiPriority w:val="20"/>
    <w:rPr>
      <w:color w:val="CC0000"/>
    </w:rPr>
  </w:style>
  <w:style w:type="character" w:styleId="49">
    <w:name w:val="line number"/>
    <w:qFormat/>
    <w:uiPriority w:val="99"/>
    <w:rPr>
      <w:rFonts w:ascii="Times New Roman" w:hAnsi="Times New Roman" w:eastAsia="华文新魏" w:cs="Times New Roman"/>
    </w:rPr>
  </w:style>
  <w:style w:type="character" w:styleId="50">
    <w:name w:val="Hyperlink"/>
    <w:qFormat/>
    <w:uiPriority w:val="99"/>
    <w:rPr>
      <w:rFonts w:ascii="Times New Roman" w:hAnsi="Times New Roman" w:eastAsia="华文新魏" w:cs="Times New Roman"/>
      <w:color w:val="0000FF"/>
      <w:u w:val="single"/>
    </w:rPr>
  </w:style>
  <w:style w:type="character" w:styleId="51">
    <w:name w:val="annotation reference"/>
    <w:qFormat/>
    <w:uiPriority w:val="99"/>
    <w:rPr>
      <w:rFonts w:ascii="Times New Roman" w:hAnsi="Times New Roman" w:eastAsia="华文新魏" w:cs="Times New Roman"/>
      <w:sz w:val="21"/>
    </w:rPr>
  </w:style>
  <w:style w:type="character" w:styleId="52">
    <w:name w:val="footnote reference"/>
    <w:unhideWhenUsed/>
    <w:qFormat/>
    <w:locked/>
    <w:uiPriority w:val="99"/>
    <w:rPr>
      <w:vertAlign w:val="superscript"/>
    </w:rPr>
  </w:style>
  <w:style w:type="paragraph" w:customStyle="1" w:styleId="53">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4">
    <w:name w:val="Heading4"/>
    <w:basedOn w:val="1"/>
    <w:next w:val="1"/>
    <w:qFormat/>
    <w:uiPriority w:val="0"/>
    <w:pPr>
      <w:keepNext/>
      <w:keepLines/>
      <w:widowControl/>
      <w:spacing w:before="120" w:after="120" w:line="360" w:lineRule="auto"/>
      <w:jc w:val="center"/>
      <w:textAlignment w:val="baseline"/>
    </w:pPr>
    <w:rPr>
      <w:rFonts w:ascii="Arial" w:hAnsi="Arial" w:eastAsia="黑体"/>
      <w:kern w:val="0"/>
      <w:sz w:val="28"/>
      <w:szCs w:val="20"/>
    </w:rPr>
  </w:style>
  <w:style w:type="paragraph" w:customStyle="1" w:styleId="55">
    <w:name w:val="样式1"/>
    <w:basedOn w:val="1"/>
    <w:next w:val="6"/>
    <w:qFormat/>
    <w:uiPriority w:val="0"/>
    <w:pPr>
      <w:spacing w:line="360" w:lineRule="auto"/>
      <w:ind w:firstLine="420" w:firstLineChars="200"/>
    </w:pPr>
    <w:rPr>
      <w:rFonts w:ascii="宋体" w:hAnsi="宋体"/>
      <w:szCs w:val="21"/>
    </w:rPr>
  </w:style>
  <w:style w:type="character" w:customStyle="1" w:styleId="56">
    <w:name w:val="标题 1 Char"/>
    <w:link w:val="3"/>
    <w:qFormat/>
    <w:locked/>
    <w:uiPriority w:val="99"/>
    <w:rPr>
      <w:rFonts w:ascii="Times New Roman" w:hAnsi="Times New Roman" w:eastAsia="华文新魏" w:cs="Times New Roman"/>
      <w:b/>
      <w:sz w:val="24"/>
      <w:szCs w:val="24"/>
    </w:rPr>
  </w:style>
  <w:style w:type="character" w:customStyle="1" w:styleId="57">
    <w:name w:val="标题 2 Char"/>
    <w:link w:val="4"/>
    <w:qFormat/>
    <w:locked/>
    <w:uiPriority w:val="99"/>
    <w:rPr>
      <w:rFonts w:ascii="Arial" w:hAnsi="Arial" w:eastAsia="黑体" w:cs="Times New Roman"/>
      <w:b/>
      <w:kern w:val="0"/>
      <w:sz w:val="20"/>
      <w:szCs w:val="20"/>
    </w:rPr>
  </w:style>
  <w:style w:type="character" w:customStyle="1" w:styleId="58">
    <w:name w:val="标题 3 Char"/>
    <w:link w:val="5"/>
    <w:qFormat/>
    <w:locked/>
    <w:uiPriority w:val="99"/>
    <w:rPr>
      <w:rFonts w:ascii="Times New Roman" w:hAnsi="Times New Roman" w:eastAsia="华文新魏" w:cs="Times New Roman"/>
      <w:b/>
      <w:bCs/>
      <w:sz w:val="32"/>
      <w:szCs w:val="32"/>
    </w:rPr>
  </w:style>
  <w:style w:type="character" w:customStyle="1" w:styleId="59">
    <w:name w:val="标题 4 Char"/>
    <w:link w:val="6"/>
    <w:qFormat/>
    <w:locked/>
    <w:uiPriority w:val="99"/>
    <w:rPr>
      <w:rFonts w:ascii="Arial" w:hAnsi="Arial" w:eastAsia="黑体" w:cs="Times New Roman"/>
      <w:b/>
      <w:bCs/>
      <w:sz w:val="28"/>
      <w:szCs w:val="28"/>
    </w:rPr>
  </w:style>
  <w:style w:type="character" w:customStyle="1" w:styleId="60">
    <w:name w:val="标题 5 Char"/>
    <w:link w:val="7"/>
    <w:qFormat/>
    <w:locked/>
    <w:uiPriority w:val="99"/>
    <w:rPr>
      <w:rFonts w:ascii="Times New Roman" w:hAnsi="Times New Roman" w:eastAsia="华文新魏" w:cs="Times New Roman"/>
      <w:b/>
      <w:sz w:val="20"/>
      <w:szCs w:val="20"/>
    </w:rPr>
  </w:style>
  <w:style w:type="character" w:customStyle="1" w:styleId="61">
    <w:name w:val="标题 6 Char"/>
    <w:link w:val="9"/>
    <w:qFormat/>
    <w:locked/>
    <w:uiPriority w:val="99"/>
    <w:rPr>
      <w:rFonts w:ascii="Arial" w:hAnsi="Arial" w:eastAsia="黑体" w:cs="Times New Roman"/>
      <w:b/>
      <w:sz w:val="20"/>
      <w:szCs w:val="20"/>
    </w:rPr>
  </w:style>
  <w:style w:type="character" w:customStyle="1" w:styleId="62">
    <w:name w:val="标题 7 Char"/>
    <w:link w:val="10"/>
    <w:qFormat/>
    <w:locked/>
    <w:uiPriority w:val="99"/>
    <w:rPr>
      <w:rFonts w:ascii="Times New Roman" w:hAnsi="Times New Roman" w:eastAsia="华文新魏" w:cs="Times New Roman"/>
      <w:b/>
      <w:sz w:val="20"/>
      <w:szCs w:val="20"/>
    </w:rPr>
  </w:style>
  <w:style w:type="character" w:customStyle="1" w:styleId="63">
    <w:name w:val="标题 8 Char"/>
    <w:link w:val="11"/>
    <w:qFormat/>
    <w:locked/>
    <w:uiPriority w:val="99"/>
    <w:rPr>
      <w:rFonts w:ascii="Arial" w:hAnsi="Arial" w:eastAsia="黑体" w:cs="Times New Roman"/>
      <w:sz w:val="20"/>
      <w:szCs w:val="20"/>
    </w:rPr>
  </w:style>
  <w:style w:type="character" w:customStyle="1" w:styleId="64">
    <w:name w:val="标题 9 Char"/>
    <w:link w:val="12"/>
    <w:qFormat/>
    <w:locked/>
    <w:uiPriority w:val="99"/>
    <w:rPr>
      <w:rFonts w:ascii="Arial" w:hAnsi="Arial" w:eastAsia="黑体" w:cs="Times New Roman"/>
      <w:sz w:val="20"/>
      <w:szCs w:val="20"/>
    </w:rPr>
  </w:style>
  <w:style w:type="character" w:customStyle="1" w:styleId="65">
    <w:name w:val="文档结构图 Char"/>
    <w:link w:val="14"/>
    <w:qFormat/>
    <w:locked/>
    <w:uiPriority w:val="99"/>
    <w:rPr>
      <w:rFonts w:ascii="宋体" w:hAnsi="Times New Roman" w:eastAsia="华文新魏" w:cs="Times New Roman"/>
      <w:sz w:val="18"/>
      <w:szCs w:val="18"/>
    </w:rPr>
  </w:style>
  <w:style w:type="character" w:customStyle="1" w:styleId="66">
    <w:name w:val="批注文字 Char1"/>
    <w:link w:val="15"/>
    <w:semiHidden/>
    <w:qFormat/>
    <w:locked/>
    <w:uiPriority w:val="99"/>
    <w:rPr>
      <w:rFonts w:ascii="Times New Roman" w:hAnsi="Times New Roman" w:eastAsia="宋体" w:cs="Times New Roman"/>
      <w:sz w:val="24"/>
      <w:szCs w:val="24"/>
    </w:rPr>
  </w:style>
  <w:style w:type="character" w:customStyle="1" w:styleId="67">
    <w:name w:val="正文文本 Char"/>
    <w:link w:val="2"/>
    <w:semiHidden/>
    <w:qFormat/>
    <w:locked/>
    <w:uiPriority w:val="99"/>
    <w:rPr>
      <w:rFonts w:ascii="Times New Roman" w:hAnsi="Times New Roman" w:eastAsia="宋体" w:cs="Times New Roman"/>
      <w:sz w:val="24"/>
      <w:szCs w:val="24"/>
    </w:rPr>
  </w:style>
  <w:style w:type="character" w:customStyle="1" w:styleId="68">
    <w:name w:val="正文文本缩进 Char"/>
    <w:link w:val="16"/>
    <w:qFormat/>
    <w:locked/>
    <w:uiPriority w:val="99"/>
    <w:rPr>
      <w:rFonts w:ascii="宋体" w:hAnsi="Times New Roman" w:eastAsia="华文新魏" w:cs="Times New Roman"/>
      <w:spacing w:val="-4"/>
      <w:sz w:val="20"/>
      <w:szCs w:val="20"/>
    </w:rPr>
  </w:style>
  <w:style w:type="character" w:customStyle="1" w:styleId="69">
    <w:name w:val="纯文本 Char"/>
    <w:link w:val="20"/>
    <w:qFormat/>
    <w:locked/>
    <w:uiPriority w:val="99"/>
    <w:rPr>
      <w:rFonts w:ascii="宋体" w:hAnsi="Times New Roman" w:eastAsia="宋体" w:cs="Times New Roman"/>
    </w:rPr>
  </w:style>
  <w:style w:type="character" w:customStyle="1" w:styleId="70">
    <w:name w:val="日期 Char"/>
    <w:link w:val="22"/>
    <w:qFormat/>
    <w:locked/>
    <w:uiPriority w:val="99"/>
    <w:rPr>
      <w:rFonts w:ascii="宋体" w:hAnsi="Times New Roman" w:eastAsia="华文新魏" w:cs="Times New Roman"/>
      <w:bCs/>
      <w:sz w:val="20"/>
      <w:szCs w:val="20"/>
    </w:rPr>
  </w:style>
  <w:style w:type="character" w:customStyle="1" w:styleId="71">
    <w:name w:val="正文文本缩进 2 Char"/>
    <w:link w:val="23"/>
    <w:qFormat/>
    <w:locked/>
    <w:uiPriority w:val="99"/>
    <w:rPr>
      <w:rFonts w:ascii="Times New Roman" w:hAnsi="Times New Roman" w:eastAsia="华文新魏" w:cs="Times New Roman"/>
      <w:sz w:val="24"/>
      <w:szCs w:val="24"/>
    </w:rPr>
  </w:style>
  <w:style w:type="character" w:customStyle="1" w:styleId="72">
    <w:name w:val="批注框文本 Char"/>
    <w:link w:val="24"/>
    <w:qFormat/>
    <w:locked/>
    <w:uiPriority w:val="99"/>
    <w:rPr>
      <w:rFonts w:ascii="Times New Roman" w:hAnsi="Times New Roman" w:eastAsia="华文新魏" w:cs="Times New Roman"/>
      <w:sz w:val="18"/>
      <w:szCs w:val="18"/>
    </w:rPr>
  </w:style>
  <w:style w:type="character" w:customStyle="1" w:styleId="73">
    <w:name w:val="页脚 Char"/>
    <w:link w:val="25"/>
    <w:qFormat/>
    <w:locked/>
    <w:uiPriority w:val="99"/>
    <w:rPr>
      <w:rFonts w:ascii="宋体" w:hAnsi="Times New Roman" w:eastAsia="宋体" w:cs="Times New Roman"/>
      <w:sz w:val="18"/>
    </w:rPr>
  </w:style>
  <w:style w:type="character" w:customStyle="1" w:styleId="74">
    <w:name w:val="页眉 Char"/>
    <w:link w:val="26"/>
    <w:qFormat/>
    <w:locked/>
    <w:uiPriority w:val="99"/>
    <w:rPr>
      <w:rFonts w:ascii="宋体" w:hAnsi="Times New Roman" w:eastAsia="华文新魏" w:cs="Times New Roman"/>
      <w:sz w:val="20"/>
      <w:szCs w:val="20"/>
    </w:rPr>
  </w:style>
  <w:style w:type="character" w:customStyle="1" w:styleId="75">
    <w:name w:val="正文文本缩进 3 Char"/>
    <w:link w:val="31"/>
    <w:qFormat/>
    <w:locked/>
    <w:uiPriority w:val="99"/>
    <w:rPr>
      <w:rFonts w:ascii="Times New Roman" w:hAnsi="Times New Roman" w:eastAsia="华文新魏" w:cs="Times New Roman"/>
      <w:sz w:val="16"/>
      <w:szCs w:val="16"/>
    </w:rPr>
  </w:style>
  <w:style w:type="character" w:customStyle="1" w:styleId="76">
    <w:name w:val="正文文本 2 Char"/>
    <w:link w:val="34"/>
    <w:qFormat/>
    <w:locked/>
    <w:uiPriority w:val="99"/>
    <w:rPr>
      <w:rFonts w:ascii="Times New Roman" w:hAnsi="Times New Roman" w:eastAsia="华文新魏" w:cs="Times New Roman"/>
      <w:sz w:val="24"/>
      <w:szCs w:val="24"/>
    </w:rPr>
  </w:style>
  <w:style w:type="character" w:customStyle="1" w:styleId="77">
    <w:name w:val="HTML 预设格式 Char"/>
    <w:link w:val="36"/>
    <w:qFormat/>
    <w:locked/>
    <w:uiPriority w:val="99"/>
    <w:rPr>
      <w:rFonts w:ascii="Arial" w:hAnsi="Arial" w:eastAsia="华文新魏" w:cs="Arial"/>
      <w:kern w:val="0"/>
      <w:sz w:val="21"/>
      <w:szCs w:val="21"/>
    </w:rPr>
  </w:style>
  <w:style w:type="character" w:customStyle="1" w:styleId="78">
    <w:name w:val="标题 Char"/>
    <w:link w:val="39"/>
    <w:qFormat/>
    <w:locked/>
    <w:uiPriority w:val="99"/>
    <w:rPr>
      <w:rFonts w:ascii="Arial" w:hAnsi="Arial" w:eastAsia="华文新魏" w:cs="Times New Roman"/>
      <w:b/>
      <w:bCs/>
      <w:sz w:val="32"/>
      <w:szCs w:val="32"/>
    </w:rPr>
  </w:style>
  <w:style w:type="character" w:customStyle="1" w:styleId="79">
    <w:name w:val="批注主题 Char"/>
    <w:link w:val="40"/>
    <w:qFormat/>
    <w:locked/>
    <w:uiPriority w:val="99"/>
    <w:rPr>
      <w:rFonts w:ascii="Times New Roman" w:hAnsi="Times New Roman" w:eastAsia="华文新魏" w:cs="Times New Roman"/>
      <w:b/>
      <w:bCs/>
      <w:sz w:val="24"/>
      <w:szCs w:val="24"/>
    </w:rPr>
  </w:style>
  <w:style w:type="character" w:customStyle="1" w:styleId="80">
    <w:name w:val="正文首行缩进 Char"/>
    <w:basedOn w:val="67"/>
    <w:link w:val="41"/>
    <w:qFormat/>
    <w:locked/>
    <w:uiPriority w:val="99"/>
    <w:rPr>
      <w:rFonts w:ascii="Times New Roman" w:hAnsi="Times New Roman" w:eastAsia="宋体" w:cs="Times New Roman"/>
      <w:sz w:val="24"/>
      <w:szCs w:val="24"/>
    </w:rPr>
  </w:style>
  <w:style w:type="character" w:customStyle="1" w:styleId="81">
    <w:name w:val="marklong"/>
    <w:qFormat/>
    <w:uiPriority w:val="99"/>
    <w:rPr>
      <w:rFonts w:ascii="Times New Roman" w:hAnsi="Times New Roman" w:eastAsia="华文新魏"/>
    </w:rPr>
  </w:style>
  <w:style w:type="character" w:customStyle="1" w:styleId="82">
    <w:name w:val="批注文字 Char"/>
    <w:qFormat/>
    <w:uiPriority w:val="0"/>
    <w:rPr>
      <w:rFonts w:ascii="Times New Roman" w:hAnsi="Times New Roman" w:eastAsia="宋体"/>
      <w:kern w:val="2"/>
      <w:sz w:val="24"/>
    </w:rPr>
  </w:style>
  <w:style w:type="character" w:customStyle="1" w:styleId="83">
    <w:name w:val="zi1"/>
    <w:qFormat/>
    <w:uiPriority w:val="99"/>
    <w:rPr>
      <w:rFonts w:ascii="??" w:hAnsi="??" w:eastAsia="华文新魏"/>
      <w:color w:val="000000"/>
      <w:sz w:val="22"/>
      <w:u w:val="none"/>
    </w:rPr>
  </w:style>
  <w:style w:type="character" w:customStyle="1" w:styleId="84">
    <w:name w:val="main141"/>
    <w:qFormat/>
    <w:uiPriority w:val="99"/>
    <w:rPr>
      <w:rFonts w:ascii="Times New Roman" w:hAnsi="Times New Roman" w:eastAsia="华文新魏"/>
      <w:sz w:val="21"/>
    </w:rPr>
  </w:style>
  <w:style w:type="character" w:customStyle="1" w:styleId="85">
    <w:name w:val="huei12b1"/>
    <w:qFormat/>
    <w:uiPriority w:val="99"/>
    <w:rPr>
      <w:rFonts w:ascii="Times New Roman" w:hAnsi="Times New Roman" w:eastAsia="华文新魏"/>
      <w:b/>
      <w:color w:val="333333"/>
      <w:sz w:val="18"/>
    </w:rPr>
  </w:style>
  <w:style w:type="character" w:customStyle="1" w:styleId="86">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87">
    <w:name w:val="纯文本 字符1"/>
    <w:qFormat/>
    <w:uiPriority w:val="99"/>
    <w:rPr>
      <w:rFonts w:ascii="宋体" w:hAnsi="Times New Roman" w:eastAsia="宋体"/>
      <w:sz w:val="21"/>
    </w:rPr>
  </w:style>
  <w:style w:type="character" w:customStyle="1" w:styleId="88">
    <w:name w:val="小标题 Char"/>
    <w:qFormat/>
    <w:uiPriority w:val="99"/>
    <w:rPr>
      <w:rFonts w:ascii="Times New Roman" w:hAnsi="Times New Roman" w:eastAsia="华文新魏"/>
      <w:b/>
      <w:kern w:val="2"/>
      <w:sz w:val="32"/>
    </w:rPr>
  </w:style>
  <w:style w:type="character" w:customStyle="1" w:styleId="89">
    <w:name w:val="px141"/>
    <w:qFormat/>
    <w:uiPriority w:val="99"/>
    <w:rPr>
      <w:rFonts w:ascii="Times New Roman" w:hAnsi="Times New Roman" w:eastAsia="华文新魏"/>
      <w:sz w:val="21"/>
    </w:rPr>
  </w:style>
  <w:style w:type="character" w:customStyle="1" w:styleId="90">
    <w:name w:val="普通文字 Char Char2"/>
    <w:qFormat/>
    <w:uiPriority w:val="99"/>
    <w:rPr>
      <w:rFonts w:ascii="宋体" w:hAnsi="Times New Roman" w:eastAsia="宋体"/>
      <w:sz w:val="21"/>
    </w:rPr>
  </w:style>
  <w:style w:type="character" w:customStyle="1" w:styleId="91">
    <w:name w:val="price7"/>
    <w:qFormat/>
    <w:uiPriority w:val="99"/>
    <w:rPr>
      <w:rFonts w:ascii="Times New Roman" w:hAnsi="Times New Roman" w:eastAsia="华文新魏"/>
      <w:color w:val="CC0000"/>
    </w:rPr>
  </w:style>
  <w:style w:type="character" w:customStyle="1" w:styleId="92">
    <w:name w:val="纯文本 Char1"/>
    <w:qFormat/>
    <w:uiPriority w:val="0"/>
    <w:rPr>
      <w:rFonts w:ascii="宋体" w:hAnsi="Times New Roman" w:eastAsia="宋体"/>
      <w:sz w:val="20"/>
    </w:rPr>
  </w:style>
  <w:style w:type="character" w:customStyle="1" w:styleId="93">
    <w:name w:val="纯文本 Char2"/>
    <w:qFormat/>
    <w:uiPriority w:val="0"/>
    <w:rPr>
      <w:rFonts w:ascii="宋体" w:hAnsi="Times New Roman" w:eastAsia="宋体"/>
      <w:kern w:val="2"/>
      <w:sz w:val="21"/>
      <w:lang w:val="en-US" w:eastAsia="zh-CN"/>
    </w:rPr>
  </w:style>
  <w:style w:type="character" w:customStyle="1" w:styleId="94">
    <w:name w:val="paramname3"/>
    <w:qFormat/>
    <w:uiPriority w:val="99"/>
    <w:rPr>
      <w:rFonts w:ascii="Times New Roman" w:hAnsi="Times New Roman" w:eastAsia="华文新魏"/>
    </w:rPr>
  </w:style>
  <w:style w:type="character" w:customStyle="1" w:styleId="95">
    <w:name w:val="h"/>
    <w:qFormat/>
    <w:uiPriority w:val="99"/>
    <w:rPr>
      <w:rFonts w:ascii="Times New Roman" w:hAnsi="Times New Roman" w:eastAsia="华文新魏"/>
    </w:rPr>
  </w:style>
  <w:style w:type="character" w:customStyle="1" w:styleId="96">
    <w:name w:val="style2"/>
    <w:qFormat/>
    <w:uiPriority w:val="99"/>
    <w:rPr>
      <w:rFonts w:ascii="Times New Roman" w:hAnsi="Times New Roman" w:eastAsia="华文新魏"/>
    </w:rPr>
  </w:style>
  <w:style w:type="character" w:customStyle="1" w:styleId="97">
    <w:name w:val="标题 4 Char2"/>
    <w:qFormat/>
    <w:uiPriority w:val="99"/>
    <w:rPr>
      <w:rFonts w:ascii="Arial" w:hAnsi="Arial" w:eastAsia="黑体"/>
      <w:sz w:val="28"/>
    </w:rPr>
  </w:style>
  <w:style w:type="character" w:customStyle="1" w:styleId="98">
    <w:name w:val="font01"/>
    <w:qFormat/>
    <w:uiPriority w:val="99"/>
    <w:rPr>
      <w:rFonts w:ascii="宋体" w:hAnsi="Times New Roman" w:eastAsia="宋体"/>
      <w:color w:val="000000"/>
      <w:sz w:val="20"/>
      <w:u w:val="none"/>
    </w:rPr>
  </w:style>
  <w:style w:type="character" w:customStyle="1" w:styleId="99">
    <w:name w:val="city3"/>
    <w:qFormat/>
    <w:uiPriority w:val="99"/>
    <w:rPr>
      <w:rFonts w:ascii="Times New Roman" w:hAnsi="Times New Roman" w:eastAsia="华文新魏"/>
      <w:color w:val="999999"/>
    </w:rPr>
  </w:style>
  <w:style w:type="character" w:customStyle="1" w:styleId="100">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101">
    <w:name w:val="text11"/>
    <w:qFormat/>
    <w:uiPriority w:val="99"/>
    <w:rPr>
      <w:rFonts w:ascii="Verdana" w:hAnsi="Verdana" w:eastAsia="华文新魏"/>
      <w:color w:val="4E4E4E"/>
      <w:sz w:val="18"/>
    </w:rPr>
  </w:style>
  <w:style w:type="character" w:customStyle="1" w:styleId="102">
    <w:name w:val="正文缩进 字符"/>
    <w:qFormat/>
    <w:uiPriority w:val="99"/>
    <w:rPr>
      <w:rFonts w:ascii="Verdana" w:hAnsi="Verdana" w:eastAsia="华文新魏"/>
      <w:kern w:val="2"/>
      <w:sz w:val="21"/>
    </w:rPr>
  </w:style>
  <w:style w:type="character" w:customStyle="1" w:styleId="103">
    <w:name w:val="纯文本 Char3"/>
    <w:semiHidden/>
    <w:qFormat/>
    <w:uiPriority w:val="99"/>
    <w:rPr>
      <w:rFonts w:ascii="宋体" w:hAnsi="Courier New" w:eastAsia="宋体" w:cs="Courier New"/>
      <w:sz w:val="21"/>
      <w:szCs w:val="21"/>
    </w:rPr>
  </w:style>
  <w:style w:type="character" w:customStyle="1" w:styleId="104">
    <w:name w:val="页脚 Char1"/>
    <w:semiHidden/>
    <w:qFormat/>
    <w:uiPriority w:val="99"/>
    <w:rPr>
      <w:rFonts w:ascii="Times New Roman" w:hAnsi="Times New Roman" w:eastAsia="宋体" w:cs="Times New Roman"/>
      <w:sz w:val="18"/>
      <w:szCs w:val="18"/>
    </w:rPr>
  </w:style>
  <w:style w:type="paragraph" w:customStyle="1" w:styleId="105">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6">
    <w:name w:val="TOC 标题1"/>
    <w:basedOn w:val="3"/>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07">
    <w:name w:val="CSS1级编号"/>
    <w:basedOn w:val="1"/>
    <w:qFormat/>
    <w:uiPriority w:val="99"/>
    <w:pPr>
      <w:tabs>
        <w:tab w:val="left" w:pos="0"/>
      </w:tabs>
      <w:spacing w:line="360" w:lineRule="auto"/>
    </w:pPr>
    <w:rPr>
      <w:rFonts w:eastAsia="华文新魏"/>
      <w:sz w:val="24"/>
    </w:rPr>
  </w:style>
  <w:style w:type="paragraph" w:customStyle="1" w:styleId="108">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09">
    <w:name w:val="2"/>
    <w:basedOn w:val="1"/>
    <w:next w:val="20"/>
    <w:qFormat/>
    <w:uiPriority w:val="99"/>
    <w:rPr>
      <w:rFonts w:ascii="宋体" w:eastAsia="华文新魏"/>
      <w:szCs w:val="20"/>
    </w:rPr>
  </w:style>
  <w:style w:type="paragraph" w:customStyle="1" w:styleId="110">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11">
    <w:name w:val="Char"/>
    <w:basedOn w:val="14"/>
    <w:qFormat/>
    <w:uiPriority w:val="99"/>
    <w:pPr>
      <w:widowControl/>
      <w:shd w:val="clear" w:color="auto" w:fill="000080"/>
      <w:ind w:firstLine="454"/>
      <w:jc w:val="left"/>
    </w:pPr>
    <w:rPr>
      <w:rFonts w:ascii="Tahoma" w:hAnsi="Tahoma" w:cs="宋体"/>
      <w:kern w:val="0"/>
      <w:sz w:val="24"/>
      <w:szCs w:val="20"/>
    </w:rPr>
  </w:style>
  <w:style w:type="paragraph" w:customStyle="1" w:styleId="112">
    <w:name w:val="图B-"/>
    <w:basedOn w:val="1"/>
    <w:qFormat/>
    <w:uiPriority w:val="99"/>
    <w:pPr>
      <w:tabs>
        <w:tab w:val="left" w:pos="0"/>
      </w:tabs>
      <w:jc w:val="center"/>
    </w:pPr>
    <w:rPr>
      <w:rFonts w:eastAsia="黑体"/>
      <w:szCs w:val="21"/>
    </w:rPr>
  </w:style>
  <w:style w:type="paragraph" w:customStyle="1" w:styleId="113">
    <w:name w:val="3"/>
    <w:basedOn w:val="1"/>
    <w:next w:val="20"/>
    <w:qFormat/>
    <w:uiPriority w:val="99"/>
    <w:rPr>
      <w:rFonts w:ascii="宋体" w:eastAsia="华文新魏"/>
      <w:szCs w:val="20"/>
    </w:rPr>
  </w:style>
  <w:style w:type="paragraph" w:customStyle="1" w:styleId="114">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5">
    <w:name w:val="纯文本2"/>
    <w:basedOn w:val="1"/>
    <w:qFormat/>
    <w:uiPriority w:val="99"/>
    <w:pPr>
      <w:suppressAutoHyphens/>
    </w:pPr>
    <w:rPr>
      <w:rFonts w:ascii="宋体" w:eastAsia="华文新魏" w:cs="Courier New"/>
      <w:szCs w:val="21"/>
      <w:lang w:eastAsia="ar-SA"/>
    </w:rPr>
  </w:style>
  <w:style w:type="paragraph" w:customStyle="1" w:styleId="116">
    <w:name w:val="1"/>
    <w:basedOn w:val="1"/>
    <w:next w:val="20"/>
    <w:qFormat/>
    <w:uiPriority w:val="99"/>
    <w:rPr>
      <w:rFonts w:ascii="宋体" w:eastAsia="华文新魏"/>
      <w:szCs w:val="20"/>
    </w:rPr>
  </w:style>
  <w:style w:type="paragraph" w:customStyle="1" w:styleId="117">
    <w:name w:val="项目-正文"/>
    <w:basedOn w:val="1"/>
    <w:qFormat/>
    <w:uiPriority w:val="99"/>
    <w:pPr>
      <w:spacing w:line="360" w:lineRule="auto"/>
      <w:ind w:firstLine="200" w:firstLineChars="200"/>
    </w:pPr>
    <w:rPr>
      <w:rFonts w:eastAsia="华文新魏"/>
      <w:kern w:val="0"/>
      <w:sz w:val="28"/>
      <w:szCs w:val="28"/>
    </w:rPr>
  </w:style>
  <w:style w:type="paragraph" w:customStyle="1" w:styleId="118">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19">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20">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21">
    <w:name w:val="列出段落1"/>
    <w:basedOn w:val="1"/>
    <w:qFormat/>
    <w:uiPriority w:val="99"/>
    <w:pPr>
      <w:ind w:firstLine="200" w:firstLineChars="200"/>
    </w:pPr>
    <w:rPr>
      <w:rFonts w:ascii="Calibri" w:hAnsi="Calibri" w:eastAsia="华文新魏" w:cs="Calibri"/>
      <w:szCs w:val="21"/>
    </w:rPr>
  </w:style>
  <w:style w:type="paragraph" w:customStyle="1" w:styleId="122">
    <w:name w:val="字元"/>
    <w:basedOn w:val="1"/>
    <w:qFormat/>
    <w:uiPriority w:val="99"/>
    <w:pPr>
      <w:widowControl/>
      <w:tabs>
        <w:tab w:val="left" w:pos="4665"/>
        <w:tab w:val="left" w:pos="8970"/>
      </w:tabs>
      <w:ind w:firstLine="400"/>
    </w:pPr>
    <w:rPr>
      <w:rFonts w:eastAsia="华文新魏"/>
      <w:szCs w:val="22"/>
    </w:rPr>
  </w:style>
  <w:style w:type="paragraph" w:customStyle="1" w:styleId="123">
    <w:name w:val="方案正文"/>
    <w:basedOn w:val="1"/>
    <w:qFormat/>
    <w:uiPriority w:val="99"/>
    <w:pPr>
      <w:spacing w:line="360" w:lineRule="auto"/>
      <w:ind w:firstLine="420"/>
    </w:pPr>
    <w:rPr>
      <w:rFonts w:ascii="宋体" w:eastAsia="华文新魏" w:cs="宋体"/>
      <w:sz w:val="24"/>
    </w:rPr>
  </w:style>
  <w:style w:type="paragraph" w:customStyle="1" w:styleId="124">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5">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6">
    <w:name w:val="正文11"/>
    <w:qFormat/>
    <w:uiPriority w:val="99"/>
    <w:pPr>
      <w:ind w:firstLine="200" w:firstLineChars="200"/>
    </w:pPr>
    <w:rPr>
      <w:rFonts w:ascii="Times New Roman" w:hAnsi="Times New Roman" w:eastAsia="宋体" w:cs="宋体"/>
      <w:lang w:val="en-US" w:eastAsia="zh-CN" w:bidi="ar-SA"/>
    </w:rPr>
  </w:style>
  <w:style w:type="paragraph" w:customStyle="1" w:styleId="127">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28">
    <w:name w:val="表A-"/>
    <w:basedOn w:val="1"/>
    <w:qFormat/>
    <w:uiPriority w:val="99"/>
    <w:pPr>
      <w:tabs>
        <w:tab w:val="left" w:pos="0"/>
      </w:tabs>
      <w:jc w:val="center"/>
    </w:pPr>
    <w:rPr>
      <w:rFonts w:eastAsia="华文新魏"/>
      <w:szCs w:val="21"/>
    </w:rPr>
  </w:style>
  <w:style w:type="paragraph" w:customStyle="1" w:styleId="129">
    <w:name w:val="修订1"/>
    <w:qFormat/>
    <w:uiPriority w:val="99"/>
    <w:rPr>
      <w:rFonts w:ascii="Times New Roman" w:hAnsi="Times New Roman" w:eastAsia="宋体" w:cs="Times New Roman"/>
      <w:kern w:val="2"/>
      <w:sz w:val="21"/>
      <w:szCs w:val="24"/>
      <w:lang w:val="en-US" w:eastAsia="zh-CN" w:bidi="ar-SA"/>
    </w:rPr>
  </w:style>
  <w:style w:type="paragraph" w:customStyle="1" w:styleId="130">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31">
    <w:name w:val="Char1 Char Char Char"/>
    <w:basedOn w:val="1"/>
    <w:qFormat/>
    <w:uiPriority w:val="0"/>
    <w:rPr>
      <w:rFonts w:eastAsia="华文新魏"/>
    </w:rPr>
  </w:style>
  <w:style w:type="paragraph" w:customStyle="1" w:styleId="132">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3">
    <w:name w:val="默认段落字体 Para Char"/>
    <w:basedOn w:val="1"/>
    <w:qFormat/>
    <w:uiPriority w:val="99"/>
    <w:rPr>
      <w:rFonts w:eastAsia="华文新魏"/>
    </w:rPr>
  </w:style>
  <w:style w:type="paragraph" w:customStyle="1" w:styleId="13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5">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6">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3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38">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39">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40">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41">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4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3">
    <w:name w:val="正文首行缩进两字符"/>
    <w:basedOn w:val="1"/>
    <w:qFormat/>
    <w:uiPriority w:val="99"/>
    <w:pPr>
      <w:spacing w:line="360" w:lineRule="auto"/>
      <w:ind w:firstLine="200" w:firstLineChars="200"/>
    </w:pPr>
    <w:rPr>
      <w:rFonts w:eastAsia="华文新魏"/>
      <w:kern w:val="0"/>
      <w:sz w:val="24"/>
    </w:rPr>
  </w:style>
  <w:style w:type="paragraph" w:customStyle="1" w:styleId="144">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5">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6">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47">
    <w:name w:val="Char Char Char1 Char"/>
    <w:basedOn w:val="1"/>
    <w:qFormat/>
    <w:uiPriority w:val="99"/>
    <w:rPr>
      <w:rFonts w:ascii="Tahoma" w:hAnsi="Tahoma" w:eastAsia="华文新魏"/>
      <w:sz w:val="24"/>
    </w:rPr>
  </w:style>
  <w:style w:type="paragraph" w:customStyle="1" w:styleId="148">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49">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5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51">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52">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3">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4">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5">
    <w:name w:val="纯文本1"/>
    <w:basedOn w:val="1"/>
    <w:qFormat/>
    <w:uiPriority w:val="0"/>
    <w:pPr>
      <w:suppressAutoHyphens/>
    </w:pPr>
    <w:rPr>
      <w:rFonts w:ascii="宋体" w:eastAsia="华文新魏"/>
      <w:sz w:val="20"/>
      <w:szCs w:val="21"/>
      <w:lang w:eastAsia="ar-SA"/>
    </w:rPr>
  </w:style>
  <w:style w:type="paragraph" w:customStyle="1" w:styleId="156">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7">
    <w:name w:val="列出段落2"/>
    <w:basedOn w:val="1"/>
    <w:qFormat/>
    <w:uiPriority w:val="99"/>
    <w:pPr>
      <w:ind w:firstLine="200" w:firstLineChars="200"/>
    </w:pPr>
    <w:rPr>
      <w:rFonts w:eastAsia="华文新魏"/>
    </w:rPr>
  </w:style>
  <w:style w:type="paragraph" w:customStyle="1" w:styleId="15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59">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60">
    <w:name w:val="4"/>
    <w:basedOn w:val="1"/>
    <w:next w:val="20"/>
    <w:qFormat/>
    <w:uiPriority w:val="99"/>
    <w:rPr>
      <w:rFonts w:ascii="宋体" w:eastAsia="华文新魏"/>
      <w:szCs w:val="20"/>
    </w:rPr>
  </w:style>
  <w:style w:type="paragraph" w:customStyle="1" w:styleId="16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2">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3">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4">
    <w:name w:val="样式 目录 1"/>
    <w:basedOn w:val="27"/>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5">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66">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7">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68">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6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1">
    <w:name w:val="p0"/>
    <w:basedOn w:val="1"/>
    <w:qFormat/>
    <w:uiPriority w:val="99"/>
    <w:pPr>
      <w:widowControl/>
    </w:pPr>
    <w:rPr>
      <w:rFonts w:eastAsia="华文新魏"/>
      <w:kern w:val="0"/>
      <w:szCs w:val="21"/>
    </w:rPr>
  </w:style>
  <w:style w:type="paragraph" w:customStyle="1" w:styleId="172">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3">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4">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76">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77">
    <w:name w:val="param-value"/>
    <w:qFormat/>
    <w:uiPriority w:val="0"/>
  </w:style>
  <w:style w:type="character" w:customStyle="1" w:styleId="178">
    <w:name w:val="纯文本 字符"/>
    <w:qFormat/>
    <w:uiPriority w:val="99"/>
    <w:rPr>
      <w:rFonts w:ascii="Ђˎ̥" w:hAnsi="Verdana" w:eastAsia="Ђˎ̥" w:cs="Verdana"/>
      <w:szCs w:val="21"/>
    </w:rPr>
  </w:style>
  <w:style w:type="character" w:customStyle="1" w:styleId="179">
    <w:name w:val="正文文本_"/>
    <w:link w:val="180"/>
    <w:qFormat/>
    <w:uiPriority w:val="0"/>
    <w:rPr>
      <w:rFonts w:ascii="Arial Unicode MS" w:hAnsi="Arial Unicode MS" w:eastAsia="Arial Unicode MS" w:cs="Arial Unicode MS"/>
      <w:shd w:val="clear" w:color="auto" w:fill="FFFFFF"/>
    </w:rPr>
  </w:style>
  <w:style w:type="paragraph" w:customStyle="1" w:styleId="180">
    <w:name w:val="正文文本10"/>
    <w:basedOn w:val="1"/>
    <w:link w:val="179"/>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81">
    <w:name w:val="脚注文本 Char"/>
    <w:qFormat/>
    <w:uiPriority w:val="99"/>
    <w:rPr>
      <w:kern w:val="2"/>
      <w:sz w:val="18"/>
      <w:szCs w:val="18"/>
    </w:rPr>
  </w:style>
  <w:style w:type="character" w:customStyle="1" w:styleId="182">
    <w:name w:val="普通文字 Char Char4"/>
    <w:qFormat/>
    <w:uiPriority w:val="0"/>
    <w:rPr>
      <w:rFonts w:ascii="宋体" w:eastAsia="宋体" w:cs="Courier New"/>
      <w:kern w:val="2"/>
      <w:sz w:val="21"/>
      <w:szCs w:val="21"/>
      <w:lang w:val="en-US" w:eastAsia="zh-CN" w:bidi="ar-SA"/>
    </w:rPr>
  </w:style>
  <w:style w:type="character" w:customStyle="1" w:styleId="183">
    <w:name w:val="正文文本 + MingLiU"/>
    <w:qFormat/>
    <w:uiPriority w:val="0"/>
    <w:rPr>
      <w:rFonts w:ascii="MingLiU" w:hAnsi="MingLiU" w:eastAsia="MingLiU" w:cs="MingLiU"/>
      <w:color w:val="000000"/>
      <w:spacing w:val="0"/>
      <w:w w:val="100"/>
      <w:position w:val="0"/>
      <w:sz w:val="16"/>
      <w:szCs w:val="16"/>
      <w:u w:val="none"/>
      <w:lang w:val="zh-TW"/>
    </w:rPr>
  </w:style>
  <w:style w:type="character" w:customStyle="1" w:styleId="184">
    <w:name w:val="正文文本 + Batang"/>
    <w:basedOn w:val="179"/>
    <w:qFormat/>
    <w:uiPriority w:val="0"/>
    <w:rPr>
      <w:rFonts w:ascii="Arial Unicode MS" w:hAnsi="Arial Unicode MS" w:eastAsia="Arial Unicode MS" w:cs="Arial Unicode MS"/>
      <w:shd w:val="clear" w:color="auto" w:fill="FFFFFF"/>
    </w:rPr>
  </w:style>
  <w:style w:type="character" w:customStyle="1" w:styleId="185">
    <w:name w:val="脚注文本 Char1"/>
    <w:link w:val="29"/>
    <w:semiHidden/>
    <w:qFormat/>
    <w:uiPriority w:val="99"/>
    <w:rPr>
      <w:rFonts w:ascii="Times New Roman" w:hAnsi="Times New Roman"/>
      <w:kern w:val="2"/>
      <w:sz w:val="18"/>
      <w:szCs w:val="18"/>
    </w:rPr>
  </w:style>
  <w:style w:type="paragraph" w:customStyle="1" w:styleId="186">
    <w:name w:val="TOC 标题2"/>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87">
    <w:name w:val="_Style 12"/>
    <w:basedOn w:val="1"/>
    <w:qFormat/>
    <w:uiPriority w:val="0"/>
    <w:pPr>
      <w:spacing w:line="360" w:lineRule="auto"/>
      <w:ind w:firstLine="200" w:firstLineChars="200"/>
    </w:pPr>
    <w:rPr>
      <w:rFonts w:ascii="Arial" w:hAnsi="Arial"/>
      <w:kern w:val="0"/>
      <w:sz w:val="24"/>
    </w:rPr>
  </w:style>
  <w:style w:type="paragraph" w:customStyle="1" w:styleId="188">
    <w:name w:val="Char Char Char Char Char Char Char Char Char"/>
    <w:basedOn w:val="1"/>
    <w:qFormat/>
    <w:uiPriority w:val="0"/>
    <w:pPr>
      <w:widowControl/>
      <w:spacing w:after="160" w:line="240" w:lineRule="exact"/>
      <w:jc w:val="left"/>
    </w:pPr>
  </w:style>
  <w:style w:type="paragraph" w:customStyle="1" w:styleId="189">
    <w:name w:val="彩色底纹 - 着色 11"/>
    <w:qFormat/>
    <w:uiPriority w:val="0"/>
    <w:rPr>
      <w:rFonts w:ascii="Calibri" w:hAnsi="Calibri" w:eastAsia="宋体" w:cs="Times New Roman"/>
      <w:kern w:val="2"/>
      <w:sz w:val="21"/>
      <w:szCs w:val="22"/>
      <w:lang w:val="en-US" w:eastAsia="zh-CN" w:bidi="ar-SA"/>
    </w:rPr>
  </w:style>
  <w:style w:type="paragraph" w:customStyle="1" w:styleId="190">
    <w:name w:val="修订2"/>
    <w:qFormat/>
    <w:uiPriority w:val="0"/>
    <w:rPr>
      <w:rFonts w:ascii="Calibri" w:hAnsi="Calibri" w:eastAsia="宋体" w:cs="Times New Roman"/>
      <w:kern w:val="2"/>
      <w:sz w:val="21"/>
      <w:szCs w:val="22"/>
      <w:lang w:val="en-US" w:eastAsia="zh-CN" w:bidi="ar-SA"/>
    </w:rPr>
  </w:style>
  <w:style w:type="paragraph" w:customStyle="1" w:styleId="191">
    <w:name w:val="正文文字"/>
    <w:basedOn w:val="1"/>
    <w:qFormat/>
    <w:uiPriority w:val="0"/>
    <w:pPr>
      <w:spacing w:before="60" w:after="60" w:line="360" w:lineRule="auto"/>
      <w:ind w:firstLine="200" w:firstLineChars="200"/>
      <w:jc w:val="left"/>
    </w:pPr>
    <w:rPr>
      <w:sz w:val="24"/>
    </w:rPr>
  </w:style>
  <w:style w:type="paragraph" w:customStyle="1" w:styleId="192">
    <w:name w:val="List Paragraph1"/>
    <w:basedOn w:val="1"/>
    <w:qFormat/>
    <w:uiPriority w:val="0"/>
    <w:pPr>
      <w:ind w:firstLine="420" w:firstLineChars="200"/>
    </w:pPr>
  </w:style>
  <w:style w:type="paragraph" w:styleId="193">
    <w:name w:val="List Paragraph"/>
    <w:basedOn w:val="1"/>
    <w:qFormat/>
    <w:uiPriority w:val="34"/>
    <w:pPr>
      <w:ind w:firstLine="420" w:firstLineChars="200"/>
    </w:pPr>
  </w:style>
  <w:style w:type="character" w:customStyle="1" w:styleId="19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9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2" textRotate="1"/>
    <customShpInfo spid="_x0000_s3080"/>
    <customShpInfo spid="_x0000_s3073"/>
    <customShpInfo spid="_x0000_s3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120</Pages>
  <Words>15546</Words>
  <Characters>88618</Characters>
  <Lines>738</Lines>
  <Paragraphs>207</Paragraphs>
  <TotalTime>1</TotalTime>
  <ScaleCrop>false</ScaleCrop>
  <LinksUpToDate>false</LinksUpToDate>
  <CharactersWithSpaces>103957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2019-07-24T02:30:00Z</dcterms:created>
  <dc:creator>Administrator</dc:creator>
  <cp:lastModifiedBy>李思瑶</cp:lastModifiedBy>
  <cp:lastPrinted>2019-06-03T07:23:00Z</cp:lastPrinted>
  <dcterms:modified xsi:type="dcterms:W3CDTF">2022-01-07T08:56:13Z</dcterms:modified>
  <dc:title>广西科联招标中心有限公司</dc:title>
  <cp:revision>875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84FD350F8B544EA8A2A593743DEAD1AA</vt:lpwstr>
  </property>
</Properties>
</file>