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auto"/>
          <w:spacing w:val="-2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color w:val="auto"/>
          <w:spacing w:val="-2"/>
          <w:kern w:val="0"/>
          <w:sz w:val="36"/>
          <w:szCs w:val="36"/>
          <w:lang w:eastAsia="zh-CN"/>
        </w:rPr>
        <w:t>国家税务总局三江侗族自治县</w:t>
      </w:r>
      <w:r>
        <w:rPr>
          <w:rFonts w:ascii="宋体" w:hAnsi="宋体" w:cs="宋体"/>
          <w:color w:val="auto"/>
          <w:spacing w:val="-2"/>
          <w:kern w:val="0"/>
          <w:sz w:val="36"/>
          <w:szCs w:val="36"/>
        </w:rPr>
        <w:t>税务局</w:t>
      </w:r>
      <w:r>
        <w:rPr>
          <w:rFonts w:hint="eastAsia" w:ascii="宋体" w:hAnsi="宋体" w:cs="宋体"/>
          <w:color w:val="auto"/>
          <w:spacing w:val="-2"/>
          <w:kern w:val="0"/>
          <w:sz w:val="36"/>
          <w:szCs w:val="36"/>
          <w:lang w:eastAsia="zh-CN"/>
        </w:rPr>
        <w:t>古宜税务分局</w:t>
      </w:r>
    </w:p>
    <w:p>
      <w:pPr>
        <w:spacing w:line="360" w:lineRule="auto"/>
        <w:ind w:firstLine="2168" w:firstLineChars="600"/>
        <w:jc w:val="both"/>
        <w:rPr>
          <w:rFonts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eastAsia="zh-CN"/>
        </w:rPr>
        <w:t>社会保险费</w:t>
      </w:r>
      <w:r>
        <w:rPr>
          <w:rFonts w:ascii="Times New Roman" w:hAnsi="Times New Roman" w:eastAsia="宋体" w:cs="Times New Roman"/>
          <w:b/>
          <w:color w:val="auto"/>
          <w:sz w:val="36"/>
          <w:szCs w:val="36"/>
        </w:rPr>
        <w:t>征缴事项通知书</w:t>
      </w:r>
    </w:p>
    <w:p>
      <w:pPr>
        <w:tabs>
          <w:tab w:val="left" w:pos="1301"/>
          <w:tab w:val="left" w:pos="2640"/>
          <w:tab w:val="left" w:pos="3981"/>
          <w:tab w:val="left" w:pos="4781"/>
        </w:tabs>
        <w:spacing w:before="0"/>
        <w:ind w:left="0" w:right="178"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三江县税古分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40"/>
          <w:sz w:val="32"/>
          <w:szCs w:val="32"/>
        </w:rPr>
        <w:t>税</w:t>
      </w:r>
      <w:r>
        <w:rPr>
          <w:rFonts w:hint="eastAsia" w:ascii="仿宋_GB2312" w:hAnsi="仿宋_GB2312" w:eastAsia="仿宋_GB2312" w:cs="仿宋_GB2312"/>
          <w:color w:val="auto"/>
          <w:spacing w:val="28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28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847"/>
          <w:tab w:val="left" w:pos="69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127" w:right="263" w:firstLine="0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三江原子农业科技有限公司：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kern w:val="0"/>
          <w:sz w:val="32"/>
          <w:szCs w:val="22"/>
        </w:rPr>
        <w:t xml:space="preserve">（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0"/>
          <w:w w:val="110"/>
          <w:kern w:val="0"/>
          <w:sz w:val="32"/>
          <w:szCs w:val="22"/>
        </w:rPr>
        <w:t>纳税人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2"/>
          <w:w w:val="110"/>
          <w:kern w:val="0"/>
          <w:sz w:val="32"/>
          <w:szCs w:val="22"/>
        </w:rPr>
        <w:t>识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0"/>
          <w:w w:val="110"/>
          <w:kern w:val="0"/>
          <w:sz w:val="32"/>
          <w:szCs w:val="22"/>
        </w:rPr>
        <w:t>别号</w:t>
      </w:r>
      <w:r>
        <w:rPr>
          <w:rFonts w:hint="eastAsia" w:ascii="仿宋_GB2312" w:hAnsi="仿宋_GB2312" w:eastAsia="仿宋_GB2312" w:cs="仿宋_GB2312"/>
          <w:b/>
          <w:bCs/>
          <w:color w:val="auto"/>
          <w:w w:val="110"/>
          <w:kern w:val="0"/>
          <w:sz w:val="32"/>
          <w:szCs w:val="22"/>
        </w:rPr>
        <w:t>：</w:t>
      </w:r>
      <w:r>
        <w:rPr>
          <w:rFonts w:hint="eastAsia" w:ascii="仿宋_GB2312" w:hAnsi="仿宋_GB2312" w:eastAsia="仿宋_GB2312" w:cs="仿宋_GB2312"/>
          <w:color w:val="auto"/>
          <w:w w:val="110"/>
          <w:kern w:val="0"/>
          <w:sz w:val="32"/>
          <w:szCs w:val="22"/>
        </w:rPr>
        <w:t>91450226MA5QKR010U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w w:val="110"/>
          <w:kern w:val="0"/>
          <w:sz w:val="32"/>
          <w:szCs w:val="22"/>
        </w:rPr>
        <w:t>）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pacing w:val="-20"/>
          <w:sz w:val="32"/>
          <w:szCs w:val="32"/>
        </w:rPr>
        <w:t>一、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  <w:t>事由：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缴纳社会保险费通知。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  <w:t>二、依据：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《中华人民共和国社会保险法》第六十条、第六十三条。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  <w:t>三、通知内容：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经税务部门系统查询，截至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你单位应缴未缴所属期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月的社会保险费人民币（大写）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伍万肆仟叁佰肆拾玖元伍角贰分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元。为保障你单位及单位职工的合法权益，请于收到本通知之日起五个工作日内缴纳应缴未缴费款及滞纳金。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如对应缴未缴金额或滞纳金有异议，请及时向税务部门反馈。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600" w:lineRule="exact"/>
        <w:jc w:val="left"/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</w:rPr>
        <w:t xml:space="preserve">                  </w:t>
      </w:r>
    </w:p>
    <w:p>
      <w:pPr>
        <w:spacing w:line="600" w:lineRule="exact"/>
        <w:ind w:firstLine="3520" w:firstLineChars="1100"/>
        <w:jc w:val="left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  <w:t>税务机关（公章）</w:t>
      </w:r>
    </w:p>
    <w:p>
      <w:pPr>
        <w:spacing w:line="600" w:lineRule="exact"/>
        <w:jc w:val="left"/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</w:rPr>
        <w:t>                          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</w:rPr>
        <w:t>  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</w:rPr>
        <w:t>月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eastAsia="仿宋_GB2312" w:cs="Times New Roman"/>
          <w:snapToGrid w:val="0"/>
          <w:color w:val="auto"/>
          <w:sz w:val="32"/>
          <w:szCs w:val="32"/>
          <w:lang w:eastAsia="zh-CN"/>
        </w:rPr>
        <w:t>日</w:t>
      </w:r>
    </w:p>
    <w:p/>
    <w:p>
      <w:pPr>
        <w:spacing w:line="360" w:lineRule="auto"/>
        <w:jc w:val="both"/>
        <w:rPr>
          <w:rFonts w:hint="eastAsia" w:ascii="宋体" w:hAnsi="宋体" w:cs="宋体"/>
          <w:color w:val="auto"/>
          <w:spacing w:val="-2"/>
          <w:kern w:val="0"/>
          <w:sz w:val="36"/>
          <w:szCs w:val="36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spacing w:val="-2"/>
          <w:kern w:val="0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E609D"/>
    <w:rsid w:val="08577DE6"/>
    <w:rsid w:val="1C882AB6"/>
    <w:rsid w:val="3E6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2026-02-12T02:14:00Z</dcterms:created>
  <dc:creator>杨红柳</dc:creator>
  <cp:lastModifiedBy>秦艺芳</cp:lastModifiedBy>
  <dcterms:modified xsi:type="dcterms:W3CDTF">2026-02-26T03:23:51Z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