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jc w:val="center"/>
        <w:rPr>
          <w:rFonts w:hint="eastAsia" w:ascii="宋体" w:hAnsi="宋体" w:eastAsia="宋体" w:cs="宋体"/>
          <w:bCs/>
          <w:color w:val="auto"/>
          <w:sz w:val="32"/>
          <w:szCs w:val="32"/>
          <w:highlight w:val="none"/>
        </w:rPr>
      </w:pPr>
    </w:p>
    <w:p>
      <w:pPr>
        <w:topLinePunct/>
        <w:autoSpaceDE w:val="0"/>
        <w:autoSpaceDN w:val="0"/>
        <w:jc w:val="center"/>
        <w:rPr>
          <w:rFonts w:hint="eastAsia" w:ascii="宋体" w:hAnsi="宋体" w:eastAsia="宋体" w:cs="宋体"/>
          <w:bCs/>
          <w:color w:val="auto"/>
          <w:sz w:val="32"/>
          <w:szCs w:val="32"/>
          <w:highlight w:val="none"/>
        </w:rPr>
      </w:pPr>
    </w:p>
    <w:p>
      <w:pPr>
        <w:topLinePunct/>
        <w:autoSpaceDE w:val="0"/>
        <w:autoSpaceDN w:val="0"/>
        <w:jc w:val="center"/>
        <w:rPr>
          <w:rFonts w:hint="eastAsia" w:ascii="宋体" w:hAnsi="宋体" w:eastAsia="宋体" w:cs="宋体"/>
          <w:bCs/>
          <w:color w:val="auto"/>
          <w:sz w:val="32"/>
          <w:szCs w:val="32"/>
          <w:highlight w:val="none"/>
        </w:rPr>
      </w:pPr>
    </w:p>
    <w:p>
      <w:pPr>
        <w:topLinePunct/>
        <w:autoSpaceDE w:val="0"/>
        <w:autoSpaceDN w:val="0"/>
        <w:jc w:val="center"/>
        <w:rPr>
          <w:rFonts w:hint="eastAsia" w:ascii="宋体" w:hAnsi="宋体" w:eastAsia="宋体" w:cs="宋体"/>
          <w:b/>
          <w:bCs w:val="0"/>
          <w:color w:val="auto"/>
          <w:sz w:val="52"/>
          <w:szCs w:val="52"/>
          <w:highlight w:val="none"/>
        </w:rPr>
      </w:pPr>
      <w:r>
        <w:rPr>
          <w:rFonts w:hint="eastAsia" w:ascii="宋体" w:hAnsi="宋体" w:eastAsia="宋体" w:cs="宋体"/>
          <w:b/>
          <w:bCs w:val="0"/>
          <w:color w:val="auto"/>
          <w:sz w:val="52"/>
          <w:szCs w:val="52"/>
          <w:highlight w:val="none"/>
        </w:rPr>
        <w:t>招 标 文 件</w:t>
      </w:r>
    </w:p>
    <w:p>
      <w:pPr>
        <w:topLinePunct/>
        <w:autoSpaceDE w:val="0"/>
        <w:autoSpaceDN w:val="0"/>
        <w:spacing w:line="60" w:lineRule="exact"/>
        <w:jc w:val="center"/>
        <w:rPr>
          <w:rFonts w:hint="eastAsia" w:ascii="宋体" w:hAnsi="宋体" w:eastAsia="宋体" w:cs="宋体"/>
          <w:b/>
          <w:bCs w:val="0"/>
          <w:color w:val="auto"/>
          <w:sz w:val="52"/>
          <w:szCs w:val="52"/>
          <w:highlight w:val="none"/>
        </w:rPr>
      </w:pPr>
    </w:p>
    <w:p>
      <w:pPr>
        <w:topLinePunct/>
        <w:autoSpaceDE w:val="0"/>
        <w:autoSpaceDN w:val="0"/>
        <w:snapToGrid w:val="0"/>
        <w:jc w:val="center"/>
        <w:rPr>
          <w:rFonts w:hint="eastAsia" w:ascii="宋体" w:hAnsi="宋体" w:eastAsia="宋体" w:cs="宋体"/>
          <w:bCs/>
          <w:color w:val="auto"/>
          <w:sz w:val="32"/>
          <w:szCs w:val="32"/>
          <w:highlight w:val="none"/>
        </w:rPr>
      </w:pPr>
      <w:r>
        <w:rPr>
          <w:rFonts w:hint="eastAsia" w:ascii="宋体" w:hAnsi="宋体" w:eastAsia="宋体" w:cs="宋体"/>
          <w:b/>
          <w:bCs w:val="0"/>
          <w:color w:val="auto"/>
          <w:sz w:val="52"/>
          <w:szCs w:val="52"/>
          <w:highlight w:val="none"/>
        </w:rPr>
        <w:t>（技术部分）</w:t>
      </w:r>
    </w:p>
    <w:p>
      <w:pPr>
        <w:topLinePunct/>
        <w:autoSpaceDE w:val="0"/>
        <w:autoSpaceDN w:val="0"/>
        <w:snapToGrid w:val="0"/>
        <w:rPr>
          <w:rFonts w:hint="eastAsia" w:ascii="宋体" w:hAnsi="宋体" w:eastAsia="宋体" w:cs="宋体"/>
          <w:color w:val="auto"/>
          <w:sz w:val="32"/>
          <w:szCs w:val="32"/>
          <w:highlight w:val="none"/>
        </w:rPr>
      </w:pPr>
    </w:p>
    <w:p>
      <w:pPr>
        <w:pStyle w:val="8"/>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jc w:val="center"/>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项目名称：</w:t>
      </w:r>
      <w:r>
        <w:rPr>
          <w:rFonts w:hint="eastAsia" w:ascii="宋体" w:hAnsi="宋体" w:eastAsia="宋体" w:cs="宋体"/>
          <w:color w:val="auto"/>
          <w:sz w:val="30"/>
          <w:szCs w:val="30"/>
          <w:highlight w:val="none"/>
          <w:u w:val="single"/>
          <w:lang w:eastAsia="zh-CN"/>
        </w:rPr>
        <w:t>国家税务总局南宁市青秀区税务局</w:t>
      </w:r>
    </w:p>
    <w:p>
      <w:pPr>
        <w:jc w:val="center"/>
        <w:rPr>
          <w:rFonts w:hint="eastAsia" w:ascii="宋体" w:hAnsi="宋体" w:eastAsia="宋体" w:cs="宋体"/>
          <w:color w:val="auto"/>
          <w:sz w:val="30"/>
          <w:szCs w:val="30"/>
          <w:highlight w:val="none"/>
          <w:u w:val="single"/>
        </w:rPr>
      </w:pP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非执法类辅助性服务</w:t>
      </w:r>
      <w:r>
        <w:rPr>
          <w:rFonts w:hint="eastAsia" w:ascii="宋体" w:hAnsi="宋体" w:eastAsia="宋体" w:cs="宋体"/>
          <w:color w:val="auto"/>
          <w:sz w:val="30"/>
          <w:szCs w:val="30"/>
          <w:highlight w:val="none"/>
          <w:u w:val="single"/>
          <w:lang w:val="en-US" w:eastAsia="zh-CN"/>
        </w:rPr>
        <w:t>采购</w:t>
      </w:r>
    </w:p>
    <w:p>
      <w:pPr>
        <w:ind w:firstLine="1500" w:firstLineChars="500"/>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GX2024-ZXGK-C0089-B00</w:t>
      </w:r>
    </w:p>
    <w:p>
      <w:pPr>
        <w:ind w:firstLine="1500" w:firstLineChars="500"/>
        <w:jc w:val="both"/>
        <w:rPr>
          <w:rFonts w:hint="eastAsia" w:ascii="宋体" w:hAnsi="宋体" w:eastAsia="宋体" w:cs="宋体"/>
          <w:color w:val="auto"/>
          <w:sz w:val="30"/>
          <w:szCs w:val="30"/>
          <w:highlight w:val="none"/>
        </w:rPr>
      </w:pPr>
    </w:p>
    <w:p>
      <w:pPr>
        <w:jc w:val="center"/>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采购人名称：</w:t>
      </w:r>
      <w:r>
        <w:rPr>
          <w:rFonts w:hint="eastAsia" w:ascii="宋体" w:hAnsi="宋体" w:eastAsia="宋体" w:cs="宋体"/>
          <w:color w:val="auto"/>
          <w:sz w:val="30"/>
          <w:szCs w:val="30"/>
          <w:highlight w:val="none"/>
          <w:u w:val="single"/>
          <w:lang w:eastAsia="zh-CN"/>
        </w:rPr>
        <w:t>国家税务总局南宁市青秀区税务局</w:t>
      </w:r>
    </w:p>
    <w:p>
      <w:pPr>
        <w:jc w:val="center"/>
        <w:rPr>
          <w:rFonts w:hint="eastAsia" w:ascii="宋体" w:hAnsi="宋体" w:eastAsia="宋体" w:cs="宋体"/>
          <w:color w:val="auto"/>
          <w:sz w:val="30"/>
          <w:szCs w:val="30"/>
          <w:highlight w:val="none"/>
        </w:rPr>
      </w:pPr>
    </w:p>
    <w:p>
      <w:pPr>
        <w:topLinePunct/>
        <w:autoSpaceDE w:val="0"/>
        <w:autoSpaceDN w:val="0"/>
        <w:spacing w:line="460" w:lineRule="exact"/>
        <w:rPr>
          <w:rFonts w:hint="eastAsia" w:ascii="宋体" w:hAnsi="宋体" w:eastAsia="宋体" w:cs="宋体"/>
          <w:b/>
          <w:bCs/>
          <w:color w:val="auto"/>
          <w:sz w:val="30"/>
          <w:szCs w:val="30"/>
          <w:highlight w:val="none"/>
        </w:rPr>
      </w:pPr>
    </w:p>
    <w:p>
      <w:pPr>
        <w:topLinePunct/>
        <w:autoSpaceDE w:val="0"/>
        <w:autoSpaceDN w:val="0"/>
        <w:spacing w:line="460" w:lineRule="exact"/>
        <w:rPr>
          <w:rFonts w:hint="eastAsia" w:ascii="宋体" w:hAnsi="宋体" w:eastAsia="宋体" w:cs="宋体"/>
          <w:b/>
          <w:bCs/>
          <w:color w:val="auto"/>
          <w:sz w:val="30"/>
          <w:szCs w:val="30"/>
          <w:highlight w:val="none"/>
        </w:rPr>
      </w:pPr>
    </w:p>
    <w:p>
      <w:pPr>
        <w:topLinePunct/>
        <w:autoSpaceDE w:val="0"/>
        <w:autoSpaceDN w:val="0"/>
        <w:spacing w:line="460" w:lineRule="exact"/>
        <w:rPr>
          <w:rFonts w:hint="eastAsia" w:ascii="宋体" w:hAnsi="宋体" w:eastAsia="宋体" w:cs="宋体"/>
          <w:b/>
          <w:color w:val="auto"/>
          <w:sz w:val="30"/>
          <w:szCs w:val="30"/>
          <w:highlight w:val="none"/>
        </w:rPr>
      </w:pPr>
    </w:p>
    <w:p>
      <w:pPr>
        <w:jc w:val="center"/>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u w:val="single"/>
          <w:lang w:eastAsia="zh-CN"/>
        </w:rPr>
        <w:t>国家税务总局南宁市青秀区税务局</w:t>
      </w:r>
    </w:p>
    <w:p>
      <w:pPr>
        <w:topLinePunct/>
        <w:autoSpaceDE w:val="0"/>
        <w:autoSpaceDN w:val="0"/>
        <w:spacing w:line="160" w:lineRule="exact"/>
        <w:jc w:val="center"/>
        <w:rPr>
          <w:rFonts w:hint="eastAsia" w:ascii="宋体" w:hAnsi="宋体" w:eastAsia="宋体" w:cs="宋体"/>
          <w:color w:val="auto"/>
          <w:sz w:val="30"/>
          <w:szCs w:val="30"/>
          <w:highlight w:val="none"/>
        </w:rPr>
      </w:pPr>
    </w:p>
    <w:p>
      <w:pPr>
        <w:topLinePunct/>
        <w:autoSpaceDE w:val="0"/>
        <w:autoSpaceDN w:val="0"/>
        <w:spacing w:line="460" w:lineRule="exact"/>
        <w:jc w:val="center"/>
        <w:rPr>
          <w:rFonts w:hint="eastAsia" w:ascii="宋体" w:hAnsi="宋体" w:eastAsia="宋体" w:cs="宋体"/>
          <w:color w:val="auto"/>
          <w:sz w:val="30"/>
          <w:szCs w:val="30"/>
          <w:highlight w:val="none"/>
        </w:rPr>
      </w:pPr>
      <w:r>
        <w:rPr>
          <w:rFonts w:hint="eastAsia" w:ascii="宋体" w:hAnsi="宋体" w:cs="宋体"/>
          <w:color w:val="auto"/>
          <w:sz w:val="30"/>
          <w:szCs w:val="30"/>
          <w:highlight w:val="none"/>
          <w:u w:val="single"/>
          <w:lang w:val="en-US" w:eastAsia="zh-CN"/>
        </w:rPr>
        <w:t>2024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10</w:t>
      </w:r>
      <w:r>
        <w:rPr>
          <w:rFonts w:hint="eastAsia" w:ascii="宋体" w:hAnsi="宋体" w:eastAsia="宋体" w:cs="宋体"/>
          <w:color w:val="auto"/>
          <w:sz w:val="30"/>
          <w:szCs w:val="30"/>
          <w:highlight w:val="none"/>
        </w:rPr>
        <w:t>月</w:t>
      </w:r>
      <w:r>
        <w:rPr>
          <w:rFonts w:hint="eastAsia" w:ascii="宋体" w:hAnsi="宋体" w:cs="宋体"/>
          <w:color w:val="auto"/>
          <w:sz w:val="30"/>
          <w:szCs w:val="30"/>
          <w:highlight w:val="none"/>
          <w:lang w:val="en-US" w:eastAsia="zh-CN"/>
        </w:rPr>
        <w:t>24</w:t>
      </w:r>
      <w:r>
        <w:rPr>
          <w:rFonts w:hint="eastAsia" w:ascii="宋体" w:hAnsi="宋体" w:eastAsia="宋体" w:cs="宋体"/>
          <w:color w:val="auto"/>
          <w:sz w:val="30"/>
          <w:szCs w:val="30"/>
          <w:highlight w:val="none"/>
        </w:rPr>
        <w:t>日</w:t>
      </w:r>
    </w:p>
    <w:p>
      <w:pPr>
        <w:widowControl/>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8"/>
          <w:szCs w:val="28"/>
          <w:highlight w:val="none"/>
        </w:rPr>
        <w:t>第六章  项目采购需求</w:t>
      </w:r>
    </w:p>
    <w:p>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pPr>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1.投标人提供的服务必须符合国家和行业标准。</w:t>
      </w:r>
    </w:p>
    <w:p>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2.标“★”为实质性参数要求和条件，投标人必须满足并在投标文件中如实作出响应，否则投标无效；标“▲”为重点指标；无标识的为一般指标。</w:t>
      </w:r>
    </w:p>
    <w:p>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3.投标人投标时必须在投标文件中对所投分标所有项目要求及技术需求内容、商务要求表中内容及附件内容（如有）逐条响应并一一对应。</w:t>
      </w:r>
    </w:p>
    <w:p>
      <w:pPr>
        <w:spacing w:line="360" w:lineRule="auto"/>
        <w:ind w:firstLine="420" w:firstLineChars="200"/>
        <w:outlineLvl w:val="1"/>
        <w:rPr>
          <w:rFonts w:hint="eastAsia" w:ascii="宋体" w:hAnsi="宋体" w:eastAsia="宋体" w:cs="宋体"/>
          <w:color w:val="auto"/>
          <w:highlight w:val="none"/>
        </w:rPr>
      </w:pPr>
      <w:r>
        <w:rPr>
          <w:rFonts w:hint="eastAsia" w:ascii="宋体" w:hAnsi="宋体" w:eastAsia="宋体" w:cs="宋体"/>
          <w:color w:val="auto"/>
          <w:highlight w:val="none"/>
        </w:rPr>
        <w:t>一、项目概况</w:t>
      </w:r>
    </w:p>
    <w:tbl>
      <w:tblPr>
        <w:tblStyle w:val="10"/>
        <w:tblW w:w="8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3370"/>
        <w:gridCol w:w="2001"/>
        <w:gridCol w:w="2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采购包</w:t>
            </w:r>
          </w:p>
        </w:tc>
        <w:tc>
          <w:tcPr>
            <w:tcW w:w="350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采购标的</w:t>
            </w:r>
          </w:p>
        </w:tc>
        <w:tc>
          <w:tcPr>
            <w:tcW w:w="1755"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p>
        </w:tc>
        <w:tc>
          <w:tcPr>
            <w:tcW w:w="2595"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504"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国家税务总局南宁市青秀区税务局</w:t>
            </w:r>
            <w:r>
              <w:rPr>
                <w:rFonts w:hint="eastAsia" w:ascii="宋体" w:hAnsi="宋体" w:eastAsia="宋体" w:cs="宋体"/>
                <w:color w:val="auto"/>
                <w:szCs w:val="21"/>
                <w:highlight w:val="none"/>
              </w:rPr>
              <w:t>非执法类辅助性服务</w:t>
            </w:r>
            <w:r>
              <w:rPr>
                <w:rFonts w:hint="eastAsia" w:ascii="宋体" w:hAnsi="宋体" w:cs="宋体"/>
                <w:color w:val="auto"/>
                <w:szCs w:val="21"/>
                <w:highlight w:val="none"/>
                <w:lang w:val="en-US" w:eastAsia="zh-CN"/>
              </w:rPr>
              <w:t>采购</w:t>
            </w:r>
          </w:p>
        </w:tc>
        <w:tc>
          <w:tcPr>
            <w:tcW w:w="1755" w:type="dxa"/>
            <w:vAlign w:val="center"/>
          </w:tcPr>
          <w:p>
            <w:pPr>
              <w:pStyle w:val="7"/>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cs="宋体"/>
                <w:color w:val="auto"/>
                <w:szCs w:val="21"/>
                <w:highlight w:val="none"/>
                <w:lang w:eastAsia="zh-CN"/>
              </w:rPr>
              <w:t>肆佰万元整（¥</w:t>
            </w:r>
            <w:r>
              <w:rPr>
                <w:rFonts w:hint="eastAsia" w:ascii="宋体" w:hAnsi="宋体" w:cs="宋体"/>
                <w:color w:val="auto"/>
                <w:szCs w:val="21"/>
                <w:highlight w:val="none"/>
                <w:lang w:val="en-US" w:eastAsia="zh-CN"/>
              </w:rPr>
              <w:t>4,000,000.00</w:t>
            </w:r>
            <w:r>
              <w:rPr>
                <w:rFonts w:hint="eastAsia" w:ascii="宋体" w:hAnsi="宋体" w:cs="宋体"/>
                <w:color w:val="auto"/>
                <w:szCs w:val="21"/>
                <w:highlight w:val="none"/>
                <w:lang w:eastAsia="zh-CN"/>
              </w:rPr>
              <w:t>）</w:t>
            </w:r>
          </w:p>
        </w:tc>
        <w:tc>
          <w:tcPr>
            <w:tcW w:w="2595"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租赁和商务服务业</w:t>
            </w:r>
            <w:r>
              <w:rPr>
                <w:rFonts w:hint="eastAsia" w:ascii="宋体" w:hAnsi="宋体" w:eastAsia="宋体" w:cs="宋体"/>
                <w:color w:val="auto"/>
                <w:szCs w:val="21"/>
                <w:highlight w:val="none"/>
                <w:lang w:val="en-US" w:eastAsia="zh-CN"/>
              </w:rPr>
              <w:t>。</w:t>
            </w:r>
          </w:p>
        </w:tc>
      </w:tr>
    </w:tbl>
    <w:p>
      <w:pPr>
        <w:rPr>
          <w:rFonts w:hint="eastAsia" w:ascii="宋体" w:hAnsi="宋体" w:eastAsia="宋体" w:cs="宋体"/>
          <w:color w:val="auto"/>
          <w:highlight w:val="none"/>
        </w:rPr>
      </w:pPr>
    </w:p>
    <w:p>
      <w:pPr>
        <w:spacing w:line="360" w:lineRule="auto"/>
        <w:ind w:firstLine="420" w:firstLineChars="200"/>
        <w:outlineLvl w:val="1"/>
        <w:rPr>
          <w:rFonts w:hint="eastAsia" w:ascii="宋体" w:hAnsi="宋体" w:eastAsia="宋体" w:cs="宋体"/>
          <w:color w:val="auto"/>
          <w:highlight w:val="none"/>
        </w:rPr>
      </w:pPr>
      <w:r>
        <w:rPr>
          <w:rFonts w:hint="eastAsia" w:ascii="宋体" w:hAnsi="宋体" w:eastAsia="宋体" w:cs="宋体"/>
          <w:color w:val="auto"/>
          <w:highlight w:val="none"/>
        </w:rPr>
        <w:t>二、技术要求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
        <w:gridCol w:w="682"/>
        <w:gridCol w:w="781"/>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7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42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数量及单位</w:t>
            </w:r>
          </w:p>
        </w:tc>
        <w:tc>
          <w:tcPr>
            <w:tcW w:w="391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3"/>
              </w:numPr>
              <w:spacing w:line="380" w:lineRule="exact"/>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widowControl/>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国家税务总局南宁市青秀区税务局</w:t>
            </w:r>
            <w:r>
              <w:rPr>
                <w:rFonts w:hint="eastAsia" w:ascii="宋体" w:hAnsi="宋体" w:eastAsia="宋体" w:cs="宋体"/>
                <w:color w:val="auto"/>
                <w:szCs w:val="21"/>
                <w:highlight w:val="none"/>
              </w:rPr>
              <w:t>非执法类辅助性服务</w:t>
            </w:r>
          </w:p>
        </w:tc>
        <w:tc>
          <w:tcPr>
            <w:tcW w:w="42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widowControl/>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3915" w:type="pct"/>
            <w:tcBorders>
              <w:top w:val="single" w:color="auto" w:sz="4" w:space="0"/>
              <w:left w:val="single" w:color="auto" w:sz="4" w:space="0"/>
              <w:right w:val="single" w:color="auto" w:sz="4" w:space="0"/>
            </w:tcBorders>
            <w:tcMar>
              <w:top w:w="13" w:type="dxa"/>
              <w:left w:w="57" w:type="dxa"/>
              <w:bottom w:w="0" w:type="dxa"/>
              <w:right w:w="57" w:type="dxa"/>
            </w:tcMar>
          </w:tcPr>
          <w:p>
            <w:pPr>
              <w:keepNext w:val="0"/>
              <w:keepLines w:val="0"/>
              <w:pageBreakBefore w:val="0"/>
              <w:widowControl/>
              <w:numPr>
                <w:ilvl w:val="0"/>
                <w:numId w:val="4"/>
              </w:numPr>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采购项目概述</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（一）项目背景</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为持续优化税收营商环境，进一步提升纳税人、缴费人的满意度和获得感，推动办税服务更加优质、高效、便捷，国家税务总局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b w:val="0"/>
                <w:color w:val="auto"/>
                <w:kern w:val="0"/>
                <w:sz w:val="21"/>
                <w:szCs w:val="21"/>
                <w:highlight w:val="none"/>
              </w:rPr>
              <w:t>税务局拟通过购买第三方非执法类辅助性服务的方式，搭建符合本单位工作实际的税务服务平台，协助有效破解纳税人、缴费人面临的“难点、堵点、痛点”等问题，实现税费业务高效办理，提升纳税服务质效，优化纳税服务体系的目标，努力为纳税人、缴费人办税缴费提速减负，切实便利纳税人、缴费人。</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（二）项目内容</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本项目服务内容包括但不限于：导税咨询服务、基础资料预审服务、纳税辅导服务、纳税咨询服务、纳税回访服务、信息采集与录入服务、税收宣传服务以及协助完成采购人交办的其他非执法类辅助性服务事项。</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实施地点：国家税务总局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b w:val="0"/>
                <w:color w:val="auto"/>
                <w:kern w:val="0"/>
                <w:sz w:val="21"/>
                <w:szCs w:val="21"/>
                <w:highlight w:val="none"/>
              </w:rPr>
              <w:t>税务局。服务期内，如采购人根据工作需要变更办公地址，则本项目服务地点相应调整为</w:t>
            </w:r>
            <w:r>
              <w:rPr>
                <w:rFonts w:hint="eastAsia" w:ascii="宋体" w:hAnsi="宋体" w:eastAsia="宋体" w:cs="宋体"/>
                <w:b w:val="0"/>
                <w:color w:val="auto"/>
                <w:kern w:val="0"/>
                <w:sz w:val="21"/>
                <w:szCs w:val="21"/>
                <w:highlight w:val="none"/>
                <w:lang w:eastAsia="zh-CN"/>
              </w:rPr>
              <w:t>南宁</w:t>
            </w:r>
            <w:r>
              <w:rPr>
                <w:rFonts w:hint="eastAsia" w:ascii="宋体" w:hAnsi="宋体" w:eastAsia="宋体" w:cs="宋体"/>
                <w:b w:val="0"/>
                <w:color w:val="auto"/>
                <w:kern w:val="0"/>
                <w:sz w:val="21"/>
                <w:szCs w:val="21"/>
                <w:highlight w:val="none"/>
              </w:rPr>
              <w:t>市内采购人指定地点。</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二、项目需求</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为更好地保障税收工作的开展，结合国家税务总局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b w:val="0"/>
                <w:color w:val="auto"/>
                <w:kern w:val="0"/>
                <w:sz w:val="21"/>
                <w:szCs w:val="21"/>
                <w:highlight w:val="none"/>
              </w:rPr>
              <w:t>税务局实际情况，拟采购非执法类辅助性服务具体需求如下：</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（一）服务内容</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lang w:eastAsia="zh-CN"/>
              </w:rPr>
            </w:pPr>
            <w:r>
              <w:rPr>
                <w:rFonts w:hint="eastAsia" w:ascii="宋体" w:hAnsi="宋体" w:eastAsia="宋体" w:cs="宋体"/>
                <w:b w:val="0"/>
                <w:color w:val="auto"/>
                <w:kern w:val="0"/>
                <w:sz w:val="21"/>
                <w:szCs w:val="21"/>
                <w:highlight w:val="none"/>
              </w:rPr>
              <w:t>本项目服务内容包括但不限于：导税咨询服务、基础资料预审服务、纳税辅导服务、纳税咨询服务、纳税回访服务、信息采集与录入服务、税收宣传服务以及协助完成采购人交办的其他非执法类辅助性服务事项。</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★（二）服务时间</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工作日提供8小时现场服务（在</w:t>
            </w:r>
            <w:r>
              <w:rPr>
                <w:rFonts w:hint="eastAsia" w:ascii="宋体" w:hAnsi="宋体" w:eastAsia="宋体" w:cs="宋体"/>
                <w:b w:val="0"/>
                <w:color w:val="auto"/>
                <w:kern w:val="0"/>
                <w:sz w:val="21"/>
                <w:szCs w:val="21"/>
                <w:highlight w:val="none"/>
                <w:lang w:val="en-US" w:eastAsia="zh-CN"/>
              </w:rPr>
              <w:t>南宁</w:t>
            </w:r>
            <w:r>
              <w:rPr>
                <w:rFonts w:hint="eastAsia" w:ascii="宋体" w:hAnsi="宋体" w:eastAsia="宋体" w:cs="宋体"/>
                <w:b w:val="0"/>
                <w:color w:val="auto"/>
                <w:kern w:val="0"/>
                <w:sz w:val="21"/>
                <w:szCs w:val="21"/>
                <w:highlight w:val="none"/>
              </w:rPr>
              <w:t>市内采购人指定地点），以及每天24小时全天候响应服务。响应服务自接到指令起至完成响应不得超过30分钟。现场服务时间原则上应覆盖</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b w:val="0"/>
                <w:color w:val="auto"/>
                <w:kern w:val="0"/>
                <w:sz w:val="21"/>
                <w:szCs w:val="21"/>
                <w:highlight w:val="none"/>
              </w:rPr>
              <w:t>税务局工作时间，如有其他变化或需求，双方可协商调整。</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★（三）服务地点</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b w:val="0"/>
                <w:color w:val="auto"/>
                <w:kern w:val="0"/>
                <w:sz w:val="21"/>
                <w:szCs w:val="21"/>
                <w:highlight w:val="none"/>
              </w:rPr>
              <w:t>税务局，具体以采购人指定地点为准。</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（四）服务事项</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服务事项包括但不限于：</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1.导税咨询服务：根据纳税人（缴费人）的业务需求，进行办税（缴费）事项分流，引导纳税人（缴费人）前往正确的涉税窗口办理业务；根据纳税人（缴费人）的业务需求为其提供对应的办税（缴费）表单。</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2.基础资料预审服务：根据纳税人（缴费人）的办税业务需求，对其基础资料的完备性进行预审；预审纳税人（缴费人）提供的办税（缴费）材料是否齐全、完整；预审纳税人（缴费人）填写的办税（缴费）表格是否完整、准确；</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3.办税辅导服务：辅导纳税人（缴费人）进行相关表单的正确填写；引导纳税人缴费人通过网上（添加）广西电子税务局、自然人电子税务局或其他自助办税渠道并进行个税申报、缴纳税款、发票代开、存款账号报告、完税证明打印等相关辅导服务；辅导纳税人缴费人进行网上申报、信息确认、发票代开、三方协议签订等相关业务；引导纳税人（缴费人）的网上办事意识。</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办税咨询服务：通过但不限于对外电话、办税平台等，远程为纳税人提供涉税业务办理操作的咨询服务，如业务、系统、技术等层面任何与网上办税平台有关的咨询服务；现场或远程解答纳税人缴费人办税(费)过程中遇到的办税问题，如：税收政策咨询、申报问题、税（费）政策优惠等问题的咨询答复。</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5.纳税回访服务：根据纳税人通过各种网上办税平台、办税服务厅现场及电话反映的诉求进行记录并及时进行电话回访，电话回访内容包括涉税（费）问题答复、政策辅导、收集对纳税服务的意见建议等。</w:t>
            </w:r>
          </w:p>
          <w:p>
            <w:pPr>
              <w:pStyle w:val="4"/>
              <w:keepNext w:val="0"/>
              <w:keepLines w:val="0"/>
              <w:pageBreakBefore w:val="0"/>
              <w:widowControl/>
              <w:numPr>
                <w:ilvl w:val="4"/>
                <w:numId w:val="0"/>
              </w:numPr>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6.信息采集与录入服务：根据采购人工作安排，对纳税人（缴费人）提交的申请、申报等表单，进行相关档案、数据的登记录入辅助工作。</w:t>
            </w:r>
          </w:p>
          <w:p>
            <w:pPr>
              <w:pStyle w:val="4"/>
              <w:keepNext w:val="0"/>
              <w:keepLines w:val="0"/>
              <w:pageBreakBefore w:val="0"/>
              <w:widowControl/>
              <w:numPr>
                <w:ilvl w:val="4"/>
                <w:numId w:val="0"/>
              </w:numPr>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7.税收宣传服务：根据工作需要，由采购人统筹安排，开展税（费）政策、税法等内容宣传活动。</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8.协助完成采购人交办的其他非执法类辅助性服务事项。</w:t>
            </w:r>
          </w:p>
          <w:p>
            <w:pPr>
              <w:pStyle w:val="9"/>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contextualSpacing/>
              <w:jc w:val="both"/>
              <w:textAlignment w:val="auto"/>
              <w:rPr>
                <w:rFonts w:hint="eastAsia" w:ascii="宋体" w:hAnsi="宋体" w:eastAsia="宋体" w:cs="宋体"/>
                <w:iCs/>
                <w:color w:val="auto"/>
                <w:kern w:val="0"/>
                <w:sz w:val="21"/>
                <w:szCs w:val="21"/>
                <w:highlight w:val="none"/>
              </w:rPr>
            </w:pPr>
            <w:r>
              <w:rPr>
                <w:rFonts w:hint="eastAsia" w:ascii="宋体" w:hAnsi="宋体" w:eastAsia="宋体" w:cs="宋体"/>
                <w:color w:val="auto"/>
                <w:kern w:val="0"/>
                <w:sz w:val="21"/>
                <w:szCs w:val="21"/>
                <w:highlight w:val="none"/>
              </w:rPr>
              <w:t>三、项目实施要求</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★1.配置人数</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采购人根据实际需求，要求中标供应商为本项目投入的服务人员数量不得低于</w:t>
            </w:r>
            <w:r>
              <w:rPr>
                <w:rFonts w:hint="eastAsia" w:ascii="宋体" w:hAnsi="宋体" w:eastAsia="宋体" w:cs="宋体"/>
                <w:color w:val="auto"/>
                <w:kern w:val="0"/>
                <w:sz w:val="21"/>
                <w:szCs w:val="21"/>
                <w:highlight w:val="none"/>
                <w:lang w:val="en-US" w:eastAsia="zh-CN"/>
              </w:rPr>
              <w:t>49</w:t>
            </w:r>
            <w:r>
              <w:rPr>
                <w:rFonts w:hint="eastAsia" w:ascii="宋体" w:hAnsi="宋体" w:eastAsia="宋体" w:cs="宋体"/>
                <w:color w:val="auto"/>
                <w:kern w:val="0"/>
                <w:sz w:val="21"/>
                <w:szCs w:val="21"/>
                <w:highlight w:val="none"/>
              </w:rPr>
              <w:t>人。其中，导税咨询服务</w:t>
            </w:r>
            <w:r>
              <w:rPr>
                <w:rFonts w:hint="eastAsia" w:ascii="宋体" w:hAnsi="宋体" w:eastAsia="宋体" w:cs="宋体"/>
                <w:snapToGrid w:val="0"/>
                <w:color w:val="auto"/>
                <w:kern w:val="0"/>
                <w:sz w:val="21"/>
                <w:szCs w:val="21"/>
                <w:highlight w:val="none"/>
              </w:rPr>
              <w:t>（不少于</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snapToGrid w:val="0"/>
                <w:color w:val="auto"/>
                <w:kern w:val="0"/>
                <w:sz w:val="21"/>
                <w:szCs w:val="21"/>
                <w:highlight w:val="none"/>
              </w:rPr>
              <w:t>人）</w:t>
            </w:r>
            <w:r>
              <w:rPr>
                <w:rFonts w:hint="eastAsia" w:ascii="宋体" w:hAnsi="宋体" w:eastAsia="宋体" w:cs="宋体"/>
                <w:color w:val="auto"/>
                <w:kern w:val="0"/>
                <w:sz w:val="21"/>
                <w:szCs w:val="21"/>
                <w:highlight w:val="none"/>
              </w:rPr>
              <w:t>、基础资料预审服务</w:t>
            </w:r>
            <w:r>
              <w:rPr>
                <w:rFonts w:hint="eastAsia" w:ascii="宋体" w:hAnsi="宋体" w:eastAsia="宋体" w:cs="宋体"/>
                <w:snapToGrid w:val="0"/>
                <w:color w:val="auto"/>
                <w:kern w:val="0"/>
                <w:sz w:val="21"/>
                <w:szCs w:val="21"/>
                <w:highlight w:val="none"/>
              </w:rPr>
              <w:t>（不少于</w:t>
            </w:r>
            <w:r>
              <w:rPr>
                <w:rFonts w:hint="eastAsia" w:ascii="宋体" w:hAnsi="宋体" w:eastAsia="宋体" w:cs="宋体"/>
                <w:color w:val="auto"/>
                <w:kern w:val="0"/>
                <w:sz w:val="21"/>
                <w:szCs w:val="21"/>
                <w:highlight w:val="none"/>
              </w:rPr>
              <w:t>5</w:t>
            </w:r>
            <w:r>
              <w:rPr>
                <w:rFonts w:hint="eastAsia" w:ascii="宋体" w:hAnsi="宋体" w:eastAsia="宋体" w:cs="宋体"/>
                <w:snapToGrid w:val="0"/>
                <w:color w:val="auto"/>
                <w:kern w:val="0"/>
                <w:sz w:val="21"/>
                <w:szCs w:val="21"/>
                <w:highlight w:val="none"/>
              </w:rPr>
              <w:t>人）</w:t>
            </w:r>
            <w:r>
              <w:rPr>
                <w:rFonts w:hint="eastAsia" w:ascii="宋体" w:hAnsi="宋体" w:eastAsia="宋体" w:cs="宋体"/>
                <w:color w:val="auto"/>
                <w:kern w:val="0"/>
                <w:sz w:val="21"/>
                <w:szCs w:val="21"/>
                <w:highlight w:val="none"/>
              </w:rPr>
              <w:t>、纳税辅导服务</w:t>
            </w:r>
            <w:r>
              <w:rPr>
                <w:rFonts w:hint="eastAsia" w:ascii="宋体" w:hAnsi="宋体" w:eastAsia="宋体" w:cs="宋体"/>
                <w:snapToGrid w:val="0"/>
                <w:color w:val="auto"/>
                <w:kern w:val="0"/>
                <w:sz w:val="21"/>
                <w:szCs w:val="21"/>
                <w:highlight w:val="none"/>
              </w:rPr>
              <w:t>（不少于</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人）</w:t>
            </w:r>
            <w:r>
              <w:rPr>
                <w:rFonts w:hint="eastAsia" w:ascii="宋体" w:hAnsi="宋体" w:eastAsia="宋体" w:cs="宋体"/>
                <w:color w:val="auto"/>
                <w:kern w:val="0"/>
                <w:sz w:val="21"/>
                <w:szCs w:val="21"/>
                <w:highlight w:val="none"/>
              </w:rPr>
              <w:t>、纳税咨询服务</w:t>
            </w:r>
            <w:r>
              <w:rPr>
                <w:rFonts w:hint="eastAsia" w:ascii="宋体" w:hAnsi="宋体" w:eastAsia="宋体" w:cs="宋体"/>
                <w:snapToGrid w:val="0"/>
                <w:color w:val="auto"/>
                <w:kern w:val="0"/>
                <w:sz w:val="21"/>
                <w:szCs w:val="21"/>
                <w:highlight w:val="none"/>
              </w:rPr>
              <w:t>（不少于</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snapToGrid w:val="0"/>
                <w:color w:val="auto"/>
                <w:kern w:val="0"/>
                <w:sz w:val="21"/>
                <w:szCs w:val="21"/>
                <w:highlight w:val="none"/>
              </w:rPr>
              <w:t>人）</w:t>
            </w:r>
            <w:r>
              <w:rPr>
                <w:rFonts w:hint="eastAsia" w:ascii="宋体" w:hAnsi="宋体" w:eastAsia="宋体" w:cs="宋体"/>
                <w:color w:val="auto"/>
                <w:kern w:val="0"/>
                <w:sz w:val="21"/>
                <w:szCs w:val="21"/>
                <w:highlight w:val="none"/>
              </w:rPr>
              <w:t>、纳税回访服务</w:t>
            </w:r>
            <w:r>
              <w:rPr>
                <w:rFonts w:hint="eastAsia" w:ascii="宋体" w:hAnsi="宋体" w:eastAsia="宋体" w:cs="宋体"/>
                <w:snapToGrid w:val="0"/>
                <w:color w:val="auto"/>
                <w:kern w:val="0"/>
                <w:sz w:val="21"/>
                <w:szCs w:val="21"/>
                <w:highlight w:val="none"/>
              </w:rPr>
              <w:t>（不少于</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人）</w:t>
            </w:r>
            <w:r>
              <w:rPr>
                <w:rFonts w:hint="eastAsia" w:ascii="宋体" w:hAnsi="宋体" w:eastAsia="宋体" w:cs="宋体"/>
                <w:color w:val="auto"/>
                <w:kern w:val="0"/>
                <w:sz w:val="21"/>
                <w:szCs w:val="21"/>
                <w:highlight w:val="none"/>
              </w:rPr>
              <w:t>、信息采集与录入服务</w:t>
            </w:r>
            <w:r>
              <w:rPr>
                <w:rFonts w:hint="eastAsia" w:ascii="宋体" w:hAnsi="宋体" w:eastAsia="宋体" w:cs="宋体"/>
                <w:snapToGrid w:val="0"/>
                <w:color w:val="auto"/>
                <w:kern w:val="0"/>
                <w:sz w:val="21"/>
                <w:szCs w:val="21"/>
                <w:highlight w:val="none"/>
              </w:rPr>
              <w:t>（不少于</w:t>
            </w:r>
            <w:r>
              <w:rPr>
                <w:rFonts w:hint="eastAsia" w:ascii="宋体" w:hAnsi="宋体" w:eastAsia="宋体" w:cs="宋体"/>
                <w:color w:val="auto"/>
                <w:kern w:val="0"/>
                <w:sz w:val="21"/>
                <w:szCs w:val="21"/>
                <w:highlight w:val="none"/>
              </w:rPr>
              <w:t>6</w:t>
            </w:r>
            <w:r>
              <w:rPr>
                <w:rFonts w:hint="eastAsia" w:ascii="宋体" w:hAnsi="宋体" w:eastAsia="宋体" w:cs="宋体"/>
                <w:snapToGrid w:val="0"/>
                <w:color w:val="auto"/>
                <w:kern w:val="0"/>
                <w:sz w:val="21"/>
                <w:szCs w:val="21"/>
                <w:highlight w:val="none"/>
              </w:rPr>
              <w:t>人）</w:t>
            </w:r>
            <w:r>
              <w:rPr>
                <w:rFonts w:hint="eastAsia" w:ascii="宋体" w:hAnsi="宋体" w:eastAsia="宋体" w:cs="宋体"/>
                <w:color w:val="auto"/>
                <w:kern w:val="0"/>
                <w:sz w:val="21"/>
                <w:szCs w:val="21"/>
                <w:highlight w:val="none"/>
              </w:rPr>
              <w:t>、税收宣传服务</w:t>
            </w:r>
            <w:r>
              <w:rPr>
                <w:rFonts w:hint="eastAsia" w:ascii="宋体" w:hAnsi="宋体" w:eastAsia="宋体" w:cs="宋体"/>
                <w:snapToGrid w:val="0"/>
                <w:color w:val="auto"/>
                <w:kern w:val="0"/>
                <w:sz w:val="21"/>
                <w:szCs w:val="21"/>
                <w:highlight w:val="none"/>
              </w:rPr>
              <w:t>（不少于</w:t>
            </w:r>
            <w:r>
              <w:rPr>
                <w:rFonts w:hint="eastAsia" w:ascii="宋体" w:hAnsi="宋体" w:eastAsia="宋体" w:cs="宋体"/>
                <w:color w:val="auto"/>
                <w:kern w:val="0"/>
                <w:sz w:val="21"/>
                <w:szCs w:val="21"/>
                <w:highlight w:val="none"/>
              </w:rPr>
              <w:t>6</w:t>
            </w:r>
            <w:r>
              <w:rPr>
                <w:rFonts w:hint="eastAsia" w:ascii="宋体" w:hAnsi="宋体" w:eastAsia="宋体" w:cs="宋体"/>
                <w:snapToGrid w:val="0"/>
                <w:color w:val="auto"/>
                <w:kern w:val="0"/>
                <w:sz w:val="21"/>
                <w:szCs w:val="21"/>
                <w:highlight w:val="none"/>
              </w:rPr>
              <w:t>人）</w:t>
            </w:r>
            <w:r>
              <w:rPr>
                <w:rFonts w:hint="eastAsia" w:ascii="宋体" w:hAnsi="宋体" w:eastAsia="宋体" w:cs="宋体"/>
                <w:color w:val="auto"/>
                <w:kern w:val="0"/>
                <w:sz w:val="21"/>
                <w:szCs w:val="21"/>
                <w:highlight w:val="none"/>
              </w:rPr>
              <w:t>以及协助完成采购人交办的其他非执法类辅助性服务事项</w:t>
            </w:r>
            <w:r>
              <w:rPr>
                <w:rFonts w:hint="eastAsia" w:ascii="宋体" w:hAnsi="宋体" w:eastAsia="宋体" w:cs="宋体"/>
                <w:snapToGrid w:val="0"/>
                <w:color w:val="auto"/>
                <w:kern w:val="0"/>
                <w:sz w:val="21"/>
                <w:szCs w:val="21"/>
                <w:highlight w:val="none"/>
              </w:rPr>
              <w:t>（不少于</w:t>
            </w:r>
            <w:r>
              <w:rPr>
                <w:rFonts w:hint="eastAsia" w:ascii="宋体" w:hAnsi="宋体" w:eastAsia="宋体" w:cs="宋体"/>
                <w:color w:val="auto"/>
                <w:kern w:val="0"/>
                <w:sz w:val="21"/>
                <w:szCs w:val="21"/>
                <w:highlight w:val="none"/>
              </w:rPr>
              <w:t>4</w:t>
            </w:r>
            <w:r>
              <w:rPr>
                <w:rFonts w:hint="eastAsia" w:ascii="宋体" w:hAnsi="宋体" w:eastAsia="宋体" w:cs="宋体"/>
                <w:snapToGrid w:val="0"/>
                <w:color w:val="auto"/>
                <w:kern w:val="0"/>
                <w:sz w:val="21"/>
                <w:szCs w:val="21"/>
                <w:highlight w:val="none"/>
              </w:rPr>
              <w:t>人）。</w:t>
            </w:r>
            <w:r>
              <w:rPr>
                <w:rFonts w:hint="eastAsia" w:ascii="宋体" w:hAnsi="宋体" w:eastAsia="宋体" w:cs="宋体"/>
                <w:color w:val="auto"/>
                <w:kern w:val="0"/>
                <w:sz w:val="21"/>
                <w:szCs w:val="21"/>
                <w:highlight w:val="none"/>
              </w:rPr>
              <w:t>具体岗位服务人员数量由采购人根据实际情况进行分配和调整。</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2.服务人员要求</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中标供应商需要对入驻工作的服务人员严格审查，政治上要拥护中国共产党领导，拥护中华人民共和国宪法，身体健康，无传染病（中标供应商需组织入驻人员开展健康体检，需持三甲医院出具的身体健康检查报告上岗），同时提供的服务人员不得存在以下情形：（1）年龄不符合劳动法规定的；（2）不具备岗位需求的身体条件的；（3）有违法犯罪记录的；（4）被开除中国共产党党籍的；（5）被开除公职或者因违规违纪被解除劳动合同、聘用合同和聘任合同的；（6）被依法列为失信联合惩戒对象的；（7）有关法律、法规规定的其他情形。</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2.2服务人员在工作中应当自觉遵守国家法律、法规和税务机关的规定，服从采购人的管理，爱岗敬业，忠于职守。</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2.3服务人员的年龄要求50岁周岁以下；学历要求全日制大专及以上毕业，专业以计算机、财务、税收等涉税相关业务为主；能熟练操作计算机和办公软件；具有主动学习能力和服务意识，有较好的沟通协调能力和团队协作精神。具有至少2年相关工作经验。</w:t>
            </w:r>
            <w:r>
              <w:rPr>
                <w:rFonts w:hint="eastAsia" w:ascii="宋体" w:hAnsi="宋体" w:cs="宋体"/>
                <w:color w:val="auto"/>
                <w:kern w:val="0"/>
                <w:sz w:val="21"/>
                <w:szCs w:val="21"/>
                <w:highlight w:val="none"/>
                <w:lang w:eastAsia="zh-CN"/>
              </w:rPr>
              <w:t>具有</w:t>
            </w:r>
            <w:r>
              <w:rPr>
                <w:rFonts w:hint="eastAsia" w:ascii="宋体" w:hAnsi="宋体" w:eastAsia="宋体" w:cs="宋体"/>
                <w:color w:val="auto"/>
                <w:kern w:val="0"/>
                <w:sz w:val="21"/>
                <w:szCs w:val="21"/>
                <w:highlight w:val="none"/>
              </w:rPr>
              <w:t>计算机、财务、税收</w:t>
            </w:r>
            <w:r>
              <w:rPr>
                <w:rFonts w:hint="eastAsia" w:ascii="宋体" w:hAnsi="宋体" w:cs="宋体"/>
                <w:color w:val="auto"/>
                <w:kern w:val="0"/>
                <w:sz w:val="21"/>
                <w:szCs w:val="21"/>
                <w:highlight w:val="none"/>
                <w:lang w:eastAsia="zh-CN"/>
              </w:rPr>
              <w:t>等涉税相关专业证书优先。</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2.4要求负责纳税咨询服务、纳税辅导服务、导税服务的服务人员普通话标准流利，吐字清晰，语言沟通能力好；同时要求接听电话态度和蔼、表达清晰、解答到位。</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2.5服务人员按本单位要求统一着装，言行规范，注重仪容仪表，维护税务人员公众形象。（费用由中标人负责）</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2.6服务人员工作性质及工作时间要求全职，服从国家税务总局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color w:val="auto"/>
                <w:kern w:val="0"/>
                <w:sz w:val="21"/>
                <w:szCs w:val="21"/>
                <w:highlight w:val="none"/>
              </w:rPr>
              <w:t>税务局行政班管理及具体服务时间安排。要严格遵守国家税务总局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color w:val="auto"/>
                <w:kern w:val="0"/>
                <w:sz w:val="21"/>
                <w:szCs w:val="21"/>
                <w:highlight w:val="none"/>
              </w:rPr>
              <w:t>税务局的工作纪律、会风纪律、学习纪律、培训纪律等，不能出现无故迟到、早退、旷工现象，有事须按要求履行请假手续。</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为保证服务的连续性以及保障服务质量，服务人员相对稳定，全年调换率不得超过10%。中标供应商在为采购人服务期间，不可随意调换服务人员，不可安排服务人员同时服务其他项目，人员更换必须事先报采购人，在取得采购人同意后，才能进行更换。</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三、服务流程与反馈</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（一）流程化管理。中标人需执行服务流程化管理，主要的流程包括以下：</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1.事件管理流程：所有服务全部统一记录，由办税服务人员对服务进行统一的闭环管理（即录入－解决－回访－评分－关闭），确保服务都能让纳税人满意。</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2.问题管理流程：对重大事件、疑难问题通过办税服务人员向税务局运行主管部门提交。与采购人定期共同讨论解决方案，促进疑难问题的及时解决；通过对疑难问题收集、整理和积累，提升服务水平。</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3.客户意见反馈流程：向所有纳税人提供直接沟通渠道，了解纳税人对办税运行服务及各方面的意见、建议、咨询和投诉，及时向税务局主管部门报告，并跟踪处理情况，促进服务质量及客服满意度的提高。</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4.流程建立与规范：按照办税服务人员相关规范性文件、质量管理体系已建立的服务管理流程执行；其他暂未统一的流程，中标供应商需同税务主管部门共同制作流程单据，确保痕迹化、流程化工作要求落实到位。</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四、采购人的权利和义务</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1.采购人为中标供应商派驻服务人员提供工作场所和办公设备，对于首次提供纳税服务的服务人员，将对其进行业务方面的培训，并将相关培训资料和要求发给服务人员。</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★2.除本项目服务范围内的内容，</w:t>
            </w:r>
            <w:r>
              <w:rPr>
                <w:rFonts w:hint="eastAsia" w:ascii="宋体" w:hAnsi="宋体" w:eastAsia="宋体" w:cs="宋体"/>
                <w:color w:val="auto"/>
                <w:kern w:val="0"/>
                <w:sz w:val="21"/>
                <w:highlight w:val="none"/>
              </w:rPr>
              <w:t>服务期内采购人不得安排服务人员参与涉及执法权限内的工作。</w:t>
            </w:r>
            <w:r>
              <w:rPr>
                <w:rFonts w:hint="eastAsia" w:ascii="宋体" w:hAnsi="宋体" w:eastAsia="宋体" w:cs="宋体"/>
                <w:bCs/>
                <w:color w:val="auto"/>
                <w:kern w:val="0"/>
                <w:sz w:val="21"/>
                <w:szCs w:val="21"/>
                <w:highlight w:val="none"/>
              </w:rPr>
              <w:t>中标供应商派驻服务人员有下列行为的，采购人有权要求中标供应商立即更换：</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（1）违反操作规程，造成所负责的工作不能正常运行，或不能保证工作质量，给采购人造成损失的；</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（2）严重违反</w:t>
            </w:r>
            <w:r>
              <w:rPr>
                <w:rFonts w:hint="eastAsia" w:ascii="宋体" w:hAnsi="宋体" w:eastAsia="宋体" w:cs="宋体"/>
                <w:color w:val="auto"/>
                <w:kern w:val="0"/>
                <w:sz w:val="21"/>
                <w:szCs w:val="21"/>
                <w:highlight w:val="none"/>
              </w:rPr>
              <w:t>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color w:val="auto"/>
                <w:kern w:val="0"/>
                <w:sz w:val="21"/>
                <w:szCs w:val="21"/>
                <w:highlight w:val="none"/>
              </w:rPr>
              <w:t>税务局</w:t>
            </w:r>
            <w:r>
              <w:rPr>
                <w:rFonts w:hint="eastAsia" w:ascii="宋体" w:hAnsi="宋体" w:eastAsia="宋体" w:cs="宋体"/>
                <w:bCs/>
                <w:color w:val="auto"/>
                <w:kern w:val="0"/>
                <w:sz w:val="21"/>
                <w:szCs w:val="21"/>
                <w:highlight w:val="none"/>
              </w:rPr>
              <w:t>规章制度和劳动纪律的；</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（3）严重失责，营私舞弊，造成重大负面影响的；</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（4）违反法律，依法需追究刑事责任的；</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（5）因工作或服务态度等问题被纳税人（缴费人）投诉、或无故旷工、不服从工作安排分别累计达3次以上（含3次）的，以及工作质效不达标或或经过培训或者调整工作内容，仍不能完成约定工作任务的。</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4.采购人按月对中标供应商服务进行综合评估，具体考核标准详见附表一。</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五、中标供应商的权利和义务</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中标供应商</w:t>
            </w:r>
            <w:r>
              <w:rPr>
                <w:rFonts w:hint="eastAsia" w:ascii="宋体" w:hAnsi="宋体" w:eastAsia="宋体" w:cs="宋体"/>
                <w:bCs/>
                <w:color w:val="auto"/>
                <w:kern w:val="0"/>
                <w:sz w:val="21"/>
                <w:szCs w:val="21"/>
                <w:highlight w:val="none"/>
              </w:rPr>
              <w:t>有权向采购人提出优化服务人员管理和配置的合理化建议，有权对服务人员提供的工作条件等提出改进意见和措施。</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eastAsia="宋体" w:cs="宋体"/>
                <w:color w:val="auto"/>
                <w:kern w:val="0"/>
                <w:sz w:val="21"/>
                <w:szCs w:val="21"/>
                <w:highlight w:val="none"/>
              </w:rPr>
              <w:t>中标供应商</w:t>
            </w:r>
            <w:r>
              <w:rPr>
                <w:rFonts w:hint="eastAsia" w:ascii="宋体" w:hAnsi="宋体" w:eastAsia="宋体" w:cs="宋体"/>
                <w:bCs/>
                <w:color w:val="auto"/>
                <w:kern w:val="0"/>
                <w:sz w:val="21"/>
                <w:szCs w:val="21"/>
                <w:highlight w:val="none"/>
              </w:rPr>
              <w:t>有权要求采购人按照本合同规定按时足额支付服务费用。</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eastAsia="宋体" w:cs="宋体"/>
                <w:color w:val="auto"/>
                <w:kern w:val="0"/>
                <w:sz w:val="21"/>
                <w:szCs w:val="21"/>
                <w:highlight w:val="none"/>
              </w:rPr>
              <w:t>中标供应商</w:t>
            </w:r>
            <w:r>
              <w:rPr>
                <w:rFonts w:hint="eastAsia" w:ascii="宋体" w:hAnsi="宋体" w:eastAsia="宋体" w:cs="宋体"/>
                <w:bCs/>
                <w:color w:val="auto"/>
                <w:kern w:val="0"/>
                <w:sz w:val="21"/>
                <w:szCs w:val="21"/>
                <w:highlight w:val="none"/>
              </w:rPr>
              <w:t>为本项目所投入的服务人员应为供应商的正式员工（具备合法劳动合同关系），不允许将相关服务事项进行转包。中标供应商须依据《中华人民共和国劳动合同法》、《中华人民共和国劳动法》及相关法律法规履行对拟投入本项目服务人员的法定义务，依法与服务人员签订劳动合同，办理用工手续，依法为服务人员发放工资报酬，缴纳五险，承担自合同履行日之后所产生的劳动关系风险费用，如服务人员与中标供应商发生劳动纠纷的，供应商自行负责，与采购人无关。</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4.中标供应商投入的服务人员因各种原因需终止为采购人提供服务的，应提前30天告知采购人并办理有关工作交接手续；采购人有权要求中标供应商在与派驻人员完成交接手续后方可办理离职手续。</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color w:val="auto"/>
                <w:kern w:val="0"/>
                <w:sz w:val="21"/>
                <w:szCs w:val="21"/>
                <w:highlight w:val="none"/>
              </w:rPr>
              <w:t>中标供应商</w:t>
            </w:r>
            <w:r>
              <w:rPr>
                <w:rFonts w:hint="eastAsia" w:ascii="宋体" w:hAnsi="宋体" w:eastAsia="宋体" w:cs="宋体"/>
                <w:bCs/>
                <w:color w:val="auto"/>
                <w:kern w:val="0"/>
                <w:sz w:val="21"/>
                <w:szCs w:val="21"/>
                <w:highlight w:val="none"/>
              </w:rPr>
              <w:t>须对拟投入本项目服务人员定期进行培训，以提高服务人员的业务水平和整体素质。培训内容至少包括项目背景及要求培训、日常纪律要求培训、服务技巧技能培训、税务业务知识培训、涉及服务内容的各项税务新政、投诉处理技巧培训及采购人要求的其他培训事项。</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6.</w:t>
            </w:r>
            <w:r>
              <w:rPr>
                <w:rFonts w:hint="eastAsia" w:ascii="宋体" w:hAnsi="宋体" w:eastAsia="宋体" w:cs="宋体"/>
                <w:b w:val="0"/>
                <w:color w:val="auto"/>
                <w:kern w:val="0"/>
                <w:sz w:val="21"/>
                <w:szCs w:val="21"/>
                <w:highlight w:val="none"/>
              </w:rPr>
              <w:t>中标供应商</w:t>
            </w:r>
            <w:r>
              <w:rPr>
                <w:rFonts w:hint="eastAsia" w:ascii="宋体" w:hAnsi="宋体" w:eastAsia="宋体" w:cs="宋体"/>
                <w:b w:val="0"/>
                <w:bCs/>
                <w:color w:val="auto"/>
                <w:kern w:val="0"/>
                <w:sz w:val="21"/>
                <w:szCs w:val="21"/>
                <w:highlight w:val="none"/>
              </w:rPr>
              <w:t>须配备专门的管理人员，加强与采购人的联系，协调服务人员与采购人之间的关系，并负责服务人员档案管理，在履约结束后，按要求统一移交采购人保管。</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Style w:val="12"/>
                <w:rFonts w:hint="eastAsia" w:ascii="宋体" w:hAnsi="宋体" w:eastAsia="宋体" w:cs="宋体"/>
                <w:b w:val="0"/>
                <w:color w:val="auto"/>
                <w:kern w:val="0"/>
                <w:sz w:val="21"/>
                <w:highlight w:val="none"/>
                <w:lang w:eastAsia="zh-CN"/>
              </w:rPr>
            </w:pPr>
            <w:r>
              <w:rPr>
                <w:rFonts w:hint="eastAsia" w:ascii="宋体" w:hAnsi="宋体" w:eastAsia="宋体" w:cs="宋体"/>
                <w:b w:val="0"/>
                <w:bCs/>
                <w:color w:val="auto"/>
                <w:kern w:val="0"/>
                <w:sz w:val="21"/>
                <w:szCs w:val="21"/>
                <w:highlight w:val="none"/>
              </w:rPr>
              <w:t>7.</w:t>
            </w:r>
            <w:r>
              <w:rPr>
                <w:rFonts w:hint="eastAsia" w:ascii="宋体" w:hAnsi="宋体" w:eastAsia="宋体" w:cs="宋体"/>
                <w:b w:val="0"/>
                <w:color w:val="auto"/>
                <w:kern w:val="0"/>
                <w:sz w:val="21"/>
                <w:szCs w:val="21"/>
                <w:highlight w:val="none"/>
              </w:rPr>
              <w:t>中标供应商</w:t>
            </w:r>
            <w:r>
              <w:rPr>
                <w:rFonts w:hint="eastAsia" w:ascii="宋体" w:hAnsi="宋体" w:eastAsia="宋体" w:cs="宋体"/>
                <w:b w:val="0"/>
                <w:bCs/>
                <w:color w:val="auto"/>
                <w:kern w:val="0"/>
                <w:sz w:val="21"/>
                <w:szCs w:val="21"/>
                <w:highlight w:val="none"/>
              </w:rPr>
              <w:t>负责为本项目服务人员提供统一工装，服务人员需按采购人要求着工装上岗。</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★8.中标供应商为本项目提供的服务人员应承诺在签订本项目合同前一年内没有在涉税中介机构兼职、任职。且在签订本项目合同后在服务期不得投资参股企业或在企业兼职任职。</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六、其他要求</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1.信息安全保密要求</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（1）服务人员必须严格遵守国家税务总局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b w:val="0"/>
                <w:bCs/>
                <w:color w:val="auto"/>
                <w:kern w:val="0"/>
                <w:sz w:val="21"/>
                <w:szCs w:val="21"/>
                <w:highlight w:val="none"/>
              </w:rPr>
              <w:t>税务局的安全保密制度。双方应对在合同签订或履行过程中所接触的对方信息，包括但不限于知识产权、技术资料、技术诀窍、内部管理及其他相关信息，负有保密义务。</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（2）服务人员需保证遵守国家有关版权和知识产权保护的政策、法律、法规和制度。</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（3）中标供应商须与国家税务总局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b w:val="0"/>
                <w:bCs/>
                <w:color w:val="auto"/>
                <w:kern w:val="0"/>
                <w:sz w:val="21"/>
                <w:szCs w:val="21"/>
                <w:highlight w:val="none"/>
              </w:rPr>
              <w:t>税务局签署合同项目实施期间的信息保密协议，并作为合同的组成部分，同时采取有力措施积极履行相关保密承诺。</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（4）中标供应商提供的服务人员必须与国家税务总局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b w:val="0"/>
                <w:bCs/>
                <w:color w:val="auto"/>
                <w:kern w:val="0"/>
                <w:sz w:val="21"/>
                <w:szCs w:val="21"/>
                <w:highlight w:val="none"/>
              </w:rPr>
              <w:t>税务局签署合同项目实施期间的信息保密承诺书。</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中标供应商在使用采购人为其提供的数据、程序、用户名、口令、资料及采购人相关的业务和技术文档，包括方案设计细节、程序文件、数据结构，以及相关业务系统的硬软件、文档、测试和测试产生的数据时，应遵循以下约定:</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（1）应以审慎态度避免泄露、公开或传播</w:t>
            </w:r>
            <w:r>
              <w:rPr>
                <w:rFonts w:hint="eastAsia" w:ascii="宋体" w:hAnsi="宋体" w:eastAsia="宋体" w:cs="宋体"/>
                <w:b w:val="0"/>
                <w:color w:val="auto"/>
                <w:kern w:val="0"/>
                <w:sz w:val="21"/>
                <w:szCs w:val="21"/>
                <w:highlight w:val="none"/>
              </w:rPr>
              <w:t>采购人</w:t>
            </w:r>
            <w:r>
              <w:rPr>
                <w:rFonts w:hint="eastAsia" w:ascii="宋体" w:hAnsi="宋体" w:eastAsia="宋体" w:cs="宋体"/>
                <w:b w:val="0"/>
                <w:bCs/>
                <w:color w:val="auto"/>
                <w:kern w:val="0"/>
                <w:sz w:val="21"/>
                <w:szCs w:val="21"/>
                <w:highlight w:val="none"/>
              </w:rPr>
              <w:t>的信息;</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（2）未经采购人书面许可，不得对有关信息进行修改、补充、复制；</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（3）未经采购人书面许可，不得将信息以任何方式(如E-mail)携带出采购人场所；</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（4）未经采购人书面许可，不得将信息透露给任何其他人:</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（5）采购人以书面形式提出的其他保密措施。</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3.保密期限不受合同有效期的限制，在合同有效期结束后，信息接受方仍应承担保密义务，直至该等信息成为公开信息。</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4.中标供应商如出现泄密行为，中标供应商应承担相关的法律责任并承担由此给对方造成的经济损失。</w:t>
            </w:r>
          </w:p>
          <w:p>
            <w:pPr>
              <w:pStyle w:val="8"/>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★5.本项目若涉及国家税收政策或机构人员的调整，涉及项目需求变更或调整服务内容及要求，投标人应按采购人的要求终止或变更合同内容或签</w:t>
            </w:r>
            <w:r>
              <w:rPr>
                <w:rFonts w:hint="eastAsia" w:ascii="宋体" w:hAnsi="宋体" w:cs="宋体"/>
                <w:b w:val="0"/>
                <w:bCs/>
                <w:color w:val="auto"/>
                <w:kern w:val="0"/>
                <w:sz w:val="21"/>
                <w:szCs w:val="21"/>
                <w:highlight w:val="none"/>
                <w:lang w:val="en-US" w:eastAsia="zh-CN"/>
              </w:rPr>
              <w:t>订</w:t>
            </w:r>
            <w:r>
              <w:rPr>
                <w:rFonts w:hint="eastAsia" w:ascii="宋体" w:hAnsi="宋体" w:eastAsia="宋体" w:cs="宋体"/>
                <w:b w:val="0"/>
                <w:bCs/>
                <w:color w:val="auto"/>
                <w:kern w:val="0"/>
                <w:sz w:val="21"/>
                <w:szCs w:val="21"/>
                <w:highlight w:val="none"/>
              </w:rPr>
              <w:t>补充协议</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Cs/>
                <w:color w:val="auto"/>
                <w:kern w:val="0"/>
                <w:sz w:val="21"/>
                <w:szCs w:val="21"/>
                <w:highlight w:val="none"/>
              </w:rPr>
              <w:t>七、服务指标及考核标准</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 w:val="21"/>
                <w:szCs w:val="21"/>
                <w:highlight w:val="none"/>
              </w:rPr>
              <w:t>采购人对中标人的服务质量采取定期方式进行考核，考核办法详见附表一：《国家税务总局</w:t>
            </w:r>
            <w:r>
              <w:rPr>
                <w:rFonts w:hint="eastAsia" w:ascii="宋体" w:hAnsi="宋体" w:eastAsia="宋体" w:cs="宋体"/>
                <w:b w:val="0"/>
                <w:color w:val="auto"/>
                <w:kern w:val="0"/>
                <w:sz w:val="21"/>
                <w:szCs w:val="21"/>
                <w:highlight w:val="none"/>
                <w:lang w:eastAsia="zh-CN"/>
              </w:rPr>
              <w:t>南宁市青秀区</w:t>
            </w:r>
            <w:r>
              <w:rPr>
                <w:rFonts w:hint="eastAsia" w:ascii="宋体" w:hAnsi="宋体" w:eastAsia="宋体" w:cs="宋体"/>
                <w:snapToGrid w:val="0"/>
                <w:color w:val="auto"/>
                <w:kern w:val="0"/>
                <w:sz w:val="21"/>
                <w:szCs w:val="21"/>
                <w:highlight w:val="none"/>
              </w:rPr>
              <w:t>税务局非执法类辅助性服务日常考核情况表》，考核记录经双方签字确认后保存在采购人处。</w:t>
            </w:r>
            <w:r>
              <w:rPr>
                <w:rFonts w:hint="eastAsia" w:ascii="宋体" w:hAnsi="宋体" w:eastAsia="宋体" w:cs="宋体"/>
                <w:color w:val="auto"/>
                <w:kern w:val="0"/>
                <w:sz w:val="21"/>
                <w:szCs w:val="21"/>
                <w:highlight w:val="none"/>
              </w:rPr>
              <w:t>采购人按照上述标准按月进行考核，采用日常监测和现场验收相结合的方式，</w:t>
            </w:r>
            <w:r>
              <w:rPr>
                <w:rFonts w:hint="eastAsia" w:ascii="宋体" w:hAnsi="宋体" w:eastAsia="宋体" w:cs="宋体"/>
                <w:snapToGrid w:val="0"/>
                <w:color w:val="auto"/>
                <w:kern w:val="0"/>
                <w:sz w:val="21"/>
                <w:szCs w:val="21"/>
                <w:highlight w:val="none"/>
              </w:rPr>
              <w:t>采购人有权根据考核结果对中标人实施扣款，并下达书面整改通知责令中标人限期整改。中标人应派人参加考核，采购人发现问题则当场告知，中标人应根据考核发现问题，自采购人当场告知后</w:t>
            </w:r>
            <w:r>
              <w:rPr>
                <w:rFonts w:hint="eastAsia" w:ascii="宋体" w:hAnsi="宋体" w:eastAsia="宋体" w:cs="宋体"/>
                <w:color w:val="auto"/>
                <w:kern w:val="0"/>
                <w:sz w:val="21"/>
                <w:szCs w:val="21"/>
                <w:highlight w:val="none"/>
              </w:rPr>
              <w:t>5</w:t>
            </w:r>
            <w:r>
              <w:rPr>
                <w:rFonts w:hint="eastAsia" w:ascii="宋体" w:hAnsi="宋体" w:eastAsia="宋体" w:cs="宋体"/>
                <w:snapToGrid w:val="0"/>
                <w:color w:val="auto"/>
                <w:kern w:val="0"/>
                <w:sz w:val="21"/>
                <w:szCs w:val="21"/>
                <w:highlight w:val="none"/>
              </w:rPr>
              <w:t>个工作日内提出整改意见，及时落实整改采购人对项目履行情况。采购人按照考核结果支付服务费用，当月考核有罚款的，当月最终服务费用为扣除罚款后实际支付的费用，累计违反</w:t>
            </w:r>
            <w:r>
              <w:rPr>
                <w:rFonts w:hint="eastAsia" w:ascii="宋体" w:hAnsi="宋体" w:eastAsia="宋体" w:cs="宋体"/>
                <w:color w:val="auto"/>
                <w:kern w:val="0"/>
                <w:sz w:val="21"/>
                <w:szCs w:val="21"/>
                <w:highlight w:val="none"/>
              </w:rPr>
              <w:t>6</w:t>
            </w:r>
            <w:r>
              <w:rPr>
                <w:rFonts w:hint="eastAsia" w:ascii="宋体" w:hAnsi="宋体" w:eastAsia="宋体" w:cs="宋体"/>
                <w:snapToGrid w:val="0"/>
                <w:color w:val="auto"/>
                <w:kern w:val="0"/>
                <w:sz w:val="21"/>
                <w:szCs w:val="21"/>
                <w:highlight w:val="none"/>
              </w:rPr>
              <w:t>次以上的，或发生重大安全责任事故的，采购人有权单方面解除合同。</w:t>
            </w:r>
            <w:r>
              <w:rPr>
                <w:rFonts w:hint="eastAsia" w:ascii="宋体" w:hAnsi="宋体" w:eastAsia="宋体" w:cs="宋体"/>
                <w:color w:val="auto"/>
                <w:kern w:val="0"/>
                <w:sz w:val="21"/>
                <w:szCs w:val="21"/>
                <w:highlight w:val="none"/>
              </w:rPr>
              <w:t>其因解除合同所导致服务空档期所支出的金额及涉及的费用损失，由中标供应商承担。</w:t>
            </w:r>
          </w:p>
        </w:tc>
      </w:tr>
    </w:tbl>
    <w:p>
      <w:pPr>
        <w:spacing w:line="360" w:lineRule="auto"/>
        <w:ind w:firstLine="420" w:firstLineChars="200"/>
        <w:rPr>
          <w:rFonts w:hint="eastAsia" w:ascii="宋体" w:hAnsi="宋体" w:eastAsia="宋体" w:cs="宋体"/>
          <w:i/>
          <w:color w:val="auto"/>
          <w:szCs w:val="21"/>
          <w:highlight w:val="none"/>
        </w:rPr>
      </w:pPr>
    </w:p>
    <w:p>
      <w:pPr>
        <w:spacing w:line="360" w:lineRule="auto"/>
        <w:ind w:firstLine="420" w:firstLineChars="200"/>
        <w:outlineLvl w:val="1"/>
        <w:rPr>
          <w:rFonts w:hint="eastAsia" w:ascii="宋体" w:hAnsi="宋体" w:eastAsia="宋体" w:cs="宋体"/>
          <w:color w:val="auto"/>
          <w:highlight w:val="none"/>
        </w:rPr>
      </w:pPr>
      <w:r>
        <w:rPr>
          <w:rFonts w:hint="eastAsia" w:ascii="宋体" w:hAnsi="宋体" w:eastAsia="宋体" w:cs="宋体"/>
          <w:color w:val="auto"/>
          <w:highlight w:val="none"/>
        </w:rPr>
        <w:t>三、商务要求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
        <w:gridCol w:w="149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8" w:type="pct"/>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合同签订日期</w:t>
            </w:r>
          </w:p>
        </w:tc>
        <w:tc>
          <w:tcPr>
            <w:tcW w:w="38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中标通知书发出</w:t>
            </w:r>
            <w:r>
              <w:rPr>
                <w:rFonts w:hint="eastAsia" w:ascii="宋体" w:hAnsi="宋体" w:cs="宋体"/>
                <w:snapToGrid w:val="0"/>
                <w:color w:val="auto"/>
                <w:kern w:val="0"/>
                <w:sz w:val="21"/>
                <w:szCs w:val="21"/>
                <w:highlight w:val="none"/>
                <w:lang w:val="en-US" w:eastAsia="zh-CN"/>
              </w:rPr>
              <w:t>之日起30</w:t>
            </w:r>
            <w:r>
              <w:rPr>
                <w:rFonts w:hint="eastAsia" w:ascii="宋体" w:hAnsi="宋体" w:eastAsia="宋体" w:cs="宋体"/>
                <w:snapToGrid w:val="0"/>
                <w:color w:val="auto"/>
                <w:kern w:val="0"/>
                <w:sz w:val="21"/>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trPr>
        <w:tc>
          <w:tcPr>
            <w:tcW w:w="28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18" w:type="pct"/>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合同履行期限、服务地点</w:t>
            </w:r>
          </w:p>
        </w:tc>
        <w:tc>
          <w:tcPr>
            <w:tcW w:w="38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合同履行期限：1年。</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服务地点：国家税务总局</w:t>
            </w:r>
            <w:r>
              <w:rPr>
                <w:rFonts w:hint="eastAsia" w:ascii="宋体" w:hAnsi="宋体" w:eastAsia="宋体" w:cs="宋体"/>
                <w:snapToGrid w:val="0"/>
                <w:color w:val="auto"/>
                <w:kern w:val="0"/>
                <w:sz w:val="21"/>
                <w:szCs w:val="21"/>
                <w:highlight w:val="none"/>
                <w:lang w:eastAsia="zh-CN"/>
              </w:rPr>
              <w:t>南宁市青秀区</w:t>
            </w:r>
            <w:r>
              <w:rPr>
                <w:rFonts w:hint="eastAsia" w:ascii="宋体" w:hAnsi="宋体" w:eastAsia="宋体" w:cs="宋体"/>
                <w:snapToGrid w:val="0"/>
                <w:color w:val="auto"/>
                <w:kern w:val="0"/>
                <w:sz w:val="21"/>
                <w:szCs w:val="21"/>
                <w:highlight w:val="none"/>
              </w:rPr>
              <w:t>税务局。服务期内，如采购人根据工作需要变更办公地址，则本项目服务地点相应调整为</w:t>
            </w:r>
            <w:r>
              <w:rPr>
                <w:rFonts w:hint="eastAsia" w:ascii="宋体" w:hAnsi="宋体" w:eastAsia="宋体" w:cs="宋体"/>
                <w:snapToGrid w:val="0"/>
                <w:color w:val="auto"/>
                <w:kern w:val="0"/>
                <w:sz w:val="21"/>
                <w:szCs w:val="21"/>
                <w:highlight w:val="none"/>
                <w:lang w:eastAsia="zh-CN"/>
              </w:rPr>
              <w:t>南宁</w:t>
            </w:r>
            <w:r>
              <w:rPr>
                <w:rFonts w:hint="eastAsia" w:ascii="宋体" w:hAnsi="宋体" w:eastAsia="宋体" w:cs="宋体"/>
                <w:snapToGrid w:val="0"/>
                <w:color w:val="auto"/>
                <w:kern w:val="0"/>
                <w:sz w:val="21"/>
                <w:szCs w:val="21"/>
                <w:highlight w:val="none"/>
              </w:rPr>
              <w:t>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1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szCs w:val="24"/>
                <w:highlight w:val="none"/>
              </w:rPr>
            </w:pPr>
            <w:r>
              <w:rPr>
                <w:rFonts w:hint="eastAsia" w:ascii="宋体" w:hAnsi="宋体" w:eastAsia="宋体" w:cs="宋体"/>
                <w:color w:val="auto"/>
                <w:szCs w:val="21"/>
                <w:highlight w:val="none"/>
              </w:rPr>
              <w:t>报价要求</w:t>
            </w:r>
          </w:p>
        </w:tc>
        <w:tc>
          <w:tcPr>
            <w:tcW w:w="38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本次报价须为人民币报价，且报价负责的内容包括但不限于服务、人员工资、人员社保、验收等各种费用和售后服务、服装费、税金及其它所有成本费用的总和，以及与本项目有关的其他费用，采购人将不再额外支付其他任何费用，无论分项价格是否全部填报了相应的金额，报价应被视为已经包含了但并不限于本项目各项购买服务及相关服务等的费用和所需缴纳的所有价格、税、费。对于本文件中未列明，而供应商认为必需的费用也需列入总报价。在合同实施时，采购人将不予支付中标人没有列入的项目费用，并认为此项目的费用已包括在总报价中。</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超出采购预算价的，作无效标处理。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1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38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采购人采取先服务后付款、按月考核结算的方式。每月10日前，采购人根据《国家税务总局</w:t>
            </w:r>
            <w:r>
              <w:rPr>
                <w:rFonts w:hint="eastAsia" w:ascii="宋体" w:hAnsi="宋体" w:eastAsia="宋体" w:cs="宋体"/>
                <w:snapToGrid w:val="0"/>
                <w:color w:val="auto"/>
                <w:kern w:val="0"/>
                <w:sz w:val="21"/>
                <w:szCs w:val="21"/>
                <w:highlight w:val="none"/>
                <w:lang w:eastAsia="zh-CN"/>
              </w:rPr>
              <w:t>南宁市青秀区</w:t>
            </w:r>
            <w:r>
              <w:rPr>
                <w:rFonts w:hint="eastAsia" w:ascii="宋体" w:hAnsi="宋体" w:eastAsia="宋体" w:cs="宋体"/>
                <w:snapToGrid w:val="0"/>
                <w:color w:val="auto"/>
                <w:kern w:val="0"/>
                <w:sz w:val="21"/>
                <w:szCs w:val="21"/>
                <w:highlight w:val="none"/>
              </w:rPr>
              <w:t>税务局非执法类辅助性服务考核办法及标准》及合同罚责条款对中标人上月服务进行考核，考核结果经双方确认无异议后，采购人按考核结果对合同服务费进行汇总扣款后支付剩余款项。服务费从中标人开始提供服务工作之日起开始计算，足月的月份服务费为：月服务费=年度合同金额/12-月考核汇总扣款；不足月的月份服务费为：年度合同金额/12÷当月日历天数×当月实际工作天数-月考核汇总扣款。</w:t>
            </w:r>
          </w:p>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采购人付款前，中标人应向采购人开具等额有效的增值税发票，采购人收到发票后10个工作日内将资金支付到合同约定的中标人账户；采购人未收到发票的，有权不予支付相应款项直至中标人提供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1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验收方式及标准</w:t>
            </w:r>
          </w:p>
        </w:tc>
        <w:tc>
          <w:tcPr>
            <w:tcW w:w="389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采购人对中标供应商的服务质量采取定期方式进行考核（详见附表一：《国家税务总</w:t>
            </w:r>
            <w:r>
              <w:rPr>
                <w:rFonts w:hint="eastAsia" w:ascii="宋体" w:hAnsi="宋体" w:cs="宋体"/>
                <w:snapToGrid w:val="0"/>
                <w:color w:val="auto"/>
                <w:kern w:val="0"/>
                <w:sz w:val="21"/>
                <w:szCs w:val="21"/>
                <w:highlight w:val="none"/>
                <w:lang w:eastAsia="zh-CN"/>
              </w:rPr>
              <w:t>局</w:t>
            </w:r>
            <w:bookmarkStart w:id="0" w:name="_GoBack"/>
            <w:bookmarkEnd w:id="0"/>
            <w:r>
              <w:rPr>
                <w:rFonts w:hint="eastAsia" w:ascii="宋体" w:hAnsi="宋体" w:eastAsia="宋体" w:cs="宋体"/>
                <w:snapToGrid w:val="0"/>
                <w:color w:val="auto"/>
                <w:kern w:val="0"/>
                <w:sz w:val="21"/>
                <w:szCs w:val="21"/>
                <w:highlight w:val="none"/>
                <w:lang w:eastAsia="zh-CN"/>
              </w:rPr>
              <w:t>南宁市青秀区</w:t>
            </w:r>
            <w:r>
              <w:rPr>
                <w:rFonts w:hint="eastAsia" w:ascii="宋体" w:hAnsi="宋体" w:eastAsia="宋体" w:cs="宋体"/>
                <w:snapToGrid w:val="0"/>
                <w:color w:val="auto"/>
                <w:kern w:val="0"/>
                <w:sz w:val="21"/>
                <w:szCs w:val="21"/>
                <w:highlight w:val="none"/>
              </w:rPr>
              <w:t>税务局非执法类辅助性服务日常考核情况表》，考核记录经双方签字确认后保存在采购人处。采购人有权根据考核结果对中标供应商实施扣款，并下达书面整改通知责令中标人限期整改。中标供应商应派人参加考核，采购人发现问题则当场告知，中标人应根据考核发现问题，自采购人当场告知后5个工作日内提出整改意见，及时落实整改采购人对项目履行情况。采购人按照考核结果支付服务费用，当月考核有罚款的，当月最终服务费用为扣除罚款后实际支付的费用，累计违反6次以上的，或发生重大安全责任事故的，采购人有权单方面解除合同。</w:t>
            </w:r>
          </w:p>
        </w:tc>
      </w:tr>
    </w:tbl>
    <w:p>
      <w:pPr>
        <w:spacing w:line="360" w:lineRule="auto"/>
        <w:rPr>
          <w:rFonts w:hint="eastAsia" w:ascii="宋体" w:hAnsi="宋体" w:eastAsia="宋体" w:cs="宋体"/>
          <w:i/>
          <w:color w:val="auto"/>
          <w:szCs w:val="21"/>
          <w:highlight w:val="none"/>
          <w:lang w:eastAsia="zh-CN"/>
        </w:rPr>
      </w:pPr>
    </w:p>
    <w:p>
      <w:pPr>
        <w:numPr>
          <w:ilvl w:val="0"/>
          <w:numId w:val="0"/>
        </w:numPr>
        <w:spacing w:line="360" w:lineRule="auto"/>
        <w:ind w:left="0" w:leftChars="0" w:firstLine="0" w:firstLineChars="0"/>
        <w:outlineLvl w:val="1"/>
        <w:rPr>
          <w:rFonts w:hint="eastAsia" w:ascii="宋体" w:hAnsi="宋体" w:eastAsia="宋体" w:cs="宋体"/>
          <w:color w:val="auto"/>
          <w:highlight w:val="none"/>
          <w:lang w:eastAsia="zh-CN"/>
        </w:rPr>
      </w:pPr>
      <w:r>
        <w:rPr>
          <w:rFonts w:hint="eastAsia" w:ascii="宋体" w:hAnsi="宋体" w:eastAsia="宋体" w:cs="宋体"/>
          <w:color w:val="auto"/>
          <w:kern w:val="2"/>
          <w:sz w:val="21"/>
          <w:szCs w:val="22"/>
          <w:highlight w:val="none"/>
          <w:lang w:val="en-US" w:eastAsia="zh-CN" w:bidi="ar-SA"/>
        </w:rPr>
        <w:t>四、</w:t>
      </w:r>
      <w:r>
        <w:rPr>
          <w:rFonts w:hint="eastAsia" w:ascii="宋体" w:hAnsi="宋体" w:eastAsia="宋体" w:cs="宋体"/>
          <w:color w:val="auto"/>
          <w:highlight w:val="none"/>
        </w:rPr>
        <w:t>其他事</w:t>
      </w:r>
      <w:r>
        <w:rPr>
          <w:rFonts w:hint="eastAsia" w:ascii="宋体" w:hAnsi="宋体" w:eastAsia="宋体" w:cs="宋体"/>
          <w:color w:val="auto"/>
          <w:highlight w:val="none"/>
          <w:lang w:eastAsia="zh-CN"/>
        </w:rPr>
        <w:t>项</w:t>
      </w:r>
    </w:p>
    <w:tbl>
      <w:tblPr>
        <w:tblStyle w:val="10"/>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4"/>
        <w:gridCol w:w="1502"/>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8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31" w:type="pct"/>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388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autoSpaceDE/>
              <w:autoSpaceDN/>
              <w:bidi w:val="0"/>
              <w:adjustRightInd w:val="0"/>
              <w:snapToGrid w:val="0"/>
              <w:spacing w:before="120" w:after="60" w:line="360" w:lineRule="auto"/>
              <w:ind w:left="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投标人可以根据项目要求，在投标文件中提供包括但不限于：项目需求理解方案、服务方案、管理制度及管理方案、培训方案、人员、相关证书等。</w:t>
            </w:r>
          </w:p>
        </w:tc>
      </w:tr>
    </w:tbl>
    <w:p>
      <w:pPr>
        <w:widowControl w:val="0"/>
        <w:numPr>
          <w:ilvl w:val="0"/>
          <w:numId w:val="0"/>
        </w:numPr>
        <w:spacing w:line="360" w:lineRule="auto"/>
        <w:jc w:val="both"/>
        <w:rPr>
          <w:rFonts w:hint="eastAsia" w:ascii="宋体" w:hAnsi="宋体" w:eastAsia="宋体" w:cs="宋体"/>
          <w:color w:val="auto"/>
          <w:highlight w:val="none"/>
          <w:lang w:eastAsia="zh-CN"/>
        </w:rPr>
      </w:pPr>
    </w:p>
    <w:p>
      <w:pPr>
        <w:widowControl w:val="0"/>
        <w:numPr>
          <w:ilvl w:val="0"/>
          <w:numId w:val="0"/>
        </w:numPr>
        <w:spacing w:line="360" w:lineRule="auto"/>
        <w:jc w:val="both"/>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spacing w:line="560" w:lineRule="exact"/>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附表一：</w:t>
      </w:r>
    </w:p>
    <w:p>
      <w:pPr>
        <w:spacing w:line="560" w:lineRule="exact"/>
        <w:jc w:val="center"/>
        <w:rPr>
          <w:rFonts w:hint="eastAsia" w:ascii="宋体" w:hAnsi="宋体" w:eastAsia="宋体" w:cs="宋体"/>
          <w:b/>
          <w:snapToGrid w:val="0"/>
          <w:color w:val="auto"/>
          <w:kern w:val="0"/>
          <w:sz w:val="28"/>
          <w:szCs w:val="21"/>
          <w:highlight w:val="none"/>
        </w:rPr>
      </w:pPr>
      <w:r>
        <w:rPr>
          <w:rFonts w:hint="eastAsia" w:ascii="宋体" w:hAnsi="宋体" w:eastAsia="宋体" w:cs="宋体"/>
          <w:b/>
          <w:snapToGrid w:val="0"/>
          <w:color w:val="auto"/>
          <w:kern w:val="0"/>
          <w:sz w:val="28"/>
          <w:szCs w:val="21"/>
          <w:highlight w:val="none"/>
        </w:rPr>
        <w:t>《国家税务总局南宁市青秀区税务局非执法类辅助性服务日常考核情况表》</w:t>
      </w:r>
    </w:p>
    <w:p>
      <w:pPr>
        <w:spacing w:line="560" w:lineRule="exac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（本考核所称的“以上”、“以下”、“内”、“以内”、“不少于”，包括本数；所称的“不足”， 不包括本数）</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993"/>
        <w:gridCol w:w="27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pct"/>
          </w:tcPr>
          <w:p>
            <w:pPr>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序号</w:t>
            </w:r>
          </w:p>
        </w:tc>
        <w:tc>
          <w:tcPr>
            <w:tcW w:w="1619" w:type="pct"/>
          </w:tcPr>
          <w:p>
            <w:pPr>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考核检查内容</w:t>
            </w:r>
          </w:p>
        </w:tc>
        <w:tc>
          <w:tcPr>
            <w:tcW w:w="1472" w:type="pct"/>
          </w:tcPr>
          <w:p>
            <w:pPr>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扣款额度</w:t>
            </w:r>
          </w:p>
        </w:tc>
        <w:tc>
          <w:tcPr>
            <w:tcW w:w="659" w:type="pct"/>
          </w:tcPr>
          <w:p>
            <w:pPr>
              <w:jc w:val="center"/>
              <w:rPr>
                <w:rFonts w:hint="eastAsia" w:ascii="宋体" w:hAnsi="宋体" w:eastAsia="宋体" w:cs="宋体"/>
                <w:color w:val="auto"/>
                <w:szCs w:val="24"/>
                <w:highlight w:val="none"/>
              </w:rPr>
            </w:pPr>
            <w:r>
              <w:rPr>
                <w:rFonts w:hint="eastAsia" w:ascii="宋体" w:hAnsi="宋体" w:eastAsia="宋体" w:cs="宋体"/>
                <w:b/>
                <w:bCs/>
                <w:color w:val="auto"/>
                <w:kern w:val="0"/>
                <w:szCs w:val="21"/>
                <w:highlight w:val="none"/>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50" w:type="pct"/>
          </w:tcPr>
          <w:p>
            <w:pPr>
              <w:jc w:val="center"/>
              <w:rPr>
                <w:rFonts w:hint="eastAsia" w:ascii="宋体" w:hAnsi="宋体" w:eastAsia="宋体" w:cs="宋体"/>
                <w:color w:val="auto"/>
                <w:szCs w:val="24"/>
                <w:highlight w:val="none"/>
              </w:rPr>
            </w:pPr>
            <w:r>
              <w:rPr>
                <w:rFonts w:hint="eastAsia" w:ascii="宋体" w:hAnsi="宋体" w:eastAsia="宋体" w:cs="宋体"/>
                <w:color w:val="auto"/>
                <w:kern w:val="0"/>
                <w:szCs w:val="21"/>
                <w:highlight w:val="none"/>
              </w:rPr>
              <w:t>一、</w:t>
            </w:r>
            <w:r>
              <w:rPr>
                <w:rFonts w:hint="eastAsia" w:ascii="宋体" w:hAnsi="宋体" w:eastAsia="宋体" w:cs="宋体"/>
                <w:color w:val="auto"/>
                <w:szCs w:val="21"/>
                <w:highlight w:val="none"/>
              </w:rPr>
              <w:t>导税咨询服务</w:t>
            </w:r>
          </w:p>
        </w:tc>
        <w:tc>
          <w:tcPr>
            <w:tcW w:w="1619" w:type="pct"/>
          </w:tcPr>
          <w:p>
            <w:pPr>
              <w:jc w:val="center"/>
              <w:rPr>
                <w:rFonts w:hint="eastAsia" w:ascii="宋体" w:hAnsi="宋体" w:eastAsia="宋体" w:cs="宋体"/>
                <w:color w:val="auto"/>
                <w:szCs w:val="24"/>
                <w:highlight w:val="none"/>
              </w:rPr>
            </w:pPr>
            <w:r>
              <w:rPr>
                <w:rFonts w:hint="eastAsia" w:ascii="宋体" w:hAnsi="宋体" w:eastAsia="宋体" w:cs="宋体"/>
                <w:color w:val="auto"/>
                <w:szCs w:val="21"/>
                <w:highlight w:val="none"/>
              </w:rPr>
              <w:t>根据纳税人（缴费人）的业务需求，进行办税（缴费）事项分流，引导纳税人（缴费人）前往正确的涉税窗口办理业务；根据纳税人（缴费人）的业务需求为其提供对应的办税（缴费）表单。</w:t>
            </w:r>
          </w:p>
        </w:tc>
        <w:tc>
          <w:tcPr>
            <w:tcW w:w="1472" w:type="pct"/>
          </w:tcPr>
          <w:p>
            <w:pPr>
              <w:jc w:val="left"/>
              <w:rPr>
                <w:rFonts w:hint="eastAsia" w:ascii="宋体" w:hAnsi="宋体" w:eastAsia="宋体" w:cs="宋体"/>
                <w:color w:val="auto"/>
                <w:szCs w:val="24"/>
                <w:highlight w:val="none"/>
              </w:rPr>
            </w:pPr>
            <w:r>
              <w:rPr>
                <w:rFonts w:hint="eastAsia" w:ascii="宋体" w:hAnsi="宋体" w:eastAsia="宋体" w:cs="宋体"/>
                <w:color w:val="auto"/>
                <w:kern w:val="0"/>
                <w:szCs w:val="21"/>
                <w:highlight w:val="none"/>
              </w:rPr>
              <w:t>未有效引导纳税人到相应区域办理业务或发生二次排队导致厅堂秩序混乱的，每出现一人次扣100元,月内同一人累计出现三次以上的要求中标人更换派驻导税咨询服务人员，新派驻人员需取得采购人同意。</w:t>
            </w:r>
          </w:p>
        </w:tc>
        <w:tc>
          <w:tcPr>
            <w:tcW w:w="659" w:type="pct"/>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50" w:type="pct"/>
          </w:tcPr>
          <w:p>
            <w:pPr>
              <w:jc w:val="center"/>
              <w:rPr>
                <w:rFonts w:hint="eastAsia" w:ascii="宋体" w:hAnsi="宋体" w:eastAsia="宋体" w:cs="宋体"/>
                <w:color w:val="auto"/>
                <w:szCs w:val="24"/>
                <w:highlight w:val="none"/>
              </w:rPr>
            </w:pPr>
            <w:r>
              <w:rPr>
                <w:rFonts w:hint="eastAsia" w:ascii="宋体" w:hAnsi="宋体" w:eastAsia="宋体" w:cs="宋体"/>
                <w:color w:val="auto"/>
                <w:szCs w:val="21"/>
                <w:highlight w:val="none"/>
              </w:rPr>
              <w:t>二、基础资料预审服务</w:t>
            </w:r>
          </w:p>
        </w:tc>
        <w:tc>
          <w:tcPr>
            <w:tcW w:w="1619" w:type="pct"/>
          </w:tcPr>
          <w:p>
            <w:pPr>
              <w:jc w:val="left"/>
              <w:rPr>
                <w:rFonts w:hint="eastAsia" w:ascii="宋体" w:hAnsi="宋体" w:eastAsia="宋体" w:cs="宋体"/>
                <w:color w:val="auto"/>
                <w:szCs w:val="24"/>
                <w:highlight w:val="none"/>
              </w:rPr>
            </w:pPr>
            <w:r>
              <w:rPr>
                <w:rFonts w:hint="eastAsia" w:ascii="宋体" w:hAnsi="宋体" w:eastAsia="宋体" w:cs="宋体"/>
                <w:color w:val="auto"/>
                <w:szCs w:val="21"/>
                <w:highlight w:val="none"/>
              </w:rPr>
              <w:t>根据纳税人（缴费人）的办税业务需求，对其基础资料的完备性进行预审；预审纳税人（缴费人）提供的办税（缴费）材料是否齐全、完整；预审纳税人（缴费人）填写的办税（缴费）表格是否完整、准确。</w:t>
            </w:r>
          </w:p>
        </w:tc>
        <w:tc>
          <w:tcPr>
            <w:tcW w:w="1472" w:type="pct"/>
          </w:tcPr>
          <w:p>
            <w:pPr>
              <w:jc w:val="left"/>
              <w:rPr>
                <w:rFonts w:hint="eastAsia" w:ascii="宋体" w:hAnsi="宋体" w:eastAsia="宋体" w:cs="宋体"/>
                <w:color w:val="auto"/>
                <w:szCs w:val="24"/>
                <w:highlight w:val="none"/>
              </w:rPr>
            </w:pPr>
            <w:r>
              <w:rPr>
                <w:rFonts w:hint="eastAsia" w:ascii="宋体" w:hAnsi="宋体" w:eastAsia="宋体" w:cs="宋体"/>
                <w:color w:val="auto"/>
                <w:kern w:val="0"/>
                <w:szCs w:val="21"/>
                <w:highlight w:val="none"/>
              </w:rPr>
              <w:t>未按规定对纳税人的办税资料进行预审导致纳税人多次跑的，每出现一人次扣100元,月内同一人累计出现三次以上的要求中标人更换派驻基础资料预审服务人员，新派驻人员需取得采购人同意。</w:t>
            </w:r>
          </w:p>
        </w:tc>
        <w:tc>
          <w:tcPr>
            <w:tcW w:w="659" w:type="pct"/>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50" w:type="pct"/>
          </w:tcPr>
          <w:p>
            <w:pPr>
              <w:jc w:val="center"/>
              <w:rPr>
                <w:rFonts w:hint="eastAsia" w:ascii="宋体" w:hAnsi="宋体" w:eastAsia="宋体" w:cs="宋体"/>
                <w:color w:val="auto"/>
                <w:szCs w:val="24"/>
                <w:highlight w:val="none"/>
              </w:rPr>
            </w:pPr>
            <w:r>
              <w:rPr>
                <w:rFonts w:hint="eastAsia" w:ascii="宋体" w:hAnsi="宋体" w:eastAsia="宋体" w:cs="宋体"/>
                <w:color w:val="auto"/>
                <w:szCs w:val="21"/>
                <w:highlight w:val="none"/>
              </w:rPr>
              <w:t>三、办税辅导服务</w:t>
            </w:r>
          </w:p>
        </w:tc>
        <w:tc>
          <w:tcPr>
            <w:tcW w:w="1619" w:type="pct"/>
          </w:tcPr>
          <w:p>
            <w:pPr>
              <w:jc w:val="left"/>
              <w:rPr>
                <w:rFonts w:hint="eastAsia" w:ascii="宋体" w:hAnsi="宋体" w:eastAsia="宋体" w:cs="宋体"/>
                <w:color w:val="auto"/>
                <w:szCs w:val="24"/>
                <w:highlight w:val="none"/>
              </w:rPr>
            </w:pPr>
            <w:r>
              <w:rPr>
                <w:rFonts w:hint="eastAsia" w:ascii="宋体" w:hAnsi="宋体" w:eastAsia="宋体" w:cs="宋体"/>
                <w:color w:val="auto"/>
                <w:szCs w:val="21"/>
                <w:highlight w:val="none"/>
              </w:rPr>
              <w:t>辅导纳税人（缴费人）进行相关表单的正确填写； 引导纳税人缴费人通过网上（添加）广西电子税务局、自然人电子税务局或其他自助办税渠道并进行个税申报、缴纳税款、发票代开、存款账号报告、完税证明打印等相关辅导服务； 辅导纳税人缴费人进行网上申报、信息确认、发票代开、三方协议签订等相关业务；引导纳税人（缴费人）的网上办事意识。</w:t>
            </w:r>
          </w:p>
        </w:tc>
        <w:tc>
          <w:tcPr>
            <w:tcW w:w="1472" w:type="pct"/>
          </w:tcPr>
          <w:p>
            <w:pPr>
              <w:jc w:val="left"/>
              <w:rPr>
                <w:rFonts w:hint="eastAsia" w:ascii="宋体" w:hAnsi="宋体" w:eastAsia="宋体" w:cs="宋体"/>
                <w:color w:val="auto"/>
                <w:szCs w:val="24"/>
                <w:highlight w:val="none"/>
              </w:rPr>
            </w:pPr>
            <w:r>
              <w:rPr>
                <w:rFonts w:hint="eastAsia" w:ascii="宋体" w:hAnsi="宋体" w:eastAsia="宋体" w:cs="宋体"/>
                <w:color w:val="auto"/>
                <w:kern w:val="0"/>
                <w:szCs w:val="21"/>
                <w:highlight w:val="none"/>
              </w:rPr>
              <w:t>未按规定辅导纳税人办理相关涉税事项导致纳税人多次跑的，每出现一人次扣100元,月内同一人累计出现三次以上的要求中标人更换派驻办税辅导服务人员，新派驻人员需取得采购人同意。</w:t>
            </w:r>
          </w:p>
        </w:tc>
        <w:tc>
          <w:tcPr>
            <w:tcW w:w="659" w:type="pct"/>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50" w:type="pct"/>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w:t>
            </w:r>
            <w:r>
              <w:rPr>
                <w:rFonts w:hint="eastAsia" w:ascii="宋体" w:hAnsi="宋体" w:eastAsia="宋体" w:cs="宋体"/>
                <w:color w:val="auto"/>
                <w:szCs w:val="21"/>
                <w:highlight w:val="none"/>
              </w:rPr>
              <w:t>办税咨询服务</w:t>
            </w:r>
          </w:p>
        </w:tc>
        <w:tc>
          <w:tcPr>
            <w:tcW w:w="1619" w:type="pct"/>
          </w:tcPr>
          <w:p>
            <w:pP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通过但不限于对外电话、办税平台等，远程为纳税人提供涉税业务办理操作的咨询服务，如业务、系统、技术等层面任何与网上办税平台有关的咨询服务；现场或远程解答纳税人缴费人办税(费)过程中遇到的办税问题， 如：税收政策咨询、申报问题、税（费）政策优惠等问题的咨询答复。</w:t>
            </w:r>
          </w:p>
        </w:tc>
        <w:tc>
          <w:tcPr>
            <w:tcW w:w="1472" w:type="pct"/>
          </w:tcPr>
          <w:p>
            <w:pP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严格落实首问责任制和一次性告知制度，对于服务人员推诿、敷衍、拒绝答复的行为，导致纳税人无法办理相关涉税业务的，每出现一人次扣100元,月内同一人累计出现三次以上的要求中标人更换派驻办税咨询服务人员，新派驻人员需取得采购人同意。</w:t>
            </w:r>
          </w:p>
        </w:tc>
        <w:tc>
          <w:tcPr>
            <w:tcW w:w="659" w:type="pct"/>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50" w:type="pct"/>
          </w:tcPr>
          <w:p>
            <w:pPr>
              <w:jc w:val="center"/>
              <w:rPr>
                <w:rFonts w:hint="eastAsia" w:ascii="宋体" w:hAnsi="宋体" w:eastAsia="宋体" w:cs="宋体"/>
                <w:color w:val="auto"/>
                <w:szCs w:val="24"/>
                <w:highlight w:val="none"/>
              </w:rPr>
            </w:pPr>
            <w:r>
              <w:rPr>
                <w:rFonts w:hint="eastAsia" w:ascii="宋体" w:hAnsi="宋体" w:eastAsia="宋体" w:cs="宋体"/>
                <w:color w:val="auto"/>
                <w:szCs w:val="21"/>
                <w:highlight w:val="none"/>
              </w:rPr>
              <w:t>五、纳税回访服务</w:t>
            </w:r>
          </w:p>
        </w:tc>
        <w:tc>
          <w:tcPr>
            <w:tcW w:w="1619" w:type="pct"/>
          </w:tcPr>
          <w:p>
            <w:pPr>
              <w:jc w:val="left"/>
              <w:rPr>
                <w:rFonts w:hint="eastAsia" w:ascii="宋体" w:hAnsi="宋体" w:eastAsia="宋体" w:cs="宋体"/>
                <w:color w:val="auto"/>
                <w:szCs w:val="24"/>
                <w:highlight w:val="none"/>
              </w:rPr>
            </w:pPr>
            <w:r>
              <w:rPr>
                <w:rFonts w:hint="eastAsia" w:ascii="宋体" w:hAnsi="宋体" w:eastAsia="宋体" w:cs="宋体"/>
                <w:color w:val="auto"/>
                <w:szCs w:val="21"/>
                <w:highlight w:val="none"/>
              </w:rPr>
              <w:t>根据纳税人通过各种网上办税平台、办税服务厅现场及电话反映的诉求进行记录并及时进行电话回访，电话回访内容包括涉税（费）问题答复、政策辅导、收集对纳税服务的意见建议等。</w:t>
            </w:r>
          </w:p>
        </w:tc>
        <w:tc>
          <w:tcPr>
            <w:tcW w:w="1472" w:type="pct"/>
          </w:tcPr>
          <w:p>
            <w:pPr>
              <w:jc w:val="left"/>
              <w:rPr>
                <w:rFonts w:hint="eastAsia" w:ascii="宋体" w:hAnsi="宋体" w:eastAsia="宋体" w:cs="宋体"/>
                <w:color w:val="auto"/>
                <w:szCs w:val="24"/>
                <w:highlight w:val="none"/>
              </w:rPr>
            </w:pPr>
            <w:r>
              <w:rPr>
                <w:rFonts w:hint="eastAsia" w:ascii="宋体" w:hAnsi="宋体" w:eastAsia="宋体" w:cs="宋体"/>
                <w:color w:val="auto"/>
                <w:kern w:val="0"/>
                <w:szCs w:val="21"/>
                <w:highlight w:val="none"/>
              </w:rPr>
              <w:t>未按规定对纳税人的诉求进行回访，导致纳税人缴费人不满意的，每出现一人次扣100元,月内同一人累计出现三次以上的要求中标人更换派驻纳税回访服务人员，新派驻人员需取得采购人同意。</w:t>
            </w:r>
          </w:p>
        </w:tc>
        <w:tc>
          <w:tcPr>
            <w:tcW w:w="659" w:type="pct"/>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50" w:type="pct"/>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w:t>
            </w:r>
            <w:r>
              <w:rPr>
                <w:rFonts w:hint="eastAsia" w:ascii="宋体" w:hAnsi="宋体" w:eastAsia="宋体" w:cs="宋体"/>
                <w:color w:val="auto"/>
                <w:szCs w:val="21"/>
                <w:highlight w:val="none"/>
              </w:rPr>
              <w:t>信息采集与录入服务</w:t>
            </w:r>
          </w:p>
        </w:tc>
        <w:tc>
          <w:tcPr>
            <w:tcW w:w="1619" w:type="pct"/>
          </w:tcPr>
          <w:p>
            <w:pPr>
              <w:keepNext/>
              <w:keepLines/>
              <w:numPr>
                <w:ilvl w:val="4"/>
                <w:numId w:val="0"/>
              </w:numPr>
              <w:spacing w:line="300" w:lineRule="exact"/>
              <w:jc w:val="left"/>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根据采购人工作安排，对纳税人（缴费人）提交的申请、申报等表单，进行相关档案、数据的登记录入辅助工作。</w:t>
            </w:r>
          </w:p>
          <w:p>
            <w:pPr>
              <w:jc w:val="center"/>
              <w:rPr>
                <w:rFonts w:hint="eastAsia" w:ascii="宋体" w:hAnsi="宋体" w:eastAsia="宋体" w:cs="宋体"/>
                <w:color w:val="auto"/>
                <w:szCs w:val="24"/>
                <w:highlight w:val="none"/>
              </w:rPr>
            </w:pPr>
          </w:p>
        </w:tc>
        <w:tc>
          <w:tcPr>
            <w:tcW w:w="1472" w:type="pct"/>
          </w:tcPr>
          <w:p>
            <w:pP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未对需归档的纸质材料进行整理登记的，按次扣钱，</w:t>
            </w:r>
            <w:r>
              <w:rPr>
                <w:rFonts w:hint="eastAsia" w:ascii="宋体" w:hAnsi="宋体" w:eastAsia="宋体" w:cs="宋体"/>
                <w:color w:val="auto"/>
                <w:kern w:val="0"/>
                <w:szCs w:val="21"/>
                <w:highlight w:val="none"/>
              </w:rPr>
              <w:t>每出现一次扣100元,月内同一人累计出现三次以上的要求中标人更换派驻信息采集与录入服务人员，新派驻人员需取得采购人同意。</w:t>
            </w:r>
          </w:p>
        </w:tc>
        <w:tc>
          <w:tcPr>
            <w:tcW w:w="659" w:type="pct"/>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250" w:type="pct"/>
          </w:tcPr>
          <w:p>
            <w:pPr>
              <w:jc w:val="center"/>
              <w:rPr>
                <w:rFonts w:hint="eastAsia" w:ascii="宋体" w:hAnsi="宋体" w:eastAsia="宋体" w:cs="宋体"/>
                <w:color w:val="auto"/>
                <w:szCs w:val="24"/>
                <w:highlight w:val="none"/>
              </w:rPr>
            </w:pPr>
            <w:r>
              <w:rPr>
                <w:rFonts w:hint="eastAsia" w:ascii="宋体" w:hAnsi="宋体" w:eastAsia="宋体" w:cs="宋体"/>
                <w:color w:val="auto"/>
                <w:szCs w:val="21"/>
                <w:highlight w:val="none"/>
              </w:rPr>
              <w:t>七、税收宣传服务</w:t>
            </w:r>
          </w:p>
        </w:tc>
        <w:tc>
          <w:tcPr>
            <w:tcW w:w="1619" w:type="pct"/>
          </w:tcPr>
          <w:p>
            <w:pPr>
              <w:jc w:val="left"/>
              <w:rPr>
                <w:rFonts w:hint="eastAsia" w:ascii="宋体" w:hAnsi="宋体" w:eastAsia="宋体" w:cs="宋体"/>
                <w:color w:val="auto"/>
                <w:szCs w:val="24"/>
                <w:highlight w:val="none"/>
              </w:rPr>
            </w:pPr>
            <w:r>
              <w:rPr>
                <w:rFonts w:hint="eastAsia" w:ascii="宋体" w:hAnsi="宋体" w:eastAsia="宋体" w:cs="宋体"/>
                <w:color w:val="auto"/>
                <w:szCs w:val="21"/>
                <w:highlight w:val="none"/>
              </w:rPr>
              <w:t>根据工作需要，由采购人统筹安排，开展税（费）政策、税法等内容宣传活动。</w:t>
            </w:r>
          </w:p>
        </w:tc>
        <w:tc>
          <w:tcPr>
            <w:tcW w:w="1472" w:type="pct"/>
          </w:tcPr>
          <w:p>
            <w:pPr>
              <w:jc w:val="left"/>
              <w:rPr>
                <w:rFonts w:hint="eastAsia" w:ascii="宋体" w:hAnsi="宋体" w:eastAsia="宋体" w:cs="宋体"/>
                <w:color w:val="auto"/>
                <w:szCs w:val="24"/>
                <w:highlight w:val="none"/>
              </w:rPr>
            </w:pPr>
            <w:r>
              <w:rPr>
                <w:rFonts w:hint="eastAsia" w:ascii="宋体" w:hAnsi="宋体" w:eastAsia="宋体" w:cs="宋体"/>
                <w:color w:val="auto"/>
                <w:kern w:val="0"/>
                <w:szCs w:val="21"/>
                <w:highlight w:val="none"/>
              </w:rPr>
              <w:t>每年参加组织开展的宣传服务活动少于6次的，按次扣钱，一人次扣100元，月内同一人累计缺三次以上的要求中标人更换派驻税收宣传服务人员，新派驻人员需取得采购人同意。</w:t>
            </w:r>
          </w:p>
        </w:tc>
        <w:tc>
          <w:tcPr>
            <w:tcW w:w="659" w:type="pct"/>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pct"/>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w:t>
            </w:r>
            <w:r>
              <w:rPr>
                <w:rFonts w:hint="eastAsia" w:ascii="宋体" w:hAnsi="宋体" w:eastAsia="宋体" w:cs="宋体"/>
                <w:color w:val="auto"/>
                <w:szCs w:val="21"/>
                <w:highlight w:val="none"/>
              </w:rPr>
              <w:t>协助完成采购人交办的其他非执法类辅助性服务事项</w:t>
            </w:r>
          </w:p>
        </w:tc>
        <w:tc>
          <w:tcPr>
            <w:tcW w:w="1619" w:type="pct"/>
          </w:tcPr>
          <w:p>
            <w:pP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根据工作需要，</w:t>
            </w:r>
            <w:r>
              <w:rPr>
                <w:rFonts w:hint="eastAsia" w:ascii="宋体" w:hAnsi="宋体" w:eastAsia="宋体" w:cs="宋体"/>
                <w:color w:val="auto"/>
                <w:szCs w:val="21"/>
                <w:highlight w:val="none"/>
              </w:rPr>
              <w:t>由采购人统筹安排协助完成其他非执法类辅助性服务事项。</w:t>
            </w:r>
          </w:p>
        </w:tc>
        <w:tc>
          <w:tcPr>
            <w:tcW w:w="1472" w:type="pct"/>
          </w:tcPr>
          <w:p>
            <w:pP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不服从采购人工作安排的，一人次扣100元，月</w:t>
            </w:r>
            <w:r>
              <w:rPr>
                <w:rFonts w:hint="eastAsia" w:ascii="宋体" w:hAnsi="宋体" w:eastAsia="宋体" w:cs="宋体"/>
                <w:color w:val="auto"/>
                <w:kern w:val="0"/>
                <w:szCs w:val="21"/>
                <w:highlight w:val="none"/>
              </w:rPr>
              <w:t>内同一人累计三次以上的要求中标人更换派驻服务人员，新派驻人员需取得采购人同意。</w:t>
            </w:r>
          </w:p>
        </w:tc>
        <w:tc>
          <w:tcPr>
            <w:tcW w:w="659" w:type="pct"/>
          </w:tcPr>
          <w:p>
            <w:pPr>
              <w:jc w:val="center"/>
              <w:rPr>
                <w:rFonts w:hint="eastAsia" w:ascii="宋体" w:hAnsi="宋体" w:eastAsia="宋体" w:cs="宋体"/>
                <w:color w:val="auto"/>
                <w:szCs w:val="24"/>
                <w:highlight w:val="none"/>
              </w:rPr>
            </w:pPr>
          </w:p>
        </w:tc>
      </w:tr>
    </w:tbl>
    <w:p>
      <w:pPr>
        <w:rPr>
          <w:rFonts w:hint="eastAsia" w:ascii="宋体" w:hAnsi="宋体" w:eastAsia="宋体" w:cs="宋体"/>
          <w:color w:val="auto"/>
          <w:highlight w:val="none"/>
          <w:lang w:eastAsia="zh-CN"/>
        </w:rPr>
      </w:pPr>
    </w:p>
    <w:p/>
    <w:p/>
    <w:sectPr>
      <w:pgSz w:w="11906" w:h="16838"/>
      <w:pgMar w:top="1440" w:right="1440" w:bottom="1440" w:left="1440" w:header="851" w:footer="992"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7B77D"/>
    <w:multiLevelType w:val="singleLevel"/>
    <w:tmpl w:val="C707B77D"/>
    <w:lvl w:ilvl="0" w:tentative="0">
      <w:start w:val="1"/>
      <w:numFmt w:val="decimal"/>
      <w:pStyle w:val="5"/>
      <w:lvlText w:val="%1."/>
      <w:lvlJc w:val="left"/>
      <w:pPr>
        <w:tabs>
          <w:tab w:val="left" w:pos="780"/>
        </w:tabs>
        <w:ind w:left="780" w:hanging="36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BA01A25"/>
    <w:multiLevelType w:val="singleLevel"/>
    <w:tmpl w:val="4BA01A25"/>
    <w:lvl w:ilvl="0" w:tentative="0">
      <w:start w:val="1"/>
      <w:numFmt w:val="chineseCounting"/>
      <w:suff w:val="nothing"/>
      <w:lvlText w:val="%1、"/>
      <w:lvlJc w:val="left"/>
      <w:rPr>
        <w:rFonts w:hint="eastAsia"/>
      </w:rPr>
    </w:lvl>
  </w:abstractNum>
  <w:abstractNum w:abstractNumId="3">
    <w:nsid w:val="52C63988"/>
    <w:multiLevelType w:val="multilevel"/>
    <w:tmpl w:val="52C63988"/>
    <w:lvl w:ilvl="0" w:tentative="0">
      <w:start w:val="1"/>
      <w:numFmt w:val="decimal"/>
      <w:lvlText w:val="%1"/>
      <w:lvlJc w:val="left"/>
      <w:pPr>
        <w:tabs>
          <w:tab w:val="left" w:pos="1573"/>
        </w:tabs>
        <w:ind w:left="1573" w:hanging="143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8F212B"/>
    <w:rsid w:val="16DA4EB2"/>
    <w:rsid w:val="4F8F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5"/>
    <w:basedOn w:val="5"/>
    <w:next w:val="6"/>
    <w:unhideWhenUsed/>
    <w:qFormat/>
    <w:uiPriority w:val="0"/>
    <w:pPr>
      <w:keepNext/>
      <w:keepLines/>
      <w:tabs>
        <w:tab w:val="left" w:pos="780"/>
      </w:tabs>
      <w:spacing w:before="280" w:after="290" w:line="374" w:lineRule="auto"/>
      <w:outlineLvl w:val="4"/>
    </w:pPr>
    <w:rPr>
      <w:rFonts w:ascii="Calibri" w:hAnsi="Calibri"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List Number 2"/>
    <w:basedOn w:val="1"/>
    <w:uiPriority w:val="0"/>
    <w:pPr>
      <w:numPr>
        <w:ilvl w:val="0"/>
        <w:numId w:val="2"/>
      </w:numPr>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text"/>
    <w:basedOn w:val="1"/>
    <w:unhideWhenUsed/>
    <w:qFormat/>
    <w:uiPriority w:val="99"/>
    <w:pPr>
      <w:jc w:val="left"/>
    </w:pPr>
  </w:style>
  <w:style w:type="paragraph" w:styleId="8">
    <w:name w:val="Body Text"/>
    <w:basedOn w:val="1"/>
    <w:next w:val="1"/>
    <w:qFormat/>
    <w:uiPriority w:val="1"/>
    <w:rPr>
      <w:b/>
      <w:szCs w:val="24"/>
    </w:rPr>
  </w:style>
  <w:style w:type="paragraph" w:styleId="9">
    <w:name w:val="Title"/>
    <w:basedOn w:val="1"/>
    <w:next w:val="1"/>
    <w:qFormat/>
    <w:uiPriority w:val="10"/>
    <w:pPr>
      <w:spacing w:before="207"/>
      <w:ind w:left="1174" w:right="576"/>
      <w:jc w:val="center"/>
    </w:pPr>
    <w:rPr>
      <w:rFonts w:ascii="Arial Unicode MS" w:hAnsi="Arial Unicode MS" w:eastAsia="Arial Unicode MS" w:cs="Arial Unicode MS"/>
      <w:sz w:val="44"/>
      <w:szCs w:val="44"/>
    </w:rPr>
  </w:style>
  <w:style w:type="character" w:styleId="12">
    <w:name w:val="annotation reference"/>
    <w:unhideWhenUsed/>
    <w:qFormat/>
    <w:uiPriority w:val="0"/>
    <w:rPr>
      <w:sz w:val="21"/>
      <w:szCs w:val="21"/>
    </w:rPr>
  </w:style>
  <w:style w:type="table" w:customStyle="1" w:styleId="13">
    <w:name w:val="网格型3"/>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2024-10-24T02:37:00Z</dcterms:created>
  <dc:creator>仇文艳</dc:creator>
  <cp:lastModifiedBy>陈敏</cp:lastModifiedBy>
  <dcterms:modified xsi:type="dcterms:W3CDTF">2024-11-25T09:33:54Z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