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numId w:val="0"/>
        </w:numPr>
        <w:ind w:firstLine="3614" w:firstLineChars="1200"/>
        <w:jc w:val="both"/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highlight w:val="none"/>
          <w:lang w:val="en-US" w:eastAsia="zh-CN" w:bidi="ar"/>
        </w:rPr>
        <w:t>项目采购需求</w:t>
      </w:r>
    </w:p>
    <w:bookmarkEnd w:id="0"/>
    <w:p>
      <w:pPr>
        <w:spacing w:line="360" w:lineRule="exact"/>
        <w:ind w:firstLine="424" w:firstLineChars="202"/>
        <w:jc w:val="left"/>
        <w:rPr>
          <w:rFonts w:ascii="宋体" w:hAnsi="宋体" w:eastAsia="宋体" w:cs="Times New Roman"/>
          <w:color w:val="000000"/>
          <w:szCs w:val="22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2"/>
          <w:highlight w:val="none"/>
        </w:rPr>
        <w:t>1、磋商文件中标注“★”符号的条款为实质性要求条款（即重要条款），对其中任何一条的负偏离，在评标时将其视为无效投标。</w:t>
      </w:r>
    </w:p>
    <w:p>
      <w:pPr>
        <w:spacing w:line="360" w:lineRule="exact"/>
        <w:ind w:firstLine="424" w:firstLineChars="202"/>
        <w:jc w:val="left"/>
        <w:rPr>
          <w:rFonts w:ascii="宋体" w:hAnsi="宋体" w:eastAsia="宋体" w:cs="Times New Roman"/>
          <w:color w:val="000000"/>
          <w:szCs w:val="22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2"/>
          <w:highlight w:val="none"/>
        </w:rPr>
        <w:t>2、</w:t>
      </w:r>
      <w:r>
        <w:rPr>
          <w:rFonts w:hint="eastAsia" w:ascii="宋体" w:hAnsi="宋体" w:eastAsia="宋体" w:cs="Times New Roman"/>
          <w:color w:val="000000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Cs w:val="22"/>
          <w:highlight w:val="none"/>
        </w:rPr>
        <w:t>必须自行为其投标产品侵犯其他</w:t>
      </w:r>
      <w:r>
        <w:rPr>
          <w:rFonts w:hint="eastAsia" w:ascii="宋体" w:hAnsi="宋体" w:eastAsia="宋体" w:cs="Times New Roman"/>
          <w:color w:val="000000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Cs w:val="22"/>
          <w:highlight w:val="none"/>
        </w:rPr>
        <w:t>或专利人的专利成果承担相应法律责任；同时，具有产品专利的</w:t>
      </w:r>
      <w:r>
        <w:rPr>
          <w:rFonts w:hint="eastAsia" w:ascii="宋体" w:hAnsi="宋体" w:eastAsia="宋体" w:cs="Times New Roman"/>
          <w:color w:val="000000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Cs w:val="22"/>
          <w:highlight w:val="none"/>
        </w:rPr>
        <w:t>应在其投标文件中提供与其自有产品专利相关的有效证明材料，否则，不能就其产品的专利在本项目投标过程中被侵权问题提出异议。</w:t>
      </w:r>
    </w:p>
    <w:p>
      <w:pPr>
        <w:spacing w:line="360" w:lineRule="exact"/>
        <w:ind w:firstLine="426" w:firstLineChars="202"/>
        <w:jc w:val="left"/>
        <w:rPr>
          <w:rFonts w:ascii="宋体" w:hAnsi="宋体" w:eastAsia="宋体" w:cs="Times New Roman"/>
          <w:b/>
          <w:color w:val="000000"/>
          <w:szCs w:val="22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Cs w:val="22"/>
          <w:highlight w:val="none"/>
        </w:rPr>
        <w:t>3、磋商文件中所要求提供的证明材料，如为英文文本的请同时提供中文翻译文本。</w:t>
      </w:r>
    </w:p>
    <w:p>
      <w:pPr>
        <w:spacing w:line="360" w:lineRule="exact"/>
        <w:ind w:firstLine="426" w:firstLineChars="202"/>
        <w:jc w:val="left"/>
        <w:rPr>
          <w:rFonts w:ascii="宋体" w:hAnsi="宋体" w:eastAsia="宋体" w:cs="Times New Roman"/>
          <w:b/>
          <w:color w:val="000000"/>
          <w:szCs w:val="22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Cs w:val="22"/>
          <w:highlight w:val="none"/>
        </w:rPr>
        <w:t>4、</w:t>
      </w:r>
      <w:r>
        <w:rPr>
          <w:rFonts w:hint="eastAsia" w:ascii="宋体" w:hAnsi="宋体" w:eastAsia="宋体" w:cs="Times New Roman"/>
          <w:b/>
          <w:color w:val="000000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Times New Roman"/>
          <w:b/>
          <w:color w:val="000000"/>
          <w:szCs w:val="22"/>
          <w:highlight w:val="none"/>
        </w:rPr>
        <w:t>所投标产品或服务如国家有强制性要求的应按国家规定执行，并提供相关证明材料。</w:t>
      </w:r>
    </w:p>
    <w:p>
      <w:pPr>
        <w:spacing w:line="360" w:lineRule="exact"/>
        <w:ind w:firstLine="426" w:firstLineChars="202"/>
        <w:jc w:val="left"/>
        <w:rPr>
          <w:rFonts w:hint="eastAsia" w:ascii="宋体" w:hAnsi="宋体" w:eastAsia="宋体" w:cs="Times New Roman"/>
          <w:b/>
          <w:color w:val="000000"/>
          <w:szCs w:val="22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Cs w:val="22"/>
          <w:highlight w:val="none"/>
        </w:rPr>
        <w:t>5、本项目采购需求中内容如与第四章“采购合同文本”合同条款及格式相关条款不一致的，以本表为准。</w:t>
      </w:r>
    </w:p>
    <w:p>
      <w:pPr>
        <w:widowControl w:val="0"/>
        <w:jc w:val="both"/>
        <w:rPr>
          <w:rFonts w:hint="eastAsia" w:ascii="宋体" w:hAnsi="宋体" w:eastAsia="宋体" w:cs="Times New Roman"/>
          <w:b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jc w:val="both"/>
        <w:rPr>
          <w:rFonts w:hint="eastAsia" w:ascii="宋体" w:hAnsi="宋体" w:eastAsia="宋体" w:cs="Times New Roman"/>
          <w:b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kern w:val="2"/>
          <w:sz w:val="21"/>
          <w:szCs w:val="24"/>
          <w:highlight w:val="none"/>
          <w:lang w:val="en-US" w:eastAsia="zh-CN" w:bidi="ar-SA"/>
        </w:rPr>
        <w:t>A分标：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一、项目概况</w:t>
      </w:r>
    </w:p>
    <w:tbl>
      <w:tblPr>
        <w:tblStyle w:val="3"/>
        <w:tblW w:w="8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39"/>
        <w:gridCol w:w="3706"/>
        <w:gridCol w:w="1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采购包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采购标的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最高限价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采购标的对应的中小企业划分标准所属行业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国家税务总局上林县税务局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物业管理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u w:val="none" w:color="auto"/>
              </w:rPr>
              <w:t>人民币（大写）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陆拾壹万伍仟元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整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物业管理</w:t>
            </w:r>
          </w:p>
        </w:tc>
      </w:tr>
    </w:tbl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二、技术要求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（一）物业服务内容：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秩序维护服务、会议服务、保洁服务。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firstLine="399" w:firstLineChars="19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（二）物业管理服务范围：服务办公楼区域9892.84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㎡。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250"/>
        <w:gridCol w:w="1245"/>
        <w:gridCol w:w="1155"/>
        <w:gridCol w:w="139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center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50" w:type="dxa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center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服务区域</w:t>
            </w:r>
          </w:p>
        </w:tc>
        <w:tc>
          <w:tcPr>
            <w:tcW w:w="1245" w:type="dxa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center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建筑面积（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㎡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155" w:type="dxa"/>
            <w:vAlign w:val="top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center"/>
              <w:outlineLvl w:val="4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总层数</w:t>
            </w:r>
          </w:p>
        </w:tc>
        <w:tc>
          <w:tcPr>
            <w:tcW w:w="1395" w:type="dxa"/>
            <w:vAlign w:val="top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center"/>
              <w:outlineLvl w:val="4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物业类型</w:t>
            </w:r>
          </w:p>
        </w:tc>
        <w:tc>
          <w:tcPr>
            <w:tcW w:w="1546" w:type="dxa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center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坐落地址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31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center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国家税务总局上林县税务局局机关</w:t>
            </w:r>
          </w:p>
        </w:tc>
        <w:tc>
          <w:tcPr>
            <w:tcW w:w="124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4597.35</w:t>
            </w:r>
          </w:p>
        </w:tc>
        <w:tc>
          <w:tcPr>
            <w:tcW w:w="115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4、4</w:t>
            </w:r>
          </w:p>
        </w:tc>
        <w:tc>
          <w:tcPr>
            <w:tcW w:w="139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办公楼、食堂</w:t>
            </w:r>
          </w:p>
        </w:tc>
        <w:tc>
          <w:tcPr>
            <w:tcW w:w="1546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上林县大丰镇马浦路1号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931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center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国家税务总局上林县税务局第一税务分局、第二税务分局、大丰税务分局</w:t>
            </w:r>
          </w:p>
        </w:tc>
        <w:tc>
          <w:tcPr>
            <w:tcW w:w="124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1482.50</w:t>
            </w:r>
          </w:p>
        </w:tc>
        <w:tc>
          <w:tcPr>
            <w:tcW w:w="115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4、2</w:t>
            </w:r>
          </w:p>
        </w:tc>
        <w:tc>
          <w:tcPr>
            <w:tcW w:w="139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办公楼、老干活动室及车库</w:t>
            </w:r>
          </w:p>
        </w:tc>
        <w:tc>
          <w:tcPr>
            <w:tcW w:w="1546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上林县大丰镇明城路45号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931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center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国家税务总局上林县税务局三里税务分局</w:t>
            </w:r>
          </w:p>
        </w:tc>
        <w:tc>
          <w:tcPr>
            <w:tcW w:w="124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1970</w:t>
            </w:r>
          </w:p>
        </w:tc>
        <w:tc>
          <w:tcPr>
            <w:tcW w:w="115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办公楼</w:t>
            </w:r>
          </w:p>
        </w:tc>
        <w:tc>
          <w:tcPr>
            <w:tcW w:w="1546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广西南宁市上林县三里镇三里社区南湖街5-1号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31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center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国家税务总局上林县税务局镇圩税务分局</w:t>
            </w:r>
          </w:p>
        </w:tc>
        <w:tc>
          <w:tcPr>
            <w:tcW w:w="124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1842.99</w:t>
            </w:r>
          </w:p>
        </w:tc>
        <w:tc>
          <w:tcPr>
            <w:tcW w:w="115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办公楼</w:t>
            </w:r>
          </w:p>
        </w:tc>
        <w:tc>
          <w:tcPr>
            <w:tcW w:w="1546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280" w:after="156" w:line="560" w:lineRule="exact"/>
              <w:jc w:val="both"/>
              <w:outlineLvl w:val="4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广西南宁市上林县镇圩要求乡镇马街9号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（三）物业服务需求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99" w:firstLineChars="238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、秩序维护服务。办公楼（区）门卫和日常巡逻、防盗等报警监控运行管理，车辆、道路及公共秩序维护，防汛、治安及其他突发事件处理等，秩序维护所购买的对讲机、服装、照明灯、应急包等材料费用由成交供应商承担。秩序服务具体要求如下：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left="16" w:firstLine="401" w:firstLineChars="191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1）加强门卫管理。24小时值守；指定时间段立岗，形象展示；按采购人要求，严格对出入管理区域人员管理，落实好检查、验证、登记制度，杜绝外来推销、废品收购等闲杂人员、可疑人员和危险物品进入办公楼（区）内；大件物品出入实行确认备案制度，建立报告制度并登记台账；密切掌握管理区域车辆、人员动态，及时妥善处置各种意外情况，定期做好办公区、小区车辆的排查工作，非工作人员、小区业主车辆不得隔夜停放，并研究制定相应管理办法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left="16" w:firstLine="401" w:firstLineChars="191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2）加强办税服务厅秩序管理。引导纳税人有序排队办理业务，协助纳税人取号，解答纳税人的简单咨询，维护办税服务厅安静整洁；检查办税服务厅消防设施是否正常，确保疏散通道畅通，关注厅内人员行为举止，当值发生安全事故或者突发情况，如遇到可疑人员或者异常情况，及时采取措施并上报上级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（2）主动引导车辆停放和维护交通秩序，确保交通通畅，加强检查巡查，及时纠正各种乱停乱放问题。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（3）积极协助主办部门做好重大活动、重大会议等安全保卫与保障工作，全力保障重大活动与重大会议顺利进行。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（4）严格执行门卫管理制度做好交接工作。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（5）物业服务人员不得勾结或私自放行他人占用公家房产或公共资源。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2、会议服务。办公楼（区）内发生的会前的物品准备、会场清洁、会场布置、会议期间的茶水供应、应急疏散、会议用品保管等，会议服务的茶叶、纸杯纸巾、清洁用品等材料费由采购人承担。会议服务具体要求如下：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（1）会议室及其用品管理：茶具严格清洗、消、封存，达到卫生安全标准，对公共区域的物品进行有效管理，定期进行清点。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（2）根据会议使用方要求、场地大小、用途，明确摆放规定，做好会场和活动场地的布置；会议服务人员于会议开始前就位；做好相应方位、就座、安全出口指引服务；引导手势规范，语言标准。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3）会议中及时做好会务服务：中间休息及时整理好座椅、桌面用品；保证会场内（如会议方许可）及会议室外至少各保留1名服务人员进行服务，随时解决与会人员提出的临时要求。会议结束前，各引导人员迅速抵达岗位，进行疏散。做好会前会后的保洁工作。若有会议需要，应在会前加强保洁，会后及时清理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4）制定有关会议、活动突发事件的应急预案；对于大型会议，会前应将会议中心疏散图、各疏散通道位置告知会议方，并提醒会议方有序退场；发生紧急事件时，立即组织相关责任人处理，按应急方案制定的措施执行，并分析原因，提出整改方案和预防措施；单位主要领导召集的会议、大型会议，物业服务人员务必提前对水、电、空调、电梯等设备的情况进行检查并建立工作台账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（5）法定节假日或有重大活动的，按采购人要求协助做好氛围营造工作，如绿化、美化、宣传布置、垂挂灯笼、大型活动场地布置等。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3.保洁服务。办公楼（区）内大厅、过道、楼梯、卫生间、公共活动场所楼宇外墙等所有公共部位，办公区域道路、停车场（库）等所有公共场地及“门前二包”区域的日常清洁。办公垃圾等废弃物分类、清理所产生的费用由成交供应商承担；办公清洁药剂、清洁工具、洗手液、卫生纸等低值易耗品由采购人承担。具体保洁服务要求如下：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1）坚持每天不少于1次对楼道、走廊、楼梯、卫生间、会议室进行卫生清扫、保洁消杀工作，对门窗、扶手、灯柱、垃圾桶、会议桌椅进行擦拭保洁、消杀，按采购人和使用人要求对办公室进行卫生清扫、消杀。每天不少于1次对保洁区域进行巡视检查，巡回保洁，确保干净、无异味、无灰尘、无杂物、无积水、无明显污迹、无油迹、无蛛网、无乱钉乱画，物品、桌椅摆放整齐有序、无杂物，卫生间、楼梯等室内空间保持空气清新、无异味，公共部位无擅自占用和堆放杂物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（2）室内卫生使用的清洁剂、除锈剂、光亮剂、消毒液等化工液体要符合质量要求，卫生间的卫生纸及洗手液按要求及时更换。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3）清洁工具分区分类定点摆放，整齐、干净；保洁员要节约、爱护保洁工具，不得随意损坏、丢弃；卫生保洁要注意节约用水，做到人离水关；在清扫外围区域时注意行人车辆，要有安全作业标识，确保安全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（4）做好垃圾清运工作。保洁员在作业中产生的所有垃圾必须倒入指定位置，所有生活垃圾必须做到日产日清，不得在管理区域内私自焚烧或随意倒放，</w:t>
      </w:r>
      <w:r>
        <w:rPr>
          <w:rFonts w:hint="eastAsia" w:ascii="宋体" w:hAnsi="宋体" w:eastAsia="宋体" w:cs="宋体"/>
          <w:b w:val="0"/>
          <w:bCs/>
          <w:spacing w:val="-5"/>
          <w:kern w:val="2"/>
          <w:sz w:val="21"/>
          <w:szCs w:val="21"/>
          <w:highlight w:val="none"/>
          <w:lang w:val="en-US" w:eastAsia="zh-CN" w:bidi="ar-SA"/>
        </w:rPr>
        <w:t>垃圾箱外侧表面清洁、内侧无残留物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；装修垃圾必须集中堆放，定期清运并进行消毒杀菌，不影响交通，不影响环境。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（5）按要求做好环境消毒及除“四害”工作，特殊时期根据采购人要求加大消杀力度。药品成分符合国家规范要求，安全、环保、无异味。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（6）重要岗位的保洁人员要求：无违法犯罪记录，思想端正，人员相对固定，并签订保密协议。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2"/>
          <w:highlight w:val="none"/>
        </w:rPr>
        <w:t>★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三、服务团队配置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1.公共秩序维护员7名，年龄在59岁以下，具有1年工作经验，其中，明城路办公区3名、办税服务厅1名、马浦路办公区3名。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2.会务人员3名，年龄在50周岁以下，具有初中文化。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3.保洁员3名，女性，年龄在55周岁以下，身体健康，能吃苦耐劳，有良好的服务意识，纪律性与责任心强，有一年相关工作经验。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四、服务考核办法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（本办法所称的“以上”、“以下”、“内”、“以内”，包括本数；所称的“不足”，不包括本数）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采购人采取每月定期（详见附件1：物业服务日常工作考核评分表）方式对成交供应商进行考核。成交供应商派人参加考核，发现问题，当场告知。成交供应商根据考核存在的问题和不足，查找原因，提出整改意见（整改意见于5个工作日内）通报采购人，并及时作出整改。考核结果双方签字确认。</w:t>
      </w:r>
    </w:p>
    <w:p>
      <w:pPr>
        <w:keepNext/>
        <w:keepLines/>
        <w:pageBreakBefore w:val="0"/>
        <w:widowControl w:val="0"/>
        <w:numPr>
          <w:ilvl w:val="4"/>
          <w:numId w:val="2"/>
        </w:numPr>
        <w:kinsoku/>
        <w:overflowPunct/>
        <w:topLinePunct w:val="0"/>
        <w:autoSpaceDE/>
        <w:autoSpaceDN/>
        <w:bidi w:val="0"/>
        <w:adjustRightInd/>
        <w:spacing w:before="280" w:after="156" w:line="560" w:lineRule="exact"/>
        <w:jc w:val="left"/>
        <w:textAlignment w:val="auto"/>
        <w:outlineLvl w:val="4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2.采购人对成交供应商的服务质量不定期抽查，检查记录经双方签字确认后保存在采购人处。采购人有权根据检查结果，按《物业服务日常工作考核评分表》（详见附件1）对成交供应商实施扣款，并通知成交供应商限期整改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2"/>
          <w:highlight w:val="none"/>
        </w:rPr>
        <w:t>★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五、商务要求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（一）服务地点：采购人指定的物业服务范围（广西壮族自治区南宁市上林县内）。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（二）服务期限：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年。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（三）服务费支付方式及时间：</w:t>
      </w:r>
    </w:p>
    <w:p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1.采购人采取先服务后付款、按月考核结算的方式。每月10日前，采购人根据服务考核办法及标准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合同罚责条款对成交供应商上月服务进行考核，考核结果经双方确认无异议后，采购人按考核结果对合同服务费进行汇总扣款后支付剩余款项。服务费从成交供应商开始提供服务工作之日起开始计算，足月的月份服务费为：月服务费=年度合同金额/12-月考核汇总扣款；不足月的月份服务费为：年度合同金额/12÷当月日历天数×当月实际工作天数-月考核汇总扣款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2.采购人付款前，成交供应商向采购人提供等额有效的正规行业发票。采购人收到发票后10个工作日内支付成交供应商的服务费。采购人未收到发票的，有权不予支付相应款项直至成交供应商提供合格发票，并不承担延迟付款责任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宋体" w:hAnsi="宋体" w:eastAsia="宋体" w:cs="黑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</w:rPr>
        <w:br w:type="page"/>
      </w:r>
      <w:r>
        <w:rPr>
          <w:rFonts w:hint="eastAsia" w:ascii="宋体" w:hAnsi="宋体" w:eastAsia="宋体" w:cs="黑体"/>
          <w:b/>
          <w:color w:val="auto"/>
          <w:szCs w:val="21"/>
          <w:highlight w:val="none"/>
        </w:rPr>
        <w:t>附件</w:t>
      </w:r>
      <w:r>
        <w:rPr>
          <w:rFonts w:hint="eastAsia" w:ascii="宋体" w:hAnsi="宋体" w:eastAsia="宋体" w:cs="黑体"/>
          <w:b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黑体"/>
          <w:b/>
          <w:color w:val="auto"/>
          <w:szCs w:val="21"/>
          <w:highlight w:val="none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宋体" w:hAnsi="宋体" w:eastAsia="宋体" w:cs="方正小标宋简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方正小标宋简体"/>
          <w:color w:val="auto"/>
          <w:sz w:val="28"/>
          <w:szCs w:val="28"/>
          <w:highlight w:val="none"/>
        </w:rPr>
        <w:t>物业服务日常工作考核评分表</w:t>
      </w:r>
    </w:p>
    <w:tbl>
      <w:tblPr>
        <w:tblStyle w:val="2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3"/>
        <w:gridCol w:w="2970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  <w:t>考核检查内容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  <w:t>扣款额度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发生重大失责行为，造成严重后果者。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每次扣款10000元。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物业服务人员服务态度端正，佩戴明显标志（工作牌），穿工服，讲文明礼貌用语、服从和接受采购人的管理和检查。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每发现一次不合格者扣款50元。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公共秩序维护人员务必坚守岗位严禁脱岗，值班（上班）时间喝酒睡觉、擅离岗位者</w:t>
            </w: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维护公共秩序时不准嬉笑打闹，不准看书、看报或进行其他与值班无关的事。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每发现一次不合格者扣款50元。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公共秩序维护区域出现打架、斗殴、寻衅滋事的事件发生；出现盗窃和人为破坏行为。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每发现一次扣款500元。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消防设备、器材和消防安全标志是否在位，状态是否良好，发现破损应及时维修更换。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安全通道无违规占用、无杂物堆放等现象。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闲杂人员进入大楼，院内车辆乱停乱放，不及时制止者。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每发现一次扣款50元。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建筑物内公共楼道、步行梯、卫生间、大堂、门厅、会议室保洁及时、无死角。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大楼外观完好、整洁，外墙、路面、绿地、停车场、水池、楼梯入口台阶保洁及时、无死角。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垃圾箱等环卫设备内部垃圾及时清理，外表无污迹，垃圾箱周围无散落垃圾，污迹。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雨、污水管井的井底无沉淀物，水流畅通；井盖上无污物，盖板无污迹。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垃圾中转站、收集箱垃圾不能溢出，周围无散落垃圾，无明显污物。有效控制蝇、蚊等害虫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滋生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值班室保持清洁、卫生、通风、照明良好。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态度蛮横、与采购人员工或来访人员争吵、发生冲突。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每次扣款1000元以上。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发生有效投诉。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每次扣款200元以上。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对所分配的工作处理不及时、不到位或置之不理者。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每次扣款200元。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ascii="宋体" w:hAnsi="宋体" w:eastAsia="宋体" w:cs="仿宋_GB2312"/>
                <w:b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物业服务人数不足要求且10个工作日内不及时补充的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每缺一人扣款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元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宋体" w:hAnsi="宋体" w:eastAsia="宋体" w:cs="仿宋_GB2312"/>
          <w:color w:val="auto"/>
          <w:szCs w:val="21"/>
          <w:highlight w:val="none"/>
        </w:rPr>
      </w:pPr>
    </w:p>
    <w:p>
      <w:pPr>
        <w:rPr>
          <w:rFonts w:hint="eastAsia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 w:val="0"/>
        <w:jc w:val="both"/>
        <w:rPr>
          <w:rFonts w:hint="eastAsia" w:ascii="Calibri" w:hAnsi="Calibri" w:eastAsia="宋体" w:cs="Times New Roman"/>
          <w:b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-SA"/>
        </w:rPr>
        <w:t>B分标：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一、项目概况</w:t>
      </w:r>
    </w:p>
    <w:tbl>
      <w:tblPr>
        <w:tblStyle w:val="3"/>
        <w:tblW w:w="8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39"/>
        <w:gridCol w:w="3788"/>
        <w:gridCol w:w="1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采购包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采购标的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最高限价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采购标的对应的中小企业划分标准所属行业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国家税务总局上林县税务局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餐饮服务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u w:val="none" w:color="auto"/>
              </w:rPr>
              <w:t>人民币（大写）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贰拾壹万元伍仟元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整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餐饮服务</w:t>
            </w:r>
          </w:p>
        </w:tc>
      </w:tr>
    </w:tbl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二、技术要求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采购人提供厨房、餐厅、厨房设备、餐具，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负责按照采购人要求加工供应职工用餐﹙早、中、晚﹚、接待用餐、会议（培训）用餐以及食堂清洁卫生。食材采购由采购人负责，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配合验收。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（1）职工用餐供餐时间：早餐7:00-8:00，中午12:00-13:30，晚餐18:00-19:30（菜品准点供餐率为100%，采购人可根据工作需要进行调整并提前通知成交供应商）。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接待用餐、会议（培训）用餐：成交供应商依据采购人提供的就餐人数、菜品、用餐标准等制定合理的方案交采购人确定，并按照采购人确定的时间供餐。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（2）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按照采购人要求提供餐饮服务，包括但不限于菜肴制作、分餐、摆盘、餐具清洁、厨房清洁、餐厅清洁、财务核算、库存盘点、每日菜样留存及各项目日常管理工作。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（3）餐饮服务人员要爱惜厨房、餐厅的各项设备，每天进行清洁，设备出现故障要及时向采购人进行报备。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（4）餐饮服务人员要遵守食堂服务要求和食堂工作卫生标准（详见附件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：食堂服务工作要求及标准）。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（5）严格执行《中华人民共和国食品安全法》、《餐饮服务食品安全操作规范》 及国家、行业相关最新法律法规规定，确保餐食制作的安全及卫生。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违反相关法律、法规规定，将依法承担行政责任或刑事责任，给采购人造成损失的，还应当依法予以赔偿。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（6）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提供的厨师要严把菜肴的质量关，对不合格的食材一律拒绝签收和使用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成交供应商须具备有效的《食品经营许可证》，成交后按照采购人提供的地点注册。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三、服务团队配置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1.厨师1名，年龄55周岁以下，具有2年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餐饮酒店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或食堂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工作经验，身体健康，能吃苦耐劳，有良好的服务意识，纪律性与责任心强，具有健康证。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2.副厨3名。年龄在55周岁以下，具有1年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餐饮酒店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或食堂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工作经验，能辅助厨师做好食品加工，有良好的服务意识，纪律性与责任心强，具有健康证。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四、服务考核办法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（本办法所称的“以上”、“以下”、“内”、“以内”，包括本数；所称的“不足”，不包括本数）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1.采购人采取每月定期（详见附件1：《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餐饮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服务日常工作考核评分表》）方式对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进行考核。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派人参加考核，发现问题，当场告知。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根据考核存在的问题和不足，查找原因，提出整改意见（整改意见于5个工作日内）通报采购人，并及时作出整改。考核结果双方签字确认。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2</w:t>
      </w:r>
      <w:r>
        <w:rPr>
          <w:rFonts w:hint="eastAsia" w:ascii="Calibri" w:hAnsi="Calibri" w:eastAsia="宋体" w:cs="Times New Roman"/>
          <w:szCs w:val="22"/>
        </w:rPr>
        <w:t>.采购人对</w:t>
      </w:r>
      <w:r>
        <w:rPr>
          <w:rFonts w:hint="eastAsia" w:ascii="Calibri" w:hAnsi="Calibri" w:eastAsia="宋体" w:cs="Times New Roman"/>
          <w:szCs w:val="22"/>
          <w:lang w:eastAsia="zh-CN"/>
        </w:rPr>
        <w:t>成交供应商</w:t>
      </w:r>
      <w:r>
        <w:rPr>
          <w:rFonts w:hint="eastAsia" w:ascii="Calibri" w:hAnsi="Calibri" w:eastAsia="宋体" w:cs="Times New Roman"/>
          <w:szCs w:val="22"/>
        </w:rPr>
        <w:t>的服务质量不定期抽查，检查记录经双方签字确认后保存在采购人处。采购人有权根据检查结果，按物业《</w:t>
      </w:r>
      <w:r>
        <w:rPr>
          <w:rFonts w:hint="eastAsia" w:ascii="Calibri" w:hAnsi="Calibri" w:eastAsia="宋体" w:cs="Times New Roman"/>
          <w:szCs w:val="22"/>
          <w:lang w:eastAsia="zh-CN"/>
        </w:rPr>
        <w:t>餐饮</w:t>
      </w:r>
      <w:r>
        <w:rPr>
          <w:rFonts w:hint="eastAsia" w:ascii="Calibri" w:hAnsi="Calibri" w:eastAsia="宋体" w:cs="Times New Roman"/>
          <w:szCs w:val="22"/>
        </w:rPr>
        <w:t>服务日常工作考核评分表》（详见附件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1</w:t>
      </w:r>
      <w:r>
        <w:rPr>
          <w:rFonts w:hint="eastAsia" w:ascii="Calibri" w:hAnsi="Calibri" w:eastAsia="宋体" w:cs="Times New Roman"/>
          <w:szCs w:val="22"/>
        </w:rPr>
        <w:t>）对</w:t>
      </w:r>
      <w:r>
        <w:rPr>
          <w:rFonts w:hint="eastAsia" w:ascii="Calibri" w:hAnsi="Calibri" w:eastAsia="宋体" w:cs="Times New Roman"/>
          <w:szCs w:val="22"/>
          <w:lang w:eastAsia="zh-CN"/>
        </w:rPr>
        <w:t>成交供应商</w:t>
      </w:r>
      <w:r>
        <w:rPr>
          <w:rFonts w:hint="eastAsia" w:ascii="Calibri" w:hAnsi="Calibri" w:eastAsia="宋体" w:cs="Times New Roman"/>
          <w:szCs w:val="22"/>
        </w:rPr>
        <w:t>实施扣款，并通知</w:t>
      </w:r>
      <w:r>
        <w:rPr>
          <w:rFonts w:hint="eastAsia" w:ascii="Calibri" w:hAnsi="Calibri" w:eastAsia="宋体" w:cs="Times New Roman"/>
          <w:szCs w:val="22"/>
          <w:lang w:eastAsia="zh-CN"/>
        </w:rPr>
        <w:t>成交供应商</w:t>
      </w:r>
      <w:r>
        <w:rPr>
          <w:rFonts w:hint="eastAsia" w:ascii="Calibri" w:hAnsi="Calibri" w:eastAsia="宋体" w:cs="Times New Roman"/>
          <w:szCs w:val="22"/>
        </w:rPr>
        <w:t>限期整改。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五、商务要求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（一）服务地点：采购人指定的服务范围（广西壮族自治区南宁市上林县内）。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（二）服务期限：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年。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（三）服务费支付方式及时间：</w:t>
      </w:r>
    </w:p>
    <w:p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1.采购人采取先服务后付款、按月考核结算的方式。每月10日前，采购人根据服务考核办法及标准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合同罚责条款对成交供应商上月服务进行考核，考核结果经双方确认无异议后，采购人按考核结果对合同服务费进行汇总扣款后支付剩余款项。服务费从成交供应商开始提供服务工作之日起开始计算，足月的月份服务费为：月服务费=年度合同金额/12-月考核汇总扣款；不足月的月份服务费为：年度合同金额/12÷当月日历天数×当月实际工作天数-月考核汇总扣款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2.采购人付款前，成交供应商向采购人提供等额有效的正规行业发票。采购人收到发票后10个工作日内支付成交供应商的服务费。采购人未收到发票的，有权不予支付相应款项直至成交供应商提供合格发票，并不承担延迟付款责任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宋体" w:hAnsi="宋体" w:eastAsia="宋体" w:cs="黑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仿宋_GB2312"/>
          <w:color w:val="auto"/>
          <w:szCs w:val="21"/>
          <w:highlight w:val="none"/>
        </w:rPr>
        <w:br w:type="page"/>
      </w:r>
      <w:r>
        <w:rPr>
          <w:rFonts w:hint="eastAsia" w:ascii="宋体" w:hAnsi="宋体" w:eastAsia="宋体" w:cs="黑体"/>
          <w:b/>
          <w:color w:val="auto"/>
          <w:szCs w:val="21"/>
          <w:highlight w:val="none"/>
        </w:rPr>
        <w:t>附件</w:t>
      </w:r>
      <w:r>
        <w:rPr>
          <w:rFonts w:hint="eastAsia" w:ascii="宋体" w:hAnsi="宋体" w:eastAsia="宋体" w:cs="黑体"/>
          <w:b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黑体"/>
          <w:b/>
          <w:color w:val="auto"/>
          <w:szCs w:val="21"/>
          <w:highlight w:val="none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 w:eastAsia="宋体" w:cs="方正小标宋简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方正小标宋简体"/>
          <w:color w:val="auto"/>
          <w:sz w:val="28"/>
          <w:szCs w:val="28"/>
          <w:highlight w:val="none"/>
          <w:lang w:eastAsia="zh-CN"/>
        </w:rPr>
        <w:t>餐饮</w:t>
      </w:r>
      <w:r>
        <w:rPr>
          <w:rFonts w:hint="eastAsia" w:ascii="宋体" w:hAnsi="宋体" w:eastAsia="宋体" w:cs="方正小标宋简体"/>
          <w:color w:val="auto"/>
          <w:sz w:val="28"/>
          <w:szCs w:val="28"/>
          <w:highlight w:val="none"/>
        </w:rPr>
        <w:t>服务日常工作考核评分表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color w:val="auto"/>
          <w:szCs w:val="22"/>
          <w:highlight w:val="none"/>
        </w:rPr>
        <w:t>（如</w:t>
      </w:r>
      <w:r>
        <w:rPr>
          <w:rFonts w:hint="eastAsia" w:ascii="Calibri" w:hAnsi="Calibri" w:eastAsia="宋体" w:cs="Times New Roman"/>
          <w:color w:val="auto"/>
          <w:szCs w:val="22"/>
          <w:highlight w:val="none"/>
          <w:lang w:eastAsia="zh-CN"/>
        </w:rPr>
        <w:t>成交供应商</w:t>
      </w:r>
      <w:r>
        <w:rPr>
          <w:rFonts w:hint="eastAsia" w:ascii="Calibri" w:hAnsi="Calibri" w:eastAsia="宋体" w:cs="Times New Roman"/>
          <w:color w:val="auto"/>
          <w:szCs w:val="22"/>
          <w:highlight w:val="none"/>
        </w:rPr>
        <w:t>投标承诺的考核评分表优于本表，合同履约时将结合</w:t>
      </w:r>
      <w:r>
        <w:rPr>
          <w:rFonts w:hint="eastAsia" w:ascii="Calibri" w:hAnsi="Calibri" w:eastAsia="宋体" w:cs="Times New Roman"/>
          <w:color w:val="auto"/>
          <w:szCs w:val="22"/>
          <w:highlight w:val="none"/>
          <w:lang w:eastAsia="zh-CN"/>
        </w:rPr>
        <w:t>成交供应商</w:t>
      </w:r>
      <w:r>
        <w:rPr>
          <w:rFonts w:hint="eastAsia" w:ascii="Calibri" w:hAnsi="Calibri" w:eastAsia="宋体" w:cs="Times New Roman"/>
          <w:color w:val="auto"/>
          <w:szCs w:val="22"/>
          <w:highlight w:val="none"/>
        </w:rPr>
        <w:t>投标承诺的考核评分表及采购人制订的考核评分表进行履约考核。）</w:t>
      </w:r>
    </w:p>
    <w:tbl>
      <w:tblPr>
        <w:tblStyle w:val="2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3"/>
        <w:gridCol w:w="2970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  <w:t>考核检查内容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  <w:t>扣款额度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发生重大失责行为，造成严重后果者。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每次扣款10000元。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按照采购人点餐情况及时制作，按时提供餐食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每发现一次不合格者扣款50元。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餐饮服务人员持有健康证且在有效期内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提供的食品安全、卫生，没有食品安全事件发生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分餐时确保每份餐食的份量质量，圆桌用餐时提前摆放好餐具，提供上菜服务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每发现一次不合格者扣款50元。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做好厨房、餐厅、各类设备、餐具的清洁工作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工作期间患有痢疾、伤寒、活动性肺结核、化脓性皮肤病等疾病而未停止工作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餐饮器具使用前必须洗净消毒，消毒后及时放入保洁柜待用，保持干净、无油腻、无积水，并保存相关消毒记录。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每发现一次不合格者扣款50元。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5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ascii="宋体" w:hAnsi="宋体" w:eastAsia="宋体" w:cs="仿宋_GB2312"/>
                <w:b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餐饮服务人数不足要求且10个工作日内不及时补充的</w:t>
            </w:r>
          </w:p>
        </w:tc>
        <w:tc>
          <w:tcPr>
            <w:tcW w:w="297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每缺一人扣款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  <w:t>元</w:t>
            </w:r>
          </w:p>
        </w:tc>
        <w:tc>
          <w:tcPr>
            <w:tcW w:w="55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宋体" w:hAnsi="宋体" w:eastAsia="宋体" w:cs="仿宋_GB2312"/>
          <w:color w:val="auto"/>
          <w:szCs w:val="21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宋体" w:hAnsi="宋体" w:eastAsia="宋体" w:cs="黑体"/>
          <w:b/>
          <w:color w:val="auto"/>
          <w:szCs w:val="21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宋体" w:hAnsi="宋体" w:eastAsia="宋体" w:cs="方正小标宋简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黑体"/>
          <w:b/>
          <w:color w:val="auto"/>
          <w:szCs w:val="21"/>
          <w:highlight w:val="none"/>
        </w:rPr>
        <w:t>附件</w:t>
      </w:r>
      <w:r>
        <w:rPr>
          <w:rFonts w:hint="eastAsia" w:ascii="宋体" w:hAnsi="宋体" w:eastAsia="宋体" w:cs="黑体"/>
          <w:b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黑体"/>
          <w:b/>
          <w:color w:val="auto"/>
          <w:szCs w:val="21"/>
          <w:highlight w:val="none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宋体" w:hAnsi="宋体" w:eastAsia="宋体" w:cs="方正小标宋简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方正小标宋简体"/>
          <w:color w:val="auto"/>
          <w:sz w:val="28"/>
          <w:szCs w:val="28"/>
          <w:highlight w:val="none"/>
        </w:rPr>
        <w:t>食堂服务工作要求及标准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宋体" w:hAnsi="宋体" w:eastAsia="宋体" w:cs="仿宋_GB2312"/>
          <w:color w:val="auto"/>
          <w:szCs w:val="21"/>
          <w:highlight w:val="none"/>
        </w:rPr>
      </w:pPr>
      <w:r>
        <w:rPr>
          <w:rFonts w:hint="eastAsia" w:ascii="宋体" w:hAnsi="宋体" w:eastAsia="宋体" w:cs="仿宋_GB2312"/>
          <w:color w:val="auto"/>
          <w:szCs w:val="21"/>
          <w:highlight w:val="none"/>
        </w:rPr>
        <w:t>一、食堂服务要求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工作内容</w:t>
            </w: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一、安全管理</w:t>
            </w: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1、须认真执行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《中华人民共和国食品安全法》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，并结合食堂的具体情况，建立健全卫生制度，使卫生工作经常化，确保疾病传染和食物中毒事件零发生。食堂内厨、仓库不许存放任何有毒性药品。严防食品和药物混串造成食物中毒事件发生。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2、做好防火、防盗、防毒和防破坏工作，确保安全事故零发生。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3、须建立严格的消防安全制度，落实各项消防安全管理措施，确保火灾事故零发生。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4、食堂用火用电设备有专人管理负责。炉灶旁不准堆放杂物和易燃易爆物品。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5、遵守安全法规，设备安全管理到位，做好安全教育及劳动保护工作。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二、健全各项规章制度</w:t>
            </w: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1、食品卫生管理制度；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2、食堂环境卫生管理制度；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3、工作人员健康检查制度；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4、工作人员服务守则；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5、工作人员岗位工作标准；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三、环境及用具卫生</w:t>
            </w: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1、保持餐厅地面清洁，窗户明亮，桌椅干净，天花板、墙壁无积尘、无蛛网。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2、及时清理餐桌残留物，保持清洁，无油腻。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3、冷冻设备无灰尘，无蜘蛛网，无油迹，生菜和熟菜分别存放。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4、按照卫生标准，对锅、碗、瓢、盆、案板、菜刀、餐具等实行一洗、二刷、三冲、四消毒。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5、保持货架、抽风系统、箱柜的整洁干净，洗物池做到无污、无苔。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6、厨房、碗柜内物品摆放整齐，餐具密闭存放。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7、消毒柜、餐具回收要及时清洗，餐具消毒才能给用餐人员使用。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8、做好防鼠、防蟑、防蝇等防护措施。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四、食品卫生</w:t>
            </w: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1、认真执行国家有关食品卫生法的规定，严把采购关，使用绿色食品，严防食源性疾患的发生。做好食品安全管理，杜绝食品中毒事件发生。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2、蔬菜要先拣后洗，保证菜肴无虫子、沙子、头发、杂物等。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3、肉菜按规定程序清洗干净。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4、每日制作的饭菜及下班后剩饭菜，必须随时清理和处理。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5、熟食要加盖加罩，做好防尘防蝇工作。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五、食堂员工卫生守则、服务质量</w:t>
            </w: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1、食堂员工每年进行一次健康检查，无健康证不准上岗。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2、服务人员必须着整洁工作服，接触入口食品要戴口罩及一次性手套。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3、食堂员工要勤洗手、勤剪指甲，患有感冒等传染性疾病要主动报告，患病员工不直接接触食品的岗位工作。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4、食堂员工要遵守职业道德，做到礼貌待人，热情服务，文明用语。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六、饭菜质量及份量</w:t>
            </w: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1、一日三餐按时开餐，保证饭菜供应。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2、菜肴花色品种要定期翻新并公布，做到色香俱全饭菜质量好，得到大多数职工认可。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3、米饭软硬适中，不得有夹生或隔天剩饭剩菜。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4、饭菜份量合理，质好量足。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5、接待、会议、培训就餐的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  <w:lang w:eastAsia="zh-CN"/>
              </w:rPr>
              <w:t>具体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品种由采购人按次确定并交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七、水电管理</w:t>
            </w: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1、下班时必须关闭各用水用电设备。杜绝长明灯、长流水的现象。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2、使用拖把清理清扫，严禁长开水龙头冲洗地面和水沟。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3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3、食堂的空调、音响、电视设备仅在就餐时使用，其余时间一律关闭。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宋体" w:hAnsi="宋体" w:eastAsia="宋体" w:cs="仿宋_GB2312"/>
          <w:color w:val="auto"/>
          <w:szCs w:val="21"/>
          <w:highlight w:val="none"/>
        </w:rPr>
      </w:pPr>
      <w:r>
        <w:rPr>
          <w:rFonts w:hint="eastAsia" w:ascii="宋体" w:hAnsi="宋体" w:eastAsia="宋体" w:cs="仿宋_GB2312"/>
          <w:color w:val="auto"/>
          <w:szCs w:val="21"/>
          <w:highlight w:val="none"/>
        </w:rPr>
        <w:br w:type="page"/>
      </w:r>
      <w:r>
        <w:rPr>
          <w:rFonts w:hint="eastAsia" w:ascii="宋体" w:hAnsi="宋体" w:eastAsia="宋体" w:cs="仿宋_GB2312"/>
          <w:color w:val="auto"/>
          <w:szCs w:val="21"/>
          <w:highlight w:val="none"/>
        </w:rPr>
        <w:t>二、食堂工作卫生标准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805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工作卫生标准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05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切实落实食品安全“五四”制；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805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制定并落实食品制度;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805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禁止领用、加工以下食品：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⑴腐败变质、油脂酸败、霉变、生虫、污秽不洁、混有异物或者其他感官性状异常，含有毒有害物质或者被有毒、有害物质污染，可能对人体健康有害的食品；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⑵未经检疫或者检疫不合格的肉类及其制品；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⑶超过保质期限或不符合食品标签规定的定型包装食品；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⑷其他不符合食品安全标准和要求的食品、添加剂等。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805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储存食品及器具放置须符合相关卫生规定，要有防水、防潮、防蝇、防鼠、防霉、防蛀等措施。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805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生熟食品存放的冰箱要分开，加工生熟食品的器具要分开，不可混用。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805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食品加工、供应：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(1)各种原料加工做到一摘、二洗、三清、四切配。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(2)必须做到烧熟烧透，需要熟制加工的大块食品，其中心温度不低于70度,食品不得接触有毒物、不洁物。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(3)加工烹调食品必须使用添加剂时，要在使用前看清其产品标签和说明书，标签模糊不清的或来源不明的添加剂不得使用；食品添加剂的使用必须符合《食品添加剂使用标准》或卫生部公告名单规定的品种及其使用范围、使用量，不得凭经验随意扩大使用范围和使用量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(4)食品在烹调后至供应前一般不超过2个小时，若超过2个小时存放的，应当在高于60度或低于10度的条件下存放。剩余食品不得再次供应。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805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环境卫生。食堂应当保持内外环境整洁，采取有效措施，消除老鼠、蟑螂、苍蝇和其他有害昆虫及其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  <w:lang w:eastAsia="zh-CN"/>
              </w:rPr>
              <w:t>滋生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条件。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(1)就餐场所确保工完场清，四壁无尘，窗明几净，室内保持通风。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(2)地面无污水，无菜头和饭菜等杂物。下水道疏通无堵塞，垃圾桶（袋）加盖（扎口）、确保每餐必清。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(3)操作间锅台无污秽物，瓷砖无污痕，炊具卫生。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(4)餐厅桌凳摆放整齐，桌面清洁无油腻，地面干爽无积水，供应台、水池、天花板、空调、灯具等保持清洁。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805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餐饮器具清洗消毒保洁：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 xml:space="preserve">(1)餐饮器具使用后应及时洗净，定位存放，保持清洁。消毒后的餐饮器具应贮存在专用保洁设施内备用，保洁设施应有明显标记。餐饮器具保洁设施应当定期清洗，保持洁净。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(2)餐饮器具使用前应按以下规定洗净并消毒。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①清洗方法（采用手工方法清洗的应按以下步骤进行）：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一刮。刮掉沾在餐饮具表面上的大部分食物残渣、污垢；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二洗。用含洗涤剂溶液洗净餐饮具表面；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三过水。用清水冲去残留的洗涤剂。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②消毒方法：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首选热力消毒。包括蒸汽、煮沸、红外线等热力消毒方法。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煮沸、蒸汽、高温消毒保持100度、保持10分钟以上；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红外线消毒一般控制温度120度、保持10分钟以上；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应严格按消毒设备所指示的时间消毒，定期检查并记录，保证消毒效果。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③保洁方法：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 xml:space="preserve">消毒后的餐饮具要自然滤干或烘干，不应使用手巾、餐巾擦干，以避免受到再次污染。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 xml:space="preserve">消毒后的餐饮具应及时放入专用密闭式餐饮具保洁柜（间）保存，避免再次受到污染。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应定期检查消毒设备、设施是否处于良好状态。采用化学消毒的应定时测量有效消毒浓度。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不得重复使用一次性餐饮具。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保洁设施的内外应洁净、干爽，保洁设施内不得存放其他物品。已消毒和未消毒的餐饮器具应分开存放。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餐具摆台超过当次就餐时间尚未使用的应收回保洁。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盛放调味料的容器应定期清洗消毒。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805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个人卫生：</w:t>
            </w:r>
          </w:p>
          <w:p>
            <w:pPr>
              <w:pageBreakBefore w:val="0"/>
              <w:numPr>
                <w:ilvl w:val="0"/>
                <w:numId w:val="3"/>
              </w:numPr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在服务期间，服务人员应规范操作，餐饮服务人员必须持健康证上岗，每年至少进行一次健康检查，必要时接受临时检查；无痢疾、伤寒、 活动性肺结核、化脓性皮肤病等疾病，无传染疾病,健康证由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自行安排员工在正规卫生监督部门体检并领取健康证明,在合同签订后30日内向采购人提交所有餐饮服务人员的健康证；如有员工发生变化,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应及时向采购人提交新员工的健康证。合同期内人员健康证必须保持有效。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（2）凡患有痢疾、伤寒、病毒性肝炎等消化道疾病（包括病原携带者），活动性肺结核，化脓性或者渗出性皮肤病以及其他有碍食品安全的疾病的，不得上岗。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（3）在出现咳嗽、腹泻、发热、呕吐等有碍于食品安全的病症时，应立即脱离工作岗位，待查明病因、排除有碍食品安全的病症或治愈后，方可重新上岗。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（4）必须掌握本岗位的食品安全技术要求，养成良好的卫生习惯，严格遵守卫生操作规程。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（5）坚持科学的洗手习惯：操作前、便后以及从事与食品无关的其他活动后应洗手；洗手应先用消毒液消毒，后用流动水冲洗。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（6）不得留长指甲、涂指甲油、戴戒指。不得在食品加工场所或销售场所内吸烟、吃东西、随地吐痰，不得穿工作服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  <w:lang w:eastAsia="zh-CN"/>
              </w:rPr>
              <w:t>如厕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（7）加工销售食品时，不挖鼻孔、掏耳朵，不喝酒，不吃零食；直接接触入口食品时应戴口罩和一次性手套，不得用手直接接触食品和器皿。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（8）个人卫生做到“四勤”：勤洗手、剪指甲（指甲长度以不超过手指头为标准）；勤洗澡、理发；勤洗衣服、被褥；勤换工作服。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（9）不得面对食品打喷嚏、咳嗽及做其他影响食品安全的行为，不得直接抓取直接入口食品或用勺直接尝味。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（10）要注意个人卫生及形象，养成良好的卫生习惯，穿戴整洁的工作衣帽，头发梳理整齐置于帽内。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highlight w:val="none"/>
              </w:rPr>
              <w:t>（11）必须认真执行各项卫生管理制度。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417" w:bottom="1440" w:left="141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/>
        <w:keepLines/>
        <w:widowControl w:val="0"/>
        <w:tabs>
          <w:tab w:val="left" w:pos="780"/>
        </w:tabs>
        <w:spacing w:before="280" w:after="290" w:line="360" w:lineRule="auto"/>
        <w:ind w:firstLine="422" w:firstLineChars="200"/>
        <w:jc w:val="both"/>
        <w:outlineLvl w:val="4"/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C分标：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一、项目概况</w:t>
      </w:r>
    </w:p>
    <w:tbl>
      <w:tblPr>
        <w:tblStyle w:val="3"/>
        <w:tblW w:w="8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39"/>
        <w:gridCol w:w="3580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采购包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采购标的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最高限价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采购标的对应的中小企业划分标准所属行业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国家税务总局上林县税务局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司机服务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  <w:u w:val="none" w:color="auto"/>
              </w:rPr>
              <w:t>人民币（大写）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壹拾伍万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元整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租赁和商务服务业</w:t>
            </w:r>
          </w:p>
        </w:tc>
      </w:tr>
    </w:tbl>
    <w:p>
      <w:pPr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技术要求</w:t>
      </w:r>
    </w:p>
    <w:p>
      <w:pPr>
        <w:spacing w:line="360" w:lineRule="auto"/>
        <w:ind w:left="280" w:leftChars="0" w:firstLine="420" w:firstLineChars="200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（一）服务内容：由采购人提供车辆，成交供应商按照采购人要求提供司机驾驶车辆。</w:t>
      </w:r>
    </w:p>
    <w:p>
      <w:pPr>
        <w:numPr>
          <w:ilvl w:val="-1"/>
          <w:numId w:val="0"/>
        </w:numPr>
        <w:spacing w:line="360" w:lineRule="auto"/>
        <w:ind w:left="0" w:leftChars="0" w:firstLine="420" w:firstLineChars="200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（二）服务需求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严格遵守交通法规，安全平稳驾驶车辆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，确保乘车人员的安全。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（1）按照规定的时间、路线和要求，准时接送公务人员，保证公务活动的正常开展。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（2）出车前对车辆进行全面检查，确保车辆性能良好，无安全隐患。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（3）做好车辆的清洁卫生工作，保持车内整洁、舒适，车容车貌良好。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（4）妥善保管车辆相关证件和资料，确保证件齐全有效。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（5）保守乘车人员在车内谈论的 工作秘密和个人隐私，不随意传播。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（6）完成领导交办的其他与车辆有关的临时性任务。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（7）统计和记录车辆的使用情况，定期向单位汇报。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三、服务团队配置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 xml:space="preserve">      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专职司机：2人，符合以下要求：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（1）驾驶技能：持有A1驾驶证，具有2年实际驾驶经验，驾驶技术娴熟，熟悉上林及周边地区路况。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（2）安全意识：具备强烈的安全意识，严格遵守交通规则，无重大交通责任事故记录。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（3）身体素质：身体健康，无妨碍安全驾驶的疾病，如色盲、色弱、听力障碍、肢体残疾等，能适应不定时的工作安排。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（4）品行端正，诚实守信，无违法记录和不良嗜好，有较强的保密意识和责任心。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四、服务考核办法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（本办法所称的“以上”、“以下”、“内”、“以内”，包括本数；所称的“不足”，不包括本数）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1.采购人采取每月定期（详见附件1：《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司机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服务日常工作考核评分表》）方式对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进行考核。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派人参加考核，发现问题，当场告知。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根据考核存在的问题和不足，查找原因，提出整改意见（整改意见于5个工作日内）通报采购人，并及时作出整改。考核结果双方签字确认。</w:t>
      </w:r>
    </w:p>
    <w:p>
      <w:pPr>
        <w:keepNext/>
        <w:keepLines/>
        <w:pageBreakBefore w:val="0"/>
        <w:widowControl w:val="0"/>
        <w:numPr>
          <w:ilvl w:val="4"/>
          <w:numId w:val="2"/>
        </w:numPr>
        <w:kinsoku/>
        <w:overflowPunct/>
        <w:topLinePunct w:val="0"/>
        <w:autoSpaceDE/>
        <w:autoSpaceDN/>
        <w:bidi w:val="0"/>
        <w:adjustRightInd/>
        <w:spacing w:before="280" w:after="156" w:line="360" w:lineRule="auto"/>
        <w:jc w:val="left"/>
        <w:textAlignment w:val="auto"/>
        <w:outlineLvl w:val="4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2.采购人对成交供应商的服务质量不定期抽查，检查记录经双方签字确认后保存在采购人处。采购人有权根据检查结果，按《司机服务日常工作考核评分表》（详见附件1）对成交供应商实施扣款，并通知成交供应商限期整改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Lines="0" w:afterLines="0"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五、商务要求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（一）服务地点：采购人指定的服务范围。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（二）服务期限：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年。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（三）服务费支付方式及时间：</w:t>
      </w:r>
    </w:p>
    <w:p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1.采购人采取先服务后付款、按月考核结算的方式。每月10日前，采购人根据服务考核办法及标准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合同罚责条款对成交供应商上月服务进行考核，考核结果经双方确认无异议后，采购人按考核结果对合同服务费进行汇总扣款后支付剩余款项。服务费从成交供应商开始提供服务工作之日起开始计算，足月的月份服务费为：月服务费=年度合同金额/12-月考核汇总扣款；不足月的月份服务费为：年度合同金额/12÷当月日历天数×当月实际工作天数-月考核汇总扣款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2.采购人付款前，成交供应商向采购人提供等额有效的正规行业发票。采购人收到发票后10个工作日内支付成交供应商的服务费。采购人未收到发票的，有权不予支付相应款项直至成交供应商提供合格发票，并不承担延迟付款责任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宋体" w:hAnsi="宋体" w:eastAsia="宋体" w:cs="黑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黑体"/>
          <w:b/>
          <w:color w:val="auto"/>
          <w:szCs w:val="21"/>
          <w:highlight w:val="none"/>
        </w:rPr>
        <w:t>附件</w:t>
      </w:r>
      <w:r>
        <w:rPr>
          <w:rFonts w:hint="eastAsia" w:ascii="宋体" w:hAnsi="宋体" w:eastAsia="宋体" w:cs="黑体"/>
          <w:b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黑体"/>
          <w:b/>
          <w:color w:val="auto"/>
          <w:szCs w:val="21"/>
          <w:highlight w:val="none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 w:eastAsia="宋体" w:cs="方正小标宋简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方正小标宋简体"/>
          <w:color w:val="auto"/>
          <w:sz w:val="28"/>
          <w:szCs w:val="28"/>
          <w:highlight w:val="none"/>
          <w:lang w:eastAsia="zh-CN"/>
        </w:rPr>
        <w:t>司机</w:t>
      </w:r>
      <w:r>
        <w:rPr>
          <w:rFonts w:hint="eastAsia" w:ascii="宋体" w:hAnsi="宋体" w:eastAsia="宋体" w:cs="方正小标宋简体"/>
          <w:color w:val="auto"/>
          <w:sz w:val="28"/>
          <w:szCs w:val="28"/>
          <w:highlight w:val="none"/>
        </w:rPr>
        <w:t>服务日常工作考核评分表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color w:val="auto"/>
          <w:szCs w:val="22"/>
          <w:highlight w:val="none"/>
        </w:rPr>
        <w:t>（如</w:t>
      </w:r>
      <w:r>
        <w:rPr>
          <w:rFonts w:hint="eastAsia" w:ascii="Calibri" w:hAnsi="Calibri" w:eastAsia="宋体" w:cs="Times New Roman"/>
          <w:color w:val="auto"/>
          <w:szCs w:val="22"/>
          <w:highlight w:val="none"/>
          <w:lang w:eastAsia="zh-CN"/>
        </w:rPr>
        <w:t>成交供应商</w:t>
      </w:r>
      <w:r>
        <w:rPr>
          <w:rFonts w:hint="eastAsia" w:ascii="Calibri" w:hAnsi="Calibri" w:eastAsia="宋体" w:cs="Times New Roman"/>
          <w:color w:val="auto"/>
          <w:szCs w:val="22"/>
          <w:highlight w:val="none"/>
        </w:rPr>
        <w:t>投标承诺的考核评分表优于本表，合同履约时将结合</w:t>
      </w:r>
      <w:r>
        <w:rPr>
          <w:rFonts w:hint="eastAsia" w:ascii="Calibri" w:hAnsi="Calibri" w:eastAsia="宋体" w:cs="Times New Roman"/>
          <w:color w:val="auto"/>
          <w:szCs w:val="22"/>
          <w:highlight w:val="none"/>
          <w:lang w:eastAsia="zh-CN"/>
        </w:rPr>
        <w:t>成交供应商</w:t>
      </w:r>
      <w:r>
        <w:rPr>
          <w:rFonts w:hint="eastAsia" w:ascii="Calibri" w:hAnsi="Calibri" w:eastAsia="宋体" w:cs="Times New Roman"/>
          <w:color w:val="auto"/>
          <w:szCs w:val="22"/>
          <w:highlight w:val="none"/>
        </w:rPr>
        <w:t>投标承诺的考核评分表及采购人制订的考核评分表进行履约考核。）</w:t>
      </w:r>
    </w:p>
    <w:tbl>
      <w:tblPr>
        <w:tblStyle w:val="2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3"/>
        <w:gridCol w:w="3345"/>
        <w:gridCol w:w="255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6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考核检查内容</w:t>
            </w:r>
          </w:p>
        </w:tc>
        <w:tc>
          <w:tcPr>
            <w:tcW w:w="334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扣款额度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4963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严格遵守交通法规，安全平稳驾驶车辆，确保乘车人员的安全。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发生重大失责行为，造成严重后果者。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每次扣款10000元。</w:t>
            </w:r>
          </w:p>
        </w:tc>
        <w:tc>
          <w:tcPr>
            <w:tcW w:w="6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按照规定的时间、路线和要求，准时接送公务人员，保证公务活动的正常开展。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每发现一次不合格者扣款50元。</w:t>
            </w:r>
          </w:p>
        </w:tc>
        <w:tc>
          <w:tcPr>
            <w:tcW w:w="6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出车前对车辆进行全面检查，确保车辆性能良好，无安全隐患。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6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做好车辆的清洁卫生工作，保持车内整洁、舒适，车容车貌良好。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每发现一次不合格者扣款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元。</w:t>
            </w:r>
          </w:p>
        </w:tc>
        <w:tc>
          <w:tcPr>
            <w:tcW w:w="6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妥善保管车辆相关证件和资料，确保证件齐全有效。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每发现一次不合格者扣款50元。</w:t>
            </w:r>
          </w:p>
        </w:tc>
        <w:tc>
          <w:tcPr>
            <w:tcW w:w="6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保守乘车人员在车内谈论的 工作秘密和个人隐私，不随意传播。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每发现一次不合格者扣款100元。</w:t>
            </w:r>
          </w:p>
        </w:tc>
        <w:tc>
          <w:tcPr>
            <w:tcW w:w="6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完成领导交办的其他与车辆有关的临时性任务。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每发现一次不合格者扣款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0元。</w:t>
            </w:r>
          </w:p>
        </w:tc>
        <w:tc>
          <w:tcPr>
            <w:tcW w:w="6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统计和记录车辆的使用情况，定期向单位汇报。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每发现一次不合格者扣款50元。</w:t>
            </w:r>
          </w:p>
        </w:tc>
        <w:tc>
          <w:tcPr>
            <w:tcW w:w="6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4963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仿宋_GB2312"/>
                <w:b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严格遵守交通法规，安全平稳驾驶车辆，确保乘车人员的安全。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每发现一次不合格者扣款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1000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元。</w:t>
            </w:r>
          </w:p>
        </w:tc>
        <w:tc>
          <w:tcPr>
            <w:tcW w:w="6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496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宋体" w:hAnsi="宋体" w:eastAsia="宋体" w:cs="仿宋_GB2312"/>
                <w:b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司机服务人数不足要求且10个工作日内不及时补充的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每缺一人扣款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元</w:t>
            </w:r>
          </w:p>
        </w:tc>
        <w:tc>
          <w:tcPr>
            <w:tcW w:w="6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宋体" w:hAnsi="宋体" w:eastAsia="宋体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宋体" w:cs="Times New Roman"/>
        <w:sz w:val="1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-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-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02086"/>
    <w:multiLevelType w:val="singleLevel"/>
    <w:tmpl w:val="CC1020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E459B2"/>
    <w:multiLevelType w:val="singleLevel"/>
    <w:tmpl w:val="03E459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CA1F33"/>
    <w:multiLevelType w:val="singleLevel"/>
    <w:tmpl w:val="1ACA1F3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4CCD"/>
    <w:rsid w:val="69D6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2023-12-25T03:33:00Z</dcterms:created>
  <dc:creator>Administrator</dc:creator>
  <cp:lastModifiedBy>谭荣州</cp:lastModifiedBy>
  <dcterms:modified xsi:type="dcterms:W3CDTF">2025-05-22T03:34:43Z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